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3/31/2018</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0-15950</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FIRST BUSEY CORPORATION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240" w:type="dxa"/>
        <w:tblCellMar>
          <w:top w:w="0" w:type="dxa"/>
          <w:left w:w="0" w:type="dxa"/>
          <w:bottom w:w="0" w:type="dxa"/>
          <w:right w:w="0" w:type="dxa"/>
        </w:tblCellMar>
      </w:tblPr>
      <w:tr>
        <w:trPr>
          <w:trHeight w:val="220"/>
        </w:trPr>
        <w:tc>
          <w:tcPr>
            <w:tcW w:w="4580" w:type="dxa"/>
            <w:vAlign w:val="bottom"/>
          </w:tcPr>
          <w:p>
            <w:pPr>
              <w:jc w:val="center"/>
              <w:ind w:right="1350"/>
              <w:spacing w:after="0"/>
              <w:rPr>
                <w:sz w:val="20"/>
                <w:szCs w:val="20"/>
                <w:color w:val="auto"/>
              </w:rPr>
            </w:pPr>
            <w:r>
              <w:rPr>
                <w:rFonts w:ascii="Arial" w:cs="Arial" w:eastAsia="Arial" w:hAnsi="Arial"/>
                <w:sz w:val="18"/>
                <w:szCs w:val="18"/>
                <w:b w:val="1"/>
                <w:bCs w:val="1"/>
                <w:color w:val="auto"/>
                <w:w w:val="90"/>
              </w:rPr>
              <w:t>Nevada</w:t>
            </w:r>
          </w:p>
        </w:tc>
        <w:tc>
          <w:tcPr>
            <w:tcW w:w="412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r>
      <w:tr>
        <w:trPr>
          <w:trHeight w:val="216"/>
        </w:trPr>
        <w:tc>
          <w:tcPr>
            <w:tcW w:w="4580" w:type="dxa"/>
            <w:vAlign w:val="bottom"/>
          </w:tcPr>
          <w:p>
            <w:pPr>
              <w:jc w:val="center"/>
              <w:ind w:right="1390"/>
              <w:spacing w:after="0"/>
              <w:rPr>
                <w:sz w:val="20"/>
                <w:szCs w:val="20"/>
                <w:color w:val="auto"/>
              </w:rPr>
            </w:pPr>
            <w:r>
              <w:rPr>
                <w:rFonts w:ascii="Arial" w:cs="Arial" w:eastAsia="Arial" w:hAnsi="Arial"/>
                <w:sz w:val="18"/>
                <w:szCs w:val="18"/>
                <w:color w:val="auto"/>
                <w:w w:val="92"/>
              </w:rPr>
              <w:t>(State or other jurisdiction of incorporation</w:t>
            </w:r>
          </w:p>
        </w:tc>
        <w:tc>
          <w:tcPr>
            <w:tcW w:w="4120" w:type="dxa"/>
            <w:vAlign w:val="bottom"/>
          </w:tcPr>
          <w:p>
            <w:pPr>
              <w:jc w:val="center"/>
              <w:ind w:left="1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580" w:type="dxa"/>
            <w:vAlign w:val="bottom"/>
          </w:tcPr>
          <w:p>
            <w:pPr>
              <w:jc w:val="center"/>
              <w:ind w:right="1350"/>
              <w:spacing w:after="0"/>
              <w:rPr>
                <w:sz w:val="20"/>
                <w:szCs w:val="20"/>
                <w:color w:val="auto"/>
              </w:rPr>
            </w:pPr>
            <w:r>
              <w:rPr>
                <w:rFonts w:ascii="Arial" w:cs="Arial" w:eastAsia="Arial" w:hAnsi="Arial"/>
                <w:sz w:val="18"/>
                <w:szCs w:val="18"/>
                <w:color w:val="auto"/>
                <w:w w:val="91"/>
              </w:rPr>
              <w:t>or organization)</w:t>
            </w:r>
          </w:p>
        </w:tc>
        <w:tc>
          <w:tcPr>
            <w:tcW w:w="4120" w:type="dxa"/>
            <w:vAlign w:val="bottom"/>
          </w:tcPr>
          <w:p>
            <w:pPr>
              <w:spacing w:after="0"/>
              <w:rPr>
                <w:sz w:val="20"/>
                <w:szCs w:val="20"/>
                <w:color w:val="auto"/>
              </w:rPr>
            </w:pPr>
          </w:p>
        </w:tc>
      </w:tr>
      <w:tr>
        <w:trPr>
          <w:trHeight w:val="414"/>
        </w:trPr>
        <w:tc>
          <w:tcPr>
            <w:tcW w:w="4580" w:type="dxa"/>
            <w:vAlign w:val="bottom"/>
          </w:tcPr>
          <w:p>
            <w:pPr>
              <w:jc w:val="center"/>
              <w:ind w:right="1350"/>
              <w:spacing w:after="0"/>
              <w:rPr>
                <w:sz w:val="20"/>
                <w:szCs w:val="20"/>
                <w:color w:val="auto"/>
              </w:rPr>
            </w:pPr>
            <w:r>
              <w:rPr>
                <w:rFonts w:ascii="Arial" w:cs="Arial" w:eastAsia="Arial" w:hAnsi="Arial"/>
                <w:sz w:val="18"/>
                <w:szCs w:val="18"/>
                <w:b w:val="1"/>
                <w:bCs w:val="1"/>
                <w:color w:val="auto"/>
                <w:w w:val="90"/>
              </w:rPr>
              <w:t>100 W. University Ave.</w:t>
            </w:r>
          </w:p>
        </w:tc>
        <w:tc>
          <w:tcPr>
            <w:tcW w:w="4120" w:type="dxa"/>
            <w:vAlign w:val="bottom"/>
          </w:tcPr>
          <w:p>
            <w:pPr>
              <w:spacing w:after="0"/>
              <w:rPr>
                <w:sz w:val="24"/>
                <w:szCs w:val="24"/>
                <w:color w:val="auto"/>
              </w:rPr>
            </w:pPr>
          </w:p>
        </w:tc>
      </w:tr>
      <w:tr>
        <w:trPr>
          <w:trHeight w:val="220"/>
        </w:trPr>
        <w:tc>
          <w:tcPr>
            <w:tcW w:w="45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2"/>
              </w:rPr>
              <w:t>Champaign, Illinois</w:t>
            </w:r>
          </w:p>
        </w:tc>
        <w:tc>
          <w:tcPr>
            <w:tcW w:w="4120" w:type="dxa"/>
            <w:vAlign w:val="bottom"/>
          </w:tcPr>
          <w:p>
            <w:pPr>
              <w:jc w:val="right"/>
              <w:ind w:right="1010"/>
              <w:spacing w:after="0"/>
              <w:rPr>
                <w:sz w:val="20"/>
                <w:szCs w:val="20"/>
                <w:color w:val="auto"/>
              </w:rPr>
            </w:pPr>
            <w:r>
              <w:rPr>
                <w:rFonts w:ascii="Arial" w:cs="Arial" w:eastAsia="Arial" w:hAnsi="Arial"/>
                <w:sz w:val="18"/>
                <w:szCs w:val="18"/>
                <w:b w:val="1"/>
                <w:bCs w:val="1"/>
                <w:color w:val="auto"/>
              </w:rPr>
              <w:t>61820</w:t>
            </w:r>
          </w:p>
        </w:tc>
      </w:tr>
      <w:tr>
        <w:trPr>
          <w:trHeight w:val="230"/>
        </w:trPr>
        <w:tc>
          <w:tcPr>
            <w:tcW w:w="4580" w:type="dxa"/>
            <w:vAlign w:val="bottom"/>
          </w:tcPr>
          <w:p>
            <w:pPr>
              <w:jc w:val="center"/>
              <w:ind w:right="1350"/>
              <w:spacing w:after="0"/>
              <w:rPr>
                <w:sz w:val="20"/>
                <w:szCs w:val="20"/>
                <w:color w:val="auto"/>
              </w:rPr>
            </w:pPr>
            <w:r>
              <w:rPr>
                <w:rFonts w:ascii="Arial" w:cs="Arial" w:eastAsia="Arial" w:hAnsi="Arial"/>
                <w:sz w:val="18"/>
                <w:szCs w:val="18"/>
                <w:color w:val="auto"/>
                <w:w w:val="92"/>
              </w:rPr>
              <w:t>(Address of principal executive offices)</w:t>
            </w:r>
          </w:p>
        </w:tc>
        <w:tc>
          <w:tcPr>
            <w:tcW w:w="4120" w:type="dxa"/>
            <w:vAlign w:val="bottom"/>
          </w:tcPr>
          <w:p>
            <w:pPr>
              <w:jc w:val="center"/>
              <w:ind w:left="139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25"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0"/>
          </w:cols>
          <w:pgMar w:left="240" w:top="544" w:right="199" w:bottom="383"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tabs>
          <w:tab w:leader="none" w:pos="6720" w:val="left"/>
        </w:tabs>
        <w:rPr>
          <w:sz w:val="20"/>
          <w:szCs w:val="20"/>
          <w:color w:val="auto"/>
        </w:rPr>
      </w:pP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Accelerated filer o</w:t>
      </w:r>
    </w:p>
    <w:p>
      <w:pPr>
        <w:spacing w:after="0" w:line="46" w:lineRule="exact"/>
        <w:rPr>
          <w:sz w:val="24"/>
          <w:szCs w:val="24"/>
          <w:color w:val="auto"/>
        </w:rPr>
      </w:pPr>
    </w:p>
    <w:p>
      <w:pPr>
        <w:spacing w:after="0"/>
        <w:tabs>
          <w:tab w:leader="none" w:pos="5940" w:val="left"/>
        </w:tabs>
        <w:rPr>
          <w:sz w:val="20"/>
          <w:szCs w:val="20"/>
          <w:color w:val="auto"/>
        </w:rPr>
      </w:pPr>
      <w:r>
        <w:rPr>
          <w:rFonts w:ascii="Arial" w:cs="Arial" w:eastAsia="Arial" w:hAnsi="Arial"/>
          <w:sz w:val="18"/>
          <w:szCs w:val="18"/>
          <w:color w:val="auto"/>
        </w:rPr>
        <w:t>o (Do not check if a smaller reporting company)</w:t>
      </w:r>
      <w:r>
        <w:rPr>
          <w:sz w:val="20"/>
          <w:szCs w:val="20"/>
          <w:color w:val="auto"/>
        </w:rPr>
        <w:tab/>
      </w:r>
      <w:r>
        <w:rPr>
          <w:rFonts w:ascii="Arial" w:cs="Arial" w:eastAsia="Arial" w:hAnsi="Arial"/>
          <w:sz w:val="16"/>
          <w:szCs w:val="16"/>
          <w:color w:val="auto"/>
        </w:rPr>
        <w:t>Smaller reporting company 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200" w:lineRule="exact"/>
        <w:rPr>
          <w:sz w:val="24"/>
          <w:szCs w:val="24"/>
          <w:color w:val="auto"/>
        </w:rPr>
      </w:pPr>
    </w:p>
    <w:p>
      <w:pPr>
        <w:sectPr>
          <w:pgSz w:w="11900" w:h="16838" w:orient="portrait"/>
          <w:cols w:equalWidth="0" w:num="2">
            <w:col w:w="1980" w:space="520"/>
            <w:col w:w="8960"/>
          </w:cols>
          <w:pgMar w:left="240" w:top="544" w:right="199" w:bottom="383" w:gutter="0" w:footer="0" w:header="0"/>
          <w:type w:val="continuous"/>
        </w:sectPr>
      </w:pPr>
    </w:p>
    <w:p>
      <w:pPr>
        <w:spacing w:after="0" w:line="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transaction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5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Class</w:t>
            </w:r>
          </w:p>
        </w:tc>
        <w:tc>
          <w:tcPr>
            <w:tcW w:w="4600" w:type="dxa"/>
            <w:vAlign w:val="bottom"/>
          </w:tcPr>
          <w:p>
            <w:pPr>
              <w:jc w:val="center"/>
              <w:spacing w:after="0"/>
              <w:rPr>
                <w:sz w:val="20"/>
                <w:szCs w:val="20"/>
                <w:color w:val="auto"/>
              </w:rPr>
            </w:pPr>
            <w:r>
              <w:rPr>
                <w:rFonts w:ascii="Arial" w:cs="Arial" w:eastAsia="Arial" w:hAnsi="Arial"/>
                <w:sz w:val="14"/>
                <w:szCs w:val="14"/>
                <w:b w:val="1"/>
                <w:bCs w:val="1"/>
                <w:color w:val="auto"/>
                <w:w w:val="95"/>
              </w:rPr>
              <w:t>Outstanding at May 8, 2018</w:t>
            </w: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660" w:type="dxa"/>
            <w:vAlign w:val="bottom"/>
          </w:tcPr>
          <w:p>
            <w:pPr>
              <w:spacing w:after="0"/>
              <w:rPr>
                <w:sz w:val="19"/>
                <w:szCs w:val="19"/>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80" w:type="dxa"/>
            <w:vAlign w:val="bottom"/>
          </w:tcPr>
          <w:p>
            <w:pPr>
              <w:spacing w:after="0"/>
              <w:rPr>
                <w:sz w:val="19"/>
                <w:szCs w:val="19"/>
                <w:color w:val="auto"/>
              </w:rPr>
            </w:pPr>
          </w:p>
        </w:tc>
        <w:tc>
          <w:tcPr>
            <w:tcW w:w="4600" w:type="dxa"/>
            <w:vAlign w:val="bottom"/>
            <w:tcBorders>
              <w:top w:val="single" w:sz="8" w:color="auto"/>
            </w:tcBorders>
          </w:tcPr>
          <w:p>
            <w:pPr>
              <w:jc w:val="right"/>
              <w:ind w:right="1819"/>
              <w:spacing w:after="0"/>
              <w:rPr>
                <w:sz w:val="20"/>
                <w:szCs w:val="20"/>
                <w:color w:val="auto"/>
              </w:rPr>
            </w:pPr>
            <w:r>
              <w:rPr>
                <w:rFonts w:ascii="Arial" w:cs="Arial" w:eastAsia="Arial" w:hAnsi="Arial"/>
                <w:sz w:val="18"/>
                <w:szCs w:val="18"/>
                <w:color w:val="auto"/>
              </w:rPr>
              <w:t>48,723,534</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66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660" w:type="dxa"/>
            <w:vAlign w:val="bottom"/>
            <w:tcBorders>
              <w:bottom w:val="single" w:sz="8" w:color="auto"/>
            </w:tcBorders>
          </w:tcPr>
          <w:p>
            <w:pPr>
              <w:spacing w:after="0"/>
              <w:rPr>
                <w:sz w:val="7"/>
                <w:szCs w:val="7"/>
                <w:color w:val="auto"/>
              </w:rPr>
            </w:pPr>
          </w:p>
        </w:tc>
        <w:tc>
          <w:tcPr>
            <w:tcW w:w="4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66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383"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2018 and December 31, 2017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5"/>
          </w:tcPr>
          <w:p>
            <w:pPr>
              <w:jc w:val="right"/>
              <w:ind w:right="931"/>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 (interest-bearing 2018 $251,199; 2017 $234,889)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367,525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353,272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822,101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872,682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Securities held to maturity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459,007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443,550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Securities equity investments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29,034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94,848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 (net of allowance for loan losses 2018 $52,649; 2017 $53,582)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5,478,804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5,465,918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118,985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116,913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267,685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37,212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38,727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bank owned life insurance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127,463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Deferred tax asset,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16,619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7,778,746</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7,860,640</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Noninterest-bearing</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1,651,333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1,597,421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4,679,841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4,528,544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Total deposits</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6,331,174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6,125,965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235,311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304,566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issuance costs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Subordinated notes, net of unamortized issuance costs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64,684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64,715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debt owed to unconsolidated trusts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44,949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49,979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6,836,600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6,925,637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3"/>
              </w:rPr>
              <w:t>Commitments and contingencies (See “Note 14: Outstanding Commitments and Contingent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$.001 par value, authorized 66,666,667 shares; shares issued 2018 and 2017 49,185,581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1,084,411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1,084,889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(119,467)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(9,674)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 before treasury stock</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955,319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shares held in treasury at cost, 2018 468,342; 2017 500,638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942,146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935,003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7,778,746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7,860,640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at period end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48,717,239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48,684,943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jc w:val="right"/>
              <w:ind w:right="18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7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8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20" w:type="dxa"/>
            <w:vAlign w:val="bottom"/>
            <w:tcBorders>
              <w:top w:val="single" w:sz="8" w:color="auto"/>
            </w:tcBorders>
            <w:gridSpan w:val="6"/>
          </w:tcPr>
          <w:p>
            <w:pPr>
              <w:jc w:val="right"/>
              <w:ind w:right="332"/>
              <w:spacing w:after="0" w:line="142" w:lineRule="exact"/>
              <w:rPr>
                <w:sz w:val="20"/>
                <w:szCs w:val="20"/>
                <w:color w:val="auto"/>
              </w:rPr>
            </w:pPr>
            <w:r>
              <w:rPr>
                <w:rFonts w:ascii="Arial" w:cs="Arial" w:eastAsia="Arial" w:hAnsi="Arial"/>
                <w:sz w:val="14"/>
                <w:szCs w:val="14"/>
                <w:b w:val="1"/>
                <w:bCs w:val="1"/>
                <w:color w:val="auto"/>
              </w:rPr>
              <w:t>(dollars in thousands, except per share amounts)</w:t>
            </w:r>
          </w:p>
        </w:tc>
        <w:tc>
          <w:tcPr>
            <w:tcW w:w="18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200"/>
              <w:spacing w:after="0"/>
              <w:rPr>
                <w:sz w:val="20"/>
                <w:szCs w:val="20"/>
                <w:color w:val="auto"/>
              </w:rPr>
            </w:pPr>
            <w:r>
              <w:rPr>
                <w:rFonts w:ascii="Arial" w:cs="Arial" w:eastAsia="Arial" w:hAnsi="Arial"/>
                <w:sz w:val="18"/>
                <w:szCs w:val="18"/>
                <w:color w:val="auto"/>
              </w:rPr>
              <w:t>Interest and fees on loans</w:t>
            </w:r>
          </w:p>
        </w:tc>
        <w:tc>
          <w:tcPr>
            <w:tcW w:w="2080" w:type="dxa"/>
            <w:vAlign w:val="bottom"/>
            <w:gridSpan w:val="2"/>
          </w:tcPr>
          <w:p>
            <w:pPr>
              <w:jc w:val="right"/>
              <w:ind w:right="101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60,960</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40,597</w:t>
            </w:r>
          </w:p>
        </w:tc>
      </w:tr>
      <w:tr>
        <w:trPr>
          <w:trHeight w:val="216"/>
        </w:trPr>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dividends on investment securities:</w:t>
            </w: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380"/>
              <w:spacing w:after="0"/>
              <w:rPr>
                <w:sz w:val="20"/>
                <w:szCs w:val="20"/>
                <w:color w:val="auto"/>
              </w:rPr>
            </w:pPr>
            <w:r>
              <w:rPr>
                <w:rFonts w:ascii="Arial" w:cs="Arial" w:eastAsia="Arial" w:hAnsi="Arial"/>
                <w:sz w:val="18"/>
                <w:szCs w:val="18"/>
                <w:color w:val="auto"/>
              </w:rPr>
              <w:t>Taxable interest income</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6,413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3,603</w:t>
            </w:r>
          </w:p>
        </w:tc>
      </w:tr>
      <w:tr>
        <w:trPr>
          <w:trHeight w:val="216"/>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Non-taxable interest income</w:t>
            </w: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w:t>
            </w:r>
          </w:p>
        </w:tc>
      </w:tr>
      <w:tr>
        <w:trPr>
          <w:trHeight w:val="210"/>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interest income</w:t>
            </w:r>
          </w:p>
        </w:tc>
        <w:tc>
          <w:tcPr>
            <w:tcW w:w="88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68,633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44,927</w:t>
            </w:r>
          </w:p>
        </w:tc>
        <w:tc>
          <w:tcPr>
            <w:tcW w:w="180" w:type="dxa"/>
            <w:vAlign w:val="bottom"/>
            <w:tcBorders>
              <w:bottom w:val="single" w:sz="8" w:color="CCEEFF"/>
            </w:tcBorders>
          </w:tcPr>
          <w:p>
            <w:pPr>
              <w:spacing w:after="0"/>
              <w:rPr>
                <w:sz w:val="18"/>
                <w:szCs w:val="18"/>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540" w:type="dxa"/>
            <w:vAlign w:val="bottom"/>
          </w:tcPr>
          <w:p>
            <w:pPr>
              <w:ind w:left="200"/>
              <w:spacing w:after="0"/>
              <w:rPr>
                <w:sz w:val="20"/>
                <w:szCs w:val="20"/>
                <w:color w:val="auto"/>
              </w:rPr>
            </w:pPr>
            <w:r>
              <w:rPr>
                <w:rFonts w:ascii="Arial" w:cs="Arial" w:eastAsia="Arial" w:hAnsi="Arial"/>
                <w:sz w:val="18"/>
                <w:szCs w:val="18"/>
                <w:color w:val="auto"/>
              </w:rPr>
              <w:t>Deposits</w:t>
            </w:r>
          </w:p>
        </w:tc>
        <w:tc>
          <w:tcPr>
            <w:tcW w:w="2080" w:type="dxa"/>
            <w:vAlign w:val="bottom"/>
            <w:gridSpan w:val="2"/>
          </w:tcPr>
          <w:p>
            <w:pPr>
              <w:jc w:val="right"/>
              <w:ind w:right="101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5,987</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2,044</w:t>
            </w:r>
          </w:p>
        </w:tc>
      </w:tr>
      <w:tr>
        <w:trPr>
          <w:trHeight w:val="216"/>
        </w:trPr>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r>
      <w:tr>
        <w:trPr>
          <w:trHeight w:val="216"/>
        </w:trPr>
        <w:tc>
          <w:tcPr>
            <w:tcW w:w="654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r>
    </w:tbl>
    <w:p>
      <w:pPr>
        <w:sectPr>
          <w:pgSz w:w="11900" w:h="16838" w:orient="portrait"/>
          <w:cols w:equalWidth="0" w:num="1">
            <w:col w:w="11460"/>
          </w:cols>
          <w:pgMar w:left="240" w:top="121"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1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Subordinated notes</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Junior subordinated debt owed to unconsolidated trusts</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expense</w:t>
            </w:r>
          </w:p>
        </w:tc>
        <w:tc>
          <w:tcPr>
            <w:tcW w:w="1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380"/>
              <w:spacing w:after="0"/>
              <w:rPr>
                <w:sz w:val="20"/>
                <w:szCs w:val="20"/>
                <w:color w:val="auto"/>
              </w:rPr>
            </w:pPr>
            <w:r>
              <w:rPr>
                <w:rFonts w:ascii="Arial" w:cs="Arial" w:eastAsia="Arial" w:hAnsi="Arial"/>
                <w:sz w:val="18"/>
                <w:szCs w:val="18"/>
                <w:color w:val="auto"/>
              </w:rPr>
              <w:t>Net interest income</w:t>
            </w:r>
          </w:p>
        </w:tc>
        <w:tc>
          <w:tcPr>
            <w:tcW w:w="162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59,757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42,013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interest income after provision for loan losses</w:t>
            </w:r>
          </w:p>
        </w:tc>
        <w:tc>
          <w:tcPr>
            <w:tcW w:w="16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58,749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41,513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income:</w:t>
            </w:r>
          </w:p>
        </w:tc>
        <w:tc>
          <w:tcPr>
            <w:tcW w:w="1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Trust fees</w:t>
            </w:r>
          </w:p>
        </w:tc>
        <w:tc>
          <w:tcPr>
            <w:tcW w:w="23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7,514</w:t>
            </w:r>
          </w:p>
        </w:tc>
        <w:tc>
          <w:tcPr>
            <w:tcW w:w="7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Commissions and brokers’ fees, net</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Remittance processing</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3,392</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Fees for customer services</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Mortgage revenue</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gains, net</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non-interest income</w:t>
            </w:r>
          </w:p>
        </w:tc>
        <w:tc>
          <w:tcPr>
            <w:tcW w:w="1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20,014</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b w:val="1"/>
                <w:bCs w:val="1"/>
                <w:color w:val="auto"/>
              </w:rPr>
              <w:t>Non-interest expense:</w:t>
            </w:r>
          </w:p>
        </w:tc>
        <w:tc>
          <w:tcPr>
            <w:tcW w:w="1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wages and employee benefits</w:t>
            </w:r>
          </w:p>
        </w:tc>
        <w:tc>
          <w:tcPr>
            <w:tcW w:w="23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28,819</w:t>
            </w:r>
          </w:p>
        </w:tc>
        <w:tc>
          <w:tcPr>
            <w:tcW w:w="7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Net occupancy expense of premises</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3,821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equipment expenses</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Data processing</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5,231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9,741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non-interest expense</w:t>
            </w:r>
          </w:p>
        </w:tc>
        <w:tc>
          <w:tcPr>
            <w:tcW w:w="1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162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30,195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8,278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162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15,170</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earnings per common share</w:t>
            </w:r>
          </w:p>
        </w:tc>
        <w:tc>
          <w:tcPr>
            <w:tcW w:w="16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62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vMerge w:val="continue"/>
          </w:tcPr>
          <w:p>
            <w:pPr>
              <w:spacing w:after="0"/>
              <w:rPr>
                <w:sz w:val="20"/>
                <w:szCs w:val="20"/>
                <w:color w:val="auto"/>
              </w:rPr>
            </w:pPr>
          </w:p>
        </w:tc>
        <w:tc>
          <w:tcPr>
            <w:tcW w:w="162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0.45</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0.39</w:t>
            </w:r>
          </w:p>
        </w:tc>
        <w:tc>
          <w:tcPr>
            <w:tcW w:w="1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0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Dividends declared per share of common stock</w:t>
            </w:r>
          </w:p>
        </w:tc>
        <w:tc>
          <w:tcPr>
            <w:tcW w:w="16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FIRST BUSEY CORPORATION and Subsidiaries CONSOLIDATED STATEMENTS OF OTHER COMPREHENSIVE INCOME For the Three Months Ended March 31, 2018 and 2017 (Unaudited)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512"/>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shd w:val="clear" w:color="auto" w:fill="CCEEFF"/>
          </w:tcPr>
          <w:p>
            <w:pPr>
              <w:jc w:val="right"/>
              <w:ind w:right="7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21,917</w:t>
            </w: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15,170</w:t>
            </w:r>
          </w:p>
        </w:tc>
        <w:tc>
          <w:tcPr>
            <w:tcW w:w="80" w:type="dxa"/>
            <w:vAlign w:val="bottom"/>
            <w:shd w:val="clear" w:color="auto" w:fill="CCEEFF"/>
          </w:tcPr>
          <w:p>
            <w:pPr>
              <w:spacing w:after="0"/>
              <w:rPr>
                <w:sz w:val="18"/>
                <w:szCs w:val="18"/>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Other comprehensive loss, before tax:</w:t>
            </w:r>
          </w:p>
        </w:tc>
        <w:tc>
          <w:tcPr>
            <w:tcW w:w="14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available for sale:</w:t>
            </w:r>
          </w:p>
        </w:tc>
        <w:tc>
          <w:tcPr>
            <w:tcW w:w="1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ind w:left="380"/>
              <w:spacing w:after="0"/>
              <w:rPr>
                <w:sz w:val="20"/>
                <w:szCs w:val="20"/>
                <w:color w:val="auto"/>
              </w:rPr>
            </w:pPr>
            <w:r>
              <w:rPr>
                <w:rFonts w:ascii="Arial" w:cs="Arial" w:eastAsia="Arial" w:hAnsi="Arial"/>
                <w:sz w:val="18"/>
                <w:szCs w:val="18"/>
                <w:color w:val="auto"/>
              </w:rPr>
              <w:t>Unrealized net (losses) gains on securities:</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Unrealized net holding (losses) gains arising during period</w:t>
            </w:r>
          </w:p>
        </w:tc>
        <w:tc>
          <w:tcPr>
            <w:tcW w:w="2360" w:type="dxa"/>
            <w:vAlign w:val="bottom"/>
            <w:gridSpan w:val="2"/>
            <w:shd w:val="clear" w:color="auto" w:fill="CCEEFF"/>
          </w:tcPr>
          <w:p>
            <w:pPr>
              <w:jc w:val="right"/>
              <w:ind w:right="7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(8,754)</w:t>
            </w: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ind w:left="560"/>
              <w:spacing w:after="0"/>
              <w:rPr>
                <w:sz w:val="20"/>
                <w:szCs w:val="20"/>
                <w:color w:val="auto"/>
              </w:rPr>
            </w:pPr>
            <w:r>
              <w:rPr>
                <w:rFonts w:ascii="Arial" w:cs="Arial" w:eastAsia="Arial" w:hAnsi="Arial"/>
                <w:sz w:val="18"/>
                <w:szCs w:val="18"/>
                <w:color w:val="auto"/>
              </w:rPr>
              <w:t>Reclassification adjustment for (gains) included in net income</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(857)</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before tax</w:t>
            </w:r>
          </w:p>
        </w:tc>
        <w:tc>
          <w:tcPr>
            <w:tcW w:w="1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(8,754)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Income tax benefit related to items of other comprehensive income</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(2,495)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(113)</w:t>
            </w: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 net of tax</w:t>
            </w:r>
          </w:p>
        </w:tc>
        <w:tc>
          <w:tcPr>
            <w:tcW w:w="1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(6,259)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640" w:type="dxa"/>
            <w:vAlign w:val="bottom"/>
          </w:tcPr>
          <w:p>
            <w:pPr>
              <w:ind w:left="360"/>
              <w:spacing w:after="0"/>
              <w:rPr>
                <w:sz w:val="20"/>
                <w:szCs w:val="20"/>
                <w:color w:val="auto"/>
              </w:rPr>
            </w:pPr>
            <w:r>
              <w:rPr>
                <w:rFonts w:ascii="Arial" w:cs="Arial" w:eastAsia="Arial" w:hAnsi="Arial"/>
                <w:sz w:val="18"/>
                <w:szCs w:val="18"/>
                <w:color w:val="auto"/>
              </w:rPr>
              <w:t>Comprehensive income</w:t>
            </w:r>
          </w:p>
        </w:tc>
        <w:tc>
          <w:tcPr>
            <w:tcW w:w="1440" w:type="dxa"/>
            <w:vAlign w:val="bottom"/>
          </w:tcPr>
          <w:p>
            <w:pPr>
              <w:spacing w:after="0"/>
              <w:rPr>
                <w:sz w:val="18"/>
                <w:szCs w:val="18"/>
                <w:color w:val="auto"/>
              </w:rPr>
            </w:pPr>
          </w:p>
        </w:tc>
        <w:tc>
          <w:tcPr>
            <w:tcW w:w="92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15,658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40" w:type="dxa"/>
            <w:vAlign w:val="bottom"/>
            <w:vMerge w:val="restart"/>
          </w:tcPr>
          <w:p>
            <w:pPr>
              <w:jc w:val="center"/>
              <w:ind w:left="122"/>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40" w:type="dxa"/>
            <w:vAlign w:val="bottom"/>
          </w:tcPr>
          <w:p>
            <w:pPr>
              <w:jc w:val="center"/>
              <w:ind w:left="122"/>
              <w:spacing w:after="0"/>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840" w:type="dxa"/>
            <w:vAlign w:val="bottom"/>
            <w:tcBorders>
              <w:top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781,716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(163,689)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15,170</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8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(171)</w:t>
            </w: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6"/>
              </w:rPr>
              <w:t>Issuance of treasury stock for employee stock</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Net issuance of treasury stock for restricted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stock unit vesting and related tax benefit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914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issuance of stock options exercised, net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shares redeemed</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Cash dividends common stock at $0.18 per</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dividend equivalents restricted stock</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at $0.18 per share</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Stock dividend accrued on restricted stock</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w w:val="97"/>
              </w:rPr>
              <w:t>awards assumed with the Pulaski Financial</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Corp. acquisition at $0.18 per share</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Return of 28,648 equity trust shares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Balance, March 31, 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79"/>
              </w:rPr>
              <w:t>39</w:t>
            </w:r>
          </w:p>
        </w:tc>
        <w:tc>
          <w:tcPr>
            <w:tcW w:w="2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780,427</w:t>
            </w:r>
          </w:p>
        </w:tc>
        <w:tc>
          <w:tcPr>
            <w:tcW w:w="520" w:type="dxa"/>
            <w:vAlign w:val="bottom"/>
            <w:gridSpan w:val="2"/>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(155,507)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80"/>
              <w:spacing w:after="0"/>
              <w:rPr>
                <w:sz w:val="20"/>
                <w:szCs w:val="20"/>
                <w:color w:val="auto"/>
              </w:rPr>
            </w:pPr>
            <w:r>
              <w:rPr>
                <w:rFonts w:ascii="Arial" w:cs="Arial" w:eastAsia="Arial" w:hAnsi="Arial"/>
                <w:sz w:val="18"/>
                <w:szCs w:val="18"/>
                <w:color w:val="auto"/>
              </w:rPr>
              <w:t>(22,477)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602,347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79"/>
              </w:rPr>
              <w:t>49</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1,084,889</w:t>
            </w:r>
          </w:p>
        </w:tc>
        <w:tc>
          <w:tcPr>
            <w:tcW w:w="200" w:type="dxa"/>
            <w:vAlign w:val="bottom"/>
          </w:tcPr>
          <w:p>
            <w:pPr>
              <w:spacing w:after="0"/>
              <w:rPr>
                <w:sz w:val="18"/>
                <w:szCs w:val="18"/>
                <w:color w:val="auto"/>
              </w:rPr>
            </w:pPr>
          </w:p>
        </w:tc>
        <w:tc>
          <w:tcPr>
            <w:tcW w:w="520" w:type="dxa"/>
            <w:vAlign w:val="bottom"/>
            <w:gridSpan w:val="2"/>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(132,122)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(2,810)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80"/>
              <w:spacing w:after="0"/>
              <w:rPr>
                <w:sz w:val="20"/>
                <w:szCs w:val="20"/>
                <w:color w:val="auto"/>
              </w:rPr>
            </w:pPr>
            <w:r>
              <w:rPr>
                <w:rFonts w:ascii="Arial" w:cs="Arial" w:eastAsia="Arial" w:hAnsi="Arial"/>
                <w:sz w:val="18"/>
                <w:szCs w:val="18"/>
                <w:color w:val="auto"/>
              </w:rPr>
              <w:t>(15,003)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935,003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21,917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Tax Cuts and Jobs Act (“TCJA”) of 2017</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reclassification</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treasury stock for employee stock</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Net issuance of stock options exercised, net</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of shares redeemed</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(1,206)</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1,336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common stock at $0.20 per</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Stock dividend equivalents restricted stock</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units at $0.20 per share</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49</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1,084,411</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(119,467)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(13,173)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942,146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0" w:type="dxa"/>
            <w:vAlign w:val="bottom"/>
            <w:gridSpan w:val="8"/>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center"/>
              <w:ind w:left="150"/>
              <w:spacing w:after="0"/>
              <w:rPr>
                <w:sz w:val="20"/>
                <w:szCs w:val="20"/>
                <w:color w:val="auto"/>
              </w:rPr>
            </w:pPr>
            <w:r>
              <w:rPr>
                <w:rFonts w:ascii="Arial" w:cs="Arial" w:eastAsia="Arial" w:hAnsi="Arial"/>
                <w:sz w:val="18"/>
                <w:szCs w:val="18"/>
                <w:color w:val="auto"/>
                <w:w w:val="99"/>
              </w:rPr>
              <w:t>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5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240" w:type="dxa"/>
            <w:vAlign w:val="bottom"/>
            <w:tcBorders>
              <w:bottom w:val="single" w:sz="8" w:color="808080"/>
            </w:tcBorders>
            <w:gridSpan w:val="11"/>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gridSpan w:val="11"/>
          </w:tcPr>
          <w:p>
            <w:pPr>
              <w:jc w:val="center"/>
              <w:ind w:right="22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380" w:type="dxa"/>
            <w:vAlign w:val="bottom"/>
            <w:gridSpan w:val="12"/>
          </w:tcPr>
          <w:p>
            <w:pPr>
              <w:jc w:val="center"/>
              <w:ind w:right="8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380" w:type="dxa"/>
            <w:vAlign w:val="bottom"/>
            <w:gridSpan w:val="12"/>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 March 31, 2018 and 2017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9"/>
          </w:tcPr>
          <w:p>
            <w:pPr>
              <w:jc w:val="right"/>
              <w:ind w:right="6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21,917</w:t>
            </w:r>
          </w:p>
        </w:tc>
        <w:tc>
          <w:tcPr>
            <w:tcW w:w="44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w w:val="95"/>
              </w:rPr>
              <w:t>Stock-based and non-cash compensation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2,384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1,515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Provision for deferred income taxes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3,172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Amortization of security premiums and discounts, net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2,324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9"/>
          </w:tcPr>
          <w:p>
            <w:pPr>
              <w:ind w:left="360"/>
              <w:spacing w:after="0"/>
              <w:rPr>
                <w:sz w:val="20"/>
                <w:szCs w:val="20"/>
                <w:color w:val="auto"/>
              </w:rPr>
            </w:pPr>
            <w:r>
              <w:rPr>
                <w:rFonts w:ascii="Arial" w:cs="Arial" w:eastAsia="Arial" w:hAnsi="Arial"/>
                <w:sz w:val="18"/>
                <w:szCs w:val="18"/>
                <w:color w:val="auto"/>
                <w:w w:val="90"/>
              </w:rPr>
              <w:t>Accretion of premiums and discounts on time deposits and trust preferred securities, net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w w:val="93"/>
              </w:rPr>
              <w:t>Accretion of premiums and discounts on portfolio loans, net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(3,398)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Security gains, net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w w:val="98"/>
              </w:rPr>
              <w:t>Gain on sales of mortgage loans, net of origination costs</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Mortgage loans originated for sale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(97,138)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(325,525)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sales of mortgage loans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9"/>
              </w:rPr>
              <w:t>165,045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tcPr>
          <w:p>
            <w:pPr>
              <w:ind w:left="360"/>
              <w:spacing w:after="0"/>
              <w:rPr>
                <w:sz w:val="20"/>
                <w:szCs w:val="20"/>
                <w:color w:val="auto"/>
              </w:rPr>
            </w:pPr>
            <w:r>
              <w:rPr>
                <w:rFonts w:ascii="Arial" w:cs="Arial" w:eastAsia="Arial" w:hAnsi="Arial"/>
                <w:sz w:val="18"/>
                <w:szCs w:val="18"/>
                <w:color w:val="auto"/>
                <w:w w:val="91"/>
              </w:rPr>
              <w:t>Net losses (gains) on disposition of premises and equipment</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w w:val="89"/>
              </w:rPr>
              <w:t>Increase in cash surrender value of bank owned life insurance</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(726)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Change in assets and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 other 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2,845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540"/>
              <w:spacing w:after="0"/>
              <w:rPr>
                <w:sz w:val="20"/>
                <w:szCs w:val="20"/>
                <w:color w:val="auto"/>
              </w:rPr>
            </w:pPr>
            <w:r>
              <w:rPr>
                <w:rFonts w:ascii="Arial" w:cs="Arial" w:eastAsia="Arial" w:hAnsi="Arial"/>
                <w:sz w:val="18"/>
                <w:szCs w:val="18"/>
                <w:color w:val="auto"/>
              </w:rPr>
              <w:t>Decrease in other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(10,401)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Increase (decrease) in interest payable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540"/>
              <w:spacing w:after="0"/>
              <w:rPr>
                <w:sz w:val="20"/>
                <w:szCs w:val="20"/>
                <w:color w:val="auto"/>
              </w:rPr>
            </w:pPr>
            <w:r>
              <w:rPr>
                <w:rFonts w:ascii="Arial" w:cs="Arial" w:eastAsia="Arial" w:hAnsi="Arial"/>
                <w:sz w:val="18"/>
                <w:szCs w:val="18"/>
                <w:color w:val="auto"/>
              </w:rPr>
              <w:t>Decrease in income taxes receivable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4,421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gridSpan w:val="5"/>
            <w:shd w:val="clear" w:color="auto" w:fill="CCEEFF"/>
          </w:tcPr>
          <w:p>
            <w:pPr>
              <w:ind w:left="720"/>
              <w:spacing w:after="0"/>
              <w:rPr>
                <w:sz w:val="20"/>
                <w:szCs w:val="20"/>
                <w:color w:val="auto"/>
              </w:rPr>
            </w:pPr>
            <w:r>
              <w:rPr>
                <w:rFonts w:ascii="Arial" w:cs="Arial" w:eastAsia="Arial" w:hAnsi="Arial"/>
                <w:sz w:val="18"/>
                <w:szCs w:val="18"/>
                <w:b w:val="1"/>
                <w:bCs w:val="1"/>
                <w:color w:val="auto"/>
                <w:w w:val="89"/>
              </w:rPr>
              <w:t>Net cash provided by operating activities before activities</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1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93,313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186,570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tcPr>
          <w:p>
            <w:pPr>
              <w:ind w:left="180"/>
              <w:spacing w:after="0"/>
              <w:rPr>
                <w:sz w:val="20"/>
                <w:szCs w:val="20"/>
                <w:color w:val="auto"/>
              </w:rPr>
            </w:pPr>
            <w:r>
              <w:rPr>
                <w:rFonts w:ascii="Arial" w:cs="Arial" w:eastAsia="Arial" w:hAnsi="Arial"/>
                <w:sz w:val="18"/>
                <w:szCs w:val="18"/>
                <w:color w:val="auto"/>
                <w:w w:val="94"/>
              </w:rPr>
              <w:t>Proceeds from sales of securities classified available for sale</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5"/>
              </w:rPr>
              <w:t>Proceeds from maturities of securities classified available for sale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43,066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-4992370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-4992370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34"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Proceeds from maturities of securities classified held to maturity</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8,012</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securities classified available for sale</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Purchase of securities classified held to maturity</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(24,868)</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equity securities, net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Net (increase) decrease in portfolio loans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(10,844)</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disposition of premises and equipment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Proceeds from sale of other real estate owned (“OREO”) properties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premises and equipment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Proceeds from the redemption of Federal Home Loan Bank (“FHLB”) stock, net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4,864</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investing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14,547</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5"/>
          </w:tcPr>
          <w:p>
            <w:pPr>
              <w:spacing w:after="0"/>
              <w:rPr>
                <w:sz w:val="20"/>
                <w:szCs w:val="20"/>
                <w:color w:val="auto"/>
              </w:rPr>
            </w:pPr>
            <w:r>
              <w:rPr>
                <w:rFonts w:ascii="Arial" w:cs="Arial" w:eastAsia="Arial" w:hAnsi="Arial"/>
                <w:sz w:val="18"/>
                <w:szCs w:val="18"/>
                <w:color w:val="auto"/>
                <w:w w:val="91"/>
              </w:rPr>
              <w:t>(continued on next page)</w:t>
            </w:r>
          </w:p>
        </w:tc>
        <w:tc>
          <w:tcPr>
            <w:tcW w:w="0" w:type="dxa"/>
            <w:vAlign w:val="bottom"/>
          </w:tcPr>
          <w:p>
            <w:pPr>
              <w:spacing w:after="0"/>
              <w:rPr>
                <w:sz w:val="1"/>
                <w:szCs w:val="1"/>
                <w:color w:val="auto"/>
              </w:rPr>
            </w:pPr>
          </w:p>
        </w:tc>
      </w:tr>
      <w:tr>
        <w:trPr>
          <w:trHeight w:val="432"/>
        </w:trPr>
        <w:tc>
          <w:tcPr>
            <w:tcW w:w="7940" w:type="dxa"/>
            <w:vAlign w:val="bottom"/>
            <w:gridSpan w:val="2"/>
          </w:tcPr>
          <w:p>
            <w:pPr>
              <w:jc w:val="center"/>
              <w:ind w:left="3390"/>
              <w:spacing w:after="0"/>
              <w:rPr>
                <w:sz w:val="20"/>
                <w:szCs w:val="20"/>
                <w:color w:val="auto"/>
              </w:rPr>
            </w:pPr>
            <w:r>
              <w:rPr>
                <w:rFonts w:ascii="Arial" w:cs="Arial" w:eastAsia="Arial" w:hAnsi="Arial"/>
                <w:sz w:val="18"/>
                <w:szCs w:val="18"/>
                <w:color w:val="auto"/>
                <w:w w:val="99"/>
              </w:rPr>
              <w:t>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7920" w:type="dxa"/>
            <w:vAlign w:val="bottom"/>
          </w:tcPr>
          <w:p>
            <w:pPr>
              <w:jc w:val="center"/>
              <w:ind w:left="337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jc w:val="center"/>
              <w:ind w:left="2850"/>
              <w:spacing w:after="0"/>
              <w:rPr>
                <w:sz w:val="20"/>
                <w:szCs w:val="20"/>
                <w:color w:val="auto"/>
              </w:rPr>
            </w:pPr>
            <w:r>
              <w:rPr>
                <w:rFonts w:ascii="Arial" w:cs="Arial" w:eastAsia="Arial" w:hAnsi="Arial"/>
                <w:sz w:val="18"/>
                <w:szCs w:val="18"/>
                <w:b w:val="1"/>
                <w:bCs w:val="1"/>
                <w:color w:val="auto"/>
                <w:w w:val="97"/>
              </w:rPr>
              <w:t>CONSOLIDATED STATEMENTS OF CASH FLOWS (continued)</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jc w:val="center"/>
              <w:ind w:left="3370"/>
              <w:spacing w:after="0"/>
              <w:rPr>
                <w:sz w:val="20"/>
                <w:szCs w:val="20"/>
                <w:color w:val="auto"/>
              </w:rPr>
            </w:pPr>
            <w:r>
              <w:rPr>
                <w:rFonts w:ascii="Arial" w:cs="Arial" w:eastAsia="Arial" w:hAnsi="Arial"/>
                <w:sz w:val="18"/>
                <w:szCs w:val="18"/>
                <w:b w:val="1"/>
                <w:bCs w:val="1"/>
                <w:color w:val="auto"/>
                <w:w w:val="91"/>
              </w:rPr>
              <w:t>For the Three Months Ended March 31, 2018 and 2017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jc w:val="center"/>
              <w:ind w:left="337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Net increase (decrease) in certificates of deposit</w:t>
            </w: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72,764</w:t>
            </w:r>
          </w:p>
        </w:tc>
        <w:tc>
          <w:tcPr>
            <w:tcW w:w="7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in demand, money market and savings deposits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132,493</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Net decrease in securities sold under agreements to repurchase</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(69,255)</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short-term borrowings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(9,739)</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Value of shares surrendered upon vesting to satisfy tax withholding obligations of stock-based</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Proceeds from stock options exercised</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(93,607)</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360"/>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14,253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272,805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54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353,272</w:t>
            </w:r>
          </w:p>
        </w:tc>
        <w:tc>
          <w:tcPr>
            <w:tcW w:w="78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ending of period</w:t>
            </w:r>
          </w:p>
        </w:tc>
        <w:tc>
          <w:tcPr>
            <w:tcW w:w="14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367,525</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439,511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Cash payments for:</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w:t>
            </w:r>
          </w:p>
        </w:tc>
        <w:tc>
          <w:tcPr>
            <w:tcW w:w="54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7,325</w:t>
            </w:r>
          </w:p>
        </w:tc>
        <w:tc>
          <w:tcPr>
            <w:tcW w:w="78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540"/>
              <w:spacing w:after="0"/>
              <w:rPr>
                <w:sz w:val="20"/>
                <w:szCs w:val="20"/>
                <w:color w:val="auto"/>
              </w:rPr>
            </w:pPr>
            <w:r>
              <w:rPr>
                <w:rFonts w:ascii="Arial" w:cs="Arial" w:eastAsia="Arial" w:hAnsi="Arial"/>
                <w:sz w:val="18"/>
                <w:szCs w:val="18"/>
                <w:color w:val="auto"/>
              </w:rPr>
              <w:t>Income taxes</w:t>
            </w: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540"/>
              <w:spacing w:after="0"/>
              <w:rPr>
                <w:sz w:val="20"/>
                <w:szCs w:val="20"/>
                <w:color w:val="auto"/>
              </w:rPr>
            </w:pPr>
            <w:r>
              <w:rPr>
                <w:rFonts w:ascii="Arial" w:cs="Arial" w:eastAsia="Arial" w:hAnsi="Arial"/>
                <w:sz w:val="18"/>
                <w:szCs w:val="18"/>
                <w:color w:val="auto"/>
              </w:rPr>
              <w:t>Real estate acquired in settlement of loans</w:t>
            </w: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7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-4212590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-4212590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accompanying unaudited Consolidated Financial Statements of First Busey Corporation and its subsidiaries (“First Busey,” “Company,” “we,” or “our”), a Nevada corporation, have been prepared pursuant to the rules and regulations of the Securities and Exchange Commission (“SEC”) for interim financial information and with the instructions to Form 10-Q, and do not include certain information and footnote disclosures required by U.S. generally accepted accounting principles (“GAAP”) for complete Annual Financial Statements. Accordingly, these Financial Statements should be read in conjunction with the Company’s Annual Report on Form 10-K for the year ended December 31, 2017 on file with the SEC.</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accompanying Consolidated Balance Sheet as of December 31, 2017, which has been derived from audited Financial Statements, and the unaudited Consolidated Financial Statements have been prepared in accordance with GAAP and reflect all adjustments that are, in the opinion of management, necessary for the fair presentation of the financial position and results of operations as of the dates and for the periods presented. All such adjustments are of a normal recurring nature. The results of operations for the three months ended March 31, 2018 are not necessarily indicative of the results that may be expected for the year ending December 31, 2018.</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The Company records revenue from contracts with customers in accordance with Accounting Standards Codification (“ASC”) </w:t>
      </w:r>
      <w:r>
        <w:rPr>
          <w:rFonts w:ascii="Arial" w:cs="Arial" w:eastAsia="Arial" w:hAnsi="Arial"/>
          <w:sz w:val="16"/>
          <w:szCs w:val="16"/>
          <w:i w:val="1"/>
          <w:iCs w:val="1"/>
          <w:color w:val="auto"/>
        </w:rPr>
        <w:t>Topic 606, 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w:t>
      </w:r>
      <w:r>
        <w:rPr>
          <w:rFonts w:ascii="Arial" w:cs="Arial" w:eastAsia="Arial" w:hAnsi="Arial"/>
          <w:sz w:val="16"/>
          <w:szCs w:val="16"/>
          <w:color w:val="auto"/>
        </w:rPr>
        <w:t>Topic 606 establishes principles for reporting information about the timing, nature, amount and uncertainty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arising from the Company’s contracts to provide goods or services to customers. The Company’s revenue is comprised of net interest income, which is explicitly excluded from the scope of Topic 606, and non-interest income. The Company has evaluated its non-interest income and the nature of its contracts with customers and determined that further disaggregation of revenue beyond what is presented in the accompanying unaudited Consolidated Financial Statements was not necessary. The Company generally fully satisfies its performance obligations on its contracts with customers as services are</w:t>
      </w:r>
    </w:p>
    <w:p>
      <w:pPr>
        <w:sectPr>
          <w:pgSz w:w="11900" w:h="16838" w:orient="portrait"/>
          <w:cols w:equalWidth="0" w:num="1">
            <w:col w:w="11460"/>
          </w:cols>
          <w:pgMar w:left="240" w:top="125" w:right="199" w:bottom="0" w:gutter="0" w:footer="0" w:header="0"/>
        </w:sectPr>
      </w:pPr>
    </w:p>
    <w:bookmarkStart w:id="5" w:name="page6"/>
    <w:bookmarkEnd w:id="5"/>
    <w:p>
      <w:pPr>
        <w:ind w:right="180"/>
        <w:spacing w:after="0" w:line="277" w:lineRule="auto"/>
        <w:rPr>
          <w:sz w:val="20"/>
          <w:szCs w:val="20"/>
          <w:color w:val="auto"/>
        </w:rPr>
      </w:pPr>
      <w:r>
        <w:rPr>
          <w:rFonts w:ascii="Arial" w:cs="Arial" w:eastAsia="Arial" w:hAnsi="Arial"/>
          <w:sz w:val="18"/>
          <w:szCs w:val="18"/>
          <w:color w:val="auto"/>
        </w:rPr>
        <w:t>rendered so there is limited judgement involved in applying Topic 606 that significantly affects the determination of the timing and amount of revenue from contracts with customers.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Descriptions of the Company’s primary revenue generating activities that are within Topic 606, and are presented in the accompanying unaudited Consolidated Statements of Income as components of non-interest income, include trust fees, commission and brokers’ fees, net, remittance processing, and fees for customer services. Trust fees and commission and brokers’ fees, net, represents monthly fees due from wealth management customers as consideration for managing the customers’ assets. Wealth management and trust services include custody of assets, investment management, fees for trust services and other fiduciary activities. Also included are fees received from a third party broker-dealer as part of a revenue sharing agreement for fees earned from customers that the Company refers to the third party. Revenue is recognized when the performance obligation is completed, which is generally monthly. Remittance processing represents transaction-based fees for pay processing solutions such as online bill payments, lockbox and walk-in payments. Revenue is recognized when the performance obligation is completed, which is generally monthly. Fees for customer services represents general service fees for monthly account maintenance and activity or transaction-based fees and consists of transaction-based revenue, time-based revenue, or item-based revenue. Revenue is recognized when the performance obligation is completed which is generally monthly for account maintenance services or when a transaction has been completed. Payment for such performance obligations are generally received at the time the performance obligations are satisfied.</w:t>
      </w:r>
    </w:p>
    <w:p>
      <w:pPr>
        <w:spacing w:after="0" w:line="17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July 2, 2017, First Busey acquired First Community Financial Partners, Inc., an Illinois corporation (“First Community”), and its wholly-owned bank subsidiary, First Community Financial Bank. First Busey operated First Community Financial Bank as a separate bank subsidiary from July 3, 2017 until November 3, 2017, when it was merged with and into Busey Bank. At that time, First Community Financial Bank’s banking centers became banking centers of Busey Bank. On October 1, 2017, First Busey acquired Mid Illinois Bancorp, Inc., an Illinois corporation (“Mid Illinois”) and its wholly-owned bank subsidiary, South Side Trust &amp; Savings Bank of Peoria (“South Side Bank”). First Busey operated South Side Bank as a separate bank subsidiary from October 2, 2017 until March 16, 2018, when it was merged with and into Busey Bank. At that time, South Side Bank’s banking centers became banking centers of Busey Bank. Their operating results are included in the Company’s Financial Statements since each date of acquisition.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material intercompany transactions and balances have been eliminated in consolidation. Certain prior-year amounts have been reclassified to conform to the current presentation with no effect on net income or stockholders’ equity.</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preparing the accompanying unaudited Consolidated Financial Statements, the Company’s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that are particularly susceptible to significant change in the near term relate to the fair value of available for sale investment securities, the fair value of assets acquired and liabilities assumed in business combinations and the determination of the allowance for loan losses.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evaluated subsequent events for potential recognition and/or disclosure through the date the unaudited Consolidated Financial Statements included in this Quarterly Report on Form 10-Q were issued. There were no significant subsequent events for the quarter ended March 31, 2018 through the issuance date of these unaudited Consolidated Financial Statements that warranted adjustment to or disclosure in the unaudited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Community Financial Partners, Inc.</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July 2, 2017, the Company completed its acquisition of First Community, which was headquartered in Joliet, Illinois. Founded in 2004, First Community operated nine banking centers in Will, DuPage and Grundy Counties, which encompass portions of the southwestern suburbs of Chicago. The operating results of First Community are included with the Company’s results of operations since the date of acquisition. First Busey operated First Community Financial Bank as a separate subsidiary from July 3, 2017 until November 3, 2017, when it was merged with and into Busey Bank. At that time, First Community Financial Bank’s banking centers became banking centers of Busey Bank.</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Under the terms of the merger agreement with First Community, at the effective time of the acquisition, each share of First Community common stock issued and outstanding was converted into the right to receive 0.396 shares of the Company’s common stock, cash in lieu of fractional shares and $1.35 cash consideration per share. The market value of the 7.2 million shares of First Busey common stock issued at the effective time of the acquisition was approximately $211.1 million based on First Busey’s closing stock price of $29.32 on June 30, 2017. In addition, certain options to purchase shares of First Community common stock that were outstanding at the acquisition date were converted into options to purchase shares of First Busey common stock, adjusted for the 0.44 option exchange ratio, and the fair value was included in the purchase price. Further, the purchase price included cash payouts relating to unconverted stock options and restricted stock units outstanding as of the acquisition date.</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transaction was accounted for using the acquisition method of accounting and, accordingly, assets acquired, liabilities assumed, and consideration exchanged were recorded at their estimated fair values on the date of acquisition. Fair values are subject to refinement for up to one year after the closing date of July 2, 2017 as additional information regarding the closing date fair values become available; however, the Company does not expect any further adjustments will be necessary. The total consideration paid, which was used to determine the amount of goodwill resulting from the transaction, also included the fair value of outstanding First Community stock options that were converted into options to purchase common shares of First Busey and cash paid out relating to stock options and restricted stock units not converted. As the total consideration paid for First Community exceeded the net assets acquired, goodwill of $116.0 million was recorded as a result of the acquisition. Goodwill recorded in the transaction, which reflected the synergies expected from the acquisition and the greater revenue opportunities from the Company’s broader service capabilities in the Chicagoland area, is not tax deductible, and was assigned to the Banking operating segment.</w:t>
      </w:r>
    </w:p>
    <w:p>
      <w:pPr>
        <w:spacing w:after="0" w:line="18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First Busey incurred $0.1 million and $0.6 million of pre-tax expenses related to the acquisition of First Community for the three months ended March 31, 2018 and 2017, respectively, primarily for professional and legal fees, all of which are reported as a component of non-interest expense in the accompanying unaudited Consolidated Financial Statements.</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color w:val="auto"/>
        </w:rPr>
        <w:t xml:space="preserve">The following table presents the fair value estimates of First Community assets acquired and liabilities assumed as of July 2, 2017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As Recorded by</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First Busey</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acquired:</w:t>
            </w:r>
          </w:p>
        </w:tc>
        <w:tc>
          <w:tcPr>
            <w:tcW w:w="4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60,686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165,843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Portfolio loans</w:t>
            </w: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1,096,583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18,094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OREO</w:t>
            </w: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13,979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 acquired</w:t>
            </w:r>
          </w:p>
        </w:tc>
        <w:tc>
          <w:tcPr>
            <w:tcW w:w="45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1,398,567</w:t>
            </w:r>
          </w:p>
        </w:tc>
        <w:tc>
          <w:tcPr>
            <w:tcW w:w="120" w:type="dxa"/>
            <w:vAlign w:val="bottom"/>
            <w:tcBorders>
              <w:bottom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Liabilities assumed:</w:t>
            </w: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1,134,355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Other borrowings</w:t>
            </w: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125,751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 assumed</w:t>
            </w:r>
          </w:p>
        </w:tc>
        <w:tc>
          <w:tcPr>
            <w:tcW w:w="45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1,271,968</w:t>
            </w:r>
          </w:p>
        </w:tc>
        <w:tc>
          <w:tcPr>
            <w:tcW w:w="120" w:type="dxa"/>
            <w:vAlign w:val="bottom"/>
            <w:tcBorders>
              <w:bottom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0" w:type="dxa"/>
            <w:vAlign w:val="bottom"/>
            <w:vMerge w:val="continue"/>
          </w:tcPr>
          <w:p>
            <w:pPr>
              <w:spacing w:after="0"/>
              <w:rPr>
                <w:sz w:val="22"/>
                <w:szCs w:val="22"/>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assets acquired</w:t>
            </w:r>
          </w:p>
        </w:tc>
        <w:tc>
          <w:tcPr>
            <w:tcW w:w="4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126,599</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0" w:type="dxa"/>
            <w:vAlign w:val="bottom"/>
            <w:vMerge w:val="restart"/>
          </w:tcPr>
          <w:p>
            <w:pPr>
              <w:spacing w:after="0"/>
              <w:rPr>
                <w:sz w:val="17"/>
                <w:szCs w:val="17"/>
                <w:color w:val="auto"/>
              </w:rPr>
            </w:pPr>
          </w:p>
        </w:tc>
        <w:tc>
          <w:tcPr>
            <w:tcW w:w="4320" w:type="dxa"/>
            <w:vAlign w:val="bottom"/>
            <w:tcBorders>
              <w:top w:val="single" w:sz="8" w:color="CCEEFF"/>
            </w:tcBorders>
            <w:shd w:val="clear" w:color="auto" w:fill="CCEEFF"/>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Consideration paid:</w:t>
            </w: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Cash payout of options and restricted stock units</w:t>
            </w: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6,182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Fair value of stock options assumed</w:t>
            </w: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consideration paid</w:t>
            </w:r>
          </w:p>
        </w:tc>
        <w:tc>
          <w:tcPr>
            <w:tcW w:w="45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115,982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bottom w:val="single" w:sz="8" w:color="CCEEFF"/>
            </w:tcBorders>
            <w:vMerge w:val="restart"/>
          </w:tcPr>
          <w:p>
            <w:pPr>
              <w:jc w:val="right"/>
              <w:ind w:right="3610"/>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5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The loans acquired in this transaction were recorded at fair value with no carryover of any existing allowance for loan losses. Loans that were not deemed to be credit-impaired at the acquisition date were accounted for under Financial Accounting Standards Board (“FASB”) </w:t>
      </w:r>
      <w:r>
        <w:rPr>
          <w:rFonts w:ascii="Arial" w:cs="Arial" w:eastAsia="Arial" w:hAnsi="Arial"/>
          <w:sz w:val="17"/>
          <w:szCs w:val="17"/>
          <w:i w:val="1"/>
          <w:iCs w:val="1"/>
          <w:color w:val="auto"/>
        </w:rPr>
        <w:t>ASC 310-20, Receivables-Nonrefundable Fees and Other Costs</w:t>
      </w:r>
      <w:r>
        <w:rPr>
          <w:rFonts w:ascii="Arial" w:cs="Arial" w:eastAsia="Arial" w:hAnsi="Arial"/>
          <w:sz w:val="17"/>
          <w:szCs w:val="17"/>
          <w:color w:val="auto"/>
        </w:rPr>
        <w:t>, and were subsequently considered as part of the Company’s determination of the adequacy of the allowance for loan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losses. Purchased credit-impaired (“PCI”) loans were accounted for under </w:t>
      </w:r>
      <w:r>
        <w:rPr>
          <w:rFonts w:ascii="Arial" w:cs="Arial" w:eastAsia="Arial" w:hAnsi="Arial"/>
          <w:sz w:val="17"/>
          <w:szCs w:val="17"/>
          <w:i w:val="1"/>
          <w:iCs w:val="1"/>
          <w:color w:val="auto"/>
        </w:rPr>
        <w:t>ASC 310-30, Receivables — Loans and Debt Securities Acquired with</w:t>
      </w:r>
      <w:r>
        <w:rPr>
          <w:rFonts w:ascii="Arial" w:cs="Arial" w:eastAsia="Arial" w:hAnsi="Arial"/>
          <w:sz w:val="17"/>
          <w:szCs w:val="17"/>
          <w:color w:val="auto"/>
        </w:rPr>
        <w:t xml:space="preserve"> </w:t>
      </w:r>
      <w:r>
        <w:rPr>
          <w:rFonts w:ascii="Arial" w:cs="Arial" w:eastAsia="Arial" w:hAnsi="Arial"/>
          <w:sz w:val="17"/>
          <w:szCs w:val="17"/>
          <w:i w:val="1"/>
          <w:iCs w:val="1"/>
          <w:color w:val="auto"/>
        </w:rPr>
        <w:t>Deteriorated Credit Quality</w:t>
      </w:r>
      <w:r>
        <w:rPr>
          <w:rFonts w:ascii="Arial" w:cs="Arial" w:eastAsia="Arial" w:hAnsi="Arial"/>
          <w:sz w:val="17"/>
          <w:szCs w:val="17"/>
          <w:color w:val="auto"/>
        </w:rPr>
        <w:t>. As of the acquisition date, the aggregate principal outstanding and aggregate fair value of the acquired performing loans,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loans held for sale, both rounded to $1.1 billion. The difference between the aggregate principal balance outstanding and aggregate fair value of $14.4 million is expected to be accreted over the estimated four year remaining life of the respective loans in a manner that approximates the level yield method. As of the acquisition date, the aggregate principal balance outstanding of PCI loans totaled $17.9 million and the aggregate fair value of PCI loans totaled $12.5 million, which became such loans’ new carrying value. At March 31, 2018, PCI loans related to this transaction with a carrying value of $5.1 million were outstanding, with the decrease relating to collections. For PCI loans,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The accretable yield, as of the acquisition date, of $0.6 million on PCI loans was expected to be recognized over the estimated four year remaining life of the respective loans in a manner that approximates the level yield method; however, $0.2 million was accelerated in 2017 as a result of collections.</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The following table provides the unaudited pro forma information for the results of operations for the three months ended March 31, 2017, as if the acquisition had occurred January 1, 2017. The pro forma results combine the historical results of First Community into the Company’s unaudited Consolidated Statements of Income, including the impact of purchase accounting adjustments for loan discount accretion, intangible assets amortization and deposit accretion, net of taxes. The pro forma results have been prepared for comparative purposes only and are not necessarily indicative of the results that would have been obtained had the acquisition actually occurred on January 1, 2017. No assumptions have been applied to the pro forma results of operations regarding possible revenue enhancements, expense efficiencies or asset dispositions. Only the merger related expenses that have been recognized are included in net income in the table below </w:t>
      </w:r>
      <w:r>
        <w:rPr>
          <w:rFonts w:ascii="Arial" w:cs="Arial" w:eastAsia="Arial" w:hAnsi="Arial"/>
          <w:sz w:val="17"/>
          <w:szCs w:val="17"/>
          <w:i w:val="1"/>
          <w:iCs w:val="1"/>
          <w:color w:val="auto"/>
        </w:rPr>
        <w:t>(dollars in thousands, except per share amount)</w:t>
      </w:r>
      <w:r>
        <w:rPr>
          <w:rFonts w:ascii="Arial" w:cs="Arial" w:eastAsia="Arial" w:hAnsi="Arial"/>
          <w:sz w:val="17"/>
          <w:szCs w:val="17"/>
          <w:color w:val="auto"/>
        </w:rPr>
        <w:t>:</w:t>
      </w:r>
    </w:p>
    <w:p>
      <w:pPr>
        <w:spacing w:after="0" w:line="157"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rPr>
              <w:t>Pro Forma</w:t>
            </w:r>
          </w:p>
        </w:tc>
      </w:tr>
      <w:tr>
        <w:trPr>
          <w:trHeight w:val="17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Three Months Ended March 31, 2017</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 (net interest income plus non-interest income)</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2920" w:type="dxa"/>
            <w:vAlign w:val="bottom"/>
            <w:gridSpan w:val="2"/>
          </w:tcPr>
          <w:p>
            <w:pPr>
              <w:jc w:val="right"/>
              <w:ind w:right="100"/>
              <w:spacing w:after="0"/>
              <w:rPr>
                <w:sz w:val="20"/>
                <w:szCs w:val="20"/>
                <w:color w:val="auto"/>
              </w:rPr>
            </w:pPr>
            <w:r>
              <w:rPr>
                <w:rFonts w:ascii="Arial" w:cs="Arial" w:eastAsia="Arial" w:hAnsi="Arial"/>
                <w:sz w:val="18"/>
                <w:szCs w:val="18"/>
                <w:color w:val="auto"/>
              </w:rPr>
              <w:t>19,111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Mid Illinois Bancorp, Inc.</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October 1, 2017, the Company completed its acquisition of Mid Illinois, under which each share of Mid Illinois common stock issued and outstanding as of the effective time was converted into, at the election of the stockholder the right to receive, either (i) $227.94 in cash, (ii) 7.5149 shares of the Company’s common stock, or (iii) mixed consideration of $68.38 in cash and 5.2604 shares of the Company’s common stock, subject to certain adjustments and proration. In the aggregate, total consideration consisted of 70% stock and 30% cash. Mid Illinois stockholders electing the cash consideration option were subject to proration under the terms of the merger agreement with Mid Illinois and ultimately received a mixture of cash and stock consideration. First Busey operated South Side Bank as a separate bank subsidiary from October 2, 2017 until March 16, 2018, when it was merged with and into Busey Bank. At that time, South Side Bank’s banking centers became banking centers of Busey Bank.</w:t>
      </w:r>
    </w:p>
    <w:p>
      <w:pPr>
        <w:sectPr>
          <w:pgSz w:w="11900" w:h="16838" w:orient="portrait"/>
          <w:cols w:equalWidth="0" w:num="1">
            <w:col w:w="11460"/>
          </w:cols>
          <w:pgMar w:left="240" w:top="584" w:right="199" w:bottom="0" w:gutter="0" w:footer="0" w:header="0"/>
        </w:sectPr>
      </w:pPr>
    </w:p>
    <w:bookmarkStart w:id="7" w:name="page8"/>
    <w:bookmarkEnd w:id="7"/>
    <w:p>
      <w:pPr>
        <w:ind w:right="160"/>
        <w:spacing w:after="0" w:line="293"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were recorded at their estimated fair values on the date of acquisition. An adjustment to the fair value was recorded in the first quarter of 2018 as additional information became available. Fair values are subject to refinement for up to one year after the closing date of October 1, 2017; however, the Company does not expect any further adjustments will be necessary. As the total consideration paid for Mid Illinois exceeded the net assets acquired, goodwill of $48.9 million was recorded as a result of the acquisition. Goodwill recorded in the transaction, which reflected the synergies expected from the acquisition and expansion within the greater Peoria area, is not tax deductible, and was assigned to the Banking operating segment.</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First Busey incurred $3.0 million of pre-tax expenses related to the acquisition of Mid Illinois for the three months ended March 31, 2018, primarily for salaries, wages and employee benefits expense, professional and legal fees and data conversion expenses, all of which are reported as a component of non-interest expense in the accompanying unaudited Consolidated Financial Statements. First Busey incurred $0.1 million of pre-tax expenses related to the acquisition of Mid Illinois for the three months ended March 31, 2017, primarily for legal fees, all of which are reported as a component of non-interest expense in the accompanying unaudited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fair value estimates of Mid Illinois assets acquired and liabilities assumed as of October 1, 2017 </w:t>
      </w:r>
      <w:r>
        <w:rPr>
          <w:rFonts w:ascii="Arial" w:cs="Arial" w:eastAsia="Arial" w:hAnsi="Arial"/>
          <w:sz w:val="17"/>
          <w:szCs w:val="17"/>
          <w:i w:val="1"/>
          <w:i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As Recorded by</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First Busey</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acquired:</w:t>
            </w:r>
          </w:p>
        </w:tc>
        <w:tc>
          <w:tcPr>
            <w:tcW w:w="5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5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39,443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Portfolio loans</w:t>
            </w: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356,651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16,551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 acquired</w:t>
            </w:r>
          </w:p>
        </w:tc>
        <w:tc>
          <w:tcPr>
            <w:tcW w:w="56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666,774</w:t>
            </w:r>
          </w:p>
        </w:tc>
        <w:tc>
          <w:tcPr>
            <w:tcW w:w="120" w:type="dxa"/>
            <w:vAlign w:val="bottom"/>
            <w:tcBorders>
              <w:bottom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Liabilities assumed:</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505,917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Other borrowings</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61,040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 assumed</w:t>
            </w:r>
          </w:p>
        </w:tc>
        <w:tc>
          <w:tcPr>
            <w:tcW w:w="56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577,454</w:t>
            </w:r>
          </w:p>
        </w:tc>
        <w:tc>
          <w:tcPr>
            <w:tcW w:w="120" w:type="dxa"/>
            <w:vAlign w:val="bottom"/>
            <w:tcBorders>
              <w:bottom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0" w:type="dxa"/>
            <w:vAlign w:val="bottom"/>
            <w:vMerge w:val="continue"/>
          </w:tcPr>
          <w:p>
            <w:pPr>
              <w:spacing w:after="0"/>
              <w:rPr>
                <w:sz w:val="22"/>
                <w:szCs w:val="22"/>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assets acquired</w:t>
            </w:r>
          </w:p>
        </w:tc>
        <w:tc>
          <w:tcPr>
            <w:tcW w:w="5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89,320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0" w:type="dxa"/>
            <w:vAlign w:val="bottom"/>
            <w:vMerge w:val="restart"/>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Consideration paid:</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5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97,702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consideration paid</w:t>
            </w:r>
          </w:p>
        </w:tc>
        <w:tc>
          <w:tcPr>
            <w:tcW w:w="56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jc w:val="right"/>
              <w:ind w:right="391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540" w:type="dxa"/>
            <w:vAlign w:val="bottom"/>
            <w:tcBorders>
              <w:bottom w:val="single" w:sz="8" w:color="808080"/>
            </w:tcBorders>
          </w:tcPr>
          <w:p>
            <w:pPr>
              <w:spacing w:after="0"/>
              <w:rPr>
                <w:sz w:val="11"/>
                <w:szCs w:val="11"/>
                <w:color w:val="auto"/>
              </w:rPr>
            </w:pPr>
          </w:p>
        </w:tc>
        <w:tc>
          <w:tcPr>
            <w:tcW w:w="56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 xml:space="preserve">The loans acquired in this transaction were recorded at fair value with no carryover of any existing allowance for loan losses. Loans that were not deemed to be credit-impaired at the acquisition date were accounted for under FASB </w:t>
      </w:r>
      <w:r>
        <w:rPr>
          <w:rFonts w:ascii="Arial" w:cs="Arial" w:eastAsia="Arial" w:hAnsi="Arial"/>
          <w:sz w:val="17"/>
          <w:szCs w:val="17"/>
          <w:i w:val="1"/>
          <w:iCs w:val="1"/>
          <w:color w:val="auto"/>
        </w:rPr>
        <w:t>ASC 310-20, Receivables-Nonrefundable Fees and Other Costs</w:t>
      </w:r>
      <w:r>
        <w:rPr>
          <w:rFonts w:ascii="Arial" w:cs="Arial" w:eastAsia="Arial" w:hAnsi="Arial"/>
          <w:sz w:val="17"/>
          <w:szCs w:val="17"/>
          <w:color w:val="auto"/>
        </w:rPr>
        <w:t xml:space="preserve">, and were subsequently considered as part of the Company’s determination of the adequacy of the allowance for loan losses. PCI loans were accounted for under </w:t>
      </w:r>
      <w:r>
        <w:rPr>
          <w:rFonts w:ascii="Arial" w:cs="Arial" w:eastAsia="Arial" w:hAnsi="Arial"/>
          <w:sz w:val="17"/>
          <w:szCs w:val="17"/>
          <w:i w:val="1"/>
          <w:iCs w:val="1"/>
          <w:color w:val="auto"/>
        </w:rPr>
        <w:t>ASC</w:t>
      </w:r>
      <w:r>
        <w:rPr>
          <w:rFonts w:ascii="Arial" w:cs="Arial" w:eastAsia="Arial" w:hAnsi="Arial"/>
          <w:sz w:val="17"/>
          <w:szCs w:val="17"/>
          <w:color w:val="auto"/>
        </w:rPr>
        <w:t xml:space="preserve"> </w:t>
      </w:r>
      <w:r>
        <w:rPr>
          <w:rFonts w:ascii="Arial" w:cs="Arial" w:eastAsia="Arial" w:hAnsi="Arial"/>
          <w:sz w:val="17"/>
          <w:szCs w:val="17"/>
          <w:i w:val="1"/>
          <w:iCs w:val="1"/>
          <w:color w:val="auto"/>
        </w:rPr>
        <w:t>310-30, Receivables — Loans and Debt Securities Acquired with Deteriorated Credit Quality</w:t>
      </w:r>
      <w:r>
        <w:rPr>
          <w:rFonts w:ascii="Arial" w:cs="Arial" w:eastAsia="Arial" w:hAnsi="Arial"/>
          <w:sz w:val="17"/>
          <w:szCs w:val="17"/>
          <w:color w:val="auto"/>
        </w:rPr>
        <w:t>. As of the acquisition date, the aggregate principal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was $362.4 million and aggregate fair value of the acquired performing loans was $357.0 million, including loans held for sale. The difference between the aggregate principal balance outstanding and aggregate fair value of $5.4 million is expected to be accreted over the estimated four year remaining life of the respective loans in a manner that approximates the level yield method. As of the acquisition date, the aggregate principal balance outstanding of PCI loans totaled $7.6 million and the aggregate fair value of PCI loans totaled $4.7 million, which became such loans’ new carrying value. At March 31, 2018, PCI loans related to this transaction with a carrying value of $0.9 million were outstanding, with the decrease primarily relating to a loan sale. For PCI loans,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The accretable yield, as of the acquisition date, of $0.1 million on PCI loans was expected to be recognized over the estimated four year remaining life of the respective loans in a manner that approximates the level yield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Accounting Standards Update (“ASU”) 2014-09</w:t>
      </w:r>
      <w:r>
        <w:rPr>
          <w:rFonts w:ascii="Arial" w:cs="Arial" w:eastAsia="Arial" w:hAnsi="Arial"/>
          <w:sz w:val="18"/>
          <w:szCs w:val="18"/>
          <w:color w:val="auto"/>
        </w:rPr>
        <w:t>,</w:t>
      </w:r>
      <w:r>
        <w:rPr>
          <w:rFonts w:ascii="Arial" w:cs="Arial" w:eastAsia="Arial" w:hAnsi="Arial"/>
          <w:sz w:val="18"/>
          <w:szCs w:val="18"/>
          <w:i w:val="1"/>
          <w:iCs w:val="1"/>
          <w:color w:val="auto"/>
        </w:rPr>
        <w:t xml:space="preserve"> “Revenue from Contracts with Customers (Topic 606).” </w:t>
      </w:r>
      <w:r>
        <w:rPr>
          <w:rFonts w:ascii="Arial" w:cs="Arial" w:eastAsia="Arial" w:hAnsi="Arial"/>
          <w:sz w:val="18"/>
          <w:szCs w:val="18"/>
          <w:color w:val="auto"/>
        </w:rPr>
        <w:t>ASU 2014-09 outlines a single model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companies to use in accounting for revenue arising from contracts with customers and supersedes most prior revenue recognition guidance, including industry-specific guidance. ASU 2014-09 requires that companies recognize revenue based on the value of transferred goods or services as they occur in the contract and also requires additional disclosures. The Company’s revenue is comprised of net interest income, which is explicitly excluded from the scope of ASU 2014-09, and non-interest income. The adoption of this guidance on January 1, 2018 did not change the method in which non-interest income is recognized therefore a cumulative effect adjustment to retained earnings was not necessary. Additional disclosures related to revenue recognition appears in </w:t>
      </w:r>
      <w:r>
        <w:rPr>
          <w:rFonts w:ascii="Arial" w:cs="Arial" w:eastAsia="Arial" w:hAnsi="Arial"/>
          <w:sz w:val="18"/>
          <w:szCs w:val="18"/>
          <w:i w:val="1"/>
          <w:iCs w:val="1"/>
          <w:color w:val="auto"/>
        </w:rPr>
        <w:t>“Note 1: Basis of Presentation.”</w:t>
      </w:r>
    </w:p>
    <w:p>
      <w:pPr>
        <w:sectPr>
          <w:pgSz w:w="11900" w:h="16838" w:orient="portrait"/>
          <w:cols w:equalWidth="0" w:num="1">
            <w:col w:w="11460"/>
          </w:cols>
          <w:pgMar w:left="240" w:top="341" w:right="199" w:bottom="0" w:gutter="0" w:footer="0" w:header="0"/>
        </w:sectPr>
      </w:pPr>
    </w:p>
    <w:bookmarkStart w:id="8" w:name="page9"/>
    <w:bookmarkEnd w:id="8"/>
    <w:p>
      <w:pPr>
        <w:spacing w:after="0" w:line="3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ASU 2016-01, “Financial Instruments — Overall (Subtopic 825-10): Recognition and Measurement of Financial Assets and Financial Liabilities.”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2016-01 is intended to improve the recognition and measurement of financial instruments by, among other things, requiring: equity investments, with certain exceptions, to be measured at fair value with changes in fair value recognized in net income; to use the exit price notion when measuring the fair value of financial instruments for disclosure purposes; separate presentation of financial assets and financial liabilities by measurement category and form of financial assets; eliminating the requirement to disclose the method and significant assumptions used to estimate the fair value for financial instruments measured at amortized cost on the Balance Sheet; and requiring an entity to present separately in other comprehensive income (loss) the portion of the total change in fair value of a liability resulting from the change in the instrument-specific credit risk when the fair value option has been elected for the liability. ASU 2016-01 was effective on January 1, 2018 and the adoption of this guidance resulted in separate classification of equity securities previously included in available for sale securities on the Consolidated Financial Statements. There was no cumulative effect adjustment recorded with the adoption of this guidance.</w:t>
      </w:r>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ASU 2016-02, “Leases (Topic 842).” </w:t>
      </w:r>
      <w:r>
        <w:rPr>
          <w:rFonts w:ascii="Arial" w:cs="Arial" w:eastAsia="Arial" w:hAnsi="Arial"/>
          <w:sz w:val="17"/>
          <w:szCs w:val="17"/>
          <w:color w:val="auto"/>
        </w:rPr>
        <w:t>ASU 2016-02 intends to increase transparency and comparability among organizations by recognizing all lease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(with terms in excess of 12 months) on the Consolidated Balance Sheet as a lease liability and a right-of-use asset. The guidance also requires qualitative and quantitative disclosures designed to assess the amount, timing and uncertainty of cash flows arising from leases. This guidance is effective for annual reporting periods beginning after December 15, 2018, including interim periods within those fiscal years. Upon adoption, the lessee will apply the new standard retrospectively to all periods presented or retrospectively using a cumulative effect adjustment in the year of adoption. The Company is evaluating the impact this guidance will have on its Consolidated Financial Statements and related disclosures. The Company expects an increase in assets and liabilities as a result of recording additional lease contracts where the Company is lessee.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ASU 2016-13, “Financial Instruments — Credit Losses (Topic 326): Measurement of Credit Losses on Financial Instruments.” </w:t>
      </w:r>
      <w:r>
        <w:rPr>
          <w:rFonts w:ascii="Arial" w:cs="Arial" w:eastAsia="Arial" w:hAnsi="Arial"/>
          <w:sz w:val="18"/>
          <w:szCs w:val="18"/>
          <w:color w:val="auto"/>
        </w:rPr>
        <w:t>ASU 2016-13 implements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change in estimating impairment from the current model of losses inherent in loans and securities held to maturity. This current expected credit loss model is expected to result in earlier recognition of losses. ASU 2016-13 will be effective in the first quarter of 2020. The Company’s implementation team is analyzing the provisions of ASU 2016-13, including evaluating the impact this guidance will have on its Consolidated Financial Statements and related disclosures.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ASU 2017-04, “Intangibles - Goodwill and Other (Topic 350): Simplifying the Test for Goodwill Impairment.” </w:t>
      </w:r>
      <w:r>
        <w:rPr>
          <w:rFonts w:ascii="Arial" w:cs="Arial" w:eastAsia="Arial" w:hAnsi="Arial"/>
          <w:sz w:val="18"/>
          <w:szCs w:val="18"/>
          <w:color w:val="auto"/>
        </w:rPr>
        <w:t>ASU 2017-04 is intended to simplify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testing by eliminating the second step of the analysis. ASU 2017-04 requires entities to compare the fair value of a reporting unit with its carrying amount and recognize an impairment charge for any amount by which the carrying amount exceeds the reporting unit’s fair value, to the extent that the loss recognized does not exceed the amount of goodwill allocated to that reporting unit. This guidance is effective for annual and interim periods beginning after December 15, 2019, with early adoption permitted. The Company does not expect this guidance to have a material impact on its Consolidated Financial Statements.</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ASU 2017-08, “Receivables - Nonrefundable Fees and Other Costs (Subtopic 310-20), Premium Amortization on Purchased Callable Debt Securities.” </w:t>
      </w:r>
      <w:r>
        <w:rPr>
          <w:rFonts w:ascii="Arial" w:cs="Arial" w:eastAsia="Arial" w:hAnsi="Arial"/>
          <w:sz w:val="17"/>
          <w:szCs w:val="17"/>
          <w:color w:val="auto"/>
        </w:rPr>
        <w:t>ASU</w:t>
      </w:r>
      <w:r>
        <w:rPr>
          <w:rFonts w:ascii="Arial" w:cs="Arial" w:eastAsia="Arial" w:hAnsi="Arial"/>
          <w:sz w:val="17"/>
          <w:szCs w:val="17"/>
          <w:i w:val="1"/>
          <w:iCs w:val="1"/>
          <w:color w:val="auto"/>
        </w:rPr>
        <w:t xml:space="preserve"> </w:t>
      </w:r>
      <w:r>
        <w:rPr>
          <w:rFonts w:ascii="Arial" w:cs="Arial" w:eastAsia="Arial" w:hAnsi="Arial"/>
          <w:sz w:val="17"/>
          <w:szCs w:val="17"/>
          <w:color w:val="auto"/>
        </w:rPr>
        <w:t>2017-08 shortens the amortization period for certain callable debt securities held at a premium, requiring the premium to be amortized to the earliest call date. ASU 2017-08 does not require an accounting change for securities held at a discount; the discount continues to be amortized to maturity. This guidance is effective for annual reporting periods beginning after December 15, 2018, including interim periods within those fiscal years, with early adoption permitted. The Company does not expect this guidance to have a material impact on its Consolidated Financial Statements.</w:t>
      </w:r>
    </w:p>
    <w:p>
      <w:pPr>
        <w:spacing w:after="0" w:line="1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ASU 2017-12, “Derivatives and Hedging (Topic 815): Targeted Improvements to Accounting for Hedging Activities.” </w:t>
      </w:r>
      <w:r>
        <w:rPr>
          <w:rFonts w:ascii="Arial" w:cs="Arial" w:eastAsia="Arial" w:hAnsi="Arial"/>
          <w:sz w:val="18"/>
          <w:szCs w:val="18"/>
          <w:color w:val="auto"/>
        </w:rPr>
        <w:t>ASU 2017-12 amends Topic 815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the cost and complexity of applying hedge accounting and expand the types of relationships that qualify for hedge accounting. The guidance eliminates the requirement to separately measure and report hedge ineffectiveness, requires all items that affect earnings to be presented in the same income statement line as the hedged item, provides new alternatives for applying hedge accounting to additional hedging strategies and measuring the hedged item in fair value hedges of interest rate risk, and expects to reduce the cost and complexity of applying hedge accounting by easing the requirements for effective testing, hedge documentation and application of the critical terms match method, and reducing the risk of material error corrections if a company applies the shortcut method incorrectly. This guidance is effective for annual reporting periods beginning after December 15, 2018, including interim periods within those fiscal years, with early adoption permitted. The Company does not expect this guidance to have a material impact on its Consolidated Financial Statements.</w:t>
      </w:r>
    </w:p>
    <w:p>
      <w:pPr>
        <w:spacing w:after="0" w:line="19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ASU 2018-02, “Income Statement—Reporting Comprehensive Income (Topic 220): Reclassification of Certain Tax Effects from Accumulated Other Comprehensive Income” </w:t>
      </w:r>
      <w:r>
        <w:rPr>
          <w:rFonts w:ascii="Arial" w:cs="Arial" w:eastAsia="Arial" w:hAnsi="Arial"/>
          <w:sz w:val="18"/>
          <w:szCs w:val="18"/>
          <w:color w:val="auto"/>
        </w:rPr>
        <w:t>was issued in February 2018. ASU 2018-02 allows companies to make a one-time reclassification from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(loss) to retained earnings for the effects of remeasuring deferred tax liabilities and assets originally recorded in other comprehensive income as a result of the change in the federal tax rate by the TCJA. The Company adopted this guidance in the first quarter of 2018 with no impact on total stockholders’ equity or net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Securities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held equity securities, consisting of common stock and money market mutual funds, with fair values of $5.0 million and $5.4 million at March 31, 2018 and December 31, 2017, respectively. Money market mutual fund balances were $4.3 million and $4.6 million at March 31, 2018 and December 31, 2017, respectively. There was $0.1 million of unrealized losses recorded in non-interest income in the accompanying unaudited Consolidated Financial Statements during the three months ended March 31, 2018 on the common stock. There were no sales of equity securities during the three months ended March 31, 2018.</w:t>
      </w:r>
    </w:p>
    <w:p>
      <w:pPr>
        <w:spacing w:after="0" w:line="18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 Securities are classified as held to maturity when First Busey has the ability and management has the intent to hold those securities to maturity. Accordingly, they are stated at cost, adjusted for amortization of premiums and accretion of discounts.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amortized cost, unrealized gains and losses and fair values of securities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ectPr>
          <w:pgSz w:w="11900" w:h="16874" w:orient="portrait"/>
          <w:cols w:equalWidth="0" w:num="1">
            <w:col w:w="11400"/>
          </w:cols>
          <w:pgMar w:left="240" w:top="341" w:right="25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1080" w:type="dxa"/>
            <w:vAlign w:val="bottom"/>
          </w:tcPr>
          <w:p>
            <w:pPr>
              <w:jc w:val="center"/>
              <w:ind w:left="238"/>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1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80" w:type="dxa"/>
            <w:vAlign w:val="bottom"/>
          </w:tcPr>
          <w:p>
            <w:pPr>
              <w:jc w:val="center"/>
              <w:ind w:left="21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1080" w:type="dxa"/>
            <w:vAlign w:val="bottom"/>
          </w:tcPr>
          <w:p>
            <w:pPr>
              <w:jc w:val="center"/>
              <w:ind w:left="238"/>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March 31, 2018:</w:t>
            </w:r>
          </w:p>
        </w:tc>
        <w:tc>
          <w:tcPr>
            <w:tcW w:w="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61,005</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95"/>
              </w:rPr>
              <w:t>Obligations of U.S. government corporations and agencies (1)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97,967</w:t>
            </w:r>
          </w:p>
        </w:tc>
        <w:tc>
          <w:tcPr>
            <w:tcW w:w="10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(1,774)</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96,193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263,619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447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260,990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380,783</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361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(8,246)</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372,898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32,258</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835,632</w:t>
            </w:r>
          </w:p>
        </w:tc>
        <w:tc>
          <w:tcPr>
            <w:tcW w:w="30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844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(14,375)</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822,101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40,464</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60,378</w:t>
            </w:r>
          </w:p>
        </w:tc>
        <w:tc>
          <w:tcPr>
            <w:tcW w:w="10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(1,229)</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358,165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(7,563)</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459,007</w:t>
            </w:r>
          </w:p>
        </w:tc>
        <w:tc>
          <w:tcPr>
            <w:tcW w:w="3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The gross unrealized gains on obligations of U.S. government corporations and agencies was less than one thousand dollars.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1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8"/>
              </w:rPr>
              <w:t>December 31, 2017:</w:t>
            </w:r>
          </w:p>
        </w:tc>
        <w:tc>
          <w:tcPr>
            <w:tcW w:w="3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60,829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104,807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(1,143)</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103,665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400,661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(3,837)</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397,436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30,946</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877,459</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872,682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60,474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60,218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341,776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(2,431)</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443,550</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441,052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 xml:space="preserve">The amortized cost and fair value of debt securities as of March 31, 2018, by contractual maturity or pre-refunded date, are shown below. Mortgages underlying mortgage-backed securities may be called or prepaid; therefore, actual maturities could differ from the contractual maturities. All mortgage-backed securities were issued by U.S. government agencies and corporations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Available for sale</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Held to maturity</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Amortized</w:t>
            </w:r>
          </w:p>
        </w:tc>
        <w:tc>
          <w:tcPr>
            <w:tcW w:w="460" w:type="dxa"/>
            <w:vAlign w:val="bottom"/>
          </w:tcPr>
          <w:p>
            <w:pPr>
              <w:spacing w:after="0"/>
              <w:rPr>
                <w:sz w:val="10"/>
                <w:szCs w:val="10"/>
                <w:color w:val="auto"/>
              </w:rPr>
            </w:pPr>
          </w:p>
        </w:tc>
        <w:tc>
          <w:tcPr>
            <w:tcW w:w="920" w:type="dxa"/>
            <w:vAlign w:val="bottom"/>
          </w:tcPr>
          <w:p>
            <w:pPr>
              <w:jc w:val="right"/>
              <w:ind w:right="476"/>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Amortized</w:t>
            </w:r>
          </w:p>
        </w:tc>
        <w:tc>
          <w:tcPr>
            <w:tcW w:w="440" w:type="dxa"/>
            <w:vAlign w:val="bottom"/>
          </w:tcPr>
          <w:p>
            <w:pPr>
              <w:spacing w:after="0"/>
              <w:rPr>
                <w:sz w:val="10"/>
                <w:szCs w:val="10"/>
                <w:color w:val="auto"/>
              </w:rPr>
            </w:pPr>
          </w:p>
        </w:tc>
        <w:tc>
          <w:tcPr>
            <w:tcW w:w="920" w:type="dxa"/>
            <w:vAlign w:val="bottom"/>
          </w:tcPr>
          <w:p>
            <w:pPr>
              <w:jc w:val="center"/>
              <w:ind w:right="376"/>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68,846</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259,944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256,126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59,000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58,207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161,232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32,451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Due after ten years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343,653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336,046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359,812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352,244</w:t>
            </w: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835,632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related to sales of securities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26"/>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7"/>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Gross security (losses)</w:t>
            </w:r>
          </w:p>
        </w:tc>
        <w:tc>
          <w:tcPr>
            <w:tcW w:w="10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10"/>
        </w:trPr>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gains, net</w:t>
            </w: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7"/>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tax provision for the net realized gains and losses was $0.3 million for the three months ended March 31, 2017.</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Investment securities with carrying amounts of $581.2 million and $638.2 million on March 31, 2018 and December 31, 2017, respectively, were pledged as collateral for public deposits, securities sold under agreements to repurchase and for other purposes as required or permitted by law.</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pertaining to securities with gross unrealized losses at March 31, 2018 and December 31, 2017, aggregated by investment category and length of time that individual securities have been in a continuous loss position,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2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Continuous unrealized</w:t>
            </w:r>
          </w:p>
        </w:tc>
        <w:tc>
          <w:tcPr>
            <w:tcW w:w="2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Continuous unrealized</w:t>
            </w:r>
          </w:p>
        </w:tc>
        <w:tc>
          <w:tcPr>
            <w:tcW w:w="8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27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820" w:type="dxa"/>
            <w:vAlign w:val="bottom"/>
          </w:tcPr>
          <w:p>
            <w:pPr>
              <w:spacing w:after="0"/>
              <w:rPr>
                <w:sz w:val="12"/>
                <w:szCs w:val="12"/>
                <w:color w:val="auto"/>
              </w:rPr>
            </w:pPr>
          </w:p>
        </w:tc>
        <w:tc>
          <w:tcPr>
            <w:tcW w:w="1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20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7"/>
              </w:rPr>
              <w:t>12 months, gross</w:t>
            </w:r>
          </w:p>
        </w:tc>
        <w:tc>
          <w:tcPr>
            <w:tcW w:w="2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than 12 months, gross</w:t>
            </w:r>
          </w:p>
        </w:tc>
        <w:tc>
          <w:tcPr>
            <w:tcW w:w="8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0" w:type="dxa"/>
            <w:vAlign w:val="bottom"/>
            <w:tcBorders>
              <w:top w:val="single" w:sz="8" w:color="auto"/>
            </w:tcBorders>
          </w:tcPr>
          <w:p>
            <w:pPr>
              <w:jc w:val="center"/>
              <w:ind w:left="329"/>
              <w:spacing w:after="0" w:line="119" w:lineRule="exact"/>
              <w:rPr>
                <w:sz w:val="20"/>
                <w:szCs w:val="20"/>
                <w:color w:val="auto"/>
              </w:rPr>
            </w:pPr>
            <w:r>
              <w:rPr>
                <w:rFonts w:ascii="Arial" w:cs="Arial" w:eastAsia="Arial" w:hAnsi="Arial"/>
                <w:sz w:val="13"/>
                <w:szCs w:val="13"/>
                <w:b w:val="1"/>
                <w:bCs w:val="1"/>
                <w:color w:val="auto"/>
              </w:rPr>
              <w:t>Fair</w:t>
            </w:r>
          </w:p>
        </w:tc>
        <w:tc>
          <w:tcPr>
            <w:tcW w:w="1800" w:type="dxa"/>
            <w:vAlign w:val="bottom"/>
            <w:tcBorders>
              <w:top w:val="single" w:sz="8" w:color="auto"/>
            </w:tcBorders>
          </w:tcPr>
          <w:p>
            <w:pPr>
              <w:jc w:val="center"/>
              <w:ind w:left="570"/>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340" w:type="dxa"/>
            <w:vAlign w:val="bottom"/>
            <w:tcBorders>
              <w:top w:val="single" w:sz="8" w:color="auto"/>
            </w:tcBorders>
          </w:tcPr>
          <w:p>
            <w:pPr>
              <w:jc w:val="center"/>
              <w:ind w:left="111"/>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820" w:type="dxa"/>
            <w:vAlign w:val="bottom"/>
            <w:tcBorders>
              <w:top w:val="single" w:sz="8" w:color="auto"/>
            </w:tcBorders>
          </w:tcPr>
          <w:p>
            <w:pPr>
              <w:jc w:val="center"/>
              <w:ind w:left="251"/>
              <w:spacing w:after="0" w:line="119" w:lineRule="exact"/>
              <w:rPr>
                <w:sz w:val="20"/>
                <w:szCs w:val="20"/>
                <w:color w:val="auto"/>
              </w:rPr>
            </w:pPr>
            <w:r>
              <w:rPr>
                <w:rFonts w:ascii="Arial" w:cs="Arial" w:eastAsia="Arial" w:hAnsi="Arial"/>
                <w:sz w:val="13"/>
                <w:szCs w:val="13"/>
                <w:b w:val="1"/>
                <w:bCs w:val="1"/>
                <w:color w:val="auto"/>
              </w:rPr>
              <w:t>Fair</w:t>
            </w:r>
          </w:p>
        </w:tc>
        <w:tc>
          <w:tcPr>
            <w:tcW w:w="1680" w:type="dxa"/>
            <w:vAlign w:val="bottom"/>
            <w:tcBorders>
              <w:top w:val="single" w:sz="8" w:color="auto"/>
            </w:tcBorders>
          </w:tcPr>
          <w:p>
            <w:pPr>
              <w:jc w:val="center"/>
              <w:ind w:left="47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3"/>
        </w:trPr>
        <w:tc>
          <w:tcPr>
            <w:tcW w:w="740" w:type="dxa"/>
            <w:vAlign w:val="bottom"/>
          </w:tcPr>
          <w:p>
            <w:pPr>
              <w:jc w:val="center"/>
              <w:ind w:left="329"/>
              <w:spacing w:after="0"/>
              <w:rPr>
                <w:sz w:val="20"/>
                <w:szCs w:val="20"/>
                <w:color w:val="auto"/>
              </w:rPr>
            </w:pPr>
            <w:r>
              <w:rPr>
                <w:rFonts w:ascii="Arial" w:cs="Arial" w:eastAsia="Arial" w:hAnsi="Arial"/>
                <w:sz w:val="14"/>
                <w:szCs w:val="14"/>
                <w:b w:val="1"/>
                <w:bCs w:val="1"/>
                <w:color w:val="auto"/>
                <w:w w:val="90"/>
              </w:rPr>
              <w:t>Value</w:t>
            </w:r>
          </w:p>
        </w:tc>
        <w:tc>
          <w:tcPr>
            <w:tcW w:w="2040" w:type="dxa"/>
            <w:vAlign w:val="bottom"/>
            <w:gridSpan w:val="2"/>
          </w:tcPr>
          <w:p>
            <w:pPr>
              <w:jc w:val="center"/>
              <w:ind w:left="330"/>
              <w:spacing w:after="0"/>
              <w:rPr>
                <w:sz w:val="20"/>
                <w:szCs w:val="20"/>
                <w:color w:val="auto"/>
              </w:rPr>
            </w:pPr>
            <w:r>
              <w:rPr>
                <w:rFonts w:ascii="Arial" w:cs="Arial" w:eastAsia="Arial" w:hAnsi="Arial"/>
                <w:sz w:val="14"/>
                <w:szCs w:val="14"/>
                <w:b w:val="1"/>
                <w:bCs w:val="1"/>
                <w:color w:val="auto"/>
                <w:w w:val="82"/>
              </w:rPr>
              <w:t>Losses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Losses</w:t>
            </w:r>
          </w:p>
        </w:tc>
        <w:tc>
          <w:tcPr>
            <w:tcW w:w="820" w:type="dxa"/>
            <w:vAlign w:val="bottom"/>
          </w:tcPr>
          <w:p>
            <w:pPr>
              <w:jc w:val="center"/>
              <w:ind w:left="251"/>
              <w:spacing w:after="0"/>
              <w:rPr>
                <w:sz w:val="20"/>
                <w:szCs w:val="20"/>
                <w:color w:val="auto"/>
              </w:rPr>
            </w:pPr>
            <w:r>
              <w:rPr>
                <w:rFonts w:ascii="Arial" w:cs="Arial" w:eastAsia="Arial" w:hAnsi="Arial"/>
                <w:sz w:val="14"/>
                <w:szCs w:val="14"/>
                <w:b w:val="1"/>
                <w:bCs w:val="1"/>
                <w:color w:val="auto"/>
                <w:w w:val="90"/>
              </w:rPr>
              <w:t>Value</w:t>
            </w:r>
          </w:p>
        </w:tc>
        <w:tc>
          <w:tcPr>
            <w:tcW w:w="1680" w:type="dxa"/>
            <w:vAlign w:val="bottom"/>
          </w:tcPr>
          <w:p>
            <w:pPr>
              <w:jc w:val="center"/>
              <w:ind w:left="45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March 31, 2018:</w:t>
      </w:r>
    </w:p>
    <w:p>
      <w:pPr>
        <w:sectPr>
          <w:pgSz w:w="11900" w:h="16838" w:orient="portrait"/>
          <w:cols w:equalWidth="0" w:num="1">
            <w:col w:w="11420"/>
          </w:cols>
          <w:pgMar w:left="240" w:top="320"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59,843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59,843</w:t>
            </w:r>
          </w:p>
        </w:tc>
        <w:tc>
          <w:tcPr>
            <w:tcW w:w="34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corporations and agencies</w:t>
            </w: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71,479</w:t>
            </w:r>
          </w:p>
        </w:tc>
        <w:tc>
          <w:tcPr>
            <w:tcW w:w="4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(663)</w:t>
            </w: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96,119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208,656</w:t>
            </w:r>
          </w:p>
        </w:tc>
        <w:tc>
          <w:tcPr>
            <w:tcW w:w="4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225,016</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260,034</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86,846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(3,817)</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346,880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28,356</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28,356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temporarily impaired securities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628,368</w:t>
            </w:r>
          </w:p>
        </w:tc>
        <w:tc>
          <w:tcPr>
            <w:tcW w:w="2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127,846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(4,705)</w:t>
            </w:r>
          </w:p>
        </w:tc>
        <w:tc>
          <w:tcPr>
            <w:tcW w:w="2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756,214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(14,375)</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Held to maturity</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subdivisions(1)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28,682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28,832</w:t>
            </w:r>
          </w:p>
        </w:tc>
        <w:tc>
          <w:tcPr>
            <w:tcW w:w="34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mortgage-backed securities</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55,876</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58,193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350,602</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350,602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temporarily impaired securities</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435,160</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437,627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(1)Continuous unrealized losses existing for greater than 12 months, gross was less than one thousand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2"/>
              </w:rPr>
              <w:t>Continuous unrealized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40" w:type="dxa"/>
            <w:vAlign w:val="bottom"/>
          </w:tcPr>
          <w:p>
            <w:pPr>
              <w:spacing w:after="0"/>
              <w:rPr>
                <w:sz w:val="12"/>
                <w:szCs w:val="12"/>
                <w:color w:val="auto"/>
              </w:rPr>
            </w:pPr>
          </w:p>
        </w:tc>
        <w:tc>
          <w:tcPr>
            <w:tcW w:w="2360" w:type="dxa"/>
            <w:vAlign w:val="bottom"/>
            <w:gridSpan w:val="7"/>
            <w:vMerge w:val="restart"/>
          </w:tcPr>
          <w:p>
            <w:pPr>
              <w:jc w:val="right"/>
              <w:ind w:right="10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12 months, 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than 12 months, gross</w:t>
            </w:r>
          </w:p>
        </w:tc>
        <w:tc>
          <w:tcPr>
            <w:tcW w:w="240" w:type="dxa"/>
            <w:vAlign w:val="bottom"/>
          </w:tcPr>
          <w:p>
            <w:pPr>
              <w:spacing w:after="0"/>
              <w:rPr>
                <w:sz w:val="14"/>
                <w:szCs w:val="14"/>
                <w:color w:val="auto"/>
              </w:rPr>
            </w:pPr>
          </w:p>
        </w:tc>
        <w:tc>
          <w:tcPr>
            <w:tcW w:w="23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8"/>
              </w:rPr>
              <w:t>December 31, 2017:</w:t>
            </w:r>
          </w:p>
        </w:tc>
        <w:tc>
          <w:tcPr>
            <w:tcW w:w="18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59,773</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78,610</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103,441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162,213</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174,258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223,261</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90,930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(2,409)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314,191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540,033</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127,806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667,839</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17,939</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44,514</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46,888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277,826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277,826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340,279</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342,653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Securities are periodically evaluated for other-than-temporary impairment (“OTTI”). The total number of securities in the investment portfolio in an unrealized loss position as of March 31, 2018 was 841, and represented a loss of 1.92% of the aggregate carrying value. As of March 31, 2018, the Company does not intend to sell such securities and it is more-likely-than-not that the Company will recover the amortized cost prior to being required to sell the securities. Full collection of the amounts due according to the contractual terms of the securities is expected; therefore, the Company does not consider these investments to be OTTI at March 31, 2018.</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had available for sale obligations of state and political subdivisions with a fair value of $261.0 million and $280.2 million as of March 31, 2018 and December 31, 2017, respectively. In addition, the Company had held to maturity obligations of state and political subdivisions with a fair value of $40.4 million and $41.5 million as of March 31, 2018 and December 31, 2017, respectively.</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March 31, 2018, the fair value of the Company’s obligations of state and political subdivisions portfolio was comprised of $252.6 million of general obligation bonds and $48.8 million of revenue bonds issued by 430 issuers, primarily consisting of states, counties, cities, towns, villages and school districts. The Company held investments in general obligation bonds in 36 states (including the District of Columbia), including eight states in which the aggregate fair value exceeded $5.0 million. The Company held investments in revenue bonds in 22 states, including three states where the aggregate fair value exceeded $5.0 million.</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December 31, 2017, the fair value of the Company’s obligations of state and political subdivisions portfolio was comprised of $271.7 million of general obligation bonds and $50.0 million of revenue bonds issued by 446 issuers, primarily consisting of states, counties, cities, towns, villages and school districts. The Company held investments in general obligation bonds in 36 states (including the District of Columbia), including nine states in which the aggregate fair value exceeded $5.0 million. The Company held investments in revenue bonds in 22 states, including three states where the aggregate fair value exceeded $5.0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The amortized cost and fair values of the Company’s portfolio of general obligation bonds are summarized in the following tables by the issuers’ state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ectPr>
          <w:pgSz w:w="11900" w:h="16838" w:orient="portrait"/>
          <w:cols w:equalWidth="0" w:num="1">
            <w:col w:w="11420"/>
          </w:cols>
          <w:pgMar w:left="240" w:top="121" w:right="239" w:bottom="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u w:val="single" w:color="auto"/>
          <w:color w:val="auto"/>
        </w:rPr>
        <w:t>March 31, 2018:</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Average Exposure</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Issuers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89,465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Wisconsin</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23,792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23,583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19,601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19,687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Ohio</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15,120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10,984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Jersey</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Missouri</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5,691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0"/>
        </w:trPr>
        <w:tc>
          <w:tcPr>
            <w:tcW w:w="3200" w:type="dxa"/>
            <w:vAlign w:val="bottom"/>
            <w:gridSpan w:val="3"/>
          </w:tcPr>
          <w:p>
            <w:pPr>
              <w:spacing w:after="0"/>
              <w:rPr>
                <w:sz w:val="20"/>
                <w:szCs w:val="20"/>
                <w:color w:val="auto"/>
              </w:rPr>
            </w:pPr>
            <w:r>
              <w:rPr>
                <w:rFonts w:ascii="Arial" w:cs="Arial" w:eastAsia="Arial" w:hAnsi="Arial"/>
                <w:sz w:val="18"/>
                <w:szCs w:val="18"/>
                <w:color w:val="auto"/>
              </w:rPr>
              <w:t>Total general obligations bonds</w:t>
            </w: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254,834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252,576</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rPr>
              <w:t>December 31, 2017:</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20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46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Average Exposure</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Issuers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Wisconsin</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27,852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27,809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27,485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19,641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19,849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Ohio</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15,172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12,189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Jersey</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Missouri</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5,747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Minnesota</w:t>
            </w:r>
          </w:p>
        </w:tc>
        <w:tc>
          <w:tcPr>
            <w:tcW w:w="10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54,649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54,633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271,499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271,659</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general obligation bonds are diversified across many issuers, with $4.0 million being the largest exposure to a single issuer at March 31, 2018 and December 31, 2017. Accordingly, as of March 31, 2018 and December 31, 2017, the Company did not hold general obligation bonds of any single issuer, the aggregate book or market value of which exceeded 10% of the Company’s stockholders’ equity. Of the general obligation bonds in the Company’s portfolio, 99.3% had been rated by at least one nationally recognized statistical rating organization and 0.7% were unrated, based on the aggregate fair value as of March 31, 2018 and December 31, 2017.</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amortized cost and fair values of the Company’s portfolio of revenue bonds are summarized in the following tables by the issuers’ state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March 31,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6"/>
              </w:rPr>
              <w:t>Amortized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Average Exposure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Per Issuer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Arial" w:cs="Arial" w:eastAsia="Arial" w:hAnsi="Arial"/>
                <w:sz w:val="14"/>
                <w:szCs w:val="14"/>
                <w:b w:val="1"/>
                <w:bCs w:val="1"/>
                <w:color w:val="auto"/>
              </w:rPr>
              <w:t>Issuers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Missouri</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7,301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1,217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Illinois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23,686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23,429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2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revenue bonds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49,249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89"/>
              </w:rPr>
              <w:t>19</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120" w:type="dxa"/>
            <w:vAlign w:val="bottom"/>
            <w:tcBorders>
              <w:bottom w:val="single" w:sz="8" w:color="808080"/>
            </w:tcBorders>
            <w:gridSpan w:val="2"/>
          </w:tcPr>
          <w:p>
            <w:pPr>
              <w:spacing w:after="0"/>
              <w:rPr>
                <w:sz w:val="11"/>
                <w:szCs w:val="11"/>
                <w:color w:val="auto"/>
              </w:rPr>
            </w:pPr>
          </w:p>
        </w:tc>
        <w:tc>
          <w:tcPr>
            <w:tcW w:w="1580" w:type="dxa"/>
            <w:vAlign w:val="bottom"/>
            <w:tcBorders>
              <w:bottom w:val="single" w:sz="8" w:color="808080"/>
            </w:tcBorders>
            <w:gridSpan w:val="2"/>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3860" w:type="dxa"/>
            <w:vAlign w:val="bottom"/>
            <w:gridSpan w:val="5"/>
          </w:tcPr>
          <w:p>
            <w:pPr>
              <w:ind w:left="660"/>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Average Exposure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6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Per Issuer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Issuers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Indiana</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12,001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Missouri</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7,376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7,336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Illinois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24,163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24,158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2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revenue bonds</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50,017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50,004</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-1673860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-1673860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revenue bonds are diversified across many issuers and revenue sources with $3.5 million and $3.6 million being the largest exposure to a single issuer at each of March 31, 2018 and December 31, 2017, respectively. Accordingly, as of March 31, 2018 and December 31, 2017, the Company did not hold revenue bonds of any single issuer, the aggregate book or market value of which exceeded 10% of the Company’s stockholders’ equity. Of the revenue bonds in the Company’s portfolio, 99.4% had been rated by at least one nationally recognized statistical rating organization and 0.6% were unrated, based on the fair value as of March 31, 2018 and December 31, 2017. Some of the primary types of revenue bonds held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ectPr>
          <w:pgSz w:w="11900" w:h="16838" w:orient="portrait"/>
          <w:cols w:equalWidth="0" w:num="1">
            <w:col w:w="11460"/>
          </w:cols>
          <w:pgMar w:left="240" w:top="125" w:right="199" w:bottom="161" w:gutter="0" w:footer="0" w:header="0"/>
        </w:sectPr>
      </w:pPr>
    </w:p>
    <w:bookmarkStart w:id="12" w:name="page13"/>
    <w:bookmarkEnd w:id="12"/>
    <w:p>
      <w:pPr>
        <w:ind w:right="80"/>
        <w:spacing w:after="0" w:line="276" w:lineRule="auto"/>
        <w:rPr>
          <w:sz w:val="20"/>
          <w:szCs w:val="20"/>
          <w:color w:val="auto"/>
        </w:rPr>
      </w:pPr>
      <w:r>
        <w:rPr>
          <w:rFonts w:ascii="Arial" w:cs="Arial" w:eastAsia="Arial" w:hAnsi="Arial"/>
          <w:sz w:val="17"/>
          <w:szCs w:val="17"/>
          <w:color w:val="auto"/>
        </w:rPr>
        <w:t>At March 31, 2018, all of the Company’s obligations of state and political subdivision securities are owned by its subsidiary bank, which has adopted First Busey’s investment policy requiring that state and political subdivision securities purchased be investment grade. Such investment policy also limits the amount of rated state and political subdivision securities to an aggregate 100% of the subsidiary bank’s total capital (as defined by federal regulations) at the time of purchase and an aggregate 15% of total capital for unrated state and political subdivision securities issued by municipalities having taxing authority or located in counties/micropolitan statistical areas/metropolitan statistical areas in which an office is located.</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All securities in First Busey’s obligations of state and political subdivision securities portfolio are subject to periodic review. Factors that may be considered as part of monitoring of state and political subdivision securities include credit rating changes by nationally recognized statistical rating organizations, market valuations, third-party municipal credit analysis, which may include indicative information regarding the issuer’s capacity to pay, market and economic data and such other factors as are available and relevant to the security or the issuer such as its budgetary position and sources, strength and stability of taxes and/or other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 held for sale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Loans held for sale totaled $29.0 million and $94.8 million at March 31, 2018 and December 31, 2017, respectively. The amount of loans held for sale decreased from December 31, 2017, due to lower origination volumes. Loans held for sale generate net interest income until loans are delivered to investors, at which point mortgage revenue will be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mortgage revenue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p>
      <w:pPr>
        <w:jc w:val="center"/>
        <w:ind w:left="2960"/>
        <w:spacing w:after="0"/>
        <w:rPr>
          <w:sz w:val="20"/>
          <w:szCs w:val="20"/>
          <w:color w:val="auto"/>
        </w:rPr>
      </w:pPr>
      <w:r>
        <w:rPr>
          <w:rFonts w:ascii="Arial" w:cs="Arial" w:eastAsia="Arial" w:hAnsi="Arial"/>
          <w:sz w:val="14"/>
          <w:szCs w:val="14"/>
          <w:b w:val="1"/>
          <w:bCs w:val="1"/>
          <w:color w:val="auto"/>
        </w:rPr>
        <w:t>Three Months Ended</w:t>
      </w:r>
    </w:p>
    <w:p>
      <w:pPr>
        <w:jc w:val="center"/>
        <w:ind w:left="29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Premiums received on sales of mortgage loans,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including fair value adjustments</w:t>
            </w:r>
          </w:p>
        </w:tc>
        <w:tc>
          <w:tcPr>
            <w:tcW w:w="106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12,151</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Less direct origination costs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(3,019)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(10,387)</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Less provisions to liability for loans sold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Mortgage servicing revenues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395</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revenue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60" w:type="dxa"/>
            <w:vAlign w:val="bottom"/>
            <w:gridSpan w:val="2"/>
          </w:tcPr>
          <w:p>
            <w:pPr>
              <w:jc w:val="right"/>
              <w:ind w:right="667"/>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gridSpan w:val="2"/>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Note 6: Portfolio loans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w w:val="99"/>
              </w:rPr>
              <w:t xml:space="preserve">Distributions of portfolio loans were as follows </w:t>
            </w:r>
            <w:r>
              <w:rPr>
                <w:rFonts w:ascii="Arial" w:cs="Arial" w:eastAsia="Arial" w:hAnsi="Arial"/>
                <w:sz w:val="18"/>
                <w:szCs w:val="18"/>
                <w:i w:val="1"/>
                <w:iCs w:val="1"/>
                <w:color w:val="auto"/>
                <w:w w:val="99"/>
              </w:rPr>
              <w:t>(dollars in thousands)</w:t>
            </w: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1,431,496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1,414,631</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2,360,560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2,354,684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269,125</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261,506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1,443,962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1,460,801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26,310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Portfolio loans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5,531,453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5,519,500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45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52,649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53,582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5,478,804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5,465,918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-2411095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-2411095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Net deferred loan origination costs included in the table above were $4.5 million as of March 31, 2018 and $4.1 million as of December 31, 2017. Net accretable purchase accounting adjustments included in the table above reduced loans by $20.7 million as of March 31, 2018 and $23.6 million as of December 31, 2017.</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believes that making sound loans is a necessary and desirable means of employing funds available for investment. Recognizing the Company’s obligations to its stockholders, depositors, and to the communities it serves,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might be originated outside of these areas, but such loans are generally residential mortgage loans originated for sale in the secondary market or are loans to existing customers of the Bank.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6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Management reviews and approves the Company’s lending policies and procedures on a routine basis. The policies for legacy First Community and South Side Bank loans are similar in nature to Busey Bank’s policies and the Company is migrating such loan production towards the Busey Bank policies. Management routinely (at least quarterly) reviews the Company’s allowance for loan losses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Additional significant underwriting factors beyond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7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At no time is a borrower’s total borrowing relationship permitted to exceed the Company’s regulatory lending limit and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ectPr>
          <w:pgSz w:w="11900" w:h="16838" w:orient="portrait"/>
          <w:cols w:equalWidth="0" w:num="1">
            <w:col w:w="11460"/>
          </w:cols>
          <w:pgMar w:left="240" w:top="125" w:right="199" w:bottom="0" w:gutter="0" w:footer="0" w:header="0"/>
        </w:sectPr>
      </w:pPr>
    </w:p>
    <w:bookmarkStart w:id="13" w:name="page14"/>
    <w:bookmarkEnd w:id="13"/>
    <w:p>
      <w:pPr>
        <w:ind w:right="40"/>
        <w:spacing w:after="0" w:line="264"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lending activities can be summarized into five primary areas: commercial loans, commercial real estate loans, real estate construction loans, retail real estate loans, and retail other loans. A description of each of the lending areas can be found in the Company’s Annual Report on Form 10-K for the year ended December 31, 2017. The significant majority of the Company’s portfolio lending activity occurs in its Illinois and Missouri markets, with the remainder in the Indiana and Florida markets.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loan grading scale to assign a risk grade to all of its loans. A description of the general characteristics of each grade is as follows:</w:t>
      </w:r>
    </w:p>
    <w:p>
      <w:pPr>
        <w:spacing w:after="0" w:line="248" w:lineRule="exact"/>
        <w:rPr>
          <w:sz w:val="20"/>
          <w:szCs w:val="20"/>
          <w:color w:val="auto"/>
        </w:rPr>
      </w:pPr>
    </w:p>
    <w:p>
      <w:pPr>
        <w:jc w:val="both"/>
        <w:ind w:left="680" w:right="680" w:hanging="322"/>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This category includes loans that are all considered strong credits, ranging from investment or near investment grade, to loans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who exhibit credit fundamentals that exceed industry standards and loan policy guidelines and loans that exhibit acceptable credit fundamentals.</w:t>
      </w:r>
    </w:p>
    <w:p>
      <w:pPr>
        <w:spacing w:after="0" w:line="181" w:lineRule="exact"/>
        <w:rPr>
          <w:rFonts w:ascii="Arial" w:cs="Arial" w:eastAsia="Arial" w:hAnsi="Arial"/>
          <w:sz w:val="18"/>
          <w:szCs w:val="18"/>
          <w:color w:val="auto"/>
        </w:rPr>
      </w:pPr>
    </w:p>
    <w:p>
      <w:pPr>
        <w:ind w:left="680" w:right="380" w:hanging="322"/>
        <w:spacing w:after="0" w:line="277"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on management’s “Watch List” and is intended to be utilized on a temporary basis for a pass grade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where a significant risk-modifying action is anticipated in the near future.</w:t>
      </w:r>
    </w:p>
    <w:p>
      <w:pPr>
        <w:spacing w:after="0" w:line="170" w:lineRule="exact"/>
        <w:rPr>
          <w:rFonts w:ascii="Arial" w:cs="Arial" w:eastAsia="Arial" w:hAnsi="Arial"/>
          <w:sz w:val="18"/>
          <w:szCs w:val="18"/>
          <w:color w:val="auto"/>
        </w:rPr>
      </w:pPr>
    </w:p>
    <w:p>
      <w:pPr>
        <w:ind w:left="680" w:right="620" w:hanging="322"/>
        <w:spacing w:after="0" w:line="277"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 which may, if not checked or</w:t>
      </w:r>
      <w:r>
        <w:rPr>
          <w:rFonts w:ascii="Arial" w:cs="Arial" w:eastAsia="Arial" w:hAnsi="Arial"/>
          <w:sz w:val="18"/>
          <w:szCs w:val="18"/>
          <w:i w:val="1"/>
          <w:iCs w:val="1"/>
          <w:color w:val="auto"/>
        </w:rPr>
        <w:t xml:space="preserve"> </w:t>
      </w:r>
      <w:r>
        <w:rPr>
          <w:rFonts w:ascii="Arial" w:cs="Arial" w:eastAsia="Arial" w:hAnsi="Arial"/>
          <w:sz w:val="18"/>
          <w:szCs w:val="18"/>
          <w:color w:val="auto"/>
        </w:rPr>
        <w:t>corrected, weaken the asset or inadequately protect the Company’s credit position at some future date.</w:t>
      </w:r>
    </w:p>
    <w:p>
      <w:pPr>
        <w:spacing w:after="0" w:line="170" w:lineRule="exact"/>
        <w:rPr>
          <w:rFonts w:ascii="Arial" w:cs="Arial" w:eastAsia="Arial" w:hAnsi="Arial"/>
          <w:sz w:val="18"/>
          <w:szCs w:val="18"/>
          <w:color w:val="auto"/>
        </w:rPr>
      </w:pPr>
    </w:p>
    <w:p>
      <w:pPr>
        <w:ind w:left="680" w:right="120" w:hanging="322"/>
        <w:spacing w:after="0" w:line="286" w:lineRule="auto"/>
        <w:tabs>
          <w:tab w:leader="none" w:pos="644"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This category includes “Substandard” loans, determined in accordance with regulatory guidelines, for which the accrual of interest has</w:t>
      </w:r>
      <w:r>
        <w:rPr>
          <w:rFonts w:ascii="Arial" w:cs="Arial" w:eastAsia="Arial" w:hAnsi="Arial"/>
          <w:sz w:val="17"/>
          <w:szCs w:val="17"/>
          <w:i w:val="1"/>
          <w:iCs w:val="1"/>
          <w:color w:val="auto"/>
        </w:rPr>
        <w:t xml:space="preserve"> </w:t>
      </w:r>
      <w:r>
        <w:rPr>
          <w:rFonts w:ascii="Arial" w:cs="Arial" w:eastAsia="Arial" w:hAnsi="Arial"/>
          <w:sz w:val="17"/>
          <w:szCs w:val="17"/>
          <w:color w:val="auto"/>
        </w:rPr>
        <w:t>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65" w:lineRule="exact"/>
        <w:rPr>
          <w:rFonts w:ascii="Arial" w:cs="Arial" w:eastAsia="Arial" w:hAnsi="Arial"/>
          <w:sz w:val="17"/>
          <w:szCs w:val="17"/>
          <w:color w:val="auto"/>
        </w:rPr>
      </w:pPr>
    </w:p>
    <w:p>
      <w:pPr>
        <w:ind w:left="680" w:right="200" w:hanging="322"/>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Doubtful- </w:t>
      </w:r>
      <w:r>
        <w:rPr>
          <w:rFonts w:ascii="Arial" w:cs="Arial" w:eastAsia="Arial" w:hAnsi="Arial"/>
          <w:sz w:val="18"/>
          <w:szCs w:val="18"/>
          <w:color w:val="auto"/>
        </w:rPr>
        <w:t>This category includes “Doubtful” loans that have all the characteristics of a “Substandard” loan with additional factors that make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in full highly questionable and improbable. Such loans are placed on non-accrual status and may be dependent on collateral with a value that is difficult to determine.</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All loans are graded at their inception.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Portfolio loans in the highest grades, represented by the pass and watch categories, totaled $5.3 billion at March 31, 2018 and December 31, 2017. Portfolio loans in the lowest grades, represented by the special mention, substandard and doubtful categories, totaled $223.0 million at March 31, 2018, compared to $193.8 million at December 31, 2017.</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(excluding accretable purchase accounting adjustments and non-posted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31, 2018</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Pass</w:t>
            </w:r>
          </w:p>
        </w:tc>
        <w:tc>
          <w:tcPr>
            <w:tcW w:w="22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Special</w:t>
            </w:r>
          </w:p>
        </w:tc>
        <w:tc>
          <w:tcPr>
            <w:tcW w:w="140" w:type="dxa"/>
            <w:vAlign w:val="bottom"/>
          </w:tcPr>
          <w:p>
            <w:pPr>
              <w:spacing w:after="0"/>
              <w:rPr>
                <w:sz w:val="10"/>
                <w:szCs w:val="10"/>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5"/>
              </w:rPr>
              <w:t>Substandard</w:t>
            </w:r>
          </w:p>
        </w:tc>
        <w:tc>
          <w:tcPr>
            <w:tcW w:w="180" w:type="dxa"/>
            <w:vAlign w:val="bottom"/>
          </w:tcPr>
          <w:p>
            <w:pPr>
              <w:spacing w:after="0"/>
              <w:rPr>
                <w:sz w:val="10"/>
                <w:szCs w:val="10"/>
                <w:color w:val="auto"/>
              </w:rPr>
            </w:pPr>
          </w:p>
        </w:tc>
        <w:tc>
          <w:tcPr>
            <w:tcW w:w="10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Doubtful</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Mention</w:t>
            </w: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1,195,019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2,164,692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26,745</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43,116</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13,269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220,493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Retail real estate</w:t>
            </w:r>
          </w:p>
        </w:tc>
        <w:tc>
          <w:tcPr>
            <w:tcW w:w="24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1,411,995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7,980</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4,792</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8,506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26,666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5,018,865</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87,667</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102,737</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gridSpan w:val="4"/>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6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Pass</w:t>
            </w:r>
          </w:p>
        </w:tc>
        <w:tc>
          <w:tcPr>
            <w:tcW w:w="22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Special</w:t>
            </w:r>
          </w:p>
        </w:tc>
        <w:tc>
          <w:tcPr>
            <w:tcW w:w="140" w:type="dxa"/>
            <w:vAlign w:val="bottom"/>
          </w:tcPr>
          <w:p>
            <w:pPr>
              <w:spacing w:after="0"/>
              <w:rPr>
                <w:sz w:val="10"/>
                <w:szCs w:val="10"/>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5"/>
              </w:rPr>
              <w:t>Substandard</w:t>
            </w:r>
          </w:p>
        </w:tc>
        <w:tc>
          <w:tcPr>
            <w:tcW w:w="180" w:type="dxa"/>
            <w:vAlign w:val="bottom"/>
          </w:tcPr>
          <w:p>
            <w:pPr>
              <w:spacing w:after="0"/>
              <w:rPr>
                <w:sz w:val="10"/>
                <w:szCs w:val="10"/>
                <w:color w:val="auto"/>
              </w:rPr>
            </w:pPr>
          </w:p>
        </w:tc>
        <w:tc>
          <w:tcPr>
            <w:tcW w:w="10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Doubtful</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Mention</w:t>
            </w: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1,175,421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2,169,420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130,056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21,151</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36,482</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11,997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212,952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3,880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Retail real estate</w:t>
            </w:r>
          </w:p>
        </w:tc>
        <w:tc>
          <w:tcPr>
            <w:tcW w:w="24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1,436,156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5,162</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4,135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6,714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5,022,249</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81,559</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87,628</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-1544955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-1544955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the principal due. Loans may be returned to accrual status when all of the principal and interest amounts contractually due are brought current and future payments are reasonably assured.</w:t>
      </w:r>
    </w:p>
    <w:p>
      <w:pPr>
        <w:sectPr>
          <w:pgSz w:w="11900" w:h="16838" w:orient="portrait"/>
          <w:cols w:equalWidth="0" w:num="1">
            <w:col w:w="11460"/>
          </w:cols>
          <w:pgMar w:left="240" w:top="125" w:right="19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 xml:space="preserve">An analysis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ind w:left="634"/>
              <w:spacing w:after="0"/>
              <w:rPr>
                <w:sz w:val="20"/>
                <w:szCs w:val="20"/>
                <w:color w:val="auto"/>
              </w:rPr>
            </w:pPr>
            <w:r>
              <w:rPr>
                <w:rFonts w:ascii="Arial" w:cs="Arial" w:eastAsia="Arial" w:hAnsi="Arial"/>
                <w:sz w:val="14"/>
                <w:szCs w:val="14"/>
                <w:b w:val="1"/>
                <w:bCs w:val="1"/>
                <w:color w:val="auto"/>
                <w:w w:val="94"/>
              </w:rPr>
              <w:t>March 31, 2018</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6"/>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3"/>
              </w:rPr>
              <w:t>Non-accrual</w:t>
            </w:r>
          </w:p>
        </w:tc>
        <w:tc>
          <w:tcPr>
            <w:tcW w:w="0" w:type="dxa"/>
            <w:vAlign w:val="bottom"/>
          </w:tcPr>
          <w:p>
            <w:pPr>
              <w:spacing w:after="0"/>
              <w:rPr>
                <w:sz w:val="1"/>
                <w:szCs w:val="1"/>
                <w:color w:val="auto"/>
              </w:rPr>
            </w:pPr>
          </w:p>
        </w:tc>
      </w:tr>
      <w:tr>
        <w:trPr>
          <w:trHeight w:val="106"/>
        </w:trPr>
        <w:tc>
          <w:tcPr>
            <w:tcW w:w="4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30-59 Days</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2"/>
              </w:rPr>
              <w:t>60-89 Days</w:t>
            </w: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90+Days</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40" w:type="dxa"/>
            <w:vAlign w:val="bottom"/>
            <w:tcBorders>
              <w:top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13,269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5,592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1,513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center"/>
              <w:ind w:right="52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6"/>
          </w:tcPr>
          <w:p>
            <w:pPr>
              <w:jc w:val="center"/>
              <w:ind w:right="40"/>
              <w:spacing w:after="0" w:line="142" w:lineRule="exact"/>
              <w:rPr>
                <w:sz w:val="20"/>
                <w:szCs w:val="20"/>
                <w:color w:val="auto"/>
              </w:rPr>
            </w:pPr>
            <w:r>
              <w:rPr>
                <w:rFonts w:ascii="Arial" w:cs="Arial" w:eastAsia="Arial" w:hAnsi="Arial"/>
                <w:sz w:val="14"/>
                <w:szCs w:val="14"/>
                <w:b w:val="1"/>
                <w:bCs w:val="1"/>
                <w:color w:val="auto"/>
                <w:w w:val="90"/>
              </w:rPr>
              <w:t>Loans past due, still accruing</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Non-accrual</w:t>
            </w:r>
          </w:p>
        </w:tc>
        <w:tc>
          <w:tcPr>
            <w:tcW w:w="0" w:type="dxa"/>
            <w:vAlign w:val="bottom"/>
          </w:tcPr>
          <w:p>
            <w:pPr>
              <w:spacing w:after="0"/>
              <w:rPr>
                <w:sz w:val="1"/>
                <w:szCs w:val="1"/>
                <w:color w:val="auto"/>
              </w:rPr>
            </w:pPr>
          </w:p>
        </w:tc>
      </w:tr>
      <w:tr>
        <w:trPr>
          <w:trHeight w:val="106"/>
        </w:trPr>
        <w:tc>
          <w:tcPr>
            <w:tcW w:w="4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30-59 Days</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60-89 Days</w:t>
            </w: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90+Days</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1,856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2,737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11,997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4,840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1,355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933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8,477</w:t>
            </w:r>
          </w:p>
        </w:tc>
        <w:tc>
          <w:tcPr>
            <w:tcW w:w="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4,420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2,741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24,624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loan is classified as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Loans graded substandard or doubtful and loans classified as a troubled debt restructuring (“TDR”) are reviewed by the Company for potential impairment.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Impairment is measured on a loan-by-loan basis for commercial and construction loans based on the present value of the expected future cash flows discounted at the loan’s effective interest rate, the loan’s observable market price, or the fair value of the collateral if the loan is collateral dependent. PCI loans are considered impaired. Large groups of smaller balance homogenous loans are collectively evaluated for impairment. Accordingly, the Company does not separately identify individual consumer and residential loans for impairment unless such loans are the subject of a restructuring agreement.</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gross interest income that would have been recorded in the three months ended March 31, 2018 if impaired loans had been current in accordance with their original terms was $0.4 million. The amount of interest collected on those loans and recognized on a cash basis that was included in interest income was insignificant for the three months ended March 31, 2018.</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loan portfolio includes certain loans that have been modified in a TDR, where concessions have been granted to borrowers who have experienced financial difficulties. The Company will restructure a loan for its customer after evaluating whether the borrower is able to meet the terms of the loan over the long term, though unable to meet the terms of the loan in the near term due to individual circumstances.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The Company considers the customer’s past performance, previous and current credit history, the individual circumstances surrounding the customer’s current difficulties and the customer’s plan to meet the terms of the loan in the future prior to restructuring the terms of the loan. Generally, all five primary areas of lending are restructured through short-term interest rate relief, short-term principal payment relief, short-term principal and interest payment relief or forbearance (debt forgiveness). Once a restructured loan exceeds 90 days past due or is placed on non-accrual status, it is classified as non-performing. A summary of restructured loans as of March 31, 2018 and December 31, 2017 is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52"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 compliance with modified terms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30 – 89 days past due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Included in non-performing loans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1,919</w:t>
            </w:r>
          </w:p>
        </w:tc>
        <w:tc>
          <w:tcPr>
            <w:tcW w:w="80" w:type="dxa"/>
            <w:vAlign w:val="bottom"/>
            <w:shd w:val="clear" w:color="auto" w:fill="CCEEFF"/>
          </w:tcPr>
          <w:p>
            <w:pPr>
              <w:spacing w:after="0"/>
              <w:rPr>
                <w:sz w:val="18"/>
                <w:szCs w:val="18"/>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fair value of the TDR is less than the recorded investment in the loan, impairment is recognized through an allowance estimate in the period of the modification and in periods subsequent to the modification.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performing loans classified as a TDR during the three months ended March 31, 2018 and 2017.</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gross interest income that would have been recorded in the three months ended March 31, 2018 and 2017 if performing TDRs had been performing in accordance with their original terms compared with their modified terms was insignificant.</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were no TDRs that were entered into during the last twelve months that were subsequently classified as non-performing and had payment defaults (a default occurs when a loan is 90 days or more past due or transferred to non-accrual) during the three months ended March 31, 2018. There were no TDRs that were entered into during the prior twelve months that were subsequently classified as non-performing and had payment defaults during the three months ended March 31, 2017.</w:t>
      </w:r>
    </w:p>
    <w:p>
      <w:pPr>
        <w:sectPr>
          <w:pgSz w:w="11900" w:h="16838" w:orient="portrait"/>
          <w:cols w:equalWidth="0" w:num="1">
            <w:col w:w="11420"/>
          </w:cols>
          <w:pgMar w:left="240" w:top="125" w:right="239" w:bottom="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 xml:space="preserve">The following tables provide details of impaired loans, segregated by category.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Recorded</w:t>
            </w:r>
          </w:p>
        </w:tc>
        <w:tc>
          <w:tcPr>
            <w:tcW w:w="180" w:type="dxa"/>
            <w:vAlign w:val="bottom"/>
          </w:tcPr>
          <w:p>
            <w:pPr>
              <w:spacing w:after="0"/>
              <w:rPr>
                <w:sz w:val="10"/>
                <w:szCs w:val="10"/>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Related</w:t>
            </w: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with No</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with</w:t>
            </w:r>
          </w:p>
        </w:tc>
        <w:tc>
          <w:tcPr>
            <w:tcW w:w="1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22,374</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17,251</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2,545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19,796</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1,045</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19,268</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15,891</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15,916</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55,470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47,090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Recorded</w:t>
            </w:r>
          </w:p>
        </w:tc>
        <w:tc>
          <w:tcPr>
            <w:tcW w:w="180" w:type="dxa"/>
            <w:vAlign w:val="bottom"/>
          </w:tcPr>
          <w:p>
            <w:pPr>
              <w:spacing w:after="0"/>
              <w:rPr>
                <w:sz w:val="10"/>
                <w:szCs w:val="10"/>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Related</w:t>
            </w: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with No</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with</w:t>
            </w:r>
          </w:p>
        </w:tc>
        <w:tc>
          <w:tcPr>
            <w:tcW w:w="1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22,218</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16,472</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1,964</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18,436</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18,517</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14,957</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14,982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52,419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39,657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39,124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allowance for loan losses represents an estimate of the amount of probable losses believed to be inherent in the Company’s loan portfolio at the Consolidated Balance Sheet date. The allowance for loan losses is calculated geographically, by class of loans.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March 31, 2018 and December 31, 2017.</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general portion of the Company’s allowance contains two components: (i) a component for historical loss ratios, and (ii) a component for adversely graded loans. The historical loss ratio component is an annualized loss rate calculated using a sum-of-years digits weighted 20-quarter historical average.</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component for adversely graded loans attempts to quantify the additional risk of loss inherent in the special mention and substandard portfolios. The substandard portfolio has an additional allocation of 3.00% placed on such loans, which is an estimate of the additional loss inherent in these loan grades based upon a review of overall historical charge-offs. As of March 31, 2018, the Company believed this reserve remained adequate. Special mention loans have an additional allocation of 1.0% placed on such loans, which is an estimate of the additional loss inherent in these loan grades. As of March 31, 2018, the Company believed this reserve remained adequate.</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specific portion of the Company’s allowance relates to loans that are impaired, which includes non-performing loans, TDRs and other loans determined to be impaired. Impaired loans are excluded from the determination of the general allowance for non-impaired loans and are allocated specific reserves as discussed above.</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general reserve quantitative allocation that is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 (v) Macro and Local Economic Factors; (vi) Impact of Competition, Legal &amp; Regulatory Issues; (vii) Nature and Volume of Loan Portfolio; (viii) Concentrations of Credit; (ix) Net Charge-Off Trends; and (x) Non-Accrual, Past Due and Classified Trends. Management evaluates the probable impact from the degree of risk that each one of these components has on the quality of the loan portfolio on a quarterly basis.</w:t>
      </w:r>
    </w:p>
    <w:p>
      <w:pPr>
        <w:spacing w:after="0" w:line="16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Based on each component’s risk factor, a qualitative adjustment to the reserve may be applied to the appropriate loan categories. During the first quarter of 2018, the Company adjusted qualitative factors for Impact of Competition, Legal &amp; Regulatory and Net Charge-Off Trends based on current analysis. The Company will continue to monitor its qualitative factors on a quarterly basis.</w:t>
      </w:r>
    </w:p>
    <w:p>
      <w:pPr>
        <w:sectPr>
          <w:pgSz w:w="11900" w:h="16838" w:orient="portrait"/>
          <w:cols w:equalWidth="0" w:num="1">
            <w:col w:w="11380"/>
          </w:cols>
          <w:pgMar w:left="240" w:top="125" w:right="279" w:bottom="69" w:gutter="0" w:footer="0" w:header="0"/>
        </w:sectPr>
      </w:pPr>
    </w:p>
    <w:bookmarkStart w:id="16" w:name="page17"/>
    <w:bookmarkEnd w:id="16"/>
    <w:p>
      <w:pPr>
        <w:ind w:right="40"/>
        <w:spacing w:after="0" w:line="257" w:lineRule="auto"/>
        <w:rPr>
          <w:sz w:val="20"/>
          <w:szCs w:val="20"/>
          <w:color w:val="auto"/>
        </w:rPr>
      </w:pPr>
      <w:r>
        <w:rPr>
          <w:rFonts w:ascii="Arial" w:cs="Arial" w:eastAsia="Arial" w:hAnsi="Arial"/>
          <w:sz w:val="18"/>
          <w:szCs w:val="18"/>
          <w:color w:val="auto"/>
        </w:rPr>
        <w:t>The Company holds acquired loans from business combinations with uncollected principal balances. These loans are carried net of a fair value adjustment for credit risk and interest rates and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 The balance of all acquired loans which did not require a related allowance for loan losses as of March 31, 2018 totaled approximately $1.7 billion.</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following table details activity in the allowance for loan losses.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As of and for the Three Months Ended March 31, 2018</w:t>
            </w: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6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Retail Real</w:t>
            </w:r>
          </w:p>
        </w:tc>
        <w:tc>
          <w:tcPr>
            <w:tcW w:w="180" w:type="dxa"/>
            <w:vAlign w:val="bottom"/>
          </w:tcPr>
          <w:p>
            <w:pPr>
              <w:spacing w:after="0"/>
              <w:rPr>
                <w:sz w:val="10"/>
                <w:szCs w:val="10"/>
                <w:color w:val="auto"/>
              </w:rPr>
            </w:pP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Retail Other</w:t>
            </w:r>
          </w:p>
        </w:tc>
        <w:tc>
          <w:tcPr>
            <w:tcW w:w="26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21,813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53,582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(3,662)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989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As of and for the Three Months Ended March 31, 2017</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6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Retail Real</w:t>
            </w:r>
          </w:p>
        </w:tc>
        <w:tc>
          <w:tcPr>
            <w:tcW w:w="180" w:type="dxa"/>
            <w:vAlign w:val="bottom"/>
          </w:tcPr>
          <w:p>
            <w:pPr>
              <w:spacing w:after="0"/>
              <w:rPr>
                <w:sz w:val="10"/>
                <w:szCs w:val="10"/>
                <w:color w:val="auto"/>
              </w:rPr>
            </w:pP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Retail Other</w:t>
            </w:r>
          </w:p>
        </w:tc>
        <w:tc>
          <w:tcPr>
            <w:tcW w:w="26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20,623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47,795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1,379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allowance for loan losses and recorded investments in portfolio loans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5"/>
              </w:rPr>
              <w:t>As of March 31, 2018</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Retail Other</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Amount allocated to: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15,279</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17,577</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9,836</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52,649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1,421,427</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2,340,764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267,855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1,428,046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26,271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5,484,363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1,431,496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2,360,560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269,125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1,443,962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5,531,453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2"/>
              </w:rPr>
              <w:t>As of December 31, 2017</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Retail Other</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Amount allocated to: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14,641</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21,109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13,758</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14,779</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13,783</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1,407,248</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2,336,248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260,490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1,445,819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5,477,663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1,414,631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2,354,684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1,460,801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5,519,500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303"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OREO</w:t>
      </w:r>
    </w:p>
    <w:p>
      <w:pPr>
        <w:spacing w:after="0" w:line="229"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OREO represents properties acquired through foreclosure or other proceedings in settlement of loans and is included in other assets in the accompanying Consolidated Balance Sheets.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Properties are evaluated regularly to ensure each recorded amount is supported by its current fair value, and valuation allowances to reduce the carrying amount due to subsequent declines in fair value less estimated costs to dispose are recorded as necessary. Revenue, expense, gains and losses from the operations of foreclosed assets are included in operations. At March 31, 2018, the Company held $0.7 million in commercial OREO, $0.3 million in residential OREO and an insignificant amount of other repossessed assets. At December 31, 2017, the Company held $1.2 million in commercial OREO, $0.1 million in residential OREO and an insignificant amount of other repossessed assets. At March 31, 2018 the Company had $2.0 million of residential real estate in the process of foreclosure.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activity related to OREO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4"/>
                <w:szCs w:val="14"/>
                <w:color w:val="auto"/>
              </w:rPr>
            </w:pPr>
          </w:p>
        </w:tc>
        <w:tc>
          <w:tcPr>
            <w:tcW w:w="19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Additions, transfers from loans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Additions, fair value from First Community acquisition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Additions, fair value from Mid Illinois acquisition</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OREO</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Gain on sales of OREO</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OREO</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Ending balance</w:t>
            </w: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8: Deposits</w:t>
            </w: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40" w:type="dxa"/>
            <w:vAlign w:val="bottom"/>
            <w:gridSpan w:val="3"/>
          </w:tcPr>
          <w:p>
            <w:pPr>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Demand deposits, noninterest-bearing</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1,651,333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1,597,421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Interest-bearing transaction deposit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1,212,324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1,166,170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 and money market deposits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2,058,639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2,026,212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Time deposits</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1,408,878</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1,336,162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6,331,174</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6,125,965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Interest-bearing transaction deposits included $48.2 million and $45.4 million of brokered transaction deposits, including reciprocal brokered deposits, at March 31, 2018 and December 31, 2017, respectively. Savings deposits and money market deposits included $127.3 million and $127.5 million of brokered deposits, including reciprocal brokered deposits, at March 31, 2018 and December 31, 2017, respectively.</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aggregate amount of time deposits with a minimum denomination of $100,000 was approximately $570.8 million and $578.9 million at March 31, 2018 and December 31, 2017, respectively. The aggregate amount of time deposits with a minimum denomination that meets or exceeds the Federal Deposit Insurance Corporation (“FDIC”) insurance limit of $250,000 was approximately $224.1 million and $197.9 million at March 31, 2018 and December 31, 2017, respectively. The Company held reciprocal brokered time deposits of $59.1 million and $62.0 million at March 31, 2018 and December 31, 2017, respectively, included in the balance of time deposits. Further, the Company held brokered deposits of $250.0 million and $247.7 million at March 31, 2018 and December 31, 2017, respectively, which are included in the balance of time deposits.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w w:val="95"/>
              </w:rPr>
              <w:t xml:space="preserve">As of March 31, 2018, the scheduled maturities of time deposits, are as follows </w:t>
            </w:r>
            <w:r>
              <w:rPr>
                <w:rFonts w:ascii="Arial" w:cs="Arial" w:eastAsia="Arial" w:hAnsi="Arial"/>
                <w:sz w:val="18"/>
                <w:szCs w:val="18"/>
                <w:i w:val="1"/>
                <w:iCs w:val="1"/>
                <w:color w:val="auto"/>
                <w:w w:val="95"/>
              </w:rPr>
              <w:t>(dollars in thousands)</w:t>
            </w:r>
            <w:r>
              <w:rPr>
                <w:rFonts w:ascii="Arial" w:cs="Arial" w:eastAsia="Arial" w:hAnsi="Arial"/>
                <w:sz w:val="18"/>
                <w:szCs w:val="18"/>
                <w:color w:val="auto"/>
                <w:w w:val="95"/>
              </w:rPr>
              <w:t>:</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30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April 1, 2018 – March 31, 2019</w:t>
            </w:r>
          </w:p>
        </w:tc>
        <w:tc>
          <w:tcPr>
            <w:tcW w:w="7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949,961</w:t>
            </w:r>
          </w:p>
        </w:tc>
      </w:tr>
      <w:tr>
        <w:trPr>
          <w:trHeight w:val="216"/>
        </w:trPr>
        <w:tc>
          <w:tcPr>
            <w:tcW w:w="13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April 1, 2019 – March 31, 2020</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302,299</w:t>
            </w:r>
          </w:p>
        </w:tc>
      </w:tr>
      <w:tr>
        <w:trPr>
          <w:trHeight w:val="216"/>
        </w:trPr>
        <w:tc>
          <w:tcPr>
            <w:tcW w:w="13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April 1, 2020 – March 31, 2021</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60,717</w:t>
            </w:r>
          </w:p>
        </w:tc>
      </w:tr>
      <w:tr>
        <w:trPr>
          <w:trHeight w:val="216"/>
        </w:trPr>
        <w:tc>
          <w:tcPr>
            <w:tcW w:w="13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April 1, 2021 – March 31, 2022</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50,556</w:t>
            </w:r>
          </w:p>
        </w:tc>
      </w:tr>
      <w:tr>
        <w:trPr>
          <w:trHeight w:val="216"/>
        </w:trPr>
        <w:tc>
          <w:tcPr>
            <w:tcW w:w="13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April 1, 2022 – March 31, 2023</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45,273</w:t>
            </w:r>
          </w:p>
        </w:tc>
      </w:tr>
      <w:tr>
        <w:trPr>
          <w:trHeight w:val="216"/>
        </w:trPr>
        <w:tc>
          <w:tcPr>
            <w:tcW w:w="13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0"/>
        </w:trPr>
        <w:tc>
          <w:tcPr>
            <w:tcW w:w="1300" w:type="dxa"/>
            <w:vAlign w:val="bottom"/>
          </w:tcPr>
          <w:p>
            <w:pPr>
              <w:spacing w:after="0"/>
              <w:rPr>
                <w:sz w:val="18"/>
                <w:szCs w:val="18"/>
                <w:color w:val="auto"/>
              </w:rPr>
            </w:pPr>
          </w:p>
        </w:tc>
        <w:tc>
          <w:tcPr>
            <w:tcW w:w="64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1,408,878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Securities sold under agreements to repurchase, which are classified as secured borrowings, generally mature either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May 5, 2017, the Company entered into a second amendment to a credit agreement with a correspondent bank to extend a revolving loan facility to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 in the maximum principal amount of $40.0 million, with an annual interest rate of 2.50% plus the one-month LIBOR rate, which had a maturity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date of April 30, 2018. The Company had no outstanding amount on March 31, 2018 or December 31, 2017. On April 30, 2018, the Company entered into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third amendment to extend the maturity of this revolving loan facility from April 30, 2018 to April 30, 2019, decrease the maximum principal amount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$40.0 million to $20.0 million, and amend and restate the LIBOR rate definition to an annual interest rate of 1.75% plus the one-month LIBOR rate. The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also bears a non-usage fee calculated based on the average daily principal balance of the loan outstanding during the prior fiscal quarter.</w:t>
      </w:r>
    </w:p>
    <w:p>
      <w:pPr>
        <w:sectPr>
          <w:pgSz w:w="11900" w:h="16838" w:orient="portrait"/>
          <w:cols w:equalWidth="0" w:num="1">
            <w:col w:w="11420"/>
          </w:cols>
          <w:pgMar w:left="240" w:top="121" w:right="239" w:bottom="0" w:gutter="0" w:footer="0" w:header="0"/>
        </w:sectPr>
      </w:pPr>
    </w:p>
    <w:bookmarkStart w:id="18" w:name="page19"/>
    <w:bookmarkEnd w:id="18"/>
    <w:p>
      <w:pPr>
        <w:spacing w:after="0" w:line="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following table sets forth the distribution of securities sold under agreements to repurchase and short-term borrowings and weighted average interest rates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98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Securities sold under agreements to repurchase</w:t>
            </w: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235,311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304,566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267,596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304,566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258,049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213,527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interest rate during period(1)</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0.54%</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0.46%</w:t>
            </w:r>
          </w:p>
        </w:tc>
      </w:tr>
      <w:tr>
        <w:trPr>
          <w:trHeight w:val="216"/>
        </w:trPr>
        <w:tc>
          <w:tcPr>
            <w:tcW w:w="59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234,600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123,889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84,201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period(1)</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20" w:right="2360" w:hanging="264"/>
        <w:spacing w:after="0" w:line="277" w:lineRule="auto"/>
        <w:tabs>
          <w:tab w:leader="none" w:pos="91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weighted average interest rate is computed by dividing total annualized interest for the year-to-date period by the average daily balance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7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7260" w:type="dxa"/>
            <w:vAlign w:val="bottom"/>
            <w:shd w:val="clear" w:color="auto" w:fill="CCEEFF"/>
          </w:tcPr>
          <w:p>
            <w:pPr>
              <w:jc w:val="right"/>
              <w:ind w:right="970"/>
              <w:spacing w:after="0" w:line="182" w:lineRule="exact"/>
              <w:rPr>
                <w:sz w:val="20"/>
                <w:szCs w:val="20"/>
                <w:color w:val="auto"/>
              </w:rPr>
            </w:pPr>
            <w:r>
              <w:rPr>
                <w:rFonts w:ascii="Arial" w:cs="Arial" w:eastAsia="Arial" w:hAnsi="Arial"/>
                <w:sz w:val="18"/>
                <w:szCs w:val="18"/>
                <w:color w:val="auto"/>
                <w:w w:val="91"/>
              </w:rPr>
              <w:t>Notes payable, FHLB, ranging in original maturity from nineteen months to ten years,</w:t>
            </w: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50,000</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7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3"/>
              </w:rPr>
              <w:t>collateralized by FHLB deposits, residential and commercial real estate loans and FHLB stock.</w:t>
            </w:r>
          </w:p>
        </w:tc>
        <w:tc>
          <w:tcPr>
            <w:tcW w:w="460" w:type="dxa"/>
            <w:vAlign w:val="bottom"/>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60" w:type="dxa"/>
            <w:vAlign w:val="bottom"/>
            <w:tcBorders>
              <w:top w:val="single" w:sz="8" w:color="CCEEFF"/>
              <w:bottom w:val="single" w:sz="8" w:color="CCEEFF"/>
            </w:tcBorders>
            <w:vMerge w:val="restart"/>
          </w:tcPr>
          <w:p>
            <w:pPr>
              <w:jc w:val="right"/>
              <w:ind w:right="1710"/>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72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March 31, 2018, funds borrowed from the FHLB, listed above, consisted of variable-rate notes maturing through September 2024, with interest rates ranging from 1.40% to 1.71%. The weighted average rate on the long-term advances was 1.52% as of March 31, 2018. As of December 31, 2017, funds borrowed from the FHLB, listed above, consisted of variable-rate notes maturing through September 2024, with interest rates ranging from 1.10% to 1.32%. The weighted average rate on the long-term advances was 1.19% as of December 31, 2017.</w:t>
      </w:r>
    </w:p>
    <w:p>
      <w:pPr>
        <w:spacing w:after="0" w:line="18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On May 25, 2017, the Company issued $40.0 million of 3.75% senior notes that mature on May 25, 2022. The senior notes are payable semi-annually on each May 25 and November 25, commencing on November 25, 2017. Additionally, on May 25, 2017, the Company issued $60.0 million of fixed-to-floating rate subordinated notes that mature on May 25, 2027. The subordinated notes, which qualify as Tier 2 capital for First Busey, are at an initial rate of 4.75% for five years and thereafter at an annual floating rate equal to three-month LIBOR plus a spread of 2.919%. The subordinated notes are payable semi-annually on each May 25 and November 25, commencing on November 25, 2017 during the five year fixed-term and thereafter each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totaled $0.6 million and $0.9 million, respectively, at March 31, 2018. Unamortized debt issuance costs related to the senior notes and subordinated notes totaled $0.6 million and $1.0 million, respectively, at December 31, 2017. The Company used the net proceeds from the offering to finance a portion of the cash consideration for its acquisition of First Community, to redeem a portion of First Community subordinated debentures in July 2017, and to finance a portion of the cash consideration for its acquisition of Mid Illinois in October 2017, with the remaining proceeds to be used for general corporate purposes.</w:t>
      </w:r>
    </w:p>
    <w:p>
      <w:pPr>
        <w:spacing w:after="0" w:line="18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relation to the First Community acquisition, the Company assumed $15.3 million in subordinated debt, of which $9.8 million was simultaneously redeemed. The remaining $5.5 million was issued on September 30, 2013, matures on September 30, 2021 and bears interest payable quarterly, at an annual interest rate of 8.625%. Beginning on September 30, 2018, the Company may, at its option, redeem the note at a redemption price equal to the principal amount outstanding plus accrued but unpaid interest. A $0.3 million purchase accounting premium was recorded on the remaining subordinated debt.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Junior Subordinated Debt Owed to Unconsolidated Trusts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The Company had $71.0 million of junior subordinated debt owed to unconsolidated trusts at March 31, 2018 and December 31, 2017.</w:t>
      </w:r>
    </w:p>
    <w:p>
      <w:pPr>
        <w:spacing w:after="0" w:line="16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w:t>
      </w:r>
    </w:p>
    <w:p>
      <w:pPr>
        <w:spacing w:after="0" w:line="178"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Under current banking regulations, bank holding companies are allowed to include qualifying trust preferred securities in their Tier 1 Capital for regulatory capital purposes, subject to a 25% limitation to all core (Tier 1) capital elements, net of goodwill and other intangible assets less any associated deferred tax liability. As of March 31, 2018, 100% of the trust preferred securities qualified as Tier 1 capital under the final rule adopted in March 2005.</w:t>
      </w:r>
    </w:p>
    <w:p>
      <w:pPr>
        <w:sectPr>
          <w:pgSz w:w="11900" w:h="16871" w:orient="portrait"/>
          <w:cols w:equalWidth="0" w:num="1">
            <w:col w:w="11460"/>
          </w:cols>
          <w:pgMar w:left="240" w:top="125" w:right="199" w:bottom="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Dodd-Frank Act mandated the Federal Reserve to establish minimum capital levels for holding companies on a consolidated basis as stringent as those required for FDIC-insured institutions. A result of this change is that the proceeds of hybrid instruments, such as trust preferred securities, are being excluded from capital over a phase-out period. However, if such securities were issued prior to May 19, 2010 by bank holding companies with less than $15.0 billion of assets, they may be retained, subject to certain restrictions. Because the Company has assets of less than $15.0 billion, it is able to maintain our trust preferred proceeds as capital, but the Company has to comply with new capital mandates in other respects and will not be able to raise capital in the future through the issuance of trust preferred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17"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Three Months Ended</w:t>
      </w:r>
    </w:p>
    <w:p>
      <w:pPr>
        <w:jc w:val="center"/>
        <w:ind w:left="46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2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21,917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Shares: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48,775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38,293</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Dilutive effect of outstanding options, warrants and restricted stock</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as determined by the application of the treasury stock</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method</w:t>
            </w:r>
          </w:p>
        </w:tc>
        <w:tc>
          <w:tcPr>
            <w:tcW w:w="8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outstanding, as adjusted for</w:t>
            </w:r>
          </w:p>
        </w:tc>
        <w:tc>
          <w:tcPr>
            <w:tcW w:w="8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90"/>
              </w:rPr>
              <w:t>49,179</w:t>
            </w:r>
          </w:p>
        </w:tc>
        <w:tc>
          <w:tcPr>
            <w:tcW w:w="32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38,754</w:t>
            </w: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share calculation</w:t>
            </w:r>
          </w:p>
        </w:tc>
        <w:tc>
          <w:tcPr>
            <w:tcW w:w="8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Diluted earnings per common share are computed using the treasury stock method and reflects the potential dilution that could occur if the Company’s outstanding stock options and warrants were exercised and restricted stock units were vested. Stock options, warrants and restricted stock units for which the exercise or the grant price exceeds the average market price over the period have an anti-dilutive effect and are excluded from the calculation. At March 31, 2018, 191,278 warrants were anti-dilutive and excluded from the calculation of common stock equivalents. At March 31, 2017, 10,850 outstanding options and 191,278 warrants were anti-dilutive and excluded from the calculation of common stock equivalents.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Share-based Compensation</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grants share-based compensation awards to its employees and members of its board of directors as provided for under the Company’s 2010 Equity Incentive Plan. In addition, pursuant to the terms of the First Community 2016 Equity Incentive Plan, the Company may grant awards with respect to First Busey common stock to legacy employees and directors of First Community or its subsidiaries. Permissible awards under the plan include, but are not limited to, non-qualified stock options, incentive stock options, stock appreciation rights, restricted stock and restricted stock units.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a requisite service periods ranging from one to five years. The Company annually grants share-based awards in the form of DSUs, which are RSUs with a deferred settlement date, to its board of directors. Each DSU is equivalent to one share of the Company’s common stock. The DSUs vest on the first anniversary of the grant date or on the date of the next Annual Meeting of Stockholders, whichever is earlier. These units generally are subject to the same terms as RSUs under the Company’s 2010 Equity Incentive Plan or the First Community 2016 Equity Incentive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 and stock options assumed with previous acquisitions.</w:t>
      </w:r>
    </w:p>
    <w:p>
      <w:pPr>
        <w:spacing w:after="0" w:line="19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Under the terms of the Company’s 2010 Equity Incentive Plan and the First Community 2016 Equity Incentive Plan, the Company is allowed, but not required, to source stock option exercises and grants of RSUs and DSUs from its inventory of treasury stock. As of March 31, 2018, the Company held 468,342 shares in treasury. On February 3, 2015, First Busey announced that its board of directors approved a repurchase plan under which the Company is authorized to repurchase up to an aggregate of 666,667 shares of its common stock. The repurchase plan has no expiration date and replaced the prior repurchase plan originally approved in 2008. During 2015, the Company purchased 333,333 shares under this repurchase plan. At March 31, 2018 the Company had 333,334 shares that may still be purchased under the plan.</w:t>
      </w:r>
    </w:p>
    <w:p>
      <w:pPr>
        <w:spacing w:after="0" w:line="17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Company’s 2010 Equity Incentive Plan is designed to encourage ownership of its common stock by its employees and directors, to provide additional incentive for them to promote the success of the Company’s business, and to attract and retain talented personnel. All of the Company’s employees and directors, and those of its subsidiaries, are eligible to receive awards under the plan.</w:t>
      </w:r>
    </w:p>
    <w:p>
      <w:pPr>
        <w:sectPr>
          <w:pgSz w:w="11900" w:h="16838" w:orient="portrait"/>
          <w:cols w:equalWidth="0" w:num="1">
            <w:col w:w="11420"/>
          </w:cols>
          <w:pgMar w:left="240" w:top="341" w:right="239" w:bottom="0" w:gutter="0" w:footer="0" w:header="0"/>
        </w:sectPr>
      </w:pPr>
    </w:p>
    <w:bookmarkStart w:id="20" w:name="page21"/>
    <w:bookmarkEnd w:id="20"/>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description of the 2010 Equity Incentive Plan, which was amended in 2015, can be found in the Company’s Proxy Statement for the 2015 Annual Meeting of Stockholders. A description of the First Community 2016 Equity Incentive Plan can be found in the Proxy Statement of First Community Financial Partners, Inc. for the 2016 Annual Meeting of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and changes in the Company’s stock option awards for the three months ended March 31, 2018 follows:</w:t>
      </w:r>
    </w:p>
    <w:p>
      <w:pPr>
        <w:sectPr>
          <w:pgSz w:w="11900" w:h="16900"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Outstanding at beginning of year</w:t>
      </w:r>
    </w:p>
    <w:p>
      <w:pPr>
        <w:spacing w:after="0" w:line="4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Exercised</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Expired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Outstanding at end of period</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Exercisable at end of period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ind w:left="347"/>
              <w:spacing w:after="0" w:line="149"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71"/>
        </w:trPr>
        <w:tc>
          <w:tcPr>
            <w:tcW w:w="1680" w:type="dxa"/>
            <w:vAlign w:val="bottom"/>
            <w:gridSpan w:val="2"/>
            <w:vMerge w:val="continue"/>
          </w:tcPr>
          <w:p>
            <w:pPr>
              <w:spacing w:after="0"/>
              <w:rPr>
                <w:sz w:val="14"/>
                <w:szCs w:val="14"/>
                <w:color w:val="auto"/>
              </w:rPr>
            </w:pPr>
          </w:p>
        </w:tc>
        <w:tc>
          <w:tcPr>
            <w:tcW w:w="940" w:type="dxa"/>
            <w:vAlign w:val="bottom"/>
          </w:tcPr>
          <w:p>
            <w:pPr>
              <w:jc w:val="center"/>
              <w:ind w:left="347"/>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5"/>
        </w:trPr>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213,428</w:t>
            </w:r>
          </w:p>
        </w:tc>
        <w:tc>
          <w:tcPr>
            <w:tcW w:w="300" w:type="dxa"/>
            <w:vAlign w:val="bottom"/>
          </w:tcPr>
          <w:p>
            <w:pPr>
              <w:spacing w:after="0"/>
              <w:rPr>
                <w:sz w:val="16"/>
                <w:szCs w:val="16"/>
                <w:color w:val="auto"/>
              </w:rPr>
            </w:pPr>
          </w:p>
        </w:tc>
        <w:tc>
          <w:tcPr>
            <w:tcW w:w="940" w:type="dxa"/>
            <w:vAlign w:val="bottom"/>
            <w:tcBorders>
              <w:top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4"/>
              </w:rPr>
              <w:t>16.97</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(34,369)</w:t>
            </w:r>
          </w:p>
        </w:tc>
        <w:tc>
          <w:tcPr>
            <w:tcW w:w="9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13.62</w:t>
            </w: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(6,985)</w:t>
            </w:r>
          </w:p>
        </w:tc>
        <w:tc>
          <w:tcPr>
            <w:tcW w:w="9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20.72</w:t>
            </w: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(2,171)</w:t>
            </w:r>
          </w:p>
        </w:tc>
        <w:tc>
          <w:tcPr>
            <w:tcW w:w="94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16.48</w:t>
            </w:r>
          </w:p>
        </w:tc>
        <w:tc>
          <w:tcPr>
            <w:tcW w:w="280" w:type="dxa"/>
            <w:vAlign w:val="bottom"/>
          </w:tcPr>
          <w:p>
            <w:pPr>
              <w:spacing w:after="0"/>
              <w:rPr>
                <w:sz w:val="20"/>
                <w:szCs w:val="20"/>
                <w:color w:val="auto"/>
              </w:rPr>
            </w:pPr>
          </w:p>
        </w:tc>
        <w:tc>
          <w:tcPr>
            <w:tcW w:w="19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0"/>
        </w:trPr>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169,903</w:t>
            </w:r>
          </w:p>
        </w:tc>
        <w:tc>
          <w:tcPr>
            <w:tcW w:w="300" w:type="dxa"/>
            <w:vAlign w:val="bottom"/>
          </w:tcPr>
          <w:p>
            <w:pPr>
              <w:spacing w:after="0"/>
              <w:rPr>
                <w:sz w:val="18"/>
                <w:szCs w:val="18"/>
                <w:color w:val="auto"/>
              </w:rPr>
            </w:pPr>
          </w:p>
        </w:tc>
        <w:tc>
          <w:tcPr>
            <w:tcW w:w="940" w:type="dxa"/>
            <w:vAlign w:val="bottom"/>
            <w:tcBorders>
              <w:top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4"/>
              </w:rPr>
              <w:t>17.50</w:t>
            </w:r>
          </w:p>
        </w:tc>
        <w:tc>
          <w:tcPr>
            <w:tcW w:w="280" w:type="dxa"/>
            <w:vAlign w:val="bottom"/>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tcPr>
          <w:p>
            <w:pPr>
              <w:jc w:val="right"/>
              <w:spacing w:after="0"/>
              <w:rPr>
                <w:sz w:val="20"/>
                <w:szCs w:val="20"/>
                <w:color w:val="auto"/>
              </w:rPr>
            </w:pPr>
            <w:r>
              <w:rPr>
                <w:rFonts w:ascii="Arial" w:cs="Arial" w:eastAsia="Arial" w:hAnsi="Arial"/>
                <w:sz w:val="18"/>
                <w:szCs w:val="18"/>
                <w:color w:val="auto"/>
              </w:rPr>
              <w:t>126,987</w:t>
            </w:r>
          </w:p>
        </w:tc>
        <w:tc>
          <w:tcPr>
            <w:tcW w:w="300" w:type="dxa"/>
            <w:vAlign w:val="bottom"/>
            <w:vMerge w:val="continue"/>
          </w:tcPr>
          <w:p>
            <w:pPr>
              <w:spacing w:after="0"/>
              <w:rPr>
                <w:sz w:val="18"/>
                <w:szCs w:val="18"/>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15.47</w:t>
            </w:r>
          </w:p>
        </w:tc>
        <w:tc>
          <w:tcPr>
            <w:tcW w:w="2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-874395</wp:posOffset>
            </wp:positionV>
            <wp:extent cx="579755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-2399665</wp:posOffset>
            </wp:positionH>
            <wp:positionV relativeFrom="paragraph">
              <wp:posOffset>-591820</wp:posOffset>
            </wp:positionV>
            <wp:extent cx="579755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-2399665</wp:posOffset>
            </wp:positionH>
            <wp:positionV relativeFrom="paragraph">
              <wp:posOffset>-317500</wp:posOffset>
            </wp:positionV>
            <wp:extent cx="579755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87" w:lineRule="exact"/>
        <w:rPr>
          <w:sz w:val="20"/>
          <w:szCs w:val="20"/>
          <w:color w:val="auto"/>
        </w:rPr>
      </w:pPr>
    </w:p>
    <w:p>
      <w:pPr>
        <w:sectPr>
          <w:pgSz w:w="11900" w:h="16900" w:orient="portrait"/>
          <w:cols w:equalWidth="0" w:num="2">
            <w:col w:w="4040" w:space="720"/>
            <w:col w:w="6660"/>
          </w:cols>
          <w:pgMar w:left="240" w:top="125" w:right="239" w:bottom="0" w:gutter="0" w:footer="0" w:header="0"/>
          <w:type w:val="continuous"/>
        </w:sectPr>
      </w:pPr>
    </w:p>
    <w:p>
      <w:pPr>
        <w:ind w:right="140"/>
        <w:spacing w:after="0" w:line="286" w:lineRule="auto"/>
        <w:rPr>
          <w:sz w:val="20"/>
          <w:szCs w:val="20"/>
          <w:color w:val="auto"/>
        </w:rPr>
      </w:pPr>
      <w:r>
        <w:rPr>
          <w:rFonts w:ascii="Arial" w:cs="Arial" w:eastAsia="Arial" w:hAnsi="Arial"/>
          <w:sz w:val="17"/>
          <w:szCs w:val="17"/>
          <w:color w:val="auto"/>
        </w:rPr>
        <w:t>The Company recorded $0.1 million stock option compensation expense for the three months ended March 31, 2018 related to the converted options from First Community. The Company did not record any stock option compensation expense for the three months ended March 31, 2017. As of March 31, 2018, the Company had $0.4 million of unrecognized stock option expense. This cost is expected to be recognized over a period of 1.6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stock unit awards for the three months ended March 31, 2018, is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Director</w:t>
            </w: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Units</w:t>
            </w: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4"/>
              </w:rPr>
              <w:t>22.68</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4"/>
              </w:rPr>
              <w:t>25.47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equivalents earned</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31.18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Vested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30.33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590,694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4"/>
              </w:rPr>
              <w:t>22.72</w:t>
            </w:r>
          </w:p>
        </w:tc>
        <w:tc>
          <w:tcPr>
            <w:tcW w:w="3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42,683</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4"/>
              </w:rPr>
              <w:t>25.51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Outstanding at end of period</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590,694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740"/>
              <w:spacing w:after="0" w:line="196" w:lineRule="exact"/>
              <w:rPr>
                <w:sz w:val="20"/>
                <w:szCs w:val="20"/>
                <w:color w:val="auto"/>
              </w:rPr>
            </w:pPr>
            <w:r>
              <w:rPr>
                <w:rFonts w:ascii="Arial" w:cs="Arial" w:eastAsia="Arial" w:hAnsi="Arial"/>
                <w:sz w:val="18"/>
                <w:szCs w:val="18"/>
                <w:color w:val="auto"/>
                <w:w w:val="84"/>
              </w:rPr>
              <w:t>22.72</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120,755</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ind w:left="740"/>
              <w:spacing w:after="0" w:line="196" w:lineRule="exact"/>
              <w:rPr>
                <w:sz w:val="20"/>
                <w:szCs w:val="20"/>
                <w:color w:val="auto"/>
              </w:rPr>
            </w:pPr>
            <w:r>
              <w:rPr>
                <w:rFonts w:ascii="Arial" w:cs="Arial" w:eastAsia="Arial" w:hAnsi="Arial"/>
                <w:sz w:val="18"/>
                <w:szCs w:val="18"/>
                <w:color w:val="auto"/>
                <w:w w:val="84"/>
              </w:rPr>
              <w:t>21.06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Recipients earn quarterly dividend equivalents on their respective units which entitle the recipients to additional units. Therefore, dividends earned each quarter compound based upon the updated unit balances. Upon vesting/delivery, shares are expected (though not required) to be issued from treasury.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$0.8 million and $0.5 million of compensation expense related to non-vested RSUs and DSUs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2018 and 2017, respectively. As of March 31, 2018, there was $7.7 million of total unrecognized compensation cost related to these non-vested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RSUs and DSUs. This cost is expected to be recognized over a period of 3.4 years.</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March 31, 2018, 891,648 shares remain available for issuance pursuant to the Company’s 2010 Equity Incentive Plan, 78,690 shares remain available for issuance pursuant to the Company’s Employee Stock Purchase Plan and 313,939 shares remain available for issuance pursuant to the First Community 2016 Equity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the Company was not under examination by any tax authority.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unaudited Consolidated Balance Sheets.</w:t>
      </w:r>
    </w:p>
    <w:p>
      <w:pPr>
        <w:spacing w:after="0" w:line="166"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 and standby letters of credit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r>
      <w:tr>
        <w:trPr>
          <w:trHeight w:val="196"/>
        </w:trPr>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instruments whose contract amounts represent credit risk:</w:t>
            </w:r>
          </w:p>
        </w:tc>
        <w:tc>
          <w:tcPr>
            <w:tcW w:w="1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rPr>
              <w:t>Commitments to extend credit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1,352,821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1,300,294</w:t>
            </w:r>
          </w:p>
        </w:tc>
      </w:tr>
      <w:tr>
        <w:trPr>
          <w:trHeight w:val="111"/>
        </w:trPr>
        <w:tc>
          <w:tcPr>
            <w:tcW w:w="63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125" w:right="239" w:bottom="0" w:gutter="0" w:footer="0" w:header="0"/>
          <w:type w:val="continuous"/>
        </w:sectPr>
      </w:pPr>
    </w:p>
    <w:bookmarkStart w:id="21" w:name="page22"/>
    <w:bookmarkEnd w:id="21"/>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Standby letters of credit</w:t>
            </w:r>
          </w:p>
        </w:tc>
        <w:tc>
          <w:tcPr>
            <w:tcW w:w="47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35,452</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37,231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 amount of collateral obtained, if it is deemed necessary by the Company upon extension of credit, is based on management’s credit evaluation of the customer.</w:t>
      </w:r>
    </w:p>
    <w:p>
      <w:pPr>
        <w:spacing w:after="0" w:line="18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customer’s obligation to a third-party.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March 31, 2018 and December 31, 2017, no amounts were recorded as liabilities for the Company’s potential obligations under these guarantees.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will sign contracts for construction projects relating to the Company’s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15: Capital</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has been in a retained earnings deficit position since 2009, it has not been able to pay dividends since that time. 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$40.0 million on October 12, 2017. The Company expects to seek regulatory approval for additional capital distributions from Busey Bank in future periods until such time as Busey Bank is no longer in a retained earnings deficit.</w:t>
      </w:r>
    </w:p>
    <w:p>
      <w:pPr>
        <w:spacing w:after="0" w:line="19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and Busey Bank are subject to regulatory capital requirements administered by federal and/or state agencies that involve the quantitative measure of their assets, liabilities, and certain off-balance-sheet items, as calculated under regulatory accounting practices. Quantitative measures established by regulations to ensure capital adequacy require the Company and Busey Bank to maintain minimum dollar amounts and ratios of such to risk weighted assets (as defined in the regulations and set forth in the table below) of total capital, Tier 1 capital and Common Equity Tier 1 capital, and for the bank, Tier 1 capital to average assets. Failure to meet minimum capital requirements may cause regulatory bodies to initiate certain discretionary and/or mandatory actions that, if undertaken, could have a direct material effect on our unaudited Consolidated Financial Statements. The Company, as a financial holding company, is required to be “well capitalized” in the capital categories shown in the table below. As of March 31, 2018, the Company and Busey Bank met all capital adequacy requirements to which they were subject, including the guidelines to be considered “well capitalized.”</w:t>
      </w:r>
    </w:p>
    <w:p>
      <w:pPr>
        <w:spacing w:after="0" w:line="16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Dodd-Frank Act established minimum capital levels for bank holding companies on a consolidated basis. The components of Tier 1 capital are restricted to capital instruments that, at the time of signing, were considered to be Tier 1 capital for insured depository institutions. Under this legislation, the Company is able to maintain its trust preferred securities as Tier 1 capital, but it will have to comply with new capital mandates in other respects, and it will not be able to raise Tier 1 capital through the issuance of trust preferred securities in the future.</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July 2013, the U.S. federal banking authorities approved the implementation of the Basel III Rule required by the Dodd-Frank Act. The Basel III Rule is applicable to all U.S. banks that are subject to minimum capital requirements, as well as to bank and savings and loan holding companies other than “small bank holding companies” (generally non-public bank holding companies with consolidated assets of less than $1.0 billion). The Basel III Rule not only increased most of the required minimum regulatory capital ratios, but they also introduced a new Common Equity Tier 1 Capital ratio and the concept of a capital conservation buffer.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Basel III Rule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under the old guidelines no longer qualify, or their qualifications will change, as the Basel III Rule is being fully implemented.</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Basel III Rule also permitted banking organizations with less than $15.0 billion in assets to retain, through a one-time election, the past treatment for accumulated other comprehensive income (loss), which did not affect regulatory capital. First Busey and Busey Bank made this election in the first quarter of 2015 to avoid variations in the level of their capital depending on fluctuations in the fair value of their securities portfolio. The Basel III Rule maintained the general structure of the prompt corrective action framework, while incorporating increased requirements. The prompt corrective action guidelines were also revised to add the Common Equity Tier 1 Capital ratio. Under the final capital rules that became effective on January 1, 2015, there was a requirement for a Common Equity Tier 1 capital conservation buffer of 2.5% of risk weighted assets which is in addition to the other minimum risk based capital standards in the rule. Failure to maintain the buffer will result in restrictions on the Company’s ability to make capital distributions, including the payment of dividends, and to pay discretionary bonuses to executive officers. The capital buffer requirement is being phased-in over three years beginning in 2016.</w:t>
      </w:r>
    </w:p>
    <w:p>
      <w:pPr>
        <w:spacing w:after="0" w:line="16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March 31, 2018 table below includes the 1.875% increase as of January 1, 2018 in the minimum capital requirement ratios. The capital buffer requirement effectively raises the minimum required Common Equity Tier 1 Capital ratio to 7.0%, the Tier 1 Capital ratio to 8.5%, and the Total Capital ratio</w:t>
      </w:r>
    </w:p>
    <w:p>
      <w:pPr>
        <w:sectPr>
          <w:pgSz w:w="11900" w:h="16975" w:orient="portrait"/>
          <w:cols w:equalWidth="0" w:num="1">
            <w:col w:w="11420"/>
          </w:cols>
          <w:pgMar w:left="240" w:top="140" w:right="239" w:bottom="0" w:gutter="0" w:footer="0" w:header="0"/>
        </w:sectPr>
      </w:pPr>
    </w:p>
    <w:bookmarkStart w:id="22" w:name="page23"/>
    <w:bookmarkEnd w:id="22"/>
    <w:p>
      <w:pPr>
        <w:jc w:val="both"/>
        <w:ind w:right="400"/>
        <w:spacing w:after="0" w:line="264" w:lineRule="auto"/>
        <w:rPr>
          <w:sz w:val="20"/>
          <w:szCs w:val="20"/>
          <w:color w:val="auto"/>
        </w:rPr>
      </w:pPr>
      <w:r>
        <w:rPr>
          <w:rFonts w:ascii="Arial" w:cs="Arial" w:eastAsia="Arial" w:hAnsi="Arial"/>
          <w:sz w:val="18"/>
          <w:szCs w:val="18"/>
          <w:color w:val="auto"/>
        </w:rPr>
        <w:t xml:space="preserve">to 10.5% on a fully phased-in basis on January 1, 2019. As of March 31, 2018 and December 31, 2017, the Company was in compliance with the current phase of the Basel III Rule and management believes that the Company would meet all capital adequacy requirements under the Basel III Rule on a fully phased-in basis as if such requirements had been in effect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left="455"/>
              <w:spacing w:after="0"/>
              <w:rPr>
                <w:sz w:val="20"/>
                <w:szCs w:val="20"/>
                <w:color w:val="auto"/>
              </w:rPr>
            </w:pPr>
            <w:r>
              <w:rPr>
                <w:rFonts w:ascii="Arial" w:cs="Arial" w:eastAsia="Arial" w:hAnsi="Arial"/>
                <w:sz w:val="14"/>
                <w:szCs w:val="14"/>
                <w:b w:val="1"/>
                <w:bCs w:val="1"/>
                <w:color w:val="auto"/>
              </w:rPr>
              <w:t>Minimum</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Minimum To Be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6"/>
            <w:vMerge w:val="restart"/>
          </w:tcPr>
          <w:p>
            <w:pPr>
              <w:ind w:left="680"/>
              <w:spacing w:after="0"/>
              <w:rPr>
                <w:sz w:val="20"/>
                <w:szCs w:val="20"/>
                <w:color w:val="auto"/>
              </w:rPr>
            </w:pPr>
            <w:r>
              <w:rPr>
                <w:rFonts w:ascii="Arial" w:cs="Arial" w:eastAsia="Arial" w:hAnsi="Arial"/>
                <w:sz w:val="14"/>
                <w:szCs w:val="14"/>
                <w:b w:val="1"/>
                <w:bCs w:val="1"/>
                <w:color w:val="auto"/>
              </w:rPr>
              <w:t>Actual</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7"/>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Capital Requirement with</w:t>
            </w:r>
          </w:p>
        </w:tc>
        <w:tc>
          <w:tcPr>
            <w:tcW w:w="160" w:type="dxa"/>
            <w:vAlign w:val="bottom"/>
          </w:tcPr>
          <w:p>
            <w:pPr>
              <w:spacing w:after="0"/>
              <w:rPr>
                <w:sz w:val="12"/>
                <w:szCs w:val="12"/>
                <w:color w:val="auto"/>
              </w:rPr>
            </w:pPr>
          </w:p>
        </w:tc>
        <w:tc>
          <w:tcPr>
            <w:tcW w:w="23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6"/>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8"/>
              </w:rPr>
              <w:t>Capital Buffer</w:t>
            </w:r>
          </w:p>
        </w:tc>
        <w:tc>
          <w:tcPr>
            <w:tcW w:w="160" w:type="dxa"/>
            <w:vAlign w:val="bottom"/>
          </w:tcPr>
          <w:p>
            <w:pPr>
              <w:spacing w:after="0"/>
              <w:rPr>
                <w:sz w:val="14"/>
                <w:szCs w:val="14"/>
                <w:color w:val="auto"/>
              </w:rPr>
            </w:pPr>
          </w:p>
        </w:tc>
        <w:tc>
          <w:tcPr>
            <w:tcW w:w="2320" w:type="dxa"/>
            <w:vAlign w:val="bottom"/>
            <w:gridSpan w:val="4"/>
          </w:tcPr>
          <w:p>
            <w:pPr>
              <w:ind w:left="480"/>
              <w:spacing w:after="0"/>
              <w:rPr>
                <w:sz w:val="20"/>
                <w:szCs w:val="20"/>
                <w:color w:val="auto"/>
              </w:rPr>
            </w:pPr>
            <w:r>
              <w:rPr>
                <w:rFonts w:ascii="Arial" w:cs="Arial" w:eastAsia="Arial" w:hAnsi="Arial"/>
                <w:sz w:val="14"/>
                <w:szCs w:val="14"/>
                <w:b w:val="1"/>
                <w:bCs w:val="1"/>
                <w:color w:val="auto"/>
              </w:rPr>
              <w:t>Well Capitalized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7"/>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Ratio</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5"/>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Ratio</w:t>
            </w: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Amount</w:t>
            </w:r>
          </w:p>
        </w:tc>
        <w:tc>
          <w:tcPr>
            <w:tcW w:w="114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March 31, 2018:</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86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8"/>
                <w:szCs w:val="18"/>
                <w:color w:val="auto"/>
                <w:w w:val="90"/>
              </w:rPr>
              <w:t>Total Capital (to Risk Weighted Assets)</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847,408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14.32%</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584,466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591,864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Busey Bank</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810,264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420"/>
              <w:spacing w:after="0"/>
              <w:rPr>
                <w:sz w:val="20"/>
                <w:szCs w:val="20"/>
                <w:color w:val="auto"/>
              </w:rPr>
            </w:pPr>
            <w:r>
              <w:rPr>
                <w:rFonts w:ascii="Arial" w:cs="Arial" w:eastAsia="Arial" w:hAnsi="Arial"/>
                <w:sz w:val="18"/>
                <w:szCs w:val="18"/>
                <w:color w:val="auto"/>
              </w:rPr>
              <w:t>13.77%</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581,090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9.875%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588,446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5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0" w:type="dxa"/>
            <w:vAlign w:val="bottom"/>
            <w:vMerge w:val="continue"/>
          </w:tcPr>
          <w:p>
            <w:pPr>
              <w:spacing w:after="0"/>
              <w:rPr>
                <w:sz w:val="15"/>
                <w:szCs w:val="15"/>
                <w:color w:val="auto"/>
              </w:rPr>
            </w:pPr>
          </w:p>
        </w:tc>
        <w:tc>
          <w:tcPr>
            <w:tcW w:w="4220" w:type="dxa"/>
            <w:vAlign w:val="bottom"/>
            <w:gridSpan w:val="10"/>
          </w:tcPr>
          <w:p>
            <w:pPr>
              <w:spacing w:after="0" w:line="176" w:lineRule="exact"/>
              <w:rPr>
                <w:sz w:val="20"/>
                <w:szCs w:val="20"/>
                <w:color w:val="auto"/>
              </w:rPr>
            </w:pPr>
            <w:r>
              <w:rPr>
                <w:rFonts w:ascii="Arial" w:cs="Arial" w:eastAsia="Arial" w:hAnsi="Arial"/>
                <w:sz w:val="18"/>
                <w:szCs w:val="18"/>
                <w:color w:val="auto"/>
              </w:rPr>
              <w:t>Tier 1 Capital (to Risk Weighted Assets)</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729,259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12.32%</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466,093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7.875%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473,492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Busey Bank</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757,615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420"/>
              <w:spacing w:after="0"/>
              <w:rPr>
                <w:sz w:val="20"/>
                <w:szCs w:val="20"/>
                <w:color w:val="auto"/>
              </w:rPr>
            </w:pPr>
            <w:r>
              <w:rPr>
                <w:rFonts w:ascii="Arial" w:cs="Arial" w:eastAsia="Arial" w:hAnsi="Arial"/>
                <w:sz w:val="18"/>
                <w:szCs w:val="18"/>
                <w:color w:val="auto"/>
              </w:rPr>
              <w:t>12.87%</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463,401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7.875%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470,757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5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0" w:type="dxa"/>
            <w:vAlign w:val="bottom"/>
            <w:vMerge w:val="continue"/>
          </w:tcPr>
          <w:p>
            <w:pPr>
              <w:spacing w:after="0"/>
              <w:rPr>
                <w:sz w:val="15"/>
                <w:szCs w:val="15"/>
                <w:color w:val="auto"/>
              </w:rPr>
            </w:pPr>
          </w:p>
        </w:tc>
        <w:tc>
          <w:tcPr>
            <w:tcW w:w="4220" w:type="dxa"/>
            <w:vAlign w:val="bottom"/>
            <w:gridSpan w:val="10"/>
          </w:tcPr>
          <w:p>
            <w:pPr>
              <w:spacing w:after="0" w:line="176" w:lineRule="exact"/>
              <w:rPr>
                <w:sz w:val="20"/>
                <w:szCs w:val="20"/>
                <w:color w:val="auto"/>
              </w:rPr>
            </w:pPr>
            <w:r>
              <w:rPr>
                <w:rFonts w:ascii="Arial" w:cs="Arial" w:eastAsia="Arial" w:hAnsi="Arial"/>
                <w:sz w:val="18"/>
                <w:szCs w:val="18"/>
                <w:color w:val="auto"/>
                <w:w w:val="92"/>
              </w:rPr>
              <w:t>Common Equity Tier 1 Capital (to Risk Weighted Assets)</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655,259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11.07%</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377,314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6.375%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384,712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Busey Bank</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757,615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420"/>
              <w:spacing w:after="0"/>
              <w:rPr>
                <w:sz w:val="20"/>
                <w:szCs w:val="20"/>
                <w:color w:val="auto"/>
              </w:rPr>
            </w:pPr>
            <w:r>
              <w:rPr>
                <w:rFonts w:ascii="Arial" w:cs="Arial" w:eastAsia="Arial" w:hAnsi="Arial"/>
                <w:sz w:val="18"/>
                <w:szCs w:val="18"/>
                <w:color w:val="auto"/>
              </w:rPr>
              <w:t>12.87%</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375,134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6.375%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382,490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0" w:type="dxa"/>
            <w:vAlign w:val="bottom"/>
            <w:vMerge w:val="continue"/>
          </w:tcPr>
          <w:p>
            <w:pPr>
              <w:spacing w:after="0"/>
              <w:rPr>
                <w:sz w:val="15"/>
                <w:szCs w:val="15"/>
                <w:color w:val="auto"/>
              </w:rPr>
            </w:pPr>
          </w:p>
        </w:tc>
        <w:tc>
          <w:tcPr>
            <w:tcW w:w="24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0"/>
              </w:rPr>
              <w:t>Tier 1 Capital (to Average Assets)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729,259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295,060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Busey Bank</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757,615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ind w:left="420"/>
              <w:spacing w:after="0"/>
              <w:rPr>
                <w:sz w:val="20"/>
                <w:szCs w:val="20"/>
                <w:color w:val="auto"/>
              </w:rPr>
            </w:pPr>
            <w:r>
              <w:rPr>
                <w:rFonts w:ascii="Arial" w:cs="Arial" w:eastAsia="Arial" w:hAnsi="Arial"/>
                <w:sz w:val="18"/>
                <w:szCs w:val="18"/>
                <w:color w:val="auto"/>
              </w:rPr>
              <w:t>10.31%</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293,809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367,262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ind w:left="7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gridSpan w:val="2"/>
          </w:tcPr>
          <w:p>
            <w:pPr>
              <w:spacing w:after="0"/>
              <w:rPr>
                <w:sz w:val="11"/>
                <w:szCs w:val="11"/>
                <w:color w:val="auto"/>
              </w:rPr>
            </w:pPr>
          </w:p>
        </w:tc>
        <w:tc>
          <w:tcPr>
            <w:tcW w:w="280" w:type="dxa"/>
            <w:vAlign w:val="bottom"/>
            <w:tcBorders>
              <w:bottom w:val="single" w:sz="8" w:color="808080"/>
            </w:tcBorders>
            <w:gridSpan w:val="2"/>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5"/>
          </w:tcPr>
          <w:p>
            <w:pPr>
              <w:jc w:val="center"/>
              <w:ind w:left="355"/>
              <w:spacing w:after="0"/>
              <w:rPr>
                <w:sz w:val="20"/>
                <w:szCs w:val="20"/>
                <w:color w:val="auto"/>
              </w:rPr>
            </w:pPr>
            <w:r>
              <w:rPr>
                <w:rFonts w:ascii="Arial" w:cs="Arial" w:eastAsia="Arial" w:hAnsi="Arial"/>
                <w:sz w:val="14"/>
                <w:szCs w:val="14"/>
                <w:b w:val="1"/>
                <w:bCs w:val="1"/>
                <w:color w:val="auto"/>
                <w:w w:val="97"/>
              </w:rPr>
              <w:t>Minimum</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Minimum To Be</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6"/>
            <w:vMerge w:val="restart"/>
          </w:tcPr>
          <w:p>
            <w:pPr>
              <w:ind w:left="660"/>
              <w:spacing w:after="0"/>
              <w:rPr>
                <w:sz w:val="20"/>
                <w:szCs w:val="20"/>
                <w:color w:val="auto"/>
              </w:rPr>
            </w:pPr>
            <w:r>
              <w:rPr>
                <w:rFonts w:ascii="Arial" w:cs="Arial" w:eastAsia="Arial" w:hAnsi="Arial"/>
                <w:sz w:val="14"/>
                <w:szCs w:val="14"/>
                <w:b w:val="1"/>
                <w:bCs w:val="1"/>
                <w:color w:val="auto"/>
              </w:rPr>
              <w:t>Actual</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7"/>
          </w:tcPr>
          <w:p>
            <w:pPr>
              <w:ind w:left="80"/>
              <w:spacing w:after="0" w:line="149" w:lineRule="exact"/>
              <w:rPr>
                <w:sz w:val="20"/>
                <w:szCs w:val="20"/>
                <w:color w:val="auto"/>
              </w:rPr>
            </w:pPr>
            <w:r>
              <w:rPr>
                <w:rFonts w:ascii="Arial" w:cs="Arial" w:eastAsia="Arial" w:hAnsi="Arial"/>
                <w:sz w:val="14"/>
                <w:szCs w:val="14"/>
                <w:b w:val="1"/>
                <w:bCs w:val="1"/>
                <w:color w:val="auto"/>
              </w:rPr>
              <w:t>Capital Requirement with</w:t>
            </w:r>
          </w:p>
        </w:tc>
        <w:tc>
          <w:tcPr>
            <w:tcW w:w="160" w:type="dxa"/>
            <w:vAlign w:val="bottom"/>
          </w:tcPr>
          <w:p>
            <w:pPr>
              <w:spacing w:after="0"/>
              <w:rPr>
                <w:sz w:val="12"/>
                <w:szCs w:val="12"/>
                <w:color w:val="auto"/>
              </w:rPr>
            </w:pPr>
          </w:p>
        </w:tc>
        <w:tc>
          <w:tcPr>
            <w:tcW w:w="23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6"/>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left="355"/>
              <w:spacing w:after="0"/>
              <w:rPr>
                <w:sz w:val="20"/>
                <w:szCs w:val="20"/>
                <w:color w:val="auto"/>
              </w:rPr>
            </w:pPr>
            <w:r>
              <w:rPr>
                <w:rFonts w:ascii="Arial" w:cs="Arial" w:eastAsia="Arial" w:hAnsi="Arial"/>
                <w:sz w:val="14"/>
                <w:szCs w:val="14"/>
                <w:b w:val="1"/>
                <w:bCs w:val="1"/>
                <w:color w:val="auto"/>
                <w:w w:val="95"/>
              </w:rPr>
              <w:t>Capital Buffer</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4"/>
          </w:tcPr>
          <w:p>
            <w:pPr>
              <w:ind w:left="480"/>
              <w:spacing w:after="0"/>
              <w:rPr>
                <w:sz w:val="20"/>
                <w:szCs w:val="20"/>
                <w:color w:val="auto"/>
              </w:rPr>
            </w:pPr>
            <w:r>
              <w:rPr>
                <w:rFonts w:ascii="Arial" w:cs="Arial" w:eastAsia="Arial" w:hAnsi="Arial"/>
                <w:sz w:val="14"/>
                <w:szCs w:val="14"/>
                <w:b w:val="1"/>
                <w:bCs w:val="1"/>
                <w:color w:val="auto"/>
              </w:rPr>
              <w:t>Well Capitalized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7"/>
          </w:tcPr>
          <w:p>
            <w:pPr>
              <w:spacing w:after="0" w:line="142"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Ratio</w:t>
            </w:r>
          </w:p>
        </w:tc>
        <w:tc>
          <w:tcPr>
            <w:tcW w:w="2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5"/>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Ratio</w:t>
            </w: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Amount</w:t>
            </w:r>
          </w:p>
        </w:tc>
        <w:tc>
          <w:tcPr>
            <w:tcW w:w="114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2017:</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86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8"/>
                <w:szCs w:val="18"/>
                <w:color w:val="auto"/>
                <w:w w:val="90"/>
              </w:rPr>
              <w:t>Total Capital (to Risk Weighted Assets)</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837,183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14.15%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547,265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591,638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Busey Bank</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704,807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400"/>
              <w:spacing w:after="0"/>
              <w:rPr>
                <w:sz w:val="20"/>
                <w:szCs w:val="20"/>
                <w:color w:val="auto"/>
              </w:rPr>
            </w:pPr>
            <w:r>
              <w:rPr>
                <w:rFonts w:ascii="Arial" w:cs="Arial" w:eastAsia="Arial" w:hAnsi="Arial"/>
                <w:sz w:val="18"/>
                <w:szCs w:val="18"/>
                <w:color w:val="auto"/>
              </w:rPr>
              <w:t>12.78%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509,978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9.25%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551,327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Side Bank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84,914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22.61%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34,744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37,561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5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9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90"/>
              </w:rPr>
              <w:t>Tier 1 Capital (to Risk Weighted Assets)</w:t>
            </w:r>
          </w:p>
        </w:tc>
        <w:tc>
          <w:tcPr>
            <w:tcW w:w="1300" w:type="dxa"/>
            <w:vAlign w:val="bottom"/>
            <w:tcBorders>
              <w:bottom w:val="single" w:sz="8" w:color="CCEEFF"/>
            </w:tcBorders>
            <w:gridSpan w:val="6"/>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718,101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400"/>
              <w:spacing w:after="0"/>
              <w:rPr>
                <w:sz w:val="20"/>
                <w:szCs w:val="20"/>
                <w:color w:val="auto"/>
              </w:rPr>
            </w:pPr>
            <w:r>
              <w:rPr>
                <w:rFonts w:ascii="Arial" w:cs="Arial" w:eastAsia="Arial" w:hAnsi="Arial"/>
                <w:sz w:val="18"/>
                <w:szCs w:val="18"/>
                <w:color w:val="auto"/>
              </w:rPr>
              <w:t>12.14%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428,937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7.25%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473,310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Busey Bank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651,432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11.82%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399,713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441,062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South Side Bank</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84,707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400"/>
              <w:spacing w:after="0"/>
              <w:rPr>
                <w:sz w:val="20"/>
                <w:szCs w:val="20"/>
                <w:color w:val="auto"/>
              </w:rPr>
            </w:pPr>
            <w:r>
              <w:rPr>
                <w:rFonts w:ascii="Arial" w:cs="Arial" w:eastAsia="Arial" w:hAnsi="Arial"/>
                <w:sz w:val="18"/>
                <w:szCs w:val="18"/>
                <w:color w:val="auto"/>
              </w:rPr>
              <w:t>22.55%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27,232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7.25%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30,049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5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0" w:type="dxa"/>
            <w:vAlign w:val="bottom"/>
            <w:vMerge w:val="continue"/>
          </w:tcPr>
          <w:p>
            <w:pPr>
              <w:spacing w:after="0"/>
              <w:rPr>
                <w:sz w:val="15"/>
                <w:szCs w:val="15"/>
                <w:color w:val="auto"/>
              </w:rPr>
            </w:pPr>
          </w:p>
        </w:tc>
        <w:tc>
          <w:tcPr>
            <w:tcW w:w="4220" w:type="dxa"/>
            <w:vAlign w:val="bottom"/>
            <w:gridSpan w:val="10"/>
          </w:tcPr>
          <w:p>
            <w:pPr>
              <w:spacing w:after="0" w:line="176" w:lineRule="exact"/>
              <w:rPr>
                <w:sz w:val="20"/>
                <w:szCs w:val="20"/>
                <w:color w:val="auto"/>
              </w:rPr>
            </w:pPr>
            <w:r>
              <w:rPr>
                <w:rFonts w:ascii="Arial" w:cs="Arial" w:eastAsia="Arial" w:hAnsi="Arial"/>
                <w:sz w:val="18"/>
                <w:szCs w:val="18"/>
                <w:color w:val="auto"/>
                <w:w w:val="92"/>
              </w:rPr>
              <w:t>Common Equity Tier 1 Capital (to Risk Weighted Assets)</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644,633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10.90%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340,192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384,565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Busey Bank</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651,432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420"/>
              <w:spacing w:after="0"/>
              <w:rPr>
                <w:sz w:val="20"/>
                <w:szCs w:val="20"/>
                <w:color w:val="auto"/>
              </w:rPr>
            </w:pPr>
            <w:r>
              <w:rPr>
                <w:rFonts w:ascii="Arial" w:cs="Arial" w:eastAsia="Arial" w:hAnsi="Arial"/>
                <w:sz w:val="18"/>
                <w:szCs w:val="18"/>
                <w:color w:val="auto"/>
              </w:rPr>
              <w:t>11.82%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317,013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5.75%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358,363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Side Bank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84,707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22.55%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24,415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60" w:type="dxa"/>
            <w:vAlign w:val="bottom"/>
            <w:vMerge w:val="continue"/>
          </w:tcPr>
          <w:p>
            <w:pPr>
              <w:spacing w:after="0"/>
              <w:rPr>
                <w:sz w:val="17"/>
                <w:szCs w:val="17"/>
                <w:color w:val="auto"/>
              </w:rPr>
            </w:pPr>
          </w:p>
        </w:tc>
        <w:tc>
          <w:tcPr>
            <w:tcW w:w="2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Tier 1 Capital (to Average Assets)</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Consolidated</w:t>
            </w:r>
          </w:p>
        </w:tc>
        <w:tc>
          <w:tcPr>
            <w:tcW w:w="4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718,101</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3"/>
          </w:tcPr>
          <w:p>
            <w:pPr>
              <w:ind w:left="500"/>
              <w:spacing w:after="0"/>
              <w:rPr>
                <w:sz w:val="20"/>
                <w:szCs w:val="20"/>
                <w:color w:val="auto"/>
              </w:rPr>
            </w:pPr>
            <w:r>
              <w:rPr>
                <w:rFonts w:ascii="Arial" w:cs="Arial" w:eastAsia="Arial" w:hAnsi="Arial"/>
                <w:sz w:val="18"/>
                <w:szCs w:val="18"/>
                <w:color w:val="auto"/>
              </w:rPr>
              <w:t>9.78%</w:t>
            </w: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293,588</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ind w:left="500"/>
              <w:spacing w:after="0"/>
              <w:rPr>
                <w:sz w:val="20"/>
                <w:szCs w:val="20"/>
                <w:color w:val="auto"/>
              </w:rPr>
            </w:pPr>
            <w:r>
              <w:rPr>
                <w:rFonts w:ascii="Arial" w:cs="Arial" w:eastAsia="Arial" w:hAnsi="Arial"/>
                <w:sz w:val="18"/>
                <w:szCs w:val="18"/>
                <w:color w:val="auto"/>
              </w:rPr>
              <w:t>N/A</w:t>
            </w:r>
          </w:p>
        </w:tc>
        <w:tc>
          <w:tcPr>
            <w:tcW w:w="13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Busey Bank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651,432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9.80%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265,847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332,309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South Side Bank</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84,707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ind w:left="400"/>
              <w:spacing w:after="0"/>
              <w:rPr>
                <w:sz w:val="20"/>
                <w:szCs w:val="20"/>
                <w:color w:val="auto"/>
              </w:rPr>
            </w:pPr>
            <w:r>
              <w:rPr>
                <w:rFonts w:ascii="Arial" w:cs="Arial" w:eastAsia="Arial" w:hAnsi="Arial"/>
                <w:sz w:val="18"/>
                <w:szCs w:val="18"/>
                <w:color w:val="auto"/>
              </w:rPr>
              <w:t>12.75%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26,571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33,214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-3526790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-3526790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Operating Segments and Related Information</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St. Louis, Missouri metropolitan area, southwest Florida and through its banking center in Indianapolis, Indiana.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5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the Company’s Annual Report on Form 10-K for the year ended December 31, 2017.</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is a summary of selected financial information for the Company’s operating segments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488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2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Goodwill</w:t>
            </w:r>
          </w:p>
        </w:tc>
        <w:tc>
          <w:tcPr>
            <w:tcW w:w="1060" w:type="dxa"/>
            <w:vAlign w:val="bottom"/>
          </w:tcPr>
          <w:p>
            <w:pPr>
              <w:spacing w:after="0"/>
              <w:rPr>
                <w:sz w:val="14"/>
                <w:szCs w:val="14"/>
                <w:color w:val="auto"/>
              </w:rPr>
            </w:pPr>
          </w:p>
        </w:tc>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Total Assets</w:t>
            </w:r>
          </w:p>
        </w:tc>
      </w:tr>
      <w:tr>
        <w:trPr>
          <w:trHeight w:val="119"/>
        </w:trPr>
        <w:tc>
          <w:tcPr>
            <w:tcW w:w="1120" w:type="dxa"/>
            <w:vAlign w:val="bottom"/>
            <w:tcBorders>
              <w:top w:val="single" w:sz="8" w:color="auto"/>
            </w:tcBorders>
          </w:tcPr>
          <w:p>
            <w:pPr>
              <w:jc w:val="center"/>
              <w:ind w:left="191"/>
              <w:spacing w:after="0" w:line="119" w:lineRule="exact"/>
              <w:rPr>
                <w:sz w:val="20"/>
                <w:szCs w:val="20"/>
                <w:color w:val="auto"/>
              </w:rPr>
            </w:pPr>
            <w:r>
              <w:rPr>
                <w:rFonts w:ascii="Arial" w:cs="Arial" w:eastAsia="Arial" w:hAnsi="Arial"/>
                <w:sz w:val="13"/>
                <w:szCs w:val="13"/>
                <w:b w:val="1"/>
                <w:bCs w:val="1"/>
                <w:color w:val="auto"/>
              </w:rPr>
              <w:t>March 31,</w:t>
            </w:r>
          </w:p>
        </w:tc>
        <w:tc>
          <w:tcPr>
            <w:tcW w:w="1920" w:type="dxa"/>
            <w:vAlign w:val="bottom"/>
            <w:tcBorders>
              <w:top w:val="single" w:sz="8" w:color="auto"/>
            </w:tcBorders>
          </w:tcPr>
          <w:p>
            <w:pPr>
              <w:jc w:val="center"/>
              <w:ind w:left="45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80" w:type="dxa"/>
            <w:vAlign w:val="bottom"/>
          </w:tcPr>
          <w:p>
            <w:pPr>
              <w:spacing w:after="0"/>
              <w:rPr>
                <w:sz w:val="10"/>
                <w:szCs w:val="10"/>
                <w:color w:val="auto"/>
              </w:rPr>
            </w:pPr>
          </w:p>
        </w:tc>
        <w:tc>
          <w:tcPr>
            <w:tcW w:w="1060" w:type="dxa"/>
            <w:vAlign w:val="bottom"/>
            <w:tcBorders>
              <w:top w:val="single" w:sz="8" w:color="auto"/>
            </w:tcBorders>
          </w:tcPr>
          <w:p>
            <w:pPr>
              <w:jc w:val="center"/>
              <w:ind w:left="231"/>
              <w:spacing w:after="0" w:line="119" w:lineRule="exact"/>
              <w:rPr>
                <w:sz w:val="20"/>
                <w:szCs w:val="20"/>
                <w:color w:val="auto"/>
              </w:rPr>
            </w:pPr>
            <w:r>
              <w:rPr>
                <w:rFonts w:ascii="Arial" w:cs="Arial" w:eastAsia="Arial" w:hAnsi="Arial"/>
                <w:sz w:val="13"/>
                <w:szCs w:val="13"/>
                <w:b w:val="1"/>
                <w:bCs w:val="1"/>
                <w:color w:val="auto"/>
              </w:rPr>
              <w:t>March 31,</w:t>
            </w:r>
          </w:p>
        </w:tc>
        <w:tc>
          <w:tcPr>
            <w:tcW w:w="1920" w:type="dxa"/>
            <w:vAlign w:val="bottom"/>
            <w:tcBorders>
              <w:top w:val="single" w:sz="8" w:color="auto"/>
            </w:tcBorders>
          </w:tcPr>
          <w:p>
            <w:pPr>
              <w:jc w:val="center"/>
              <w:ind w:left="450"/>
              <w:spacing w:after="0" w:line="119" w:lineRule="exact"/>
              <w:rPr>
                <w:sz w:val="20"/>
                <w:szCs w:val="20"/>
                <w:color w:val="auto"/>
              </w:rPr>
            </w:pPr>
            <w:r>
              <w:rPr>
                <w:rFonts w:ascii="Arial" w:cs="Arial" w:eastAsia="Arial" w:hAnsi="Arial"/>
                <w:sz w:val="13"/>
                <w:szCs w:val="13"/>
                <w:b w:val="1"/>
                <w:bCs w:val="1"/>
                <w:color w:val="auto"/>
                <w:w w:val="99"/>
              </w:rPr>
              <w:t>December 31,</w:t>
            </w:r>
          </w:p>
        </w:tc>
      </w:tr>
      <w:tr>
        <w:trPr>
          <w:trHeight w:val="173"/>
        </w:trPr>
        <w:tc>
          <w:tcPr>
            <w:tcW w:w="112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920" w:type="dxa"/>
            <w:vAlign w:val="bottom"/>
          </w:tcPr>
          <w:p>
            <w:pPr>
              <w:jc w:val="right"/>
              <w:ind w:right="47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920" w:type="dxa"/>
            <w:vAlign w:val="bottom"/>
          </w:tcPr>
          <w:p>
            <w:pPr>
              <w:jc w:val="right"/>
              <w:ind w:right="470"/>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wp:posOffset>
            </wp:positionV>
            <wp:extent cx="695515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55155" cy="14605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ind w:left="340"/>
        <w:spacing w:after="0"/>
        <w:tabs>
          <w:tab w:leader="none" w:pos="4860" w:val="left"/>
          <w:tab w:leader="none" w:pos="5660" w:val="left"/>
          <w:tab w:leader="none" w:pos="6520" w:val="left"/>
          <w:tab w:leader="none" w:pos="7320" w:val="left"/>
          <w:tab w:leader="none" w:pos="8180" w:val="left"/>
          <w:tab w:leader="none" w:pos="8820" w:val="left"/>
          <w:tab w:leader="none" w:pos="9800" w:val="left"/>
          <w:tab w:leader="none" w:pos="10440" w:val="left"/>
        </w:tabs>
        <w:rPr>
          <w:sz w:val="20"/>
          <w:szCs w:val="20"/>
          <w:color w:val="auto"/>
        </w:rPr>
      </w:pPr>
      <w:r>
        <w:rPr>
          <w:rFonts w:ascii="Arial" w:cs="Arial" w:eastAsia="Arial" w:hAnsi="Arial"/>
          <w:sz w:val="18"/>
          <w:szCs w:val="18"/>
          <w:color w:val="auto"/>
        </w:rPr>
        <w:t>Banking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246,999</w:t>
        <w:tab/>
        <w:t>$</w:t>
      </w:r>
      <w:r>
        <w:rPr>
          <w:sz w:val="20"/>
          <w:szCs w:val="20"/>
          <w:color w:val="auto"/>
        </w:rPr>
        <w:tab/>
      </w:r>
      <w:r>
        <w:rPr>
          <w:rFonts w:ascii="Arial" w:cs="Arial" w:eastAsia="Arial" w:hAnsi="Arial"/>
          <w:sz w:val="18"/>
          <w:szCs w:val="18"/>
          <w:color w:val="auto"/>
        </w:rPr>
        <w:t>248,660</w:t>
        <w:tab/>
        <w:t>$</w:t>
      </w:r>
      <w:r>
        <w:rPr>
          <w:sz w:val="20"/>
          <w:szCs w:val="20"/>
          <w:color w:val="auto"/>
        </w:rPr>
        <w:tab/>
      </w:r>
      <w:r>
        <w:rPr>
          <w:rFonts w:ascii="Arial" w:cs="Arial" w:eastAsia="Arial" w:hAnsi="Arial"/>
          <w:sz w:val="18"/>
          <w:szCs w:val="18"/>
          <w:color w:val="auto"/>
        </w:rPr>
        <w:t>7,722,957</w:t>
        <w:tab/>
        <w:t>$</w:t>
      </w:r>
      <w:r>
        <w:rPr>
          <w:sz w:val="20"/>
          <w:szCs w:val="20"/>
          <w:color w:val="auto"/>
        </w:rPr>
        <w:tab/>
      </w:r>
      <w:r>
        <w:rPr>
          <w:rFonts w:ascii="Arial" w:cs="Arial" w:eastAsia="Arial" w:hAnsi="Arial"/>
          <w:sz w:val="16"/>
          <w:szCs w:val="16"/>
          <w:color w:val="auto"/>
        </w:rPr>
        <w:t>7,809,738</w:t>
      </w:r>
    </w:p>
    <w:p>
      <w:pPr>
        <w:sectPr>
          <w:pgSz w:w="11900" w:h="16838" w:orient="portrait"/>
          <w:cols w:equalWidth="0" w:num="1">
            <w:col w:w="11460"/>
          </w:cols>
          <w:pgMar w:left="240" w:top="125" w:right="199" w:bottom="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160" w:type="dxa"/>
            <w:vAlign w:val="bottom"/>
            <w:gridSpan w:val="7"/>
          </w:tcPr>
          <w:p>
            <w:pPr>
              <w:spacing w:after="0"/>
              <w:rPr>
                <w:sz w:val="20"/>
                <w:szCs w:val="20"/>
                <w:color w:val="auto"/>
              </w:rPr>
            </w:pPr>
            <w:r>
              <w:rPr>
                <w:rFonts w:ascii="Arial" w:cs="Arial" w:eastAsia="Arial" w:hAnsi="Arial"/>
                <w:sz w:val="18"/>
                <w:szCs w:val="18"/>
                <w:color w:val="auto"/>
              </w:rPr>
              <w:t>Remittance Processing</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8,992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8,992</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35,465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34,646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11,694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11,694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gridSpan w:val="7"/>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(10,876)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(15,821)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7"/>
            <w:shd w:val="clear" w:color="auto" w:fill="CCEEFF"/>
          </w:tcPr>
          <w:p>
            <w:pPr>
              <w:ind w:left="180"/>
              <w:spacing w:after="0"/>
              <w:rPr>
                <w:sz w:val="20"/>
                <w:szCs w:val="20"/>
                <w:color w:val="auto"/>
              </w:rPr>
            </w:pPr>
            <w:r>
              <w:rPr>
                <w:rFonts w:ascii="Arial" w:cs="Arial" w:eastAsia="Arial" w:hAnsi="Arial"/>
                <w:sz w:val="18"/>
                <w:szCs w:val="18"/>
                <w:color w:val="auto"/>
              </w:rPr>
              <w:t>Totals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267,685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269,346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7,778,746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7,860,640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8"/>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0" w:type="dxa"/>
            <w:vAlign w:val="bottom"/>
            <w:gridSpan w:val="6"/>
            <w:shd w:val="clear" w:color="auto" w:fill="CCEEFF"/>
          </w:tcPr>
          <w:p>
            <w:pPr>
              <w:spacing w:after="0" w:line="156" w:lineRule="exact"/>
              <w:rPr>
                <w:sz w:val="20"/>
                <w:szCs w:val="20"/>
                <w:color w:val="auto"/>
              </w:rPr>
            </w:pPr>
            <w:r>
              <w:rPr>
                <w:rFonts w:ascii="Arial" w:cs="Arial" w:eastAsia="Arial" w:hAnsi="Arial"/>
                <w:sz w:val="18"/>
                <w:szCs w:val="18"/>
                <w:color w:val="auto"/>
              </w:rPr>
              <w:t>Net interest income:</w:t>
            </w: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Banking</w:t>
            </w:r>
          </w:p>
        </w:tc>
        <w:tc>
          <w:tcPr>
            <w:tcW w:w="1740" w:type="dxa"/>
            <w:vAlign w:val="bottom"/>
            <w:tcBorders>
              <w:top w:val="single" w:sz="8" w:color="CCEEFF"/>
            </w:tcBorders>
            <w:gridSpan w:val="4"/>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61,416</w:t>
            </w: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42,542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tcPr>
          <w:p>
            <w:pPr>
              <w:ind w:left="180"/>
              <w:spacing w:after="0"/>
              <w:rPr>
                <w:sz w:val="20"/>
                <w:szCs w:val="20"/>
                <w:color w:val="auto"/>
              </w:rPr>
            </w:pPr>
            <w:r>
              <w:rPr>
                <w:rFonts w:ascii="Arial" w:cs="Arial" w:eastAsia="Arial" w:hAnsi="Arial"/>
                <w:sz w:val="18"/>
                <w:szCs w:val="18"/>
                <w:color w:val="auto"/>
              </w:rPr>
              <w:t>Wealth Management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(1,769)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0" w:type="dxa"/>
            <w:vAlign w:val="bottom"/>
            <w:tcBorders>
              <w:bottom w:val="single" w:sz="8" w:color="CCEEFF"/>
            </w:tcBorders>
            <w:gridSpan w:val="6"/>
          </w:tcPr>
          <w:p>
            <w:pPr>
              <w:ind w:left="360"/>
              <w:spacing w:after="0"/>
              <w:rPr>
                <w:sz w:val="20"/>
                <w:szCs w:val="20"/>
                <w:color w:val="auto"/>
              </w:rPr>
            </w:pPr>
            <w:r>
              <w:rPr>
                <w:rFonts w:ascii="Arial" w:cs="Arial" w:eastAsia="Arial" w:hAnsi="Arial"/>
                <w:sz w:val="18"/>
                <w:szCs w:val="18"/>
                <w:color w:val="auto"/>
              </w:rPr>
              <w:t>Total net interest income</w:t>
            </w:r>
          </w:p>
        </w:tc>
        <w:tc>
          <w:tcPr>
            <w:tcW w:w="38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59,757</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42,013</w:t>
            </w:r>
          </w:p>
        </w:tc>
        <w:tc>
          <w:tcPr>
            <w:tcW w:w="100" w:type="dxa"/>
            <w:vAlign w:val="bottom"/>
            <w:tcBorders>
              <w:bottom w:val="single" w:sz="8" w:color="CCEEFF"/>
            </w:tcBorders>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0" w:type="dxa"/>
            <w:vAlign w:val="bottom"/>
            <w:gridSpan w:val="6"/>
          </w:tcPr>
          <w:p>
            <w:pPr>
              <w:spacing w:after="0" w:line="176" w:lineRule="exact"/>
              <w:rPr>
                <w:sz w:val="20"/>
                <w:szCs w:val="20"/>
                <w:color w:val="auto"/>
              </w:rPr>
            </w:pPr>
            <w:r>
              <w:rPr>
                <w:rFonts w:ascii="Arial" w:cs="Arial" w:eastAsia="Arial" w:hAnsi="Arial"/>
                <w:sz w:val="18"/>
                <w:szCs w:val="18"/>
                <w:color w:val="auto"/>
              </w:rPr>
              <w:t>Non-interest income:</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10,897</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tcPr>
          <w:p>
            <w:pPr>
              <w:ind w:left="180"/>
              <w:spacing w:after="0"/>
              <w:rPr>
                <w:sz w:val="20"/>
                <w:szCs w:val="20"/>
                <w:color w:val="auto"/>
              </w:rPr>
            </w:pPr>
            <w:r>
              <w:rPr>
                <w:rFonts w:ascii="Arial" w:cs="Arial" w:eastAsia="Arial" w:hAnsi="Arial"/>
                <w:sz w:val="18"/>
                <w:szCs w:val="18"/>
                <w:color w:val="auto"/>
              </w:rPr>
              <w:t>Remittance Processing</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3,783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3,024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(835)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tcBorders>
              <w:top w:val="single" w:sz="8" w:color="CCEEFF"/>
              <w:bottom w:val="single" w:sz="8" w:color="CCEEFF"/>
            </w:tcBorders>
            <w:gridSpan w:val="6"/>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20,014</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8"/>
              </w:rPr>
              <w:t>Non-interest expense:</w:t>
            </w:r>
          </w:p>
        </w:tc>
        <w:tc>
          <w:tcPr>
            <w:tcW w:w="1620" w:type="dxa"/>
            <w:vAlign w:val="bottom"/>
            <w:tcBorders>
              <w:bottom w:val="single" w:sz="8" w:color="CCEEFF"/>
            </w:tcBorders>
            <w:gridSpan w:val="2"/>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tcPr>
          <w:p>
            <w:pPr>
              <w:ind w:left="180"/>
              <w:spacing w:after="0"/>
              <w:rPr>
                <w:sz w:val="20"/>
                <w:szCs w:val="20"/>
                <w:color w:val="auto"/>
              </w:rPr>
            </w:pPr>
            <w:r>
              <w:rPr>
                <w:rFonts w:ascii="Arial" w:cs="Arial" w:eastAsia="Arial" w:hAnsi="Arial"/>
                <w:sz w:val="18"/>
                <w:szCs w:val="18"/>
                <w:color w:val="auto"/>
              </w:rPr>
              <w:t>Banking</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41,386</w:t>
            </w:r>
          </w:p>
        </w:tc>
        <w:tc>
          <w:tcPr>
            <w:tcW w:w="240" w:type="dxa"/>
            <w:vAlign w:val="bottom"/>
          </w:tcPr>
          <w:p>
            <w:pPr>
              <w:spacing w:after="0"/>
              <w:rPr>
                <w:sz w:val="18"/>
                <w:szCs w:val="18"/>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29,290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tcPr>
          <w:p>
            <w:pPr>
              <w:ind w:left="180"/>
              <w:spacing w:after="0"/>
              <w:rPr>
                <w:sz w:val="20"/>
                <w:szCs w:val="20"/>
                <w:color w:val="auto"/>
              </w:rPr>
            </w:pPr>
            <w:r>
              <w:rPr>
                <w:rFonts w:ascii="Arial" w:cs="Arial" w:eastAsia="Arial" w:hAnsi="Arial"/>
                <w:sz w:val="18"/>
                <w:szCs w:val="18"/>
                <w:color w:val="auto"/>
              </w:rPr>
              <w:t>Wealth Management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4,911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3,964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0" w:type="dxa"/>
            <w:vAlign w:val="bottom"/>
            <w:tcBorders>
              <w:bottom w:val="single" w:sz="8" w:color="CCEEFF"/>
            </w:tcBorders>
            <w:gridSpan w:val="6"/>
          </w:tcPr>
          <w:p>
            <w:pPr>
              <w:ind w:left="360"/>
              <w:spacing w:after="0"/>
              <w:rPr>
                <w:sz w:val="20"/>
                <w:szCs w:val="20"/>
                <w:color w:val="auto"/>
              </w:rPr>
            </w:pPr>
            <w:r>
              <w:rPr>
                <w:rFonts w:ascii="Arial" w:cs="Arial" w:eastAsia="Arial" w:hAnsi="Arial"/>
                <w:sz w:val="18"/>
                <w:szCs w:val="18"/>
                <w:color w:val="auto"/>
              </w:rPr>
              <w:t>Total non-interest expense</w:t>
            </w:r>
          </w:p>
        </w:tc>
        <w:tc>
          <w:tcPr>
            <w:tcW w:w="38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51,040</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37,619</w:t>
            </w:r>
          </w:p>
        </w:tc>
        <w:tc>
          <w:tcPr>
            <w:tcW w:w="100" w:type="dxa"/>
            <w:vAlign w:val="bottom"/>
            <w:tcBorders>
              <w:bottom w:val="single" w:sz="8" w:color="CCEEFF"/>
            </w:tcBorders>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0" w:type="dxa"/>
            <w:vAlign w:val="bottom"/>
            <w:gridSpan w:val="6"/>
          </w:tcPr>
          <w:p>
            <w:pPr>
              <w:spacing w:after="0" w:line="176" w:lineRule="exact"/>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29,919</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tcPr>
          <w:p>
            <w:pPr>
              <w:ind w:left="180"/>
              <w:spacing w:after="0"/>
              <w:rPr>
                <w:sz w:val="20"/>
                <w:szCs w:val="20"/>
                <w:color w:val="auto"/>
              </w:rPr>
            </w:pPr>
            <w:r>
              <w:rPr>
                <w:rFonts w:ascii="Arial" w:cs="Arial" w:eastAsia="Arial" w:hAnsi="Arial"/>
                <w:sz w:val="18"/>
                <w:szCs w:val="18"/>
                <w:color w:val="auto"/>
              </w:rPr>
              <w:t>Remittance Processing</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1,333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(4,881)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(3,333)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tcBorders>
              <w:top w:val="single" w:sz="8" w:color="CCEEFF"/>
              <w:bottom w:val="single" w:sz="8" w:color="CCEEFF"/>
            </w:tcBorders>
            <w:gridSpan w:val="6"/>
            <w:shd w:val="clear" w:color="auto" w:fill="CCEEFF"/>
          </w:tcPr>
          <w:p>
            <w:pPr>
              <w:ind w:left="360"/>
              <w:spacing w:after="0"/>
              <w:rPr>
                <w:sz w:val="20"/>
                <w:szCs w:val="20"/>
                <w:color w:val="auto"/>
              </w:rPr>
            </w:pPr>
            <w:r>
              <w:rPr>
                <w:rFonts w:ascii="Arial" w:cs="Arial" w:eastAsia="Arial" w:hAnsi="Arial"/>
                <w:sz w:val="18"/>
                <w:szCs w:val="18"/>
                <w:color w:val="auto"/>
              </w:rPr>
              <w:t>Total income before income taxes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23,908</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Banking</w:t>
            </w:r>
          </w:p>
        </w:tc>
        <w:tc>
          <w:tcPr>
            <w:tcW w:w="2320" w:type="dxa"/>
            <w:vAlign w:val="bottom"/>
            <w:tcBorders>
              <w:top w:val="single" w:sz="8" w:color="CCEEFF"/>
            </w:tcBorders>
            <w:gridSpan w:val="5"/>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21,845</w:t>
            </w: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14,749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tcPr>
          <w:p>
            <w:pPr>
              <w:ind w:left="180"/>
              <w:spacing w:after="0"/>
              <w:rPr>
                <w:sz w:val="20"/>
                <w:szCs w:val="20"/>
                <w:color w:val="auto"/>
              </w:rPr>
            </w:pPr>
            <w:r>
              <w:rPr>
                <w:rFonts w:ascii="Arial" w:cs="Arial" w:eastAsia="Arial" w:hAnsi="Arial"/>
                <w:sz w:val="18"/>
                <w:szCs w:val="18"/>
                <w:color w:val="auto"/>
              </w:rPr>
              <w:t>Wealth Management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2,764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(3,645)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6"/>
          </w:tcPr>
          <w:p>
            <w:pPr>
              <w:ind w:left="360"/>
              <w:spacing w:after="0"/>
              <w:rPr>
                <w:sz w:val="20"/>
                <w:szCs w:val="20"/>
                <w:color w:val="auto"/>
              </w:rPr>
            </w:pPr>
            <w:r>
              <w:rPr>
                <w:rFonts w:ascii="Arial" w:cs="Arial" w:eastAsia="Arial" w:hAnsi="Arial"/>
                <w:sz w:val="18"/>
                <w:szCs w:val="18"/>
                <w:color w:val="auto"/>
              </w:rPr>
              <w:t>Total net income</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vMerge w:val="restart"/>
          </w:tcPr>
          <w:p>
            <w:pPr>
              <w:jc w:val="right"/>
              <w:ind w:right="37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 originates and purchases derivative financial instruments, including interest rate lock commitments issued to residential loan customers for loans that will be held for sale, forward sales commitments to sell residential mortgage loans to loan investors, and interest rate swaps. See “</w:t>
      </w:r>
      <w:r>
        <w:rPr>
          <w:rFonts w:ascii="Arial" w:cs="Arial" w:eastAsia="Arial" w:hAnsi="Arial"/>
          <w:sz w:val="18"/>
          <w:szCs w:val="18"/>
          <w:i w:val="1"/>
          <w:iCs w:val="1"/>
          <w:color w:val="auto"/>
        </w:rPr>
        <w:t>Note 18: 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w:t>
      </w:r>
      <w:r>
        <w:rPr>
          <w:rFonts w:ascii="Arial" w:cs="Arial" w:eastAsia="Arial" w:hAnsi="Arial"/>
          <w:sz w:val="18"/>
          <w:szCs w:val="18"/>
          <w:color w:val="auto"/>
        </w:rPr>
        <w:t>” for further discussion of the fair value measurement of such derivatives.</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Interest Rate Lock Commitments. </w:t>
      </w:r>
      <w:r>
        <w:rPr>
          <w:rFonts w:ascii="Arial" w:cs="Arial" w:eastAsia="Arial" w:hAnsi="Arial"/>
          <w:sz w:val="18"/>
          <w:szCs w:val="18"/>
          <w:color w:val="auto"/>
        </w:rPr>
        <w:t>At March 31, 2018 and December 31, 2017, the Company had issued $72.1 million and $51.7 million, respectively, of</w:t>
      </w:r>
      <w:r>
        <w:rPr>
          <w:rFonts w:ascii="Arial" w:cs="Arial" w:eastAsia="Arial" w:hAnsi="Arial"/>
          <w:sz w:val="18"/>
          <w:szCs w:val="18"/>
          <w:i w:val="1"/>
          <w:iCs w:val="1"/>
          <w:color w:val="auto"/>
        </w:rPr>
        <w:t xml:space="preserve"> </w:t>
      </w:r>
      <w:r>
        <w:rPr>
          <w:rFonts w:ascii="Arial" w:cs="Arial" w:eastAsia="Arial" w:hAnsi="Arial"/>
          <w:sz w:val="18"/>
          <w:szCs w:val="18"/>
          <w:color w:val="auto"/>
        </w:rPr>
        <w:t>unexpired interest rate lock commitments to loan customers. Such interest rate lock commitments that meet the definition of derivative financial instruments under ASC Topic 815, Derivatives and Hedging, are carried at their fair values in other assets or other liabilities in the unaudited Consolidated Financial Statements, with changes in the fair values of the corresponding derivative financial assets or liabilities recorded as either a charge or credit to current earnings during the period in which the changes occurred.</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Forward Sales Commitments. </w:t>
      </w:r>
      <w:r>
        <w:rPr>
          <w:rFonts w:ascii="Arial" w:cs="Arial" w:eastAsia="Arial" w:hAnsi="Arial"/>
          <w:sz w:val="17"/>
          <w:szCs w:val="17"/>
          <w:color w:val="auto"/>
        </w:rPr>
        <w:t>At March 31, 2018 and December 31, 2017, the Company had issued $90.9 million and $139.7 million, respectively, of</w:t>
      </w:r>
      <w:r>
        <w:rPr>
          <w:rFonts w:ascii="Arial" w:cs="Arial" w:eastAsia="Arial" w:hAnsi="Arial"/>
          <w:sz w:val="17"/>
          <w:szCs w:val="17"/>
          <w:i w:val="1"/>
          <w:iCs w:val="1"/>
          <w:color w:val="auto"/>
        </w:rPr>
        <w:t xml:space="preserve"> </w:t>
      </w:r>
      <w:r>
        <w:rPr>
          <w:rFonts w:ascii="Arial" w:cs="Arial" w:eastAsia="Arial" w:hAnsi="Arial"/>
          <w:sz w:val="17"/>
          <w:szCs w:val="17"/>
          <w:color w:val="auto"/>
        </w:rPr>
        <w:t>unexpired forward sales commitments to mortgage loan 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Derivatives and Hedging, are carried at their fair values in other assets or other liabilities in the unaudited Consolidated Financial Statements. While such forward sales commitments generally served as an economic hedge to the mortgage loans held for sale and interest rate lock commitments,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of derivative assets and liabilities related to interest rate lock commitments and forward sales commitments recorded in the unaudited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Balance Sheets are summarized as follows </w:t>
      </w:r>
      <w:r>
        <w:rPr>
          <w:rFonts w:ascii="Arial" w:cs="Arial" w:eastAsia="Arial" w:hAnsi="Arial"/>
          <w:sz w:val="18"/>
          <w:szCs w:val="18"/>
          <w:i w:val="1"/>
          <w:iCs w:val="1"/>
          <w:color w:val="auto"/>
        </w:rPr>
        <w:t>(dollars in thousands):</w:t>
      </w:r>
    </w:p>
    <w:p>
      <w:pPr>
        <w:spacing w:after="0" w:line="20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March 31, 2018</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130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300" w:type="dxa"/>
            <w:vAlign w:val="bottom"/>
          </w:tcPr>
          <w:p>
            <w:pPr>
              <w:spacing w:after="0"/>
              <w:rPr>
                <w:sz w:val="20"/>
                <w:szCs w:val="20"/>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972</w:t>
            </w:r>
          </w:p>
        </w:tc>
        <w:tc>
          <w:tcPr>
            <w:tcW w:w="18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2,148</w:t>
            </w:r>
          </w:p>
        </w:tc>
      </w:tr>
    </w:tbl>
    <w:p>
      <w:pPr>
        <w:sectPr>
          <w:pgSz w:w="11900" w:h="16838" w:orient="portrait"/>
          <w:cols w:equalWidth="0" w:num="1">
            <w:col w:w="11460"/>
          </w:cols>
          <w:pgMar w:left="240" w:top="125" w:right="199" w:bottom="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The gross gains and losses on these derivative assets and liabilities recorded in non-interest income and expense in the unaudited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Income for the three months ended March 31, 2018 and 2017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2"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 2017</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gains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Gross (losses)</w:t>
            </w:r>
          </w:p>
        </w:tc>
        <w:tc>
          <w:tcPr>
            <w:tcW w:w="1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(1,054)</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(3,791)</w:t>
            </w:r>
          </w:p>
        </w:tc>
      </w:tr>
      <w:tr>
        <w:trPr>
          <w:trHeight w:val="223"/>
        </w:trPr>
        <w:tc>
          <w:tcPr>
            <w:tcW w:w="5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(losses) gains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Interest Rate Swaps</w:t>
      </w:r>
      <w:r>
        <w:rPr>
          <w:rFonts w:ascii="Arial" w:cs="Arial" w:eastAsia="Arial" w:hAnsi="Arial"/>
          <w:sz w:val="18"/>
          <w:szCs w:val="18"/>
          <w:color w:val="auto"/>
        </w:rPr>
        <w:t>. Beginning in the second quarter of 2017, the Company entered into interest rate swap contracts to manage the interest rate risk exposure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specific commercial loan relationships, at the time such loans were originated. The Company offsets each customer derivative with a bank counterparty. With a notional values of $170.7 million and $161.3 million at March 31, 2018 and December 31, 2017, respectively, these contracts support variable rate, commercial loan relationships totaling $85.4 million and $80.7 million, respectively. While these swap derivatives generally worked together as an economic interest rate hedge,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The fair values of derivative assets and liabilities related to interest rate swaps recorded in the unaudited Consolidated Balance Sheets are summarized as follows </w:t>
      </w:r>
      <w:r>
        <w:rPr>
          <w:rFonts w:ascii="Arial" w:cs="Arial" w:eastAsia="Arial" w:hAnsi="Arial"/>
          <w:sz w:val="18"/>
          <w:szCs w:val="18"/>
          <w:i w:val="1"/>
          <w:iCs w:val="1"/>
          <w:color w:val="auto"/>
        </w:rPr>
        <w:t>(dollars 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4"/>
              </w:rPr>
              <w:t>1,216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220" w:type="dxa"/>
            <w:vAlign w:val="bottom"/>
          </w:tcPr>
          <w:p>
            <w:pPr>
              <w:spacing w:after="0"/>
              <w:rPr>
                <w:sz w:val="20"/>
                <w:szCs w:val="20"/>
                <w:color w:val="auto"/>
              </w:rPr>
            </w:pPr>
          </w:p>
        </w:tc>
        <w:tc>
          <w:tcPr>
            <w:tcW w:w="1760" w:type="dxa"/>
            <w:vAlign w:val="bottom"/>
            <w:gridSpan w:val="2"/>
          </w:tcPr>
          <w:p>
            <w:pPr>
              <w:ind w:left="1060"/>
              <w:spacing w:after="0"/>
              <w:rPr>
                <w:sz w:val="20"/>
                <w:szCs w:val="20"/>
                <w:color w:val="auto"/>
              </w:rPr>
            </w:pPr>
            <w:r>
              <w:rPr>
                <w:rFonts w:ascii="Arial" w:cs="Arial" w:eastAsia="Arial" w:hAnsi="Arial"/>
                <w:sz w:val="18"/>
                <w:szCs w:val="18"/>
                <w:color w:val="auto"/>
              </w:rPr>
              <w:t>1,216</w:t>
            </w:r>
          </w:p>
        </w:tc>
        <w:tc>
          <w:tcPr>
            <w:tcW w:w="18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gross gains and losses on derivative assets and liabilities related to interest rate swaps recorded in non-interest income and expense in the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Statements of Income for the three months ended March 31, 2018 are summarized as follows </w:t>
      </w:r>
      <w:r>
        <w:rPr>
          <w:rFonts w:ascii="Arial" w:cs="Arial" w:eastAsia="Arial" w:hAnsi="Arial"/>
          <w:sz w:val="18"/>
          <w:szCs w:val="18"/>
          <w:i w:val="1"/>
          <w:iCs w:val="1"/>
          <w:color w:val="auto"/>
        </w:rPr>
        <w:t>(dollars in thousands):</w:t>
      </w:r>
    </w:p>
    <w:p>
      <w:pPr>
        <w:spacing w:after="0" w:line="20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2018</w:t>
            </w: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gains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Gross losses</w:t>
            </w:r>
          </w:p>
        </w:tc>
        <w:tc>
          <w:tcPr>
            <w:tcW w:w="2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(954)</w:t>
            </w:r>
          </w:p>
        </w:tc>
      </w:tr>
      <w:tr>
        <w:trPr>
          <w:trHeight w:val="210"/>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 (losses)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First Busey had $0.3 million in securities pledged to secure its obligation under these contracts at March 31, 2018. First Busey had $2.0 million in cash and $0.4 million in securities pledged to secure its obligation under contracts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Fair Value Measurement,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 either directly or indirectly. These might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assets or liabilities.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during the quarter ended March 31, 2018.</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ectPr>
          <w:pgSz w:w="11900" w:h="16838" w:orient="portrait"/>
          <w:cols w:equalWidth="0" w:num="1">
            <w:col w:w="11400"/>
          </w:cols>
          <w:pgMar w:left="240" w:top="125" w:right="259" w:bottom="163"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63" w:gutter="0" w:footer="0" w:header="0"/>
          <w:type w:val="continuous"/>
        </w:sectPr>
      </w:pPr>
    </w:p>
    <w:bookmarkStart w:id="25" w:name="page26"/>
    <w:bookmarkEnd w:id="25"/>
    <w:p>
      <w:pPr>
        <w:spacing w:after="0" w:line="1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Securities Available for Sale</w:t>
      </w:r>
      <w:r>
        <w:rPr>
          <w:rFonts w:ascii="Arial" w:cs="Arial" w:eastAsia="Arial" w:hAnsi="Arial"/>
          <w:sz w:val="18"/>
          <w:szCs w:val="18"/>
          <w:color w:val="auto"/>
        </w:rPr>
        <w:t>. Securities classified as available for sale are reported at fair value utilizing level 2 measurements. The Company obtains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88"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ASC Topic 820.</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Securities Equity Investments</w:t>
      </w:r>
      <w:r>
        <w:rPr>
          <w:rFonts w:ascii="Arial" w:cs="Arial" w:eastAsia="Arial" w:hAnsi="Arial"/>
          <w:sz w:val="18"/>
          <w:szCs w:val="18"/>
          <w:color w:val="auto"/>
        </w:rPr>
        <w:t>. Securities classified as equity investments are reported at fair value utilizing level 1 measurements. For mutual funds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securities, unadjusted quoted prices in active markets for identical assets are utilized to determine fair value at the measurement date and have been classified as level 1 in ASC Topic 820.</w:t>
      </w:r>
    </w:p>
    <w:p>
      <w:pPr>
        <w:spacing w:after="0" w:line="18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i w:val="1"/>
          <w:iCs w:val="1"/>
          <w:color w:val="auto"/>
        </w:rPr>
        <w:t xml:space="preserve">Loans held for sale. </w:t>
      </w:r>
      <w:r>
        <w:rPr>
          <w:rFonts w:ascii="Arial" w:cs="Arial" w:eastAsia="Arial" w:hAnsi="Arial"/>
          <w:sz w:val="16"/>
          <w:szCs w:val="16"/>
          <w:color w:val="auto"/>
        </w:rPr>
        <w:t>Loans held for sale are reported at fair value utilizing level 2 measurements. The fair value of the mortgage loans held for sale are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using observable quoted market or contract prices or market price equivalents and are classified as level 2 in ASC Topic 820.</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Derivative Assets and Derivative Liabilities. </w:t>
      </w:r>
      <w:r>
        <w:rPr>
          <w:rFonts w:ascii="Arial" w:cs="Arial" w:eastAsia="Arial" w:hAnsi="Arial"/>
          <w:sz w:val="18"/>
          <w:szCs w:val="18"/>
          <w:color w:val="auto"/>
        </w:rPr>
        <w:t>Derivative assets and derivative liabilities are reported at fair value utilizing level 2 measurements.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derivative assets and liabilities is determined based on prices that are obtained from a third-party which uses observable market inputs. Derivative assets and liabilities are classified as level 2 in ASC Topic 820.</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 xml:space="preserve">The following table summarizes financial assets and financial liabilities measured at fair value on a recurring basis as of March 31, 2018 and December 31, 2017, segregated by the level of the valuation inputs within the fair value hierarchy utilized to measure fair value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ind w:left="460"/>
              <w:spacing w:after="0"/>
              <w:rPr>
                <w:sz w:val="20"/>
                <w:szCs w:val="20"/>
                <w:color w:val="auto"/>
              </w:rPr>
            </w:pPr>
            <w:r>
              <w:rPr>
                <w:rFonts w:ascii="Arial" w:cs="Arial" w:eastAsia="Arial" w:hAnsi="Arial"/>
                <w:sz w:val="14"/>
                <w:szCs w:val="14"/>
                <w:b w:val="1"/>
                <w:bCs w:val="1"/>
                <w:color w:val="auto"/>
                <w:w w:val="96"/>
              </w:rPr>
              <w:t>Level 1</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ind w:left="480"/>
              <w:spacing w:after="0"/>
              <w:rPr>
                <w:sz w:val="20"/>
                <w:szCs w:val="20"/>
                <w:color w:val="auto"/>
              </w:rPr>
            </w:pPr>
            <w:r>
              <w:rPr>
                <w:rFonts w:ascii="Arial" w:cs="Arial" w:eastAsia="Arial" w:hAnsi="Arial"/>
                <w:sz w:val="14"/>
                <w:szCs w:val="14"/>
                <w:b w:val="1"/>
                <w:bCs w:val="1"/>
                <w:color w:val="auto"/>
              </w:rPr>
              <w:t>Inputs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March 31, 2018</w:t>
            </w:r>
          </w:p>
        </w:tc>
        <w:tc>
          <w:tcPr>
            <w:tcW w:w="34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Fair value adjusted through comprehensive income: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Securities available for sale</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U.S. Treasury securities</w:t>
            </w:r>
          </w:p>
        </w:tc>
        <w:tc>
          <w:tcPr>
            <w:tcW w:w="134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60,064</w:t>
            </w:r>
          </w:p>
        </w:tc>
        <w:tc>
          <w:tcPr>
            <w:tcW w:w="118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96,193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260,990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260,990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372,898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31,956</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Fair value adjusted through current period earnings: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Securities equity investments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5,028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29,034</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1,948</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40" w:type="dxa"/>
            <w:vAlign w:val="bottom"/>
            <w:gridSpan w:val="2"/>
          </w:tcPr>
          <w:p>
            <w:pPr>
              <w:jc w:val="right"/>
              <w:ind w:right="68"/>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gridSpan w:val="2"/>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ind w:left="460"/>
              <w:spacing w:after="0"/>
              <w:rPr>
                <w:sz w:val="20"/>
                <w:szCs w:val="20"/>
                <w:color w:val="auto"/>
              </w:rPr>
            </w:pPr>
            <w:r>
              <w:rPr>
                <w:rFonts w:ascii="Arial" w:cs="Arial" w:eastAsia="Arial" w:hAnsi="Arial"/>
                <w:sz w:val="14"/>
                <w:szCs w:val="14"/>
                <w:b w:val="1"/>
                <w:bCs w:val="1"/>
                <w:color w:val="auto"/>
                <w:w w:val="96"/>
              </w:rPr>
              <w:t>Level 1</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ind w:left="480"/>
              <w:spacing w:after="0"/>
              <w:rPr>
                <w:sz w:val="20"/>
                <w:szCs w:val="20"/>
                <w:color w:val="auto"/>
              </w:rPr>
            </w:pPr>
            <w:r>
              <w:rPr>
                <w:rFonts w:ascii="Arial" w:cs="Arial" w:eastAsia="Arial" w:hAnsi="Arial"/>
                <w:sz w:val="14"/>
                <w:szCs w:val="14"/>
                <w:b w:val="1"/>
                <w:bCs w:val="1"/>
                <w:color w:val="auto"/>
              </w:rPr>
              <w:t>Inputs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December 31, 2017</w:t>
            </w:r>
          </w:p>
        </w:tc>
        <w:tc>
          <w:tcPr>
            <w:tcW w:w="4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Securities available for sale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4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60,348</w:t>
            </w:r>
          </w:p>
        </w:tc>
        <w:tc>
          <w:tcPr>
            <w:tcW w:w="118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103,665</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280,199</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397,436</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397,436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31,034</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Securities equity investments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5,378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94,848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937</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-2085340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-2085340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Impaired Loans</w:t>
      </w:r>
      <w:r>
        <w:rPr>
          <w:rFonts w:ascii="Arial" w:cs="Arial" w:eastAsia="Arial" w:hAnsi="Arial"/>
          <w:sz w:val="17"/>
          <w:szCs w:val="17"/>
          <w:color w:val="auto"/>
        </w:rPr>
        <w:t>. The Company does not record loans at fair value on a recurring basis. However, periodically, a loan is considered impaired and is reported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 in ASC Topic 820.</w:t>
      </w:r>
    </w:p>
    <w:p>
      <w:pPr>
        <w:spacing w:after="0" w:line="17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and non-financial liabilities measured at fair value include OREO (upon initial recognition or subsequent impairment). OREO</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are measured using a combination of observable inputs, including recent appraisals, and unobservable inputs based on customized discounting</w:t>
      </w:r>
    </w:p>
    <w:p>
      <w:pPr>
        <w:sectPr>
          <w:pgSz w:w="11900" w:h="16854" w:orient="portrait"/>
          <w:cols w:equalWidth="0" w:num="1">
            <w:col w:w="11460"/>
          </w:cols>
          <w:pgMar w:left="240" w:top="341" w:right="199" w:bottom="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criteria. Due to the significance of the unobservable inputs, all OREO fair values have been classified as level 3 in ASC Topic 820.</w:t>
      </w:r>
    </w:p>
    <w:p>
      <w:pPr>
        <w:spacing w:after="0" w:line="225"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 xml:space="preserve">The following table summarizes assets and liabilities measured at fair value on a non-recurring basis as of March 31, 2018 and December 31, 2017, segregated by the level of the valuation inputs within the fair value hierarchy utilized to measure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March 31, 2018</w:t>
            </w:r>
          </w:p>
        </w:tc>
        <w:tc>
          <w:tcPr>
            <w:tcW w:w="334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tcPr>
          <w:p>
            <w:pPr>
              <w:ind w:left="160"/>
              <w:spacing w:after="0"/>
              <w:rPr>
                <w:sz w:val="20"/>
                <w:szCs w:val="20"/>
                <w:color w:val="auto"/>
              </w:rPr>
            </w:pPr>
            <w:r>
              <w:rPr>
                <w:rFonts w:ascii="Arial" w:cs="Arial" w:eastAsia="Arial" w:hAnsi="Arial"/>
                <w:sz w:val="18"/>
                <w:szCs w:val="18"/>
                <w:color w:val="auto"/>
              </w:rPr>
              <w:t>Impaired loans</w:t>
            </w:r>
          </w:p>
        </w:tc>
        <w:tc>
          <w:tcPr>
            <w:tcW w:w="154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2,499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OREO(1)</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December 31, 2017</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Impaired loans</w:t>
            </w:r>
          </w:p>
        </w:tc>
        <w:tc>
          <w:tcPr>
            <w:tcW w:w="3080" w:type="dxa"/>
            <w:vAlign w:val="bottom"/>
            <w:tcBorders>
              <w:top w:val="single" w:sz="8" w:color="CCEEFF"/>
            </w:tcBorders>
            <w:gridSpan w:val="2"/>
          </w:tcPr>
          <w:p>
            <w:pPr>
              <w:spacing w:after="0"/>
              <w:rPr>
                <w:sz w:val="18"/>
                <w:szCs w:val="18"/>
                <w:color w:val="auto"/>
              </w:rPr>
            </w:pPr>
          </w:p>
        </w:tc>
        <w:tc>
          <w:tcPr>
            <w:tcW w:w="1540" w:type="dxa"/>
            <w:vAlign w:val="bottom"/>
            <w:tcBorders>
              <w:top w:val="single" w:sz="8" w:color="CCEEFF"/>
            </w:tcBorders>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tcBorders>
              <w:top w:val="single" w:sz="8" w:color="CCEEFF"/>
            </w:tcBorders>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3"/>
              </w:rPr>
              <w:t>1,313</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OREO(1)</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500" w:type="dxa"/>
            <w:vAlign w:val="bottom"/>
            <w:gridSpan w:val="5"/>
          </w:tcPr>
          <w:p>
            <w:pPr>
              <w:spacing w:after="0"/>
              <w:rPr>
                <w:sz w:val="20"/>
                <w:szCs w:val="20"/>
                <w:color w:val="auto"/>
              </w:rPr>
            </w:pPr>
            <w:r>
              <w:rPr>
                <w:rFonts w:ascii="Arial" w:cs="Arial" w:eastAsia="Arial" w:hAnsi="Arial"/>
                <w:sz w:val="18"/>
                <w:szCs w:val="18"/>
                <w:color w:val="auto"/>
              </w:rPr>
              <w:t>(1)OREO fair value was less than one thousand dollars.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gridSpan w:val="2"/>
          </w:tcPr>
          <w:p>
            <w:pPr>
              <w:jc w:val="right"/>
              <w:ind w:right="168"/>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w w:val="95"/>
              </w:rPr>
              <w:t>Quantitative Information about Level 3 Fair Value Measurements</w:t>
            </w:r>
          </w:p>
        </w:tc>
        <w:tc>
          <w:tcPr>
            <w:tcW w:w="2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Fair Value</w:t>
            </w: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Valuation</w:t>
            </w:r>
          </w:p>
        </w:tc>
        <w:tc>
          <w:tcPr>
            <w:tcW w:w="280" w:type="dxa"/>
            <w:vAlign w:val="bottom"/>
          </w:tcPr>
          <w:p>
            <w:pPr>
              <w:spacing w:after="0"/>
              <w:rPr>
                <w:sz w:val="10"/>
                <w:szCs w:val="10"/>
                <w:color w:val="auto"/>
              </w:rPr>
            </w:pPr>
          </w:p>
        </w:tc>
        <w:tc>
          <w:tcPr>
            <w:tcW w:w="294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w w:val="99"/>
              </w:rPr>
              <w:t>Unobservable</w:t>
            </w:r>
          </w:p>
        </w:tc>
        <w:tc>
          <w:tcPr>
            <w:tcW w:w="2060" w:type="dxa"/>
            <w:vAlign w:val="bottom"/>
          </w:tcPr>
          <w:p>
            <w:pPr>
              <w:jc w:val="center"/>
              <w:ind w:right="414"/>
              <w:spacing w:after="0" w:line="119" w:lineRule="exact"/>
              <w:rPr>
                <w:sz w:val="20"/>
                <w:szCs w:val="20"/>
                <w:color w:val="auto"/>
              </w:rPr>
            </w:pPr>
            <w:r>
              <w:rPr>
                <w:rFonts w:ascii="Arial" w:cs="Arial" w:eastAsia="Arial" w:hAnsi="Arial"/>
                <w:sz w:val="13"/>
                <w:szCs w:val="13"/>
                <w:b w:val="1"/>
                <w:bCs w:val="1"/>
                <w:color w:val="auto"/>
              </w:rPr>
              <w:t>Range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Estimate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Techniques</w:t>
            </w:r>
          </w:p>
        </w:tc>
        <w:tc>
          <w:tcPr>
            <w:tcW w:w="280" w:type="dxa"/>
            <w:vAlign w:val="bottom"/>
          </w:tcPr>
          <w:p>
            <w:pPr>
              <w:spacing w:after="0"/>
              <w:rPr>
                <w:sz w:val="14"/>
                <w:szCs w:val="14"/>
                <w:color w:val="auto"/>
              </w:rPr>
            </w:pPr>
          </w:p>
        </w:tc>
        <w:tc>
          <w:tcPr>
            <w:tcW w:w="29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9"/>
              </w:rPr>
              <w:t>Input</w:t>
            </w:r>
          </w:p>
        </w:tc>
        <w:tc>
          <w:tcPr>
            <w:tcW w:w="2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March 31, 2018</w:t>
            </w:r>
          </w:p>
        </w:tc>
        <w:tc>
          <w:tcPr>
            <w:tcW w:w="10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16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20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3"/>
          </w:tcPr>
          <w:p>
            <w:pPr>
              <w:spacing w:after="0" w:line="201" w:lineRule="exact"/>
              <w:rPr>
                <w:sz w:val="20"/>
                <w:szCs w:val="20"/>
                <w:color w:val="auto"/>
              </w:rPr>
            </w:pPr>
            <w:r>
              <w:rPr>
                <w:rFonts w:ascii="Arial" w:cs="Arial" w:eastAsia="Arial" w:hAnsi="Arial"/>
                <w:sz w:val="18"/>
                <w:szCs w:val="18"/>
                <w:color w:val="auto"/>
              </w:rPr>
              <w:t>Impaired loans</w:t>
            </w:r>
          </w:p>
        </w:tc>
        <w:tc>
          <w:tcPr>
            <w:tcW w:w="10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2,499</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4"/>
              </w:rPr>
              <w:t>Appraisal of</w:t>
            </w:r>
          </w:p>
        </w:tc>
        <w:tc>
          <w:tcPr>
            <w:tcW w:w="3220" w:type="dxa"/>
            <w:vAlign w:val="bottom"/>
            <w:gridSpan w:val="4"/>
          </w:tcPr>
          <w:p>
            <w:pPr>
              <w:ind w:left="280"/>
              <w:spacing w:after="0" w:line="201" w:lineRule="exact"/>
              <w:rPr>
                <w:sz w:val="20"/>
                <w:szCs w:val="20"/>
                <w:color w:val="auto"/>
              </w:rPr>
            </w:pPr>
            <w:r>
              <w:rPr>
                <w:rFonts w:ascii="Arial" w:cs="Arial" w:eastAsia="Arial" w:hAnsi="Arial"/>
                <w:sz w:val="18"/>
                <w:szCs w:val="18"/>
                <w:color w:val="auto"/>
              </w:rPr>
              <w:t>Appraisal adjustments</w:t>
            </w:r>
          </w:p>
        </w:tc>
        <w:tc>
          <w:tcPr>
            <w:tcW w:w="2160" w:type="dxa"/>
            <w:vAlign w:val="bottom"/>
            <w:gridSpan w:val="2"/>
          </w:tcPr>
          <w:p>
            <w:pPr>
              <w:jc w:val="center"/>
              <w:ind w:right="640"/>
              <w:spacing w:after="0" w:line="201" w:lineRule="exact"/>
              <w:rPr>
                <w:sz w:val="20"/>
                <w:szCs w:val="20"/>
                <w:color w:val="auto"/>
              </w:rPr>
            </w:pPr>
            <w:r>
              <w:rPr>
                <w:rFonts w:ascii="Arial" w:cs="Arial" w:eastAsia="Arial" w:hAnsi="Arial"/>
                <w:sz w:val="18"/>
                <w:szCs w:val="18"/>
                <w:color w:val="auto"/>
                <w:w w:val="91"/>
              </w:rPr>
              <w:t>-18.7%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collateral</w:t>
            </w:r>
          </w:p>
        </w:tc>
        <w:tc>
          <w:tcPr>
            <w:tcW w:w="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tcPr>
          <w:p>
            <w:pPr>
              <w:jc w:val="center"/>
              <w:ind w:right="414"/>
              <w:spacing w:after="0"/>
              <w:rPr>
                <w:sz w:val="20"/>
                <w:szCs w:val="20"/>
                <w:color w:val="auto"/>
              </w:rPr>
            </w:pPr>
            <w:r>
              <w:rPr>
                <w:rFonts w:ascii="Arial" w:cs="Arial" w:eastAsia="Arial" w:hAnsi="Arial"/>
                <w:sz w:val="18"/>
                <w:szCs w:val="18"/>
                <w:color w:val="auto"/>
                <w:w w:val="92"/>
              </w:rPr>
              <w:t>(-48.4)%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OREO(1)</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Appraisal of</w:t>
            </w:r>
          </w:p>
        </w:tc>
        <w:tc>
          <w:tcPr>
            <w:tcW w:w="3220" w:type="dxa"/>
            <w:vAlign w:val="bottom"/>
            <w:gridSpan w:val="4"/>
            <w:shd w:val="clear" w:color="auto" w:fill="CCEEFF"/>
          </w:tcPr>
          <w:p>
            <w:pPr>
              <w:ind w:left="280"/>
              <w:spacing w:after="0" w:line="201" w:lineRule="exact"/>
              <w:rPr>
                <w:sz w:val="20"/>
                <w:szCs w:val="20"/>
                <w:color w:val="auto"/>
              </w:rPr>
            </w:pPr>
            <w:r>
              <w:rPr>
                <w:rFonts w:ascii="Arial" w:cs="Arial" w:eastAsia="Arial" w:hAnsi="Arial"/>
                <w:sz w:val="18"/>
                <w:szCs w:val="18"/>
                <w:color w:val="auto"/>
              </w:rPr>
              <w:t>Appraisal adjustments</w:t>
            </w:r>
          </w:p>
        </w:tc>
        <w:tc>
          <w:tcPr>
            <w:tcW w:w="2060" w:type="dxa"/>
            <w:vAlign w:val="bottom"/>
            <w:shd w:val="clear" w:color="auto" w:fill="CCEEFF"/>
          </w:tcPr>
          <w:p>
            <w:pPr>
              <w:jc w:val="center"/>
              <w:ind w:right="454"/>
              <w:spacing w:after="0" w:line="201" w:lineRule="exact"/>
              <w:rPr>
                <w:sz w:val="20"/>
                <w:szCs w:val="20"/>
                <w:color w:val="auto"/>
              </w:rPr>
            </w:pPr>
            <w:r>
              <w:rPr>
                <w:rFonts w:ascii="Arial" w:cs="Arial" w:eastAsia="Arial" w:hAnsi="Arial"/>
                <w:sz w:val="18"/>
                <w:szCs w:val="18"/>
                <w:color w:val="auto"/>
                <w:w w:val="89"/>
              </w:rPr>
              <w:t>-100.0%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collateral</w:t>
            </w:r>
          </w:p>
        </w:tc>
        <w:tc>
          <w:tcPr>
            <w:tcW w:w="28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60" w:type="dxa"/>
            <w:vAlign w:val="bottom"/>
            <w:shd w:val="clear" w:color="auto" w:fill="CCEEFF"/>
          </w:tcPr>
          <w:p>
            <w:pPr>
              <w:jc w:val="center"/>
              <w:ind w:right="414"/>
              <w:spacing w:after="0"/>
              <w:rPr>
                <w:sz w:val="20"/>
                <w:szCs w:val="20"/>
                <w:color w:val="auto"/>
              </w:rPr>
            </w:pPr>
            <w:r>
              <w:rPr>
                <w:rFonts w:ascii="Arial" w:cs="Arial" w:eastAsia="Arial" w:hAnsi="Arial"/>
                <w:sz w:val="18"/>
                <w:szCs w:val="18"/>
                <w:color w:val="auto"/>
                <w:w w:val="91"/>
              </w:rPr>
              <w:t>(-100.0)%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2017</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Impaired loans</w:t>
            </w:r>
          </w:p>
        </w:tc>
        <w:tc>
          <w:tcPr>
            <w:tcW w:w="102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1,313</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Appraisal of</w:t>
            </w:r>
          </w:p>
        </w:tc>
        <w:tc>
          <w:tcPr>
            <w:tcW w:w="3220" w:type="dxa"/>
            <w:vAlign w:val="bottom"/>
            <w:gridSpan w:val="4"/>
            <w:shd w:val="clear" w:color="auto" w:fill="CCEEFF"/>
          </w:tcPr>
          <w:p>
            <w:pPr>
              <w:ind w:left="280"/>
              <w:spacing w:after="0" w:line="201" w:lineRule="exact"/>
              <w:rPr>
                <w:sz w:val="20"/>
                <w:szCs w:val="20"/>
                <w:color w:val="auto"/>
              </w:rPr>
            </w:pPr>
            <w:r>
              <w:rPr>
                <w:rFonts w:ascii="Arial" w:cs="Arial" w:eastAsia="Arial" w:hAnsi="Arial"/>
                <w:sz w:val="18"/>
                <w:szCs w:val="18"/>
                <w:color w:val="auto"/>
              </w:rPr>
              <w:t>Appraisal adjustments</w:t>
            </w:r>
          </w:p>
        </w:tc>
        <w:tc>
          <w:tcPr>
            <w:tcW w:w="2160" w:type="dxa"/>
            <w:vAlign w:val="bottom"/>
            <w:gridSpan w:val="2"/>
            <w:shd w:val="clear" w:color="auto" w:fill="CCEEFF"/>
          </w:tcPr>
          <w:p>
            <w:pPr>
              <w:jc w:val="center"/>
              <w:ind w:right="640"/>
              <w:spacing w:after="0" w:line="201" w:lineRule="exact"/>
              <w:rPr>
                <w:sz w:val="20"/>
                <w:szCs w:val="20"/>
                <w:color w:val="auto"/>
              </w:rPr>
            </w:pPr>
            <w:r>
              <w:rPr>
                <w:rFonts w:ascii="Arial" w:cs="Arial" w:eastAsia="Arial" w:hAnsi="Arial"/>
                <w:sz w:val="18"/>
                <w:szCs w:val="18"/>
                <w:color w:val="auto"/>
                <w:w w:val="91"/>
              </w:rPr>
              <w:t>-20.3%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collateral</w:t>
            </w:r>
          </w:p>
        </w:tc>
        <w:tc>
          <w:tcPr>
            <w:tcW w:w="28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60" w:type="dxa"/>
            <w:vAlign w:val="bottom"/>
            <w:shd w:val="clear" w:color="auto" w:fill="CCEEFF"/>
          </w:tcPr>
          <w:p>
            <w:pPr>
              <w:jc w:val="center"/>
              <w:ind w:right="414"/>
              <w:spacing w:after="0"/>
              <w:rPr>
                <w:sz w:val="20"/>
                <w:szCs w:val="20"/>
                <w:color w:val="auto"/>
              </w:rPr>
            </w:pPr>
            <w:r>
              <w:rPr>
                <w:rFonts w:ascii="Arial" w:cs="Arial" w:eastAsia="Arial" w:hAnsi="Arial"/>
                <w:sz w:val="18"/>
                <w:szCs w:val="18"/>
                <w:color w:val="auto"/>
                <w:w w:val="92"/>
              </w:rPr>
              <w:t>(-30.8)%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3"/>
          </w:tcPr>
          <w:p>
            <w:pPr>
              <w:spacing w:after="0" w:line="201" w:lineRule="exact"/>
              <w:rPr>
                <w:sz w:val="20"/>
                <w:szCs w:val="20"/>
                <w:color w:val="auto"/>
              </w:rPr>
            </w:pPr>
            <w:r>
              <w:rPr>
                <w:rFonts w:ascii="Arial" w:cs="Arial" w:eastAsia="Arial" w:hAnsi="Arial"/>
                <w:sz w:val="18"/>
                <w:szCs w:val="18"/>
                <w:color w:val="auto"/>
              </w:rPr>
              <w:t>OREO(1)</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4"/>
              </w:rPr>
              <w:t>Appraisal of</w:t>
            </w:r>
          </w:p>
        </w:tc>
        <w:tc>
          <w:tcPr>
            <w:tcW w:w="3220" w:type="dxa"/>
            <w:vAlign w:val="bottom"/>
            <w:gridSpan w:val="4"/>
          </w:tcPr>
          <w:p>
            <w:pPr>
              <w:ind w:left="280"/>
              <w:spacing w:after="0" w:line="201" w:lineRule="exact"/>
              <w:rPr>
                <w:sz w:val="20"/>
                <w:szCs w:val="20"/>
                <w:color w:val="auto"/>
              </w:rPr>
            </w:pPr>
            <w:r>
              <w:rPr>
                <w:rFonts w:ascii="Arial" w:cs="Arial" w:eastAsia="Arial" w:hAnsi="Arial"/>
                <w:sz w:val="18"/>
                <w:szCs w:val="18"/>
                <w:color w:val="auto"/>
              </w:rPr>
              <w:t>Appraisal adjustments</w:t>
            </w:r>
          </w:p>
        </w:tc>
        <w:tc>
          <w:tcPr>
            <w:tcW w:w="2060" w:type="dxa"/>
            <w:vAlign w:val="bottom"/>
          </w:tcPr>
          <w:p>
            <w:pPr>
              <w:jc w:val="center"/>
              <w:ind w:right="454"/>
              <w:spacing w:after="0" w:line="201" w:lineRule="exact"/>
              <w:rPr>
                <w:sz w:val="20"/>
                <w:szCs w:val="20"/>
                <w:color w:val="auto"/>
              </w:rPr>
            </w:pPr>
            <w:r>
              <w:rPr>
                <w:rFonts w:ascii="Arial" w:cs="Arial" w:eastAsia="Arial" w:hAnsi="Arial"/>
                <w:sz w:val="18"/>
                <w:szCs w:val="18"/>
                <w:color w:val="auto"/>
                <w:w w:val="89"/>
              </w:rPr>
              <w:t>-100.0%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collateral</w:t>
            </w:r>
          </w:p>
        </w:tc>
        <w:tc>
          <w:tcPr>
            <w:tcW w:w="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tcPr>
          <w:p>
            <w:pPr>
              <w:jc w:val="center"/>
              <w:ind w:right="414"/>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 xml:space="preserve">The 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Carrying</w:t>
            </w:r>
          </w:p>
        </w:tc>
        <w:tc>
          <w:tcPr>
            <w:tcW w:w="420" w:type="dxa"/>
            <w:vAlign w:val="bottom"/>
          </w:tcPr>
          <w:p>
            <w:pPr>
              <w:spacing w:after="0"/>
              <w:rPr>
                <w:sz w:val="10"/>
                <w:szCs w:val="10"/>
                <w:color w:val="auto"/>
              </w:rPr>
            </w:pPr>
          </w:p>
        </w:tc>
        <w:tc>
          <w:tcPr>
            <w:tcW w:w="960" w:type="dxa"/>
            <w:vAlign w:val="bottom"/>
          </w:tcPr>
          <w:p>
            <w:pPr>
              <w:jc w:val="right"/>
              <w:ind w:right="472"/>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spacing w:after="0"/>
              <w:rPr>
                <w:sz w:val="10"/>
                <w:szCs w:val="10"/>
                <w:color w:val="auto"/>
              </w:rPr>
            </w:pPr>
          </w:p>
        </w:tc>
        <w:tc>
          <w:tcPr>
            <w:tcW w:w="880" w:type="dxa"/>
            <w:vAlign w:val="bottom"/>
          </w:tcPr>
          <w:p>
            <w:pPr>
              <w:jc w:val="center"/>
              <w:ind w:right="412"/>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4"/>
                <w:szCs w:val="14"/>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Level 1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367,525</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367,525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353,272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Level 2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held to maturity</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459,007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450,129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443,550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21,507</w:t>
            </w:r>
          </w:p>
        </w:tc>
        <w:tc>
          <w:tcPr>
            <w:tcW w:w="4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21,507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22,591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Portfolio loans, net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5,478,804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5,433,076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5,465,918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5,361,406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servicing rights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Other servicing rights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353</w:t>
            </w:r>
          </w:p>
        </w:tc>
        <w:tc>
          <w:tcPr>
            <w:tcW w:w="4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947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Financial liabilities: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Time deposits(2)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1,408,878</w:t>
            </w:r>
          </w:p>
        </w:tc>
        <w:tc>
          <w:tcPr>
            <w:tcW w:w="3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1,397,240</w:t>
            </w:r>
          </w:p>
        </w:tc>
        <w:tc>
          <w:tcPr>
            <w:tcW w:w="1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6,125,965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6,119,135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235,311</w:t>
            </w:r>
          </w:p>
        </w:tc>
        <w:tc>
          <w:tcPr>
            <w:tcW w:w="4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235,311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304,566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220,000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4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Junior subordinated debt owed to unconsolidated trusts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71,044</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71,044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71,008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2,581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Senior notes, net of unamortized issuance costs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39,438</w:t>
            </w:r>
          </w:p>
        </w:tc>
        <w:tc>
          <w:tcPr>
            <w:tcW w:w="4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38,477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39,404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Subordinated notes, net of unamortized issuance costs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64,684</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64,715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(2)In connection with the adoption of ASU 2016-01 in 2018, only deposits with stated maturities are required to be disclosed.</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ASC Topic 825 requires disclosure of the fair value of financial assets and financial liabilities, including those financial assets and financial liabilities that are not measured and reported at fair value on a recurring basis or non-recurring basis. A detailed description of the valuation methodologies used in estimating the fair value of financial instruments is set forth in the Company’s Annual Report on Form 10-K for the year ended December 31, 2017.</w:t>
      </w:r>
    </w:p>
    <w:p>
      <w:pPr>
        <w:sectPr>
          <w:pgSz w:w="11900" w:h="16838" w:orient="portrait"/>
          <w:cols w:equalWidth="0" w:num="1">
            <w:col w:w="11460"/>
          </w:cols>
          <w:pgMar w:left="240" w:top="125" w:right="199" w:bottom="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Liability for Loans Sold</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standard representations and warranties and early payment default clauses in the Company’s mortgage sale agreements, the Company could be required to repurchase mortgage loans sold to investors or reimburse the investors for losses incurred on loans in the event of borrower default within a defined period after origination (generally 90 days), or in the event of breaches of contractual representations or warranties made at the time of sale that are not remedied within a defined period after the Company receives notice of such breaches (generally 90 days). In addition, the Company may be required to refund the profit received from the sale of a loan to an investor if the borrower pays off the loan within a defined period after origination, which is generally 120 days. The Company records an estimated liability for probable amounts due to the Company’s loan investors under these obligations. This repurchase liability is determined based on a combination of factors including the volume of loans sold in current and previous periods; borrower default expectations; historical investor repurchase demand and appeals success rates; and estimated loss severity. Payments made to investors as reimbursement for losses incurred are charged against the mortgage repurchase liability. Loans repurchased from investors are initially recorded at fair value, which becomes the Company’s new accounting basis. The difference between the loan’s fair value and the payment made to investors as reimbursement for losses incurred is charged to the mortgage repurchase liability. Subsequent to repurchase, such loans are carried as portfolio loans on the Company’s Consolidated Balance Sheets. Loans repurchased with deteriorated credit quality at the date of repurchase are accounted for under ASC Topic 310-30.</w:t>
      </w:r>
    </w:p>
    <w:p>
      <w:pPr>
        <w:spacing w:after="0" w:line="1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liability for loans sold of $2.2 million and $2.1 million at March 31, 2018 and December 31, 2017, respectively, represents the Company’s best estimate of the probable losses that the Company will incur for various early default provisions and contractual representations and warranties associated with the sales of mortgage loans and is included in other liabilities in the accompanying Consolidated Balance Sheets. Because the level of mortgage loan repurchase losses depends upon economic factors, investor demand strategies and other external conditions that may change over the life of the underlying loans, the level of the liability for mortgage loan repurchase losses is difficult to estimate and requires considerable management judgment. In addition, the Company generally does not service the loans that it has sold to investors and is generally unable to track the remaining unpaid balances or delinquency status after sale. As a result, there may be a range of possible losses in excess of the estimated liability that cannot be estimated. Management maintains regular contact with the Company’s investors to monitor and address their repurchase demand practices and concerns.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management’s discussion and analysis of the financial condition of First Busey at March 31, 2018 (unaudited), as compared with</w:t>
      </w:r>
    </w:p>
    <w:p>
      <w:pPr>
        <w:spacing w:after="0" w:line="3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December 31, 2017 and March 31, 2017 (unaudited), and the results of operations for the three months ended March 31, 2018 (unaudited), as compared to the three months ended December 31, 2017 (unaudited) and March 31, 2017 (unaudited) when applicable. Management’s discussion and analysis should be read in conjunction with the Company’s unaudited Consolidated Financial Statements and notes thereto appearing elsewhere in this Quarterly Report on Form 10-Q, as well as the Company’s Annual Report on Form 10-K for the year ended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First Busey’s net income for the first quarter of 2018 was $21.9 million, or $0.45 per diluted common share. The Company reported net income of $12.3 million, or $0.25 per diluted common share for the fourth quarter of 2017 and net income of $15.2 million, or $0.39 per diluted common share for the first quarter of 2017. Adjusted net income(1) for the first quarter of 2018 was $24.9 million, or $0.51 per diluted common share compared to $22.5 million, or $0.46 per diluted common share, for the fourth quarter of 2017 and $15.8 million, or $0.41 per diluted common share, for the first quarter of 2017.</w:t>
      </w:r>
    </w:p>
    <w:p>
      <w:pPr>
        <w:spacing w:after="0" w:line="154"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In addition to the Company’s organic growth, first quarter of 2018 results compared to the first quarter of 2017 benefitted from the acquisition of First Community, since the closing of the transaction on July 2, 2017 and Mid Illinois, since the closing of the transaction on October 1, 2017.</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the first quarter of 2018, return on average assets and return on average tangible common equity was 1.16% and 14.18%, respectively, on a basis in accordance with GAAP. Based on adjusted net income(1), return on average assets was 1.32% and return on average tangible common equity was 16.13% for the same period.</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views certain non-operating items including, but not limited to, acquisition and restructuring charges, as adjustments to net income. Non-operating adjustments for the first quarter of 2018 include $1.7 million in compensation and severance and $2.3 million in legal, data processing conversion and other expenses related to acquisitions. The reconciliation of non-GAAP measures (including adjusted net income, adjusted efficiency ratio, adjusted return on average assets (“ROA”), return on average tangible common equity, tangible book value and tangible book value per share), which the Company believes facilitates the assessment of its banking operations and peer comparability, is included in tabular form in this Quarterly Report on Form 10-Q in the “Non-GAAP Financial Information” section.</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Revenues from trust fees, commissions and brokers’ fees, and remittance processing activities represented 53.4% of the Company’s non-interest income for the quarter ended March 31, 2018, providing a balance to revenue from traditional banking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Trust fees and commissions and brokers’ fees of $8.6 million for the first quarter of 2018 increased from $7.7 million for the fourth quarter of 2017 and $6.9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for the first quarter of 2017. Net income from the wealth management segment increased to $2.8 million for the first quarter of 2018,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 million or a notable 88.2% increase from the fourth quarter of 2017 and $1.8 million or 49.6% increase from the first quarter of 2017. Market expansion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strong performance from Busey Ag Services, a wealth management division of Busey Bank, contributed to the positive results. Busey Wealth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Management ended the first quarter of 2018 with $6.9 billion in assets under care, a 15.9% increase from the fourth quarter of 2017 creating positive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momentum going forward.</w:t>
      </w:r>
    </w:p>
    <w:p>
      <w:pPr>
        <w:sectPr>
          <w:pgSz w:w="11900" w:h="16838" w:orient="portrait"/>
          <w:cols w:equalWidth="0" w:num="1">
            <w:col w:w="11420"/>
          </w:cols>
          <w:pgMar w:left="240" w:top="341" w:right="239" w:bottom="18" w:gutter="0" w:footer="0" w:header="0"/>
        </w:sectPr>
      </w:pPr>
    </w:p>
    <w:bookmarkStart w:id="28" w:name="page29"/>
    <w:bookmarkEnd w:id="28"/>
    <w:p>
      <w:pPr>
        <w:jc w:val="both"/>
        <w:ind w:right="140"/>
        <w:spacing w:after="0" w:line="312" w:lineRule="auto"/>
        <w:rPr>
          <w:sz w:val="20"/>
          <w:szCs w:val="20"/>
          <w:color w:val="auto"/>
        </w:rPr>
      </w:pPr>
      <w:r>
        <w:rPr>
          <w:rFonts w:ascii="Arial" w:cs="Arial" w:eastAsia="Arial" w:hAnsi="Arial"/>
          <w:sz w:val="16"/>
          <w:szCs w:val="16"/>
          <w:color w:val="auto"/>
        </w:rPr>
        <w:t>Remittance processing revenue of $3.4 million for the first quarter of 2018 increased from $2.8 million for the first and fourth quarters of 2017. Net income from the remittance processing segment was $1.0 million for the first quarter of 2018, an increase from $0.4 million for the fourth quarter of 2017 and $0.6 million for the first quarter of 2017. The positive 2018 results are a reflection of new customer activity and volume increases from existing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(1)For a reconciliation of adjusted net income, a non-GAAP financial measure, see “Non-GAAP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We continue to focus on our Company’s organic growth and to evaluate and execute on acquisitions which fit our strategy. New partnerships with talented bankers in St. Louis, Peoria and the Chicagoland area bring an expanding pool of business opportunities to generate value and diversity across new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ind w:right="580"/>
        <w:spacing w:after="0" w:line="276" w:lineRule="auto"/>
        <w:rPr>
          <w:sz w:val="20"/>
          <w:szCs w:val="20"/>
          <w:color w:val="auto"/>
        </w:rPr>
      </w:pPr>
      <w:r>
        <w:rPr>
          <w:rFonts w:ascii="Arial" w:cs="Arial" w:eastAsia="Arial" w:hAnsi="Arial"/>
          <w:sz w:val="17"/>
          <w:szCs w:val="17"/>
          <w:color w:val="auto"/>
        </w:rPr>
        <w:t>While much internal focus has been directed toward growth, the Company’s commitment to credit quality remains strong. As of March 31, 2018, the Company reported non-performing loans of $33.6 million compared to $27.4 million as of December 31, 2017. During the first quarter of 2018, the Company completed its integration of the First Community credit process and as a result, identified two former First Community large commercial relationships to be placed on non-accrual. The Company is actively working to resolve these relationships. Non-performing assets were 0.6% of total portfolio loans and non-performing assets as of March 31, 2018 compared to 0.5% as of December 31, 2017.</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recorded net charge-offs of $1.9 million for the first quarter of 2018 compared to net charge-offs of $0.3 million for the fourth quarter of 2017. The allowance for loan losses as a percentage of portfolio loans was 0.95% at March 31, 2018 compared to 0.97% at December 31, 2017. As a result of acquisitions, the Company is holding acquired loans that are carried net of a fair value adjustment for credit and interest rate marks and are only included in the allowance calculation to the extent that the reserve requirement exceeds the fair value adjustment. The Company recorded a provision for loan losses of $1.0 million in the first quarter of 2018, compared to $2.8 million in the fourth quarter of 2017 and $0.5 million in the first quarter of 2017.</w:t>
      </w:r>
    </w:p>
    <w:p>
      <w:pPr>
        <w:spacing w:after="0" w:line="15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With a continued commitment to asset quality and the strength of our Consolidated Balance Sheet, near-term loan losses are expected to remain generally low. While these results are encouraging, asset quality metrics can be generally influenced by market-specific economic conditions, and specific measures may fluctuate from quarter to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key metrics are as follows </w:t>
      </w:r>
      <w:r>
        <w:rPr>
          <w:rFonts w:ascii="Arial" w:cs="Arial" w:eastAsia="Arial" w:hAnsi="Arial"/>
          <w:sz w:val="18"/>
          <w:szCs w:val="18"/>
          <w:i w:val="1"/>
          <w:iCs w:val="1"/>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7"/>
              </w:rPr>
              <w:t>As of and for the Three Months Ended</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19"/>
        </w:trPr>
        <w:tc>
          <w:tcPr>
            <w:tcW w:w="5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14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14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0"/>
                <w:szCs w:val="10"/>
                <w:color w:val="auto"/>
              </w:rPr>
            </w:pPr>
          </w:p>
        </w:tc>
        <w:tc>
          <w:tcPr>
            <w:tcW w:w="1100" w:type="dxa"/>
            <w:vAlign w:val="bottom"/>
          </w:tcPr>
          <w:p>
            <w:pPr>
              <w:jc w:val="right"/>
              <w:ind w:right="333"/>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5,531,453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5,519,500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5,085,864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3,920,464</w:t>
            </w: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Commercial loans(1)</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4,061,181</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4,030,821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3,782,463</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2,828,261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52,649</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53,582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51,035</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49,201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Non-performing loans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Non-accrual loans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32,588</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24,624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27,430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18,935</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Loans 90+ days past due</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995</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1,123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Loans 30-89 days past due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12,897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11,556</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OREO</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1,172</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portfolio loans and non- performing</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156.8%</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195.80%</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183.1%</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245.3%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portfolio loans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(1)Includes loans categorized as commercial, commercial real estate and real estate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has 44 banking centers serving Illinois. Our primary downstate Illinois markets of Champaign, Macon, McLean and Peoria counties are anchored by several strong, well-recognized and stable organizations. Those organizations, coupled with a large agricultural sector, anchor the communities in which they are located, and have provided a comparatively stable foundation for housing, employment and small business. The First Community acquisition provided the Company entrance into the demographically and economically attractive southwest suburban markets of the greater Chicagoland area and is part of the Company’s strategy of expanding into markets with both population and commercial density in the Midwest.</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State of Illinois, where a large portion of the Company’s customer base is located, continues to be one of the most troubled of any state in the United States with pension under-funding, continued budget deficits and a declining credit outlook. Additionally, the Company is located in markets with significant universities and healthcare companies, which rely heavily on state funding and contracts. Any possible payment lapses by the State of Illinois to its vendors and government sponsored entities may have negative effects on our primary market areas.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Busey Bank has 13 banking centers serving the St. Louis metropolitan area, all of which are located in the city of St. Louis, or the adjacent counties of St. Louis County and St. Charles County. St. Louis, Missouri is the largest metropolitan area in Missouri and the twentieth largest in the United States. The bi-state metropolitan area includes seven counties in Missouri and eight counties in Illinois. The Company’s geographic concentration in only three of the 15 counties included in the St. Louis metropolitan area gives the Company tremendous expansion opportunities into neighboring counties. St. Louis has a diverse economy with its major employment sectors including health care, financial services, professional and business services, and retail. St. Charles</w:t>
      </w:r>
    </w:p>
    <w:p>
      <w:pPr>
        <w:sectPr>
          <w:pgSz w:w="11900" w:h="16838" w:orient="portrait"/>
          <w:cols w:equalWidth="0" w:num="1">
            <w:col w:w="11420"/>
          </w:cols>
          <w:pgMar w:left="240" w:top="125" w:right="239" w:bottom="0" w:gutter="0" w:footer="0" w:header="0"/>
        </w:sectPr>
      </w:pPr>
    </w:p>
    <w:bookmarkStart w:id="29" w:name="page30"/>
    <w:bookmarkEnd w:id="29"/>
    <w:p>
      <w:pPr>
        <w:ind w:right="220"/>
        <w:spacing w:after="0" w:line="277" w:lineRule="auto"/>
        <w:rPr>
          <w:sz w:val="20"/>
          <w:szCs w:val="20"/>
          <w:color w:val="auto"/>
        </w:rPr>
      </w:pPr>
      <w:r>
        <w:rPr>
          <w:rFonts w:ascii="Arial" w:cs="Arial" w:eastAsia="Arial" w:hAnsi="Arial"/>
          <w:sz w:val="18"/>
          <w:szCs w:val="18"/>
          <w:color w:val="auto"/>
        </w:rPr>
        <w:t>County has been one of the fastest-growing counties in the country for decades and features a cross-section of industry, as well as extensive retail and some agriculture.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Busey Bank has five banking centers in southwest Florida. Southwest Florida has shown continuing signs of improvement in areas such as job growth and the housing market over the last several years.</w:t>
      </w:r>
    </w:p>
    <w:p>
      <w:pPr>
        <w:spacing w:after="0" w:line="17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Busey Bank has one banking center in the Indianapolis, Indiana area, which is the most populous city of Indiana with a diverse economy. Many large corporations are headquartered in Indianapolis and it is host to numerous conventions and sporting events annually.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an income tax rate of 26% in 2018 and 35% in 2017.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For purposes of this table, changes attributable to both rate and volume, which cannot be segregated, have been allocated proportionately, based on changes due to rate and changes due to volume. All average information is provided on a daily average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 AND 2017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Change in income/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expense due to</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8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Income/</w:t>
            </w:r>
          </w:p>
        </w:tc>
        <w:tc>
          <w:tcPr>
            <w:tcW w:w="68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Yield/</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8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Income/</w:t>
            </w:r>
          </w:p>
        </w:tc>
        <w:tc>
          <w:tcPr>
            <w:tcW w:w="68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Yield/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28"/>
              <w:spacing w:after="0" w:line="119" w:lineRule="exact"/>
              <w:rPr>
                <w:sz w:val="20"/>
                <w:szCs w:val="20"/>
                <w:color w:val="auto"/>
              </w:rPr>
            </w:pPr>
            <w:r>
              <w:rPr>
                <w:rFonts w:ascii="Arial" w:cs="Arial" w:eastAsia="Arial" w:hAnsi="Arial"/>
                <w:sz w:val="13"/>
                <w:szCs w:val="13"/>
                <w:b w:val="1"/>
                <w:bCs w:val="1"/>
                <w:color w:val="auto"/>
                <w:w w:val="97"/>
              </w:rPr>
              <w:t>Average</w:t>
            </w: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Average</w:t>
            </w:r>
          </w:p>
        </w:tc>
        <w:tc>
          <w:tcPr>
            <w:tcW w:w="140" w:type="dxa"/>
            <w:vAlign w:val="bottom"/>
          </w:tcPr>
          <w:p>
            <w:pPr>
              <w:spacing w:after="0"/>
              <w:rPr>
                <w:sz w:val="10"/>
                <w:szCs w:val="10"/>
                <w:color w:val="auto"/>
              </w:rPr>
            </w:pPr>
          </w:p>
        </w:tc>
        <w:tc>
          <w:tcPr>
            <w:tcW w:w="66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1040" w:type="dxa"/>
            <w:vAlign w:val="bottom"/>
            <w:gridSpan w:val="3"/>
          </w:tcPr>
          <w:p>
            <w:pPr>
              <w:jc w:val="right"/>
              <w:ind w:right="405"/>
              <w:spacing w:after="0"/>
              <w:rPr>
                <w:sz w:val="20"/>
                <w:szCs w:val="20"/>
                <w:color w:val="auto"/>
              </w:rPr>
            </w:pPr>
            <w:r>
              <w:rPr>
                <w:rFonts w:ascii="Arial" w:cs="Arial" w:eastAsia="Arial" w:hAnsi="Arial"/>
                <w:sz w:val="14"/>
                <w:szCs w:val="14"/>
                <w:b w:val="1"/>
                <w:bCs w:val="1"/>
                <w:color w:val="auto"/>
              </w:rPr>
              <w:t>Rate(6)</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Expense</w:t>
            </w: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Rate(6)</w:t>
            </w:r>
          </w:p>
        </w:tc>
        <w:tc>
          <w:tcPr>
            <w:tcW w:w="8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94"/>
              </w:rPr>
              <w:t>Volume</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Yield/Rate</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5"/>
          </w:tcPr>
          <w:p>
            <w:pPr>
              <w:jc w:val="right"/>
              <w:ind w:right="1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180"/>
              <w:spacing w:after="0" w:line="201" w:lineRule="exact"/>
              <w:rPr>
                <w:sz w:val="20"/>
                <w:szCs w:val="20"/>
                <w:color w:val="auto"/>
              </w:rPr>
            </w:pPr>
            <w:r>
              <w:rPr>
                <w:rFonts w:ascii="Arial" w:cs="Arial" w:eastAsia="Arial" w:hAnsi="Arial"/>
                <w:sz w:val="18"/>
                <w:szCs w:val="18"/>
                <w:color w:val="auto"/>
              </w:rPr>
              <w:t>Interest-bearing bank</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deposits and federal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funds sold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118,327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423</w:t>
            </w:r>
          </w:p>
        </w:tc>
        <w:tc>
          <w:tcPr>
            <w:tcW w:w="1040" w:type="dxa"/>
            <w:vAlign w:val="bottom"/>
            <w:gridSpan w:val="3"/>
          </w:tcPr>
          <w:p>
            <w:pPr>
              <w:jc w:val="right"/>
              <w:ind w:right="25"/>
              <w:spacing w:after="0"/>
              <w:rPr>
                <w:sz w:val="20"/>
                <w:szCs w:val="20"/>
                <w:color w:val="auto"/>
              </w:rPr>
            </w:pPr>
            <w:r>
              <w:rPr>
                <w:rFonts w:ascii="Arial" w:cs="Arial" w:eastAsia="Arial" w:hAnsi="Arial"/>
                <w:sz w:val="18"/>
                <w:szCs w:val="18"/>
                <w:color w:val="auto"/>
              </w:rPr>
              <w:t>1.45% $</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92,593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178</w:t>
            </w:r>
          </w:p>
        </w:tc>
        <w:tc>
          <w:tcPr>
            <w:tcW w:w="960" w:type="dxa"/>
            <w:vAlign w:val="bottom"/>
            <w:gridSpan w:val="3"/>
          </w:tcPr>
          <w:p>
            <w:pPr>
              <w:ind w:left="360"/>
              <w:spacing w:after="0"/>
              <w:rPr>
                <w:sz w:val="20"/>
                <w:szCs w:val="20"/>
                <w:color w:val="auto"/>
              </w:rPr>
            </w:pPr>
            <w:r>
              <w:rPr>
                <w:rFonts w:ascii="Arial" w:cs="Arial" w:eastAsia="Arial" w:hAnsi="Arial"/>
                <w:sz w:val="18"/>
                <w:szCs w:val="18"/>
                <w:color w:val="auto"/>
                <w:w w:val="94"/>
              </w:rPr>
              <w:t>0.78%$</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360"/>
              <w:spacing w:after="0" w:line="201" w:lineRule="exact"/>
              <w:rPr>
                <w:sz w:val="20"/>
                <w:szCs w:val="20"/>
                <w:color w:val="auto"/>
              </w:rPr>
            </w:pPr>
            <w:r>
              <w:rPr>
                <w:rFonts w:ascii="Arial" w:cs="Arial" w:eastAsia="Arial" w:hAnsi="Arial"/>
                <w:sz w:val="18"/>
                <w:szCs w:val="18"/>
                <w:color w:val="auto"/>
              </w:rPr>
              <w:t>U.S. Government</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54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161,572</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649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147,205</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453</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1.25%</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Obligations of states and</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political</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subdivisions(1)</w:t>
            </w:r>
          </w:p>
        </w:tc>
        <w:tc>
          <w:tcPr>
            <w:tcW w:w="18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309,252</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195,106</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1,433</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2.98%</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Other securities</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840,078</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4,958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467,937</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2,658</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2.30%</w:t>
            </w:r>
          </w:p>
        </w:tc>
        <w:tc>
          <w:tcPr>
            <w:tcW w:w="120" w:type="dxa"/>
            <w:vAlign w:val="bottom"/>
          </w:tcPr>
          <w:p>
            <w:pPr>
              <w:spacing w:after="0"/>
              <w:rPr>
                <w:sz w:val="18"/>
                <w:szCs w:val="18"/>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sale</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39,294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138,861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1,238</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3.62%</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80"/>
              <w:spacing w:after="0"/>
              <w:rPr>
                <w:sz w:val="20"/>
                <w:szCs w:val="20"/>
                <w:color w:val="auto"/>
              </w:rPr>
            </w:pPr>
            <w:r>
              <w:rPr>
                <w:rFonts w:ascii="Arial" w:cs="Arial" w:eastAsia="Arial" w:hAnsi="Arial"/>
                <w:sz w:val="18"/>
                <w:szCs w:val="18"/>
                <w:color w:val="auto"/>
              </w:rPr>
              <w:t>Portfolio loans(1) (2)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5,507,860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60,930</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3,861,937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39,680</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4.17%</w:t>
            </w:r>
          </w:p>
        </w:tc>
        <w:tc>
          <w:tcPr>
            <w:tcW w:w="120" w:type="dxa"/>
            <w:vAlign w:val="bottom"/>
          </w:tcPr>
          <w:p>
            <w:pPr>
              <w:spacing w:after="0"/>
              <w:rPr>
                <w:sz w:val="18"/>
                <w:szCs w:val="18"/>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8"/>
                <w:szCs w:val="18"/>
                <w:color w:val="auto"/>
              </w:rPr>
              <w:t>18,010</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3,240</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rPr>
              <w:t>Total interest-earning</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69,397</w:t>
            </w:r>
          </w:p>
        </w:tc>
        <w:tc>
          <w:tcPr>
            <w:tcW w:w="180" w:type="dxa"/>
            <w:vAlign w:val="bottom"/>
            <w:vMerge w:val="restart"/>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45,640</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assets(1) (3)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6,976,383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4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4.03% $</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4,903,639</w:t>
            </w:r>
          </w:p>
        </w:tc>
        <w:tc>
          <w:tcPr>
            <w:tcW w:w="12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4"/>
              </w:rPr>
              <w:t>3.77%$</w:t>
            </w:r>
          </w:p>
        </w:tc>
        <w:tc>
          <w:tcPr>
            <w:tcW w:w="820" w:type="dxa"/>
            <w:vAlign w:val="bottom"/>
            <w:tcBorders>
              <w:righ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20,188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108,728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79,091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118,356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78,280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loan losses</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(54,637)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(48,709)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515,069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277,679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7,663,899</w:t>
            </w: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5,289,980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Liabilities and Stockholders’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Equity</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180"/>
              <w:spacing w:after="0" w:line="201" w:lineRule="exact"/>
              <w:rPr>
                <w:sz w:val="20"/>
                <w:szCs w:val="20"/>
                <w:color w:val="auto"/>
              </w:rPr>
            </w:pPr>
            <w:r>
              <w:rPr>
                <w:rFonts w:ascii="Arial" w:cs="Arial" w:eastAsia="Arial" w:hAnsi="Arial"/>
                <w:sz w:val="18"/>
                <w:szCs w:val="18"/>
                <w:color w:val="auto"/>
              </w:rPr>
              <w:t>Interest-bearing transaction</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deposits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1,162,692</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670</w:t>
            </w:r>
          </w:p>
        </w:tc>
        <w:tc>
          <w:tcPr>
            <w:tcW w:w="1040" w:type="dxa"/>
            <w:vAlign w:val="bottom"/>
            <w:gridSpan w:val="3"/>
          </w:tcPr>
          <w:p>
            <w:pPr>
              <w:jc w:val="right"/>
              <w:ind w:right="25"/>
              <w:spacing w:after="0"/>
              <w:rPr>
                <w:sz w:val="20"/>
                <w:szCs w:val="20"/>
                <w:color w:val="auto"/>
              </w:rPr>
            </w:pPr>
            <w:r>
              <w:rPr>
                <w:rFonts w:ascii="Arial" w:cs="Arial" w:eastAsia="Arial" w:hAnsi="Arial"/>
                <w:sz w:val="18"/>
                <w:szCs w:val="18"/>
                <w:color w:val="auto"/>
              </w:rPr>
              <w:t>0.23% $</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1,016,353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960" w:type="dxa"/>
            <w:vAlign w:val="bottom"/>
            <w:gridSpan w:val="3"/>
          </w:tcPr>
          <w:p>
            <w:pPr>
              <w:ind w:left="360"/>
              <w:spacing w:after="0"/>
              <w:rPr>
                <w:sz w:val="20"/>
                <w:szCs w:val="20"/>
                <w:color w:val="auto"/>
              </w:rPr>
            </w:pPr>
            <w:r>
              <w:rPr>
                <w:rFonts w:ascii="Arial" w:cs="Arial" w:eastAsia="Arial" w:hAnsi="Arial"/>
                <w:sz w:val="18"/>
                <w:szCs w:val="18"/>
                <w:color w:val="auto"/>
                <w:w w:val="94"/>
              </w:rPr>
              <w:t>0.11%$</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Savings and money market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2,026,948</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1,455,878</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0.16%</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1,378,520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3,798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778,546</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1,185</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0.62%</w:t>
            </w:r>
          </w:p>
        </w:tc>
        <w:tc>
          <w:tcPr>
            <w:tcW w:w="120" w:type="dxa"/>
            <w:vAlign w:val="bottom"/>
          </w:tcPr>
          <w:p>
            <w:pPr>
              <w:spacing w:after="0"/>
              <w:rPr>
                <w:sz w:val="18"/>
                <w:szCs w:val="18"/>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Repurchase agreements</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258,049</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341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165,785</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0.30%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(4)</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123,889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20,278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0.94%</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80"/>
              <w:spacing w:after="0"/>
              <w:rPr>
                <w:sz w:val="20"/>
                <w:szCs w:val="20"/>
                <w:color w:val="auto"/>
              </w:rPr>
            </w:pPr>
            <w:r>
              <w:rPr>
                <w:rFonts w:ascii="Arial" w:cs="Arial" w:eastAsia="Arial" w:hAnsi="Arial"/>
                <w:sz w:val="18"/>
                <w:szCs w:val="18"/>
                <w:color w:val="auto"/>
              </w:rPr>
              <w:t>Long-term debt(5)</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154,120</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1,357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0.57%</w:t>
            </w:r>
          </w:p>
        </w:tc>
        <w:tc>
          <w:tcPr>
            <w:tcW w:w="120" w:type="dxa"/>
            <w:vAlign w:val="bottom"/>
          </w:tcPr>
          <w:p>
            <w:pPr>
              <w:spacing w:after="0"/>
              <w:rPr>
                <w:sz w:val="18"/>
                <w:szCs w:val="18"/>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1,057</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Junior subordinated debt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owed to unconsolidated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trusts</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71,010</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3.36%</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ind w:left="180"/>
              <w:spacing w:after="0"/>
              <w:rPr>
                <w:sz w:val="20"/>
                <w:szCs w:val="20"/>
                <w:color w:val="auto"/>
              </w:rPr>
            </w:pPr>
            <w:r>
              <w:rPr>
                <w:rFonts w:ascii="Arial" w:cs="Arial" w:eastAsia="Arial" w:hAnsi="Arial"/>
                <w:sz w:val="18"/>
                <w:szCs w:val="18"/>
                <w:color w:val="auto"/>
              </w:rPr>
              <w:t>Total interest-bearing</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5,175,228</w:t>
            </w:r>
          </w:p>
        </w:tc>
        <w:tc>
          <w:tcPr>
            <w:tcW w:w="8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8,876</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0.70% $</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3,587,710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2,914</w:t>
            </w:r>
          </w:p>
        </w:tc>
        <w:tc>
          <w:tcPr>
            <w:tcW w:w="1020" w:type="dxa"/>
            <w:vAlign w:val="bottom"/>
            <w:gridSpan w:val="3"/>
          </w:tcPr>
          <w:p>
            <w:pPr>
              <w:ind w:left="360"/>
              <w:spacing w:after="0"/>
              <w:rPr>
                <w:sz w:val="20"/>
                <w:szCs w:val="20"/>
                <w:color w:val="auto"/>
              </w:rPr>
            </w:pPr>
            <w:r>
              <w:rPr>
                <w:rFonts w:ascii="Arial" w:cs="Arial" w:eastAsia="Arial" w:hAnsi="Arial"/>
                <w:sz w:val="18"/>
                <w:szCs w:val="18"/>
                <w:color w:val="auto"/>
              </w:rPr>
              <w:t>0.33%$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2,223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3,739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00" w:type="dxa"/>
            <w:vAlign w:val="bottom"/>
          </w:tcPr>
          <w:p>
            <w:pPr>
              <w:ind w:left="180"/>
              <w:spacing w:after="0"/>
              <w:rPr>
                <w:sz w:val="20"/>
                <w:szCs w:val="20"/>
                <w:color w:val="auto"/>
              </w:rPr>
            </w:pPr>
            <w:r>
              <w:rPr>
                <w:rFonts w:ascii="Arial" w:cs="Arial" w:eastAsia="Arial" w:hAnsi="Arial"/>
                <w:sz w:val="18"/>
                <w:szCs w:val="18"/>
                <w:color w:val="auto"/>
              </w:rPr>
              <w:t>Net interest spread(1)</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3.44%</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180"/>
              <w:spacing w:after="0" w:line="201" w:lineRule="exact"/>
              <w:rPr>
                <w:sz w:val="20"/>
                <w:szCs w:val="20"/>
                <w:color w:val="auto"/>
              </w:rPr>
            </w:pPr>
            <w:r>
              <w:rPr>
                <w:rFonts w:ascii="Arial" w:cs="Arial" w:eastAsia="Arial" w:hAnsi="Arial"/>
                <w:sz w:val="18"/>
                <w:szCs w:val="18"/>
                <w:color w:val="auto"/>
              </w:rPr>
              <w:t>Noninterest-bearing</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1,497,136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1,066,978</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39,882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933,762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595,410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Liabilities and</w:t>
            </w: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7,663,899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5,289,980</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income / earning</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assets(1) (3)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6,976,383</w:t>
            </w: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69,397</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4.03% $</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4,903,639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45,640</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3.77%</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Interest expense / earning</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6,976,383</w:t>
            </w:r>
          </w:p>
        </w:tc>
        <w:tc>
          <w:tcPr>
            <w:tcW w:w="8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8,876</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0.51% $</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4,903,639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2,914</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0.24%</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Net interest margin(1)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60,521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42,726</w:t>
            </w:r>
          </w:p>
        </w:tc>
        <w:tc>
          <w:tcPr>
            <w:tcW w:w="1020" w:type="dxa"/>
            <w:vAlign w:val="bottom"/>
            <w:gridSpan w:val="3"/>
          </w:tcPr>
          <w:p>
            <w:pPr>
              <w:ind w:left="360"/>
              <w:spacing w:after="0"/>
              <w:rPr>
                <w:sz w:val="20"/>
                <w:szCs w:val="20"/>
                <w:color w:val="auto"/>
              </w:rPr>
            </w:pPr>
            <w:r>
              <w:rPr>
                <w:rFonts w:ascii="Arial" w:cs="Arial" w:eastAsia="Arial" w:hAnsi="Arial"/>
                <w:sz w:val="18"/>
                <w:szCs w:val="18"/>
                <w:color w:val="auto"/>
              </w:rPr>
              <w:t>3.53%$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17,965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17,795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(1)On a tax-equivalent basis assuming an income tax rate of 26% in 2018 and 35% in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(2)Non-accrual loans have been included in average portfolio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(3)Interest income includes a tax-equivalent adjustment of $0.8 million and $0.7 million at March 31, 2018 and 2017,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(4)Includes federal funds purchased, FHLB advances and revolving loan. Interest expense includes a non-usage fee on the revolving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(5)Includes FHLB long-term debt, senior notes and subordinated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(6)Annualized.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The Consolidated Average Balance Sheets and interest rates were impacted by the 2017 acquisitions of First Community and Mid Illinois, along with organic growth. Total average interest-earning assets increased $2.1 billion, or 42.3%, to $7.0 billion for the three month period ended March 31, 2018, as compared to $4.9 billion for the same period in 2017. Loans generally have notably higher yields compared to interest-bearing bank deposits and investment securities and our loan growth contributed to a positive effect on net interest margin. Total average interest-bearing liability balances increased $1.6 billion, or 44.2%, to $5.2 billion for the three month period ended March 31, 2018, as compared to $3.6 billion for the same period in 2017.</w:t>
      </w:r>
    </w:p>
    <w:p>
      <w:pPr>
        <w:spacing w:after="0" w:line="158"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Interest income, on a tax-equivalent basis, increased $23.7 million, or 52.1%, to $69.4 million for the three month period ended March 31, 2018, as compared to $45.7 million in the same period of 2017. The interest income increase related primarily to the increase in loan volumes. Interest expense increased during the three month period ended March 31, 2018 by $6.0 million to $8.9 million from $2.9 million in the same period of 2017. The interest expense increase was primarily the result of the increase in deposits and borrowings related to the 2017 acquisitions of First Community and Mid Illinois.</w:t>
      </w:r>
    </w:p>
    <w:p>
      <w:pPr>
        <w:spacing w:after="0" w:line="15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interest income, on a tax-equivalent basis, increased $18.0 million for the three month period ended March 31, 2018, as compared to the same period of 2017. The Federal Open Market Committee announced on March 21, 2018 that the federal funds rate increased from 1.50% to 1.75%. The Company expects this increase in interest rates to be modestly favorable to net interest income in 2018; however, rising interest rates could result in decreased demand for first mortgages as well as mortgage refinancing, activities which contribute to a portion of the Company’s mortgage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margin</w:t>
      </w:r>
    </w:p>
    <w:p>
      <w:pPr>
        <w:spacing w:after="0" w:line="225"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Net interest margin, our net interest income expressed as a percentage of average earning assets stated on a tax-equivalent basis, was 3.52% for the three month period ended March 31, 2018, compared to 3.53% for the same period in 2017. Net of purchase accounting accretion and amortization(1), the net interest margin for the three month period ended March 31, 2018 was 3.32%, a decrease from 3.38% for the same period in 2017. Changes in net interest margin were driven by the pricing on deposits obtained through the Mid Illinois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Quarterly net interest margins for 2018 and 2017 were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3.68%</w:t>
            </w:r>
          </w:p>
        </w:tc>
      </w:tr>
    </w:tbl>
    <w:p>
      <w:pPr>
        <w:spacing w:after="0" w:line="18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net interest spread, which represents the difference between the average rate earned on earning assets and the average rate paid on interest-bearing liabilities, also on a tax-equivalent basis, was 3.33% for the three month period ended March 31, 2018, compared to 3.44% for the same period in 2017.</w:t>
      </w:r>
    </w:p>
    <w:p>
      <w:pPr>
        <w:spacing w:after="0" w:line="12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Management attempts to mitigate the effects of the interest-rate environment through effective portfolio management, prudent loan underwriting and operational efficiencies. Please refer to the Notes to Consolidated Financial Statements in the Company’s Annual Report on Form 10-K for the year ended December 31, 2017 for accounting policies underlying the recognition of interest income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(1)For a reconciliation of net interest margin net of purchase accounting accretion and amortization, see “Non-GAAP Financial Information.”</w:t>
      </w:r>
    </w:p>
    <w:p>
      <w:pPr>
        <w:sectPr>
          <w:pgSz w:w="11900" w:h="16838" w:orient="portrait"/>
          <w:cols w:equalWidth="0" w:num="1">
            <w:col w:w="11420"/>
          </w:cols>
          <w:pgMar w:left="240" w:top="125" w:right="239" w:bottom="19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90" w:gutter="0" w:footer="0" w:header="0"/>
          <w:type w:val="continuous"/>
        </w:sectPr>
      </w:pPr>
    </w:p>
    <w:bookmarkStart w:id="31" w:name="page32"/>
    <w:bookmarkEnd w:id="31"/>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income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7"/>
              </w:rPr>
              <w:t>Three Months Ended March 31,</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920" w:type="dxa"/>
            <w:vAlign w:val="bottom"/>
          </w:tcPr>
          <w:p>
            <w:pPr>
              <w:jc w:val="right"/>
              <w:ind w:right="314"/>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Trust fees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Commissions and brokers’ fees, net</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1,096</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722</w:t>
            </w: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374</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Remittance processing</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547</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Fees for customer services</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6,946</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5,986</w:t>
            </w: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960</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Mortgage revenue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Security gains, net</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(857)</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3"/>
        </w:trPr>
        <w:tc>
          <w:tcPr>
            <w:tcW w:w="4020" w:type="dxa"/>
            <w:vAlign w:val="bottom"/>
          </w:tcPr>
          <w:p>
            <w:pPr>
              <w:ind w:left="18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22,486</w:t>
            </w:r>
          </w:p>
        </w:tc>
        <w:tc>
          <w:tcPr>
            <w:tcW w:w="280" w:type="dxa"/>
            <w:vAlign w:val="bottom"/>
          </w:tcPr>
          <w:p>
            <w:pPr>
              <w:spacing w:after="0"/>
              <w:rPr>
                <w:sz w:val="19"/>
                <w:szCs w:val="19"/>
                <w:color w:val="auto"/>
              </w:rPr>
            </w:pPr>
          </w:p>
        </w:tc>
        <w:tc>
          <w:tcPr>
            <w:tcW w:w="240" w:type="dxa"/>
            <w:vAlign w:val="bottom"/>
            <w:tcBorders>
              <w:top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20,014</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2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non-interest income of $22.5 million for the three month period ended March 31, 2018 increased by 12.4% as compared to $20.0 million for the same period in 2017. The increase reflects organic growth as well as the 2017 acquisitions of First Community and Mid Illinois.</w:t>
      </w:r>
    </w:p>
    <w:p>
      <w:pPr>
        <w:spacing w:after="0" w:line="170"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Combined Wealth Management revenue, consisting of trust fees and commissions and brokers’ fees, net, increased to $8.6 million for the three months ended March 31, 2018 compared to $6.9 million for the three months ended March 31, 2017. Market expansion and increasing assets under care drove fee income. Further, two of the Company’s acquisitions, Pulaski and First Community, had no legacy fee income in these businesses; therefore, the addition of these fee-based service offerings in these acquired bank markets is expected to provide attractive growth opportunities in future periods.</w:t>
      </w:r>
    </w:p>
    <w:p>
      <w:pPr>
        <w:spacing w:after="0" w:line="15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Remittance processing revenue of $3.4 million for the three months ended March 31, 2018 increased compared to $2.8 million for the same period of 2017. Remittance processing adds important diversity to our revenue stream while widening our array of service offerings to larger commercial clients within our footprint and nationally.</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Fees for customer services increased to $6.9 million for the three month period ended March 31, 2018 as compared to $6.0 million for the same period of 2017. Evolving regulation, product changes and changing behaviors by our client base may cause modest fluctuations in the revenue derived from charges on deposit accounts.</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Mortgage revenue decreased to $1.6 million for the three month period ended March 31, 2018 compared to $2.1 million for the same period of 2017. The first quarter of 2018 reflected the realignment of mortgage origination resources to the Company’s current market through the sale of certain mortgage locations in the fourth quarter of 2017.</w:t>
      </w:r>
    </w:p>
    <w:p>
      <w:pPr>
        <w:spacing w:after="0" w:line="18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Security gains, net, vary based on the Company’s decisions around selling securities. In the first quarter of 2017, the Company sold 100% risk weighted investments and reinvested in 20% risk weighted investments at higher yields to better manage capital, while also producing higher future returns.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Other income increased 48.0% for the three months ended March 31, 2018 compared to the same period of 2017 across multiple revenue sources.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expense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right"/>
              <w:ind w:right="474"/>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200" w:type="dxa"/>
            <w:vAlign w:val="bottom"/>
          </w:tcPr>
          <w:p>
            <w:pPr>
              <w:jc w:val="right"/>
              <w:ind w:right="434"/>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employee benefits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28,819</w:t>
            </w: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occupancy expense of premises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3,821</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3,185</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636</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expenses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5,231</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3,598</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1,633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9,741</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6,120</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3,621</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Total non-interest expense</w:t>
            </w:r>
          </w:p>
        </w:tc>
        <w:tc>
          <w:tcPr>
            <w:tcW w:w="2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51,040</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37,619</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w:t>
            </w:r>
          </w:p>
        </w:tc>
        <w:tc>
          <w:tcPr>
            <w:tcW w:w="26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8,278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8,738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Effective rate on income taxes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Efficiency ratio</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26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6"/>
              </w:rPr>
              <w:t>Full-time equivalent employees as of period-end</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1,278</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1,251</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non-interest expense of $51.0 million for the three month period ended March 31, 2018 increased by $13.4 million as compared to $37.6 million for the same period in 2017. Pre-tax non-operating expenses of $3.5 million impacted the first quarter of 2018 while pre-tax non-operating expenses of $1.0 million impacted the first quarter of 2017. We continue to examine expenses across all areas of the Company and remain focused on expense discipline, with an emphasis on the ones outlined below.</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Salaries, wages and employee benefits expense of $28.8 million increased $6.9 million for the three month period ended March 31, 2018 as compared to the same period in 2017, primarily as a result of an increased number of employees resulting from the First Community and Mid Illinois acquisitions. In addition, the first quarter of 2018 was negatively impacted by $1.7 million in restructuring costs designed to address the changing needs of our organization as we seek to balance growth with efficiency. Full-time equivalent employees totaled 1,278 at March 31, 2018, down from 1,347 at December 31, 2017, and up from 1,251 at March 31, 2017.</w:t>
      </w:r>
    </w:p>
    <w:p>
      <w:pPr>
        <w:spacing w:after="0" w:line="18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Combined net occupancy expense of premises and furniture and equipment expenses of $5.7 million for the three month period ended March 31, 2018, increased compared to $4.8 million in the same period in 2017. The 2017 acquisitions added 21 banking centers. We continue to evaluate our banking center</w:t>
      </w:r>
    </w:p>
    <w:p>
      <w:pPr>
        <w:sectPr>
          <w:pgSz w:w="11900" w:h="16867" w:orient="portrait"/>
          <w:cols w:equalWidth="0" w:num="1">
            <w:col w:w="11400"/>
          </w:cols>
          <w:pgMar w:left="240" w:top="341" w:right="259" w:bottom="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network and five banking centers were closed in the first quarter of 2018.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Data processing expense for the three month period ended March 31, 2018 of $5.2 million increased from $3.6 million for the same period of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Variances are largely related to payment of deconversion expenses related to acquisitions.</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Amortization of intangible assets increased for the three month period ended March 31, 2018 compared to the same period in 2017 as a result of the First Community and Mid Illinois acquisitions.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expense of $9.7 million for the three month period ended March 31, 2018 increased $3.6 million compared to the same period in 2017. Variances are across multiple expense categories, including fees around acquisitions.</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effective rate on income taxes, or income taxes divided by income before taxes, of 27.4% for the three months ended March 31, 2018, was lower than the combined federal and state statutory rate of approximately 28% due to tax preferred interest income, such as municipal bond interest and bank owned life insurance income, accounting for a portion of our taxable income. The effective tax rate for the first quarter of 2018 also included the tax impact of the sale of certain assets in conjunction with the Mid Illinois acquisition. Effective July 1, 2017, the combined Illinois corporate income tax rate and replacement tax rate increased from 7.75% to 9.50%. Effective January 1, 2018 in connection with the TCJA, the corporate federal tax rate was reduced from 35.0% to 21.0%.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efficiency ratio(1) represents total non-interest expense, less amortization charges, as a percentage of tax-equivalent net interest income plus non-interest income, less security gains and losses. The efficiency ratio, which is a measure commonly used by management and the investment community in the banking industry, measures the amount of expense that is incurred to generate a dollar of revenue. The efficiency ratio of 59.7% for the three month period ended March 31, 2018 increased from 58.8% in the comparable period in 2017. Operating costs have been influenced by acquisitions and the adjusted efficiency ratio(1), excluding the impact of such acquisition costs among other items, was 55.4% and 57.3% for the three month periods ended March 31, 2018 and 2017, respectively. While acquisition expenses may have a negative impact on the efficiency ratios, the Company expects to realize operating efficiencies creating a positive impact in future years. Further, the Company expects to see greater operating efficiencies from the South Side integration beginning in the second quarter of 2018. We will continue to examine appropriate avenues to improve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826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(1)For a reconciliation of efficiency ratio and adjusted efficiency ratio, non-GAAP financial measures, see “Non-GAAP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Significant Consolidated Balance Sheet items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4"/>
                <w:szCs w:val="14"/>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7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822,101</w:t>
            </w:r>
          </w:p>
        </w:tc>
        <w:tc>
          <w:tcPr>
            <w:tcW w:w="3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872,682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(50,581)</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Securities held to maturity</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459,007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443,550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15,457</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Loans held for sale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29,034</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94,848</w:t>
            </w: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(65,814)</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5,478,804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5,465,918</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12,886</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7,778,746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7,860,640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(81,894)</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Deposits: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1,651,333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1,597,421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53,912</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4,679,841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4,528,544</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151,297</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6,331,174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6,125,965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205,209</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235,311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304,566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(69,255)</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Short-term borrowings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220,000</w:t>
            </w: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(220,000)</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Senior notes, net of unamortized issuance costs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39,438</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39,404</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8"/>
              </w:rPr>
              <w:t>Subordinated notes, net of unamortized issuance costs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64,684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64,715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Junior subordinated debt owed to unconsolidated trusts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71,044</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71,008</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liabilities</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6,836,600</w:t>
            </w:r>
          </w:p>
        </w:tc>
        <w:tc>
          <w:tcPr>
            <w:tcW w:w="3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6,925,637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(89,037)</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942,146</w:t>
            </w:r>
          </w:p>
        </w:tc>
        <w:tc>
          <w:tcPr>
            <w:tcW w:w="30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935,003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7,143</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 the first quarter of 2018, we continued to emphasize our key priorities - balance sheet strength, profitability and growth -achieved within a framework of safety and soundness. Our capital position remains strong and we continue to focus on a sound credit foundation. We believe our emphasis on commercial banking and wealth management, supplemented by our remittance processing activities, will drive growth in 2018 and beyond.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Loans held for sale totaled $29.0 million and $94.8 million at March 31, 2018 and December 31, 2017, respectively. The amount of loans held for sale decreased from December 31, 2017, due to lower origination volumes in 2018. Loans held for sale generate net interest income until loans are delivered to investors, at which point mortgage revenue will be recognized.</w:t>
      </w:r>
    </w:p>
    <w:p>
      <w:pPr>
        <w:sectPr>
          <w:pgSz w:w="11900" w:h="16838" w:orient="portrait"/>
          <w:cols w:equalWidth="0" w:num="1">
            <w:col w:w="11420"/>
          </w:cols>
          <w:pgMar w:left="240" w:top="125" w:right="239" w:bottom="15"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5"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Geographic distributions of portfolio loans by category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6"/>
              </w:rPr>
              <w:t>March 31, 2018</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Illinois</w:t>
            </w:r>
          </w:p>
        </w:tc>
        <w:tc>
          <w:tcPr>
            <w:tcW w:w="20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Missouri</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991,144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1,431,496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1,491,832</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573,007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160,651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135,070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89,715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80,964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825,913</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497,054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20,031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24,489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Portfolio loans</w:t>
            </w:r>
          </w:p>
        </w:tc>
        <w:tc>
          <w:tcPr>
            <w:tcW w:w="11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3,423,093</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291,065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5,531,453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52,649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5,478,804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Illinois</w:t>
            </w:r>
          </w:p>
        </w:tc>
        <w:tc>
          <w:tcPr>
            <w:tcW w:w="20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Missouri</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974,392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378,424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1,414,631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1,505,819</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547,200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147,360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154,305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2,354,684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87,084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26,209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73,551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835,287</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509,500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98,112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17,902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1,460,801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26,230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Portfolio loans</w:t>
            </w:r>
          </w:p>
        </w:tc>
        <w:tc>
          <w:tcPr>
            <w:tcW w:w="11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3,428,812</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1,510,471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291,647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5,465,918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Portfolio loans increased $12.0 million, or 0.2%, as of March 31, 2018 compared to December 31, 2017. Commercial balances (consisting of commercial, commercial real estate and real estate construction loans) increased $30.4 million from December 31, 2017. Retail real estate and retail other loans decreased $18.4 million from December 31, 2017. First quarter 2018 loan growth was driven by organic originations, particularly in the Missouri market. Relationship banking, rather than transactional banking, remains a focus for the Company. Relationship banking implies a primary banking relationship with the borrower that includes, at minimum, an active deposit banking relationship in addition to the lending relationship.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allowance for loan losses was $52.6 million, or 0.95% of portfolio loans, and $53.6 million, or 0.97% of portfolio loans, at March 31, 2018 and December 31, 2017, respectively. As of March 31, 2018,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a write-off is charged against the allowance for loan losses. We continue to attempt to identify problem loan situations on a proactive basis. Once problem loans are identified, adjustments to the provision for loan losses are made based upon all information available at that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provision for loan losses was $1.0 million and $0.5 million at March 31, 2018 and 2017, respectively. As a result of acquisitions, the Company is holding acquired loans that are carried net of a fair value adjustment for credit and interest rate marks and are only included in the allowance calculation to the extent that the reserve requirement exceeds the fair value adjustment. However, as the acquired loans renew and as the Company originates new loan production, it is necessary to establish an allowance for losses, which represents an amount that, in management’s opinion, will be adequate to absorb probable credit losses.</w:t>
      </w:r>
    </w:p>
    <w:p>
      <w:pPr>
        <w:spacing w:after="0" w:line="15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54"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Typically, loans are collateral dependent. When a collateral dependent loan is classified as non-accrual it is charged down through the allowance for loan losses to the fair value of our interest in the underlying collateral less estimated costs to sell. Our loan portfolio is collateralized primarily by real estate.</w:t>
      </w:r>
    </w:p>
    <w:p>
      <w:pPr>
        <w:sectPr>
          <w:pgSz w:w="11900" w:h="16838" w:orient="portrait"/>
          <w:cols w:equalWidth="0" w:num="1">
            <w:col w:w="11420"/>
          </w:cols>
          <w:pgMar w:left="240" w:top="584" w:right="239" w:bottom="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 xml:space="preserve">The following table sets forth information concerning non-performing loans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4"/>
                <w:szCs w:val="14"/>
                <w:color w:val="auto"/>
              </w:rPr>
            </w:pPr>
          </w:p>
        </w:tc>
        <w:tc>
          <w:tcPr>
            <w:tcW w:w="14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December 31, 2017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w:t>
            </w:r>
          </w:p>
        </w:tc>
        <w:tc>
          <w:tcPr>
            <w:tcW w:w="26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Loans 90+ days past due and still accruing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28,648</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29,041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53,582</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51,035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Allowance for loan losses to portfolio loans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183.1%</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spacing w:after="0" w:line="201" w:lineRule="exact"/>
              <w:rPr>
                <w:sz w:val="20"/>
                <w:szCs w:val="20"/>
                <w:color w:val="auto"/>
              </w:rPr>
            </w:pPr>
            <w:r>
              <w:rPr>
                <w:rFonts w:ascii="Arial" w:cs="Arial" w:eastAsia="Arial" w:hAnsi="Arial"/>
                <w:sz w:val="18"/>
                <w:szCs w:val="18"/>
                <w:color w:val="auto"/>
                <w:w w:val="97"/>
              </w:rPr>
              <w:t>Non-performing loans to portfolio loans, before allowance for</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loan losses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loans and OREO to portfolio loans, before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Total non-performing assets were $34.6 million at March 31, 2018, compared to $28.6 million at December 31, 2017. Non-performing assets as a percentage of total loans and non-performing assets continued to be favorably low at 0.6% on March 31, 2018. Asset quality metrics can be generally influenced by market-specific economic conditions beyond the control of the Company, and specific measures may fluctuate from quarter to quarter.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$88.2 million at March 31, 2018, compared to $70.4 million at December 31, 2017. Management continues to monitor these credits and anticipates that restructurings, guarantees, additional collateral or other planned actions will result in full repayment of the debts. As of March 31, 2018, management identified no other loans that represent or result from trends or uncertainties which management reasonably expected to materially impact future operating results, liquidity or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First Busey’s primary sources of funds consist of deposits, investment maturities and sales, loan principal repayments, and capital funds. Additional liquidity is provided by the ability to borrow from the FHLB, the Federal Reserve, First Busey’s revolving loan facility, or to utilize brokered deposits.</w:t>
      </w:r>
    </w:p>
    <w:p>
      <w:pPr>
        <w:spacing w:after="0" w:line="14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As of March 31, 2018,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March 31, 2018 and December 31, 2017 the Company had outstanding standby letters of credit of $35.5 million and $37.2 million, respectively, and commitments to extend credit of $1.4 billion and $1.3 billion, respectively, to its customers. Since these commitments generally have fixed expiration dates and many will expire without being drawn upon, the total commitment level does not necessarily represent future cash requirements. These commitments are made in the ordinary course of business to meet the financing needs of the Company’s customers. As of March 31, 2018, no amounts were recorded as liabilities for the Company’s potential obligations under these commitments.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 Risk-based capital ratios are established by allocating assets and certain off-balance-sheet commitments into risk-weighted categories. These balances are then multiplied by the factor appropriate for that risk-weighted category. For 2018, the guidelines, including the capital conservation buffer, required bank holding companies and their subsidiary bank to maintain a total capital to total risk-weighted asset ratio of not less than 9.875%, Tier 1 capital to total risk-weighted asset ratio of not less than 7.875%, Common Equity Tier 1 capital to total risk-weighted asset ratio of not less than 6.375% and a Tier 1 leverage ratio of not less than 4.00%. These minimum capital requirements will increase annually until the Basel III Rule is fully phased-in on January 1, 2019. As of March 31, 2018, First Busey had a total capital to total risk-weighted asset ratio of 14.32%, a Tier 1 capital to risk-weighted asset ratio of 12.32%, Common Equity Tier 1 capital to risk-weighted asset ratio of 11.07% and a Tier 1 leverage ratio of 9.89%; Busey Bank had ratios of 13.77%, 12.87%, 12.87% and 10.31%, respectively.</w:t>
      </w:r>
    </w:p>
    <w:p>
      <w:pPr>
        <w:sectPr>
          <w:pgSz w:w="11900" w:h="16838" w:orient="portrait"/>
          <w:cols w:equalWidth="0" w:num="1">
            <w:col w:w="11420"/>
          </w:cols>
          <w:pgMar w:left="240" w:top="125" w:right="239" w:bottom="163"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63" w:gutter="0" w:footer="0" w:header="0"/>
          <w:type w:val="continuous"/>
        </w:sectPr>
      </w:pPr>
    </w:p>
    <w:bookmarkStart w:id="35" w:name="page36"/>
    <w:bookmarkEnd w:id="35"/>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This Quarterly Report on Form 10-Q contains certain financial information determined by methods other than in accordance with GAAP. These measures include adjusted net income, adjusted ROA, adjusted net interest margin, adjusted efficiency ratio, tangible common equity, tangible common equity to tangible assets and return on average common equity. Management uses these non-GAAP measures, together with the related GAAP measures, to analyze the Company’s performance and to make business decisions. Management also uses these measures for peer comparisons.</w:t>
      </w:r>
    </w:p>
    <w:p>
      <w:pPr>
        <w:spacing w:after="0" w:line="15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A reconciliation to what management believes to be the most direct compared GAAP financial measures, specifically net income in the case of adjusted net income and adjusted ROA, total net interest income, total non-interest income and total non-interest expense in the case of adjusted efficiency ratio and total stockholders’ equity in the case of the tangible book value per share, appears below </w:t>
      </w:r>
      <w:r>
        <w:rPr>
          <w:rFonts w:ascii="Arial" w:cs="Arial" w:eastAsia="Arial" w:hAnsi="Arial"/>
          <w:sz w:val="17"/>
          <w:szCs w:val="17"/>
          <w:i w:val="1"/>
          <w:iCs w:val="1"/>
          <w:color w:val="auto"/>
        </w:rPr>
        <w:t>(dollars in thousands, except per share data)</w:t>
      </w:r>
      <w:r>
        <w:rPr>
          <w:rFonts w:ascii="Arial" w:cs="Arial" w:eastAsia="Arial" w:hAnsi="Arial"/>
          <w:sz w:val="17"/>
          <w:szCs w:val="17"/>
          <w:color w:val="auto"/>
        </w:rPr>
        <w:t>. The Company believes each of the adjusted measures is useful for investors and management to understand the effects of certain non-interest items and provides additional perspective on the Company’s performance over time as well as comparison to the Company’s peers.</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w:t>
      </w:r>
    </w:p>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Non-GAAP Financial Measures — Adjusted Net Income and ROA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w w:val="98"/>
              </w:rPr>
              <w:t>March 31, 2018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160" w:type="dxa"/>
            <w:vAlign w:val="bottom"/>
          </w:tcPr>
          <w:p>
            <w:pPr>
              <w:spacing w:after="0"/>
              <w:rPr>
                <w:sz w:val="12"/>
                <w:szCs w:val="12"/>
                <w:color w:val="auto"/>
              </w:rPr>
            </w:pPr>
          </w:p>
        </w:tc>
        <w:tc>
          <w:tcPr>
            <w:tcW w:w="12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98"/>
              </w:rPr>
              <w:t>March 31, 2017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Acquisition expenses</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Salaries, wages and employee benefits</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Data processing</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372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(includes professional and legal)</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Other restructuring costs</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Salaries, wages and employee benefits</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 tax benefit</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Tax Cuts and Jobs Act related adjustment</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8,098</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total assets</w:t>
            </w:r>
          </w:p>
        </w:tc>
        <w:tc>
          <w:tcPr>
            <w:tcW w:w="2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7,663,899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5,289,980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ROA(1)</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ROA(1)</w:t>
            </w:r>
          </w:p>
        </w:tc>
        <w:tc>
          <w:tcPr>
            <w:tcW w:w="2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880" w:type="dxa"/>
            <w:vAlign w:val="bottom"/>
            <w:tcBorders>
              <w:bottom w:val="single" w:sz="8" w:color="808080"/>
            </w:tcBorders>
            <w:gridSpan w:val="2"/>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340" w:type="dxa"/>
            <w:vAlign w:val="bottom"/>
            <w:gridSpan w:val="3"/>
          </w:tcPr>
          <w:p>
            <w:pPr>
              <w:spacing w:after="0"/>
              <w:rPr>
                <w:sz w:val="20"/>
                <w:szCs w:val="20"/>
                <w:color w:val="auto"/>
              </w:rPr>
            </w:pPr>
            <w:r>
              <w:rPr>
                <w:rFonts w:ascii="Arial" w:cs="Arial" w:eastAsia="Arial" w:hAnsi="Arial"/>
                <w:sz w:val="18"/>
                <w:szCs w:val="18"/>
                <w:color w:val="auto"/>
              </w:rPr>
              <w:t>(1) Annualized measure</w:t>
            </w: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tcPr>
          <w:p>
            <w:pPr>
              <w:jc w:val="right"/>
              <w:ind w:right="47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gridSpan w:val="3"/>
          </w:tcPr>
          <w:p>
            <w:pPr>
              <w:spacing w:after="0"/>
              <w:rPr>
                <w:sz w:val="11"/>
                <w:szCs w:val="11"/>
                <w:color w:val="auto"/>
              </w:rPr>
            </w:pPr>
          </w:p>
        </w:tc>
        <w:tc>
          <w:tcPr>
            <w:tcW w:w="1520" w:type="dxa"/>
            <w:vAlign w:val="bottom"/>
            <w:tcBorders>
              <w:bottom w:val="single" w:sz="8" w:color="808080"/>
            </w:tcBorders>
            <w:gridSpan w:val="4"/>
          </w:tcPr>
          <w:p>
            <w:pPr>
              <w:spacing w:after="0"/>
              <w:rPr>
                <w:sz w:val="11"/>
                <w:szCs w:val="11"/>
                <w:color w:val="auto"/>
              </w:rPr>
            </w:pPr>
          </w:p>
        </w:tc>
        <w:tc>
          <w:tcPr>
            <w:tcW w:w="200" w:type="dxa"/>
            <w:vAlign w:val="bottom"/>
            <w:tcBorders>
              <w:bottom w:val="single" w:sz="8" w:color="808080"/>
            </w:tcBorders>
            <w:gridSpan w:val="2"/>
          </w:tcPr>
          <w:p>
            <w:pPr>
              <w:spacing w:after="0"/>
              <w:rPr>
                <w:sz w:val="11"/>
                <w:szCs w:val="11"/>
                <w:color w:val="auto"/>
              </w:rPr>
            </w:pPr>
          </w:p>
        </w:tc>
        <w:tc>
          <w:tcPr>
            <w:tcW w:w="1820" w:type="dxa"/>
            <w:vAlign w:val="bottom"/>
            <w:tcBorders>
              <w:bottom w:val="single" w:sz="8" w:color="808080"/>
            </w:tcBorders>
            <w:gridSpan w:val="3"/>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880" w:type="dxa"/>
            <w:vAlign w:val="bottom"/>
            <w:gridSpan w:val="12"/>
          </w:tcPr>
          <w:p>
            <w:pPr>
              <w:jc w:val="center"/>
              <w:ind w:left="1430"/>
              <w:spacing w:after="0"/>
              <w:rPr>
                <w:sz w:val="20"/>
                <w:szCs w:val="20"/>
                <w:color w:val="auto"/>
              </w:rPr>
            </w:pPr>
            <w:r>
              <w:rPr>
                <w:rFonts w:ascii="Arial" w:cs="Arial" w:eastAsia="Arial" w:hAnsi="Arial"/>
                <w:sz w:val="18"/>
                <w:szCs w:val="18"/>
                <w:b w:val="1"/>
                <w:bCs w:val="1"/>
                <w:color w:val="auto"/>
                <w:w w:val="91"/>
              </w:rPr>
              <w:t>Reconciliation of Non-GAAP Financial Measures — Adjusted Net Interest Margin</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March 31, 2018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160" w:type="dxa"/>
            <w:vAlign w:val="bottom"/>
          </w:tcPr>
          <w:p>
            <w:pPr>
              <w:spacing w:after="0"/>
              <w:rPr>
                <w:sz w:val="12"/>
                <w:szCs w:val="12"/>
                <w:color w:val="auto"/>
              </w:rPr>
            </w:pPr>
          </w:p>
        </w:tc>
        <w:tc>
          <w:tcPr>
            <w:tcW w:w="12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98"/>
              </w:rPr>
              <w:t>March 31, 2017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income</w:t>
            </w:r>
          </w:p>
        </w:tc>
        <w:tc>
          <w:tcPr>
            <w:tcW w:w="2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59,757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63,046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Tax-equivalency adjustment</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764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1,192</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Purchase accounting amortization</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(5,848)</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Net interest income</w:t>
            </w:r>
          </w:p>
        </w:tc>
        <w:tc>
          <w:tcPr>
            <w:tcW w:w="20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57,111</w:t>
            </w: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58,390</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40,875</w:t>
            </w:r>
          </w:p>
        </w:tc>
        <w:tc>
          <w:tcPr>
            <w:tcW w:w="16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Average interest-earning assets</w:t>
            </w:r>
          </w:p>
        </w:tc>
        <w:tc>
          <w:tcPr>
            <w:tcW w:w="22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6,976,383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6,932,750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4,903,639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gridSpan w:val="2"/>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margin(1)</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Net Interest margin(1)</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-2136775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-2136775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Annualized measure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Non-GAAP Financial Measures — Adjusted Efficiency Ratio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8"/>
              </w:rPr>
              <w:t>March 31, 2018</w:t>
            </w:r>
          </w:p>
        </w:tc>
        <w:tc>
          <w:tcPr>
            <w:tcW w:w="120" w:type="dxa"/>
            <w:vAlign w:val="bottom"/>
          </w:tcPr>
          <w:p>
            <w:pPr>
              <w:spacing w:after="0"/>
              <w:rPr>
                <w:sz w:val="12"/>
                <w:szCs w:val="12"/>
                <w:color w:val="auto"/>
              </w:rPr>
            </w:pPr>
          </w:p>
        </w:tc>
        <w:tc>
          <w:tcPr>
            <w:tcW w:w="17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8"/>
              </w:rPr>
              <w:t>December 31, 2017</w:t>
            </w:r>
          </w:p>
        </w:tc>
        <w:tc>
          <w:tcPr>
            <w:tcW w:w="160" w:type="dxa"/>
            <w:vAlign w:val="bottom"/>
          </w:tcPr>
          <w:p>
            <w:pPr>
              <w:spacing w:after="0"/>
              <w:rPr>
                <w:sz w:val="12"/>
                <w:szCs w:val="12"/>
                <w:color w:val="auto"/>
              </w:rPr>
            </w:pPr>
          </w:p>
        </w:tc>
        <w:tc>
          <w:tcPr>
            <w:tcW w:w="12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98"/>
              </w:rPr>
              <w:t>March 31, 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59,757</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63,046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Tax-equivalency adjustment</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1,192</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equivalent interest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Non-interest income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22,486</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23,561</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Less: Security gains, net</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Non-interest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Non-interest expense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51,040</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37" w:right="19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Non-operating adjustments:</w:t>
            </w: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Salaries, wages and employee benefits</w:t>
            </w: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520"/>
              <w:spacing w:after="0"/>
              <w:rPr>
                <w:sz w:val="20"/>
                <w:szCs w:val="20"/>
                <w:color w:val="auto"/>
              </w:rPr>
            </w:pPr>
            <w:r>
              <w:rPr>
                <w:rFonts w:ascii="Arial" w:cs="Arial" w:eastAsia="Arial" w:hAnsi="Arial"/>
                <w:sz w:val="18"/>
                <w:szCs w:val="18"/>
                <w:color w:val="auto"/>
              </w:rPr>
              <w:t>Data processing</w:t>
            </w: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6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(1,268)</w:t>
            </w: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(1,589)</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Non-interest expense</w:t>
            </w:r>
          </w:p>
        </w:tc>
        <w:tc>
          <w:tcPr>
            <w:tcW w:w="19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45,998</w:t>
            </w:r>
          </w:p>
        </w:tc>
        <w:tc>
          <w:tcPr>
            <w:tcW w:w="2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48,057</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35,441</w:t>
            </w:r>
          </w:p>
        </w:tc>
        <w:tc>
          <w:tcPr>
            <w:tcW w:w="16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Efficiency ratio</w:t>
            </w: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59.66%</w:t>
            </w:r>
          </w:p>
        </w:tc>
        <w:tc>
          <w:tcPr>
            <w:tcW w:w="6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58.69%</w:t>
            </w:r>
          </w:p>
        </w:tc>
        <w:tc>
          <w:tcPr>
            <w:tcW w:w="4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Efficiency ratio</w:t>
            </w: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55.41%</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54.74%</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920" w:type="dxa"/>
            <w:vAlign w:val="bottom"/>
          </w:tcPr>
          <w:p>
            <w:pPr>
              <w:jc w:val="right"/>
              <w:ind w:right="510"/>
              <w:spacing w:after="0"/>
              <w:rPr>
                <w:sz w:val="20"/>
                <w:szCs w:val="20"/>
                <w:color w:val="auto"/>
              </w:rPr>
            </w:pPr>
            <w:r>
              <w:rPr>
                <w:rFonts w:ascii="Arial" w:cs="Arial" w:eastAsia="Arial" w:hAnsi="Arial"/>
                <w:sz w:val="18"/>
                <w:szCs w:val="18"/>
                <w:color w:val="auto"/>
              </w:rPr>
              <w:t>56</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Reconciliation of Non-GAAP Financial Measures — Tangible common equity to tangible assets, Tangible book value per share, Return on average tangible common equity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8"/>
              </w:rPr>
              <w:t>March 31, 2018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8"/>
              </w:rPr>
              <w:t>December 31, 2017</w:t>
            </w:r>
          </w:p>
        </w:tc>
        <w:tc>
          <w:tcPr>
            <w:tcW w:w="160" w:type="dxa"/>
            <w:vAlign w:val="bottom"/>
          </w:tcPr>
          <w:p>
            <w:pPr>
              <w:spacing w:after="0"/>
              <w:rPr>
                <w:sz w:val="12"/>
                <w:szCs w:val="12"/>
                <w:color w:val="auto"/>
              </w:rPr>
            </w:pPr>
          </w:p>
        </w:tc>
        <w:tc>
          <w:tcPr>
            <w:tcW w:w="12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w w:val="98"/>
              </w:rPr>
              <w:t>March 31, 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7,778,746</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7,860,640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5,438,935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and other intangible assets,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(304,897)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(308,073)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Tax effect of goodwill and other intangible assets, net</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9,675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11,039</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7,483,524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7,563,606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5,325,775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942,146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935,003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and other intangible assets,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(304,897)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(308,073)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Tax effect of goodwill and other intangible assets, net</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9,675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11,039</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stockholders’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Tangible common equity to tangible assets(1)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Tangible book value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12.88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Average stockholders’ common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933,762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932,179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595,410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Average goodwill and intangibles,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(306,968)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(309,227)</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Average tangible stockholders’ common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626,794</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622,952</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474,549</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Return on average tangible common equity(2)</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7.83%</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Return on average tangible common equity(2), (3)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14.35%</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Return on average common equity(2)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Tax-effected measure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(2)Annualized measure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Calculated using adjusted net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Statements made in this report,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First Busey. Forward-looking statements, which may be based upon beliefs, expectations and assumptions of First Busey’s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national and international economy;</w:t>
      </w:r>
    </w:p>
    <w:p>
      <w:pPr>
        <w:spacing w:after="0" w:line="1"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state and federal laws, regulations and governmental policies concerning First Busey’s general business; (iii) changes in interest rates and</w:t>
      </w:r>
    </w:p>
    <w:p>
      <w:pPr>
        <w:spacing w:after="0" w:line="32" w:lineRule="exact"/>
        <w:rPr>
          <w:rFonts w:ascii="Arial" w:cs="Arial" w:eastAsia="Arial" w:hAnsi="Arial"/>
          <w:sz w:val="16"/>
          <w:szCs w:val="16"/>
          <w:color w:val="auto"/>
        </w:rPr>
      </w:pPr>
    </w:p>
    <w:p>
      <w:pPr>
        <w:ind w:right="80"/>
        <w:spacing w:after="0" w:line="287" w:lineRule="auto"/>
        <w:rPr>
          <w:rFonts w:ascii="Arial" w:cs="Arial" w:eastAsia="Arial" w:hAnsi="Arial"/>
          <w:sz w:val="16"/>
          <w:szCs w:val="16"/>
          <w:color w:val="auto"/>
        </w:rPr>
      </w:pPr>
      <w:r>
        <w:rPr>
          <w:rFonts w:ascii="Arial" w:cs="Arial" w:eastAsia="Arial" w:hAnsi="Arial"/>
          <w:sz w:val="16"/>
          <w:szCs w:val="16"/>
          <w:color w:val="auto"/>
        </w:rPr>
        <w:t>prepayment rates of First Busey’s assets; (iv) increased competition in the financial services sector and the inability to attract new customers; (v) changes in technology and the ability to develop and maintain secure and reliable electronic systems; (vi) the loss of key executives or employees; (vii) changes in consumer spending; (viii) unexpected results of current and/or future acquisitions, which may include failure to realize the anticipated benefits of any acquisition and the possibility that transaction costs may be greater than anticipated; (ix) unexpected outcomes of existing or new litigation involving First Busey; (x) the economic impact of any future terrorist threats or attacks; (xi) the economic impact of exceptional weather occurrences such as tornadoes, hurricanes, floods, and blizzards; and (xii) changes in accounting policies and practices. These risks and uncertainties should be considered in evaluating forward-looking statements and undue reliance should not be placed on such statements. Additional information concerning First Busey and its business, including additional factors that could materially affect its financial results, is included in First Busey’s filings with the Securities and Exchange Commission.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ectPr>
          <w:pgSz w:w="11900" w:h="16838" w:orient="portrait"/>
          <w:cols w:equalWidth="0" w:num="1">
            <w:col w:w="11460"/>
          </w:cols>
          <w:pgMar w:left="240" w:top="140" w:right="199" w:bottom="0" w:gutter="0" w:footer="0" w:header="0"/>
        </w:sectPr>
      </w:pPr>
    </w:p>
    <w:bookmarkStart w:id="37" w:name="page38"/>
    <w:bookmarkEnd w:id="37"/>
    <w:p>
      <w:pPr>
        <w:spacing w:after="0" w:line="257" w:lineRule="auto"/>
        <w:rPr>
          <w:sz w:val="20"/>
          <w:szCs w:val="20"/>
          <w:color w:val="auto"/>
        </w:rPr>
      </w:pPr>
      <w:r>
        <w:rPr>
          <w:rFonts w:ascii="Arial" w:cs="Arial" w:eastAsia="Arial" w:hAnsi="Arial"/>
          <w:sz w:val="18"/>
          <w:szCs w:val="18"/>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w:t>
      </w:r>
    </w:p>
    <w:p>
      <w:pPr>
        <w:spacing w:after="0" w:line="18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Our significant accounting policies are described in Note 1 of the Company’s Annual Report on Form 10-K for the year ended December 31, 2017. The majority of these accounting policies do not require management to make difficult, subjective or complex judgments or estimates or the variability of the estimates is not material. However, the following policies could be deemed critical:</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Fair Value of Available for Sale Investment Securities. </w:t>
      </w:r>
      <w:r>
        <w:rPr>
          <w:rFonts w:ascii="Arial" w:cs="Arial" w:eastAsia="Arial" w:hAnsi="Arial"/>
          <w:sz w:val="17"/>
          <w:szCs w:val="17"/>
          <w:color w:val="auto"/>
        </w:rPr>
        <w:t>Securities are classified as available for sale when First Busey determines it is possible the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could be sold in the future due to changes in market interest rates, liquidity needs, changes in yields on alternative investments, and for other reasons. Securities classified as available for sale are carried at fair value with unrealized gains and losses, net of taxes, reported in other comprehensive income (loss). For securities classified as available for sale, fair value measurements from an independent pricing service are based on observable data that may include dealer quotes, market spreads, cash flows, the U.S. Treasury yield curve, live trading levels, trade execution data, market consensus prepayment speeds, credit information and the security’s terms and conditions, among other things.</w:t>
      </w:r>
    </w:p>
    <w:p>
      <w:pPr>
        <w:spacing w:after="0" w:line="17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Realized securities gains or losses are reported in the Consolidated Statements of Income. The cost of securities sold is based on the specific identification method. Declines in the fair value of securities below their amortized cost are evaluated to determine whether they are temporary or OTTI. If the Company</w:t>
      </w:r>
    </w:p>
    <w:p>
      <w:pPr>
        <w:ind w:right="100" w:firstLine="8"/>
        <w:spacing w:after="0" w:line="253"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the intent to sell a debt security or (b) will more-likely-than-not be required to sell the debt security before its anticipated recovery, then the Company recognizes the entire decline in fair value as an OTTI loss. If neither of these conditions are met, the Company evaluates whether a credit loss exists. The decline in fair value is separated into the amount of impairment related to the credit loss and the amount of impairment related to all other factors. The amount of the impairment related to credit loss is recognized in earnings, and the amount of impairment related to all other factors is recognized in other comprehensive income (loss).</w:t>
      </w:r>
    </w:p>
    <w:p>
      <w:pPr>
        <w:spacing w:after="0" w:line="19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also evaluates whether the decline in fair value of an equity security is temporary or OTTI. In determining whether an unrealized loss on an equity security is temporary or OTTI,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Fair Value of Assets Acquired and Liabilities Assumed in Business Combinations. </w:t>
      </w:r>
      <w:r>
        <w:rPr>
          <w:rFonts w:ascii="Arial" w:cs="Arial" w:eastAsia="Arial" w:hAnsi="Arial"/>
          <w:sz w:val="16"/>
          <w:szCs w:val="16"/>
          <w:color w:val="auto"/>
        </w:rPr>
        <w:t>Business combinations are accounted for using the acquisition method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Under the acquisition method of accounting, assets acquired and liabilities assumed are recorded at their estimated fair value on the date of acquisition. Fair values are determined based on the definition of fair value defined in FASB ASC Topic 820 — Fair Value Measurement as “the price that would be received to sell an asset or paid to transfer a liability in an orderly transaction between market participants at the measurement date.”</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fair value of a loan portfolio acquired in a business combination generally requires greater levels of management estimates and judgment than other assets acquired or liabilities assumed. At the date of acquisition, when loans have evidence of credit deterioration since origination and it is probable that the Company will not collect all contractually required principal and interest payments, the difference between contractually required payments and the cash flows expected to be collected at acquisition is referred to as the non-accretable difference. At each future reporting date, the Company re-estimates the expected cash flows of the loans. Subsequent decreases in the expected cash flows will generally result in a provision for loan losses. Subsequent increases in the expected cash flows will generally be offset against the allowance for loan losses to the extent an allowance has been established or will be recognized as interest income prospectively.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First Busey has established an allowance for loan losses which represents its estimate of the probable losses inherent in the loan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as of the date of the unaudited Consolidated Financial Statements and reduces the total loans outstanding by an estimate of uncollectible loans. Loans deemed uncollectible are charged against and reduce the allowance. A provision for loan losses is charged to current expense and acts to replenish the allowance for loan losses in order to maintain the allowance at a level that management deems adequate. Acquired loans from business combinations with uncollected principal balances are carried net of a fair value adjustment for credit and interest rates. These loans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DISCLOSURES ABOUT MARKET RISK</w:t>
      </w:r>
    </w:p>
    <w:p>
      <w:pPr>
        <w:sectPr>
          <w:pgSz w:w="11900" w:h="16838" w:orient="portrait"/>
          <w:cols w:equalWidth="0" w:num="1">
            <w:col w:w="11400"/>
          </w:cols>
          <w:pgMar w:left="240" w:top="125" w:right="259" w:bottom="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to attempt to structure the Consolidated Balance Sheets to ensure stable net interest income despite potential changes in interest rates.</w:t>
      </w:r>
    </w:p>
    <w:p>
      <w:pPr>
        <w:spacing w:after="0" w:line="17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 funds rate and other market indices. The model assumes assets and liabilities remain constant at the measurement date balances. The model uses repricing frequency on all variable-rate assets and liabilities. Prepayment speeds on loans have been adjusted to incorporate expected prepayment speeds in both a declining and rising rate environment.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38"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9"/>
          </w:tcPr>
          <w:p>
            <w:pPr>
              <w:ind w:left="920"/>
              <w:spacing w:after="0"/>
              <w:rPr>
                <w:sz w:val="20"/>
                <w:szCs w:val="20"/>
                <w:color w:val="auto"/>
              </w:rPr>
            </w:pPr>
            <w:r>
              <w:rPr>
                <w:rFonts w:ascii="Arial" w:cs="Arial" w:eastAsia="Arial" w:hAnsi="Arial"/>
                <w:sz w:val="14"/>
                <w:szCs w:val="14"/>
                <w:b w:val="1"/>
                <w:bCs w:val="1"/>
                <w:color w:val="auto"/>
                <w:w w:val="99"/>
              </w:rPr>
              <w:t>Year-One: Basis Point Changes</w:t>
            </w: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-100</w:t>
            </w:r>
          </w:p>
        </w:tc>
        <w:tc>
          <w:tcPr>
            <w:tcW w:w="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+100</w:t>
            </w:r>
          </w:p>
        </w:tc>
        <w:tc>
          <w:tcPr>
            <w:tcW w:w="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w:t>
            </w:r>
          </w:p>
        </w:tc>
        <w:tc>
          <w:tcPr>
            <w:tcW w:w="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+300</w:t>
            </w:r>
          </w:p>
        </w:tc>
        <w:tc>
          <w:tcPr>
            <w:tcW w:w="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+400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2018</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31,</w:t>
            </w: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2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(0.72)%</w:t>
            </w:r>
          </w:p>
        </w:tc>
        <w:tc>
          <w:tcPr>
            <w:tcW w:w="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w w:val="91"/>
              </w:rPr>
              <w:t>(1.61)%</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r>
      <w:tr>
        <w:trPr>
          <w:trHeight w:val="365"/>
        </w:trPr>
        <w:tc>
          <w:tcPr>
            <w:tcW w:w="1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9"/>
          </w:tcPr>
          <w:p>
            <w:pPr>
              <w:jc w:val="center"/>
              <w:ind w:left="759"/>
              <w:spacing w:after="0"/>
              <w:rPr>
                <w:sz w:val="20"/>
                <w:szCs w:val="20"/>
                <w:color w:val="auto"/>
              </w:rPr>
            </w:pPr>
            <w:r>
              <w:rPr>
                <w:rFonts w:ascii="Arial" w:cs="Arial" w:eastAsia="Arial" w:hAnsi="Arial"/>
                <w:sz w:val="14"/>
                <w:szCs w:val="14"/>
                <w:b w:val="1"/>
                <w:bCs w:val="1"/>
                <w:color w:val="auto"/>
                <w:w w:val="91"/>
              </w:rPr>
              <w:t>Year-Two: Basis Point Changes</w:t>
            </w: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14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-100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+100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+300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+400</w:t>
            </w: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2018</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31,</w:t>
            </w: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w:t>
            </w: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will likely differ from simulated results due to timing, magnitude and frequency of interest rate changes as well as changes in market conditions and management strategies. The above results do not take into account any management action to mitigate potential risk.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An evaluation of our disclosure controls and procedures (as defined in Rule 13a-15(e) under the Exchange Act was carried out as of March 31, 2018, under the supervision and with the participation of our Chief Executive Officer, Chief Financial Officer and several other members of our senior management. Based on this evaluation, our Chief Executive Officer and Chief Financial Officer concluded that, as of March 31, 2018, our disclosure controls and procedures were effective in ensuring that the information we are required to disclose in the reports we file or submit under the Exchange Act is</w:t>
      </w:r>
    </w:p>
    <w:p>
      <w:pPr>
        <w:spacing w:after="0" w:line="2" w:lineRule="exact"/>
        <w:rPr>
          <w:sz w:val="20"/>
          <w:szCs w:val="20"/>
          <w:color w:val="auto"/>
        </w:rPr>
      </w:pPr>
    </w:p>
    <w:p>
      <w:pPr>
        <w:jc w:val="both"/>
        <w:ind w:right="680" w:firstLine="8"/>
        <w:spacing w:after="0" w:line="323" w:lineRule="auto"/>
        <w:tabs>
          <w:tab w:leader="none" w:pos="215" w:val="left"/>
        </w:tabs>
        <w:numPr>
          <w:ilvl w:val="0"/>
          <w:numId w:val="5"/>
        </w:numPr>
        <w:rPr>
          <w:rFonts w:ascii="Arial" w:cs="Arial" w:eastAsia="Arial" w:hAnsi="Arial"/>
          <w:sz w:val="16"/>
          <w:szCs w:val="16"/>
          <w:color w:val="auto"/>
        </w:rPr>
      </w:pPr>
      <w:r>
        <w:rPr>
          <w:rFonts w:ascii="Arial" w:cs="Arial" w:eastAsia="Arial" w:hAnsi="Arial"/>
          <w:sz w:val="16"/>
          <w:szCs w:val="16"/>
          <w:color w:val="auto"/>
        </w:rPr>
        <w:t>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quarter ended March 31, 2018, First Busey did not make any changes in its internal control over financial reporting or other factors that have materially affected, or are reasonably likely to materially affect, its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ordinary course of business, First Busey and its subsidiaries are parties to litigation that is incidental to their regular business activities.</w:t>
      </w:r>
    </w:p>
    <w:p>
      <w:pPr>
        <w:spacing w:after="0" w:line="237"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ectPr>
          <w:pgSz w:w="11900" w:h="16838" w:orient="portrait"/>
          <w:cols w:equalWidth="0" w:num="1">
            <w:col w:w="11420"/>
          </w:cols>
          <w:pgMar w:left="240" w:top="125" w:right="239" w:bottom="0" w:gutter="0" w:footer="0" w:header="0"/>
        </w:sectPr>
      </w:pPr>
    </w:p>
    <w:bookmarkStart w:id="39" w:name="page40"/>
    <w:bookmarkEnd w:id="39"/>
    <w:p>
      <w:pPr>
        <w:ind w:right="36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of Part I of the Company’s Annual Report on Form 10-K for the year ended December 31, 2017.</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that was originally approved in 2008. There were no purchases made by or on behalf of First Busey of shares of its common stock during the quarter ended March 31, 2018. At March 31, 2018, the Company had 333,334 shares that may still be purchased under the plan.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tabs>
          <w:tab w:leader="none" w:pos="14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40">
        <w:r>
          <w:rPr>
            <w:rFonts w:ascii="Arial" w:cs="Arial" w:eastAsia="Arial" w:hAnsi="Arial"/>
            <w:sz w:val="16"/>
            <w:szCs w:val="16"/>
            <w:u w:val="single" w:color="auto"/>
            <w:color w:val="0000EE"/>
          </w:rPr>
          <w:t>Certification of Principal Executive Officer, pursuant to Rule 13a-14(a) and Rule 15d-14(a).</w:t>
        </w:r>
      </w:hyperlink>
    </w:p>
    <w:p>
      <w:pPr>
        <w:spacing w:after="0" w:line="225" w:lineRule="exact"/>
        <w:rPr>
          <w:sz w:val="20"/>
          <w:szCs w:val="20"/>
          <w:color w:val="auto"/>
        </w:rPr>
      </w:pPr>
    </w:p>
    <w:p>
      <w:pPr>
        <w:ind w:left="660"/>
        <w:spacing w:after="0"/>
        <w:tabs>
          <w:tab w:leader="none" w:pos="14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41">
        <w:r>
          <w:rPr>
            <w:rFonts w:ascii="Arial" w:cs="Arial" w:eastAsia="Arial" w:hAnsi="Arial"/>
            <w:sz w:val="16"/>
            <w:szCs w:val="16"/>
            <w:u w:val="single" w:color="auto"/>
            <w:color w:val="0000EE"/>
          </w:rPr>
          <w:t>Certification of Principal Financial Officer, pursuant to Rule 13a-14(a) and Rule 15d-14(a).</w:t>
        </w:r>
      </w:hyperlink>
    </w:p>
    <w:p>
      <w:pPr>
        <w:spacing w:after="0" w:line="225" w:lineRule="exact"/>
        <w:rPr>
          <w:sz w:val="20"/>
          <w:szCs w:val="20"/>
          <w:color w:val="auto"/>
        </w:rPr>
      </w:pPr>
    </w:p>
    <w:p>
      <w:pPr>
        <w:ind w:left="1500" w:right="500" w:hanging="850"/>
        <w:spacing w:after="0" w:line="277"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42">
        <w:r>
          <w:rPr>
            <w:rFonts w:ascii="Arial" w:cs="Arial" w:eastAsia="Arial" w:hAnsi="Arial"/>
            <w:sz w:val="18"/>
            <w:szCs w:val="18"/>
            <w:u w:val="single" w:color="auto"/>
            <w:color w:val="0000EE"/>
          </w:rPr>
          <w:t>Certification pursuant to 18 U.S.C. Section 1350, as adopted pursuant to Section 906 of the Sarbanes-Oxley Act of 2002, from the</w:t>
        </w:r>
      </w:hyperlink>
      <w:r>
        <w:rPr>
          <w:rFonts w:ascii="Arial" w:cs="Arial" w:eastAsia="Arial" w:hAnsi="Arial"/>
          <w:sz w:val="18"/>
          <w:szCs w:val="18"/>
          <w:u w:val="single" w:color="auto"/>
          <w:color w:val="0000EE"/>
        </w:rPr>
        <w:t xml:space="preserve"> </w:t>
      </w:r>
      <w:hyperlink w:anchor="page42">
        <w:r>
          <w:rPr>
            <w:rFonts w:ascii="Arial" w:cs="Arial" w:eastAsia="Arial" w:hAnsi="Arial"/>
            <w:sz w:val="18"/>
            <w:szCs w:val="18"/>
            <w:u w:val="single" w:color="auto"/>
            <w:color w:val="0000EE"/>
          </w:rPr>
          <w:t>Company’s Chief Executive Officer.</w:t>
        </w:r>
      </w:hyperlink>
    </w:p>
    <w:p>
      <w:pPr>
        <w:spacing w:after="0" w:line="170" w:lineRule="exact"/>
        <w:rPr>
          <w:sz w:val="20"/>
          <w:szCs w:val="20"/>
          <w:color w:val="auto"/>
        </w:rPr>
      </w:pPr>
    </w:p>
    <w:p>
      <w:pPr>
        <w:ind w:left="1500" w:right="500" w:hanging="850"/>
        <w:spacing w:after="0" w:line="277"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43">
        <w:r>
          <w:rPr>
            <w:rFonts w:ascii="Arial" w:cs="Arial" w:eastAsia="Arial" w:hAnsi="Arial"/>
            <w:sz w:val="18"/>
            <w:szCs w:val="18"/>
            <w:u w:val="single" w:color="auto"/>
            <w:color w:val="0000EE"/>
          </w:rPr>
          <w:t>Certification pursuant to 18 U.S.C. Section 1350, as adopted pursuant to Section 906 of the Sarbanes-Oxley Act of 2002, from the</w:t>
        </w:r>
      </w:hyperlink>
      <w:r>
        <w:rPr>
          <w:rFonts w:ascii="Arial" w:cs="Arial" w:eastAsia="Arial" w:hAnsi="Arial"/>
          <w:sz w:val="18"/>
          <w:szCs w:val="18"/>
          <w:u w:val="single" w:color="auto"/>
          <w:color w:val="0000EE"/>
        </w:rPr>
        <w:t xml:space="preserve"> </w:t>
      </w:r>
      <w:hyperlink w:anchor="page43">
        <w:r>
          <w:rPr>
            <w:rFonts w:ascii="Arial" w:cs="Arial" w:eastAsia="Arial" w:hAnsi="Arial"/>
            <w:sz w:val="18"/>
            <w:szCs w:val="18"/>
            <w:u w:val="single" w:color="auto"/>
            <w:color w:val="0000EE"/>
          </w:rPr>
          <w:t>Company’s Chief Financial Officer.</w:t>
        </w:r>
      </w:hyperlink>
    </w:p>
    <w:p>
      <w:pPr>
        <w:spacing w:after="0" w:line="170"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25" w:lineRule="exact"/>
        <w:rPr>
          <w:sz w:val="20"/>
          <w:szCs w:val="20"/>
          <w:color w:val="auto"/>
        </w:rPr>
      </w:pPr>
    </w:p>
    <w:p>
      <w:pPr>
        <w:ind w:left="1500" w:right="320"/>
        <w:spacing w:after="0" w:line="297" w:lineRule="auto"/>
        <w:rPr>
          <w:sz w:val="20"/>
          <w:szCs w:val="20"/>
          <w:color w:val="auto"/>
        </w:rPr>
      </w:pPr>
      <w:r>
        <w:rPr>
          <w:rFonts w:ascii="Arial" w:cs="Arial" w:eastAsia="Arial" w:hAnsi="Arial"/>
          <w:sz w:val="16"/>
          <w:szCs w:val="16"/>
          <w:color w:val="auto"/>
        </w:rPr>
        <w:t>Interactive data files pursuant to Rule 405 of Regulation S-T: (i) Consolidated Balance Sheets at March 31, 2018 and December 31, 2017; (ii) Consolidated Statements of Income for the three months ended March 31, 2018 and 2017; (iii) Consolidated Statements of Comprehensive Income for the three months ended March 31, 2018 and 2017; (iv) Consolidated Statements of Stockholders’ Equity for the three months ended March 31, 2018 and 2017; (v) Consolidated Statements of Cash Flows for the three months ended March 31, 2018 and 2017; and (vi)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jc w:val="center"/>
        <w:ind w:left="5780"/>
        <w:spacing w:after="0"/>
        <w:tabs>
          <w:tab w:leader="none" w:pos="180" w:val="left"/>
        </w:tabs>
        <w:rPr>
          <w:sz w:val="20"/>
          <w:szCs w:val="20"/>
          <w:color w:val="auto"/>
        </w:rPr>
      </w:pPr>
      <w:r>
        <w:rPr>
          <w:rFonts w:ascii="Arial" w:cs="Arial" w:eastAsia="Arial" w:hAnsi="Arial"/>
          <w:sz w:val="18"/>
          <w:szCs w:val="18"/>
          <w:color w:val="auto"/>
        </w:rPr>
        <w:t>By:</w:t>
        <w:tab/>
        <w:t>/s/ VAN A. DUKEMAN</w:t>
      </w:r>
    </w:p>
    <w:p>
      <w:pPr>
        <w:spacing w:after="0" w:line="23" w:lineRule="exact"/>
        <w:rPr>
          <w:sz w:val="20"/>
          <w:szCs w:val="20"/>
          <w:color w:val="auto"/>
        </w:rPr>
      </w:pPr>
    </w:p>
    <w:p>
      <w:pPr>
        <w:jc w:val="center"/>
        <w:ind w:left="240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ROBIN N. ELLIOTT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JENNIFER L. SIMONS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Jennifer L.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ectPr>
          <w:pgSz w:w="11900" w:h="16838" w:orient="portrait"/>
          <w:cols w:equalWidth="0" w:num="1">
            <w:col w:w="11380"/>
          </w:cols>
          <w:pgMar w:left="240" w:top="125" w:right="279" w:bottom="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jc w:val="both"/>
        <w:ind w:left="340" w:right="580" w:hanging="332"/>
        <w:spacing w:after="0" w:line="342" w:lineRule="auto"/>
        <w:tabs>
          <w:tab w:leader="none" w:pos="341"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340" w:right="60" w:hanging="332"/>
        <w:spacing w:after="0" w:line="264" w:lineRule="auto"/>
        <w:tabs>
          <w:tab w:leader="none" w:pos="34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20" w:hanging="331"/>
        <w:spacing w:after="0" w:line="264" w:lineRule="auto"/>
        <w:tabs>
          <w:tab w:leader="none" w:pos="61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jc w:val="both"/>
        <w:ind w:left="340" w:right="580" w:hanging="332"/>
        <w:spacing w:after="0" w:line="342" w:lineRule="auto"/>
        <w:tabs>
          <w:tab w:leader="none" w:pos="341"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340" w:right="60" w:hanging="332"/>
        <w:spacing w:after="0" w:line="264" w:lineRule="auto"/>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ind w:left="103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March 31, 2018,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ind w:left="103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March 31, 2018,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2020-01-15T09:26:36Z</dcterms:created>
  <dcterms:modified xsi:type="dcterms:W3CDTF">2020-01-15T09:26:36Z</dcterms:modified>
</cp:coreProperties>
</file>