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2500" w:right="1599" w:hanging="2235"/>
        <w:spacing w:after="0" w:line="312" w:lineRule="auto"/>
        <w:tabs>
          <w:tab w:leader="none" w:pos="646"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178435</wp:posOffset>
            </wp:positionH>
            <wp:positionV relativeFrom="paragraph">
              <wp:posOffset>-295910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 w:lineRule="exact"/>
        <w:rPr>
          <w:sz w:val="24"/>
          <w:szCs w:val="24"/>
          <w:color w:val="auto"/>
        </w:rPr>
      </w:pPr>
    </w:p>
    <w:p>
      <w:pPr>
        <w:ind w:left="3380" w:right="1579" w:hanging="3115"/>
        <w:spacing w:after="0" w:line="352" w:lineRule="auto"/>
        <w:tabs>
          <w:tab w:leader="none" w:pos="63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No. 0-15950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178435</wp:posOffset>
            </wp:positionH>
            <wp:positionV relativeFrom="paragraph">
              <wp:posOffset>-358140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FIRST BUSEY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660" w:type="dxa"/>
        <w:tblCellMar>
          <w:top w:w="0" w:type="dxa"/>
          <w:left w:w="0" w:type="dxa"/>
          <w:bottom w:w="0" w:type="dxa"/>
          <w:right w:w="0" w:type="dxa"/>
        </w:tblCellMar>
      </w:tblPr>
      <w:tr>
        <w:trPr>
          <w:trHeight w:val="233"/>
        </w:trPr>
        <w:tc>
          <w:tcPr>
            <w:tcW w:w="396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Nevada</w:t>
            </w:r>
          </w:p>
        </w:tc>
        <w:tc>
          <w:tcPr>
            <w:tcW w:w="3480" w:type="dxa"/>
            <w:vAlign w:val="bottom"/>
          </w:tcPr>
          <w:p>
            <w:pPr>
              <w:jc w:val="right"/>
              <w:ind w:right="770"/>
              <w:spacing w:after="0"/>
              <w:rPr>
                <w:sz w:val="20"/>
                <w:szCs w:val="20"/>
                <w:color w:val="auto"/>
              </w:rPr>
            </w:pPr>
            <w:r>
              <w:rPr>
                <w:rFonts w:ascii="Arial" w:cs="Arial" w:eastAsia="Arial" w:hAnsi="Arial"/>
                <w:sz w:val="18"/>
                <w:szCs w:val="18"/>
                <w:b w:val="1"/>
                <w:bCs w:val="1"/>
                <w:color w:val="auto"/>
              </w:rPr>
              <w:t>37-1078406</w:t>
            </w: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color w:val="auto"/>
                <w:w w:val="92"/>
              </w:rPr>
              <w:t>(State or other jurisdiction of incorporation</w:t>
            </w:r>
          </w:p>
        </w:tc>
        <w:tc>
          <w:tcPr>
            <w:tcW w:w="3480" w:type="dxa"/>
            <w:vAlign w:val="bottom"/>
          </w:tcPr>
          <w:p>
            <w:pPr>
              <w:jc w:val="center"/>
              <w:ind w:left="790"/>
              <w:spacing w:after="0" w:line="202" w:lineRule="exact"/>
              <w:rPr>
                <w:sz w:val="20"/>
                <w:szCs w:val="20"/>
                <w:color w:val="auto"/>
              </w:rPr>
            </w:pPr>
            <w:r>
              <w:rPr>
                <w:rFonts w:ascii="Arial" w:cs="Arial" w:eastAsia="Arial" w:hAnsi="Arial"/>
                <w:sz w:val="18"/>
                <w:szCs w:val="18"/>
                <w:color w:val="auto"/>
                <w:w w:val="93"/>
              </w:rPr>
              <w:t>(I.R.S. Employer Identification No.)</w:t>
            </w:r>
          </w:p>
        </w:tc>
      </w:tr>
      <w:tr>
        <w:trPr>
          <w:trHeight w:val="212"/>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or organization)</w:t>
            </w:r>
          </w:p>
        </w:tc>
        <w:tc>
          <w:tcPr>
            <w:tcW w:w="3480" w:type="dxa"/>
            <w:vAlign w:val="bottom"/>
          </w:tcPr>
          <w:p>
            <w:pPr>
              <w:spacing w:after="0"/>
              <w:rPr>
                <w:sz w:val="18"/>
                <w:szCs w:val="18"/>
                <w:color w:val="auto"/>
              </w:rPr>
            </w:pP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b w:val="1"/>
                <w:bCs w:val="1"/>
                <w:color w:val="auto"/>
                <w:w w:val="90"/>
              </w:rPr>
              <w:t>100 W. University Ave.</w:t>
            </w:r>
          </w:p>
        </w:tc>
        <w:tc>
          <w:tcPr>
            <w:tcW w:w="3480" w:type="dxa"/>
            <w:vAlign w:val="bottom"/>
          </w:tcPr>
          <w:p>
            <w:pPr>
              <w:spacing w:after="0"/>
              <w:rPr>
                <w:sz w:val="17"/>
                <w:szCs w:val="17"/>
                <w:color w:val="auto"/>
              </w:rPr>
            </w:pPr>
          </w:p>
        </w:tc>
      </w:tr>
      <w:tr>
        <w:trPr>
          <w:trHeight w:val="207"/>
        </w:trPr>
        <w:tc>
          <w:tcPr>
            <w:tcW w:w="396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Champaign, Illinois</w:t>
            </w:r>
          </w:p>
        </w:tc>
        <w:tc>
          <w:tcPr>
            <w:tcW w:w="348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30"/>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left="790"/>
              <w:spacing w:after="0"/>
              <w:rPr>
                <w:sz w:val="20"/>
                <w:szCs w:val="20"/>
                <w:color w:val="auto"/>
              </w:rPr>
            </w:pPr>
            <w:r>
              <w:rPr>
                <w:rFonts w:ascii="Arial" w:cs="Arial" w:eastAsia="Arial" w:hAnsi="Arial"/>
                <w:sz w:val="18"/>
                <w:szCs w:val="18"/>
                <w:color w:val="auto"/>
                <w:w w:val="93"/>
              </w:rPr>
              <w:t>(Zip code)</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88"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8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66" w:lineRule="exact"/>
        <w:rPr>
          <w:sz w:val="24"/>
          <w:szCs w:val="24"/>
          <w:color w:val="auto"/>
        </w:rPr>
      </w:pPr>
    </w:p>
    <w:p>
      <w:pPr>
        <w:ind w:left="60" w:right="399"/>
        <w:spacing w:after="0" w:line="21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left="60" w:right="239"/>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ind w:left="60" w:right="219"/>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3"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spacing w:after="0"/>
              <w:rPr>
                <w:sz w:val="24"/>
                <w:szCs w:val="24"/>
                <w:color w:val="auto"/>
              </w:rPr>
            </w:pPr>
          </w:p>
        </w:tc>
      </w:tr>
    </w:tbl>
    <w:p>
      <w:pPr>
        <w:spacing w:after="0" w:line="87" w:lineRule="exact"/>
        <w:rPr>
          <w:sz w:val="24"/>
          <w:szCs w:val="24"/>
          <w:color w:val="auto"/>
        </w:rPr>
      </w:pPr>
    </w:p>
    <w:p>
      <w:pPr>
        <w:jc w:val="both"/>
        <w:ind w:left="60" w:right="439"/>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ind w:left="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r>
    </w:p>
    <w:p>
      <w:pPr>
        <w:spacing w:after="0" w:line="16" w:lineRule="exact"/>
        <w:rPr>
          <w:sz w:val="24"/>
          <w:szCs w:val="24"/>
          <w:color w:val="auto"/>
        </w:rPr>
      </w:pPr>
    </w:p>
    <w:p>
      <w:pPr>
        <w:ind w:left="300" w:hanging="250"/>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94"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3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Class</w:t>
            </w:r>
          </w:p>
        </w:tc>
        <w:tc>
          <w:tcPr>
            <w:tcW w:w="43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0"/>
              </w:rPr>
              <w:t>Outstanding at November 5, 2020</w:t>
            </w:r>
          </w:p>
        </w:tc>
      </w:tr>
      <w:tr>
        <w:trPr>
          <w:trHeight w:val="237"/>
        </w:trPr>
        <w:tc>
          <w:tcPr>
            <w:tcW w:w="920" w:type="dxa"/>
            <w:vAlign w:val="bottom"/>
            <w:tcBorders>
              <w:bottom w:val="single" w:sz="8" w:color="auto"/>
            </w:tcBorders>
          </w:tcPr>
          <w:p>
            <w:pPr>
              <w:spacing w:after="0"/>
              <w:rPr>
                <w:sz w:val="20"/>
                <w:szCs w:val="20"/>
                <w:color w:val="auto"/>
              </w:rPr>
            </w:pPr>
          </w:p>
        </w:tc>
        <w:tc>
          <w:tcPr>
            <w:tcW w:w="3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Borders>
              <w:bottom w:val="single" w:sz="8" w:color="auto"/>
            </w:tcBorders>
          </w:tcPr>
          <w:p>
            <w:pPr>
              <w:spacing w:after="0"/>
              <w:rPr>
                <w:sz w:val="20"/>
                <w:szCs w:val="20"/>
                <w:color w:val="auto"/>
              </w:rPr>
            </w:pPr>
          </w:p>
        </w:tc>
        <w:tc>
          <w:tcPr>
            <w:tcW w:w="346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54,522,231</w:t>
            </w:r>
          </w:p>
        </w:tc>
        <w:tc>
          <w:tcPr>
            <w:tcW w:w="900" w:type="dxa"/>
            <w:vAlign w:val="bottom"/>
            <w:tcBorders>
              <w:bottom w:val="single" w:sz="8" w:color="auto"/>
            </w:tcBorders>
          </w:tcPr>
          <w:p>
            <w:pPr>
              <w:spacing w:after="0"/>
              <w:rPr>
                <w:sz w:val="20"/>
                <w:szCs w:val="20"/>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79"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FORM 10-Q</w:t>
      </w:r>
    </w:p>
    <w:p>
      <w:pPr>
        <w:jc w:val="center"/>
        <w:ind w:left="940"/>
        <w:spacing w:after="0"/>
        <w:rPr>
          <w:sz w:val="20"/>
          <w:szCs w:val="20"/>
          <w:color w:val="auto"/>
        </w:rPr>
      </w:pPr>
      <w:r>
        <w:rPr>
          <w:rFonts w:ascii="Arial" w:cs="Arial" w:eastAsia="Arial" w:hAnsi="Arial"/>
          <w:sz w:val="18"/>
          <w:szCs w:val="18"/>
          <w:b w:val="1"/>
          <w:bCs w:val="1"/>
          <w:color w:val="auto"/>
        </w:rPr>
        <w:t>September 30, 2020</w:t>
      </w:r>
    </w:p>
    <w:p>
      <w:pPr>
        <w:spacing w:after="0" w:line="209"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Table of Contents</w:t>
      </w:r>
    </w:p>
    <w:p>
      <w:pPr>
        <w:spacing w:after="0" w:line="235" w:lineRule="exact"/>
        <w:rPr>
          <w:sz w:val="20"/>
          <w:szCs w:val="20"/>
          <w:color w:val="auto"/>
        </w:rPr>
      </w:pPr>
    </w:p>
    <w:p>
      <w:pPr>
        <w:ind w:left="60"/>
        <w:spacing w:after="0"/>
        <w:tabs>
          <w:tab w:leader="none" w:pos="780" w:val="left"/>
        </w:tabs>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8"/>
            <w:szCs w:val="18"/>
            <w:b w:val="1"/>
            <w:bCs w:val="1"/>
            <w:u w:val="single" w:color="auto"/>
            <w:color w:val="0000EE"/>
          </w:rPr>
          <w:t>FINANCIAL INFORMATION</w:t>
        </w:r>
      </w:hyperlink>
    </w:p>
    <w:p>
      <w:pPr>
        <w:spacing w:after="0" w:line="256" w:lineRule="exact"/>
        <w:rPr>
          <w:sz w:val="20"/>
          <w:szCs w:val="20"/>
          <w:color w:val="auto"/>
        </w:rPr>
      </w:pPr>
    </w:p>
    <w:p>
      <w:pPr>
        <w:ind w:left="60"/>
        <w:spacing w:after="0"/>
        <w:tabs>
          <w:tab w:leader="none" w:pos="78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FINANCIAL STATEMENTS (UNAUDITED)</w:t>
        </w:r>
      </w:hyperlink>
    </w:p>
    <w:p>
      <w:pPr>
        <w:spacing w:after="0" w:line="12" w:lineRule="exact"/>
        <w:rPr>
          <w:sz w:val="20"/>
          <w:szCs w:val="20"/>
          <w:color w:val="auto"/>
        </w:rPr>
      </w:pPr>
    </w:p>
    <w:p>
      <w:pPr>
        <w:ind w:left="8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7" w:lineRule="exact"/>
        <w:rPr>
          <w:sz w:val="20"/>
          <w:szCs w:val="20"/>
          <w:color w:val="auto"/>
        </w:rPr>
      </w:pPr>
    </w:p>
    <w:p>
      <w:pPr>
        <w:ind w:left="8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INCOME</w:t>
        </w:r>
      </w:hyperlink>
    </w:p>
    <w:p>
      <w:pPr>
        <w:spacing w:after="0" w:line="23" w:lineRule="exact"/>
        <w:rPr>
          <w:sz w:val="20"/>
          <w:szCs w:val="20"/>
          <w:color w:val="auto"/>
        </w:rPr>
      </w:pPr>
    </w:p>
    <w:p>
      <w:pPr>
        <w:ind w:left="800" w:right="2120"/>
        <w:spacing w:after="0" w:line="281"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CONSOLIDATED STATEMENTS OF COMPREHENSIVE INCOME</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CONSOLIDATED STATEMENTS OF STOCKHOLDERS’ EQUITY</w:t>
        </w:r>
      </w:hyperlink>
      <w:r>
        <w:rPr>
          <w:rFonts w:ascii="Arial" w:cs="Arial" w:eastAsia="Arial" w:hAnsi="Arial"/>
          <w:sz w:val="17"/>
          <w:szCs w:val="17"/>
          <w:u w:val="single" w:color="auto"/>
          <w:color w:val="0000EE"/>
        </w:rPr>
        <w:t xml:space="preserve"> </w:t>
      </w:r>
      <w:hyperlink w:anchor="page9">
        <w:r>
          <w:rPr>
            <w:rFonts w:ascii="Arial" w:cs="Arial" w:eastAsia="Arial" w:hAnsi="Arial"/>
            <w:sz w:val="17"/>
            <w:szCs w:val="17"/>
            <w:u w:val="single" w:color="auto"/>
            <w:color w:val="0000EE"/>
          </w:rPr>
          <w:t>CONSOLIDATED STATEMENTS OF CASH FLOWS</w:t>
        </w:r>
      </w:hyperlink>
    </w:p>
    <w:p>
      <w:pPr>
        <w:spacing w:after="0" w:line="2" w:lineRule="exact"/>
        <w:rPr>
          <w:rFonts w:ascii="Arial" w:cs="Arial" w:eastAsia="Arial" w:hAnsi="Arial"/>
          <w:sz w:val="17"/>
          <w:szCs w:val="17"/>
          <w:u w:val="single" w:color="auto"/>
          <w:color w:val="0000EE"/>
        </w:rPr>
      </w:pPr>
    </w:p>
    <w:p>
      <w:pPr>
        <w:ind w:left="8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p>
      <w:pPr>
        <w:spacing w:after="0" w:line="23" w:lineRule="exact"/>
        <w:rPr>
          <w:rFonts w:ascii="Arial" w:cs="Arial" w:eastAsia="Arial" w:hAnsi="Arial"/>
          <w:sz w:val="17"/>
          <w:szCs w:val="17"/>
          <w:u w:val="single" w:color="auto"/>
          <w:color w:val="0000EE"/>
        </w:rPr>
      </w:pPr>
    </w:p>
    <w:p>
      <w:pPr>
        <w:ind w:left="800" w:right="580" w:hanging="741"/>
        <w:spacing w:after="0" w:line="243" w:lineRule="auto"/>
        <w:tabs>
          <w:tab w:leader="none" w:pos="780" w:val="left"/>
        </w:tabs>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44">
        <w:r>
          <w:rPr>
            <w:rFonts w:ascii="Arial" w:cs="Arial" w:eastAsia="Arial" w:hAnsi="Arial"/>
            <w:sz w:val="18"/>
            <w:szCs w:val="18"/>
            <w:u w:val="single" w:color="auto"/>
            <w:color w:val="0000EE"/>
          </w:rPr>
          <w:t>MANAGEMENT’S DISCUSSION AND ANALYSIS OF FINANCIAL CONDITION AND</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RESULTS OF OPERATIONS</w:t>
        </w:r>
      </w:hyperlink>
    </w:p>
    <w:p>
      <w:pPr>
        <w:spacing w:after="0" w:line="1" w:lineRule="exact"/>
        <w:rPr>
          <w:rFonts w:ascii="Arial" w:cs="Arial" w:eastAsia="Arial" w:hAnsi="Arial"/>
          <w:sz w:val="18"/>
          <w:szCs w:val="18"/>
          <w:u w:val="single" w:color="auto"/>
          <w:color w:val="0000EE"/>
        </w:rPr>
      </w:pPr>
    </w:p>
    <w:p>
      <w:pPr>
        <w:ind w:left="60" w:right="1120"/>
        <w:spacing w:after="0" w:line="243" w:lineRule="auto"/>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Item 4. CONTROLS AND PROCEDURES</w:t>
        </w:r>
      </w:hyperlink>
    </w:p>
    <w:p>
      <w:pPr>
        <w:spacing w:after="0" w:line="195" w:lineRule="exact"/>
        <w:rPr>
          <w:sz w:val="20"/>
          <w:szCs w:val="20"/>
          <w:color w:val="auto"/>
        </w:rPr>
      </w:pPr>
    </w:p>
    <w:p>
      <w:pPr>
        <w:ind w:left="60"/>
        <w:spacing w:after="0"/>
        <w:tabs>
          <w:tab w:leader="none" w:pos="780" w:val="left"/>
        </w:tabs>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68">
        <w:r>
          <w:rPr>
            <w:rFonts w:ascii="Arial" w:cs="Arial" w:eastAsia="Arial" w:hAnsi="Arial"/>
            <w:sz w:val="18"/>
            <w:szCs w:val="18"/>
            <w:b w:val="1"/>
            <w:bCs w:val="1"/>
            <w:u w:val="single" w:color="auto"/>
            <w:color w:val="0000EE"/>
          </w:rPr>
          <w:t>OTHER INFORMATION</w:t>
        </w:r>
      </w:hyperlink>
    </w:p>
    <w:p>
      <w:pPr>
        <w:spacing w:after="0" w:line="256" w:lineRule="exact"/>
        <w:rPr>
          <w:sz w:val="20"/>
          <w:szCs w:val="20"/>
          <w:color w:val="auto"/>
        </w:rPr>
      </w:pPr>
    </w:p>
    <w:p>
      <w:pPr>
        <w:ind w:left="60"/>
        <w:spacing w:after="0"/>
        <w:tabs>
          <w:tab w:leader="none" w:pos="780" w:val="left"/>
        </w:tabs>
        <w:rPr>
          <w:rFonts w:ascii="Arial" w:cs="Arial" w:eastAsia="Arial" w:hAnsi="Arial"/>
          <w:sz w:val="17"/>
          <w:szCs w:val="17"/>
          <w:u w:val="single" w:color="auto"/>
          <w:color w:val="0000EE"/>
        </w:rPr>
      </w:pPr>
      <w:hyperlink w:anchor="page68">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68">
        <w:r>
          <w:rPr>
            <w:rFonts w:ascii="Arial" w:cs="Arial" w:eastAsia="Arial" w:hAnsi="Arial"/>
            <w:sz w:val="17"/>
            <w:szCs w:val="17"/>
            <w:u w:val="single" w:color="auto"/>
            <w:color w:val="0000EE"/>
          </w:rPr>
          <w:t>LEGAL PROCEEDINGS</w:t>
        </w:r>
      </w:hyperlink>
    </w:p>
    <w:p>
      <w:pPr>
        <w:spacing w:after="0" w:line="7" w:lineRule="exact"/>
        <w:rPr>
          <w:sz w:val="20"/>
          <w:szCs w:val="20"/>
          <w:color w:val="auto"/>
        </w:rPr>
      </w:pPr>
    </w:p>
    <w:p>
      <w:pPr>
        <w:ind w:left="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1A. RISK FACTORS</w:t>
        </w:r>
      </w:hyperlink>
    </w:p>
    <w:p>
      <w:pPr>
        <w:ind w:left="60"/>
        <w:spacing w:after="0"/>
        <w:tabs>
          <w:tab w:leader="none" w:pos="780" w:val="left"/>
        </w:tabs>
        <w:rPr>
          <w:rFonts w:ascii="Arial" w:cs="Arial" w:eastAsia="Arial" w:hAnsi="Arial"/>
          <w:sz w:val="16"/>
          <w:szCs w:val="16"/>
          <w:u w:val="single" w:color="auto"/>
          <w:color w:val="0000EE"/>
        </w:rPr>
      </w:pPr>
      <w:hyperlink w:anchor="page71">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71">
        <w:r>
          <w:rPr>
            <w:rFonts w:ascii="Arial" w:cs="Arial" w:eastAsia="Arial" w:hAnsi="Arial"/>
            <w:sz w:val="16"/>
            <w:szCs w:val="16"/>
            <w:u w:val="single" w:color="auto"/>
            <w:color w:val="0000EE"/>
          </w:rPr>
          <w:t>UNREGISTERED SALES OF EQUITY SECURITIES AND USE OF PROCEEDS</w:t>
        </w:r>
      </w:hyperlink>
    </w:p>
    <w:p>
      <w:pPr>
        <w:ind w:left="60"/>
        <w:spacing w:after="0"/>
        <w:tabs>
          <w:tab w:leader="none" w:pos="780" w:val="left"/>
        </w:tabs>
        <w:rPr>
          <w:rFonts w:ascii="Arial" w:cs="Arial" w:eastAsia="Arial" w:hAnsi="Arial"/>
          <w:sz w:val="16"/>
          <w:szCs w:val="16"/>
          <w:u w:val="single" w:color="auto"/>
          <w:color w:val="0000EE"/>
        </w:rPr>
      </w:pPr>
      <w:hyperlink w:anchor="page71">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71">
        <w:r>
          <w:rPr>
            <w:rFonts w:ascii="Arial" w:cs="Arial" w:eastAsia="Arial" w:hAnsi="Arial"/>
            <w:sz w:val="16"/>
            <w:szCs w:val="16"/>
            <w:u w:val="single" w:color="auto"/>
            <w:color w:val="0000EE"/>
          </w:rPr>
          <w:t>DEFAULTS UPON SENIOR SECURITIES</w:t>
        </w:r>
      </w:hyperlink>
    </w:p>
    <w:p>
      <w:pPr>
        <w:ind w:left="60"/>
        <w:spacing w:after="0"/>
        <w:tabs>
          <w:tab w:leader="none" w:pos="780" w:val="left"/>
        </w:tabs>
        <w:rPr>
          <w:rFonts w:ascii="Arial" w:cs="Arial" w:eastAsia="Arial" w:hAnsi="Arial"/>
          <w:sz w:val="17"/>
          <w:szCs w:val="17"/>
          <w:u w:val="single" w:color="auto"/>
          <w:color w:val="0000EE"/>
        </w:rPr>
      </w:pPr>
      <w:hyperlink w:anchor="page72">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72">
        <w:r>
          <w:rPr>
            <w:rFonts w:ascii="Arial" w:cs="Arial" w:eastAsia="Arial" w:hAnsi="Arial"/>
            <w:sz w:val="17"/>
            <w:szCs w:val="17"/>
            <w:u w:val="single" w:color="auto"/>
            <w:color w:val="0000EE"/>
          </w:rPr>
          <w:t>MINE SAFETY DISCLOSURES</w:t>
        </w:r>
      </w:hyperlink>
    </w:p>
    <w:p>
      <w:pPr>
        <w:ind w:left="60"/>
        <w:spacing w:after="0"/>
        <w:tabs>
          <w:tab w:leader="none" w:pos="780" w:val="left"/>
        </w:tabs>
        <w:rPr>
          <w:rFonts w:ascii="Arial" w:cs="Arial" w:eastAsia="Arial" w:hAnsi="Arial"/>
          <w:sz w:val="17"/>
          <w:szCs w:val="17"/>
          <w:u w:val="single" w:color="auto"/>
          <w:color w:val="0000EE"/>
        </w:rPr>
      </w:pPr>
      <w:hyperlink w:anchor="page72">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72">
        <w:r>
          <w:rPr>
            <w:rFonts w:ascii="Arial" w:cs="Arial" w:eastAsia="Arial" w:hAnsi="Arial"/>
            <w:sz w:val="17"/>
            <w:szCs w:val="17"/>
            <w:u w:val="single" w:color="auto"/>
            <w:color w:val="0000EE"/>
          </w:rPr>
          <w:t>OTHER INFORMATION</w:t>
        </w:r>
      </w:hyperlink>
    </w:p>
    <w:p>
      <w:pPr>
        <w:ind w:left="60"/>
        <w:spacing w:after="0"/>
        <w:tabs>
          <w:tab w:leader="none" w:pos="780" w:val="left"/>
        </w:tabs>
        <w:rPr>
          <w:rFonts w:ascii="Arial" w:cs="Arial" w:eastAsia="Arial" w:hAnsi="Arial"/>
          <w:sz w:val="17"/>
          <w:szCs w:val="17"/>
          <w:u w:val="single" w:color="auto"/>
          <w:color w:val="0000EE"/>
        </w:rPr>
      </w:pPr>
      <w:hyperlink w:anchor="page72">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72">
        <w:r>
          <w:rPr>
            <w:rFonts w:ascii="Arial" w:cs="Arial" w:eastAsia="Arial" w:hAnsi="Arial"/>
            <w:sz w:val="17"/>
            <w:szCs w:val="17"/>
            <w:u w:val="single" w:color="auto"/>
            <w:color w:val="0000EE"/>
          </w:rPr>
          <w:t>EXHIBITS</w:t>
        </w:r>
      </w:hyperlink>
    </w:p>
    <w:p>
      <w:pPr>
        <w:ind w:left="80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11</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ectPr>
          <w:pgSz w:w="11900" w:h="16838" w:orient="portrait"/>
          <w:cols w:equalWidth="0" w:num="2">
            <w:col w:w="8060" w:space="720"/>
            <w:col w:w="23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48"/>
              <w:spacing w:after="0"/>
              <w:rPr>
                <w:sz w:val="20"/>
                <w:szCs w:val="20"/>
                <w:color w:val="auto"/>
              </w:rPr>
            </w:pPr>
            <w:r>
              <w:rPr>
                <w:rFonts w:ascii="Arial" w:cs="Arial" w:eastAsia="Arial" w:hAnsi="Arial"/>
                <w:sz w:val="14"/>
                <w:szCs w:val="14"/>
                <w:b w:val="1"/>
                <w:bCs w:val="1"/>
                <w:color w:val="auto"/>
                <w:w w:val="91"/>
              </w:rPr>
              <w:t>September 30, 2020</w:t>
            </w:r>
          </w:p>
        </w:tc>
        <w:tc>
          <w:tcPr>
            <w:tcW w:w="22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20" w:type="dxa"/>
            <w:vAlign w:val="bottom"/>
            <w:tcBorders>
              <w:top w:val="single" w:sz="8" w:color="auto"/>
            </w:tcBorders>
            <w:gridSpan w:val="3"/>
          </w:tcPr>
          <w:p>
            <w:pPr>
              <w:jc w:val="right"/>
              <w:ind w:right="828"/>
              <w:spacing w:after="0"/>
              <w:rPr>
                <w:sz w:val="20"/>
                <w:szCs w:val="20"/>
                <w:color w:val="auto"/>
              </w:rPr>
            </w:pPr>
            <w:r>
              <w:rPr>
                <w:rFonts w:ascii="Arial" w:cs="Arial" w:eastAsia="Arial" w:hAnsi="Arial"/>
                <w:sz w:val="14"/>
                <w:szCs w:val="14"/>
                <w:b w:val="1"/>
                <w:bCs w:val="1"/>
                <w:i w:val="1"/>
                <w:iCs w:val="1"/>
                <w:color w:val="auto"/>
              </w:rPr>
              <w:t>(dollars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182,555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136,546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Interest-bearing deposits</w:t>
            </w: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297,166</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392,742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Pr>
          <w:p>
            <w:pPr>
              <w:ind w:left="120"/>
              <w:spacing w:after="0"/>
              <w:rPr>
                <w:sz w:val="20"/>
                <w:szCs w:val="20"/>
                <w:color w:val="auto"/>
              </w:rPr>
            </w:pPr>
            <w:r>
              <w:rPr>
                <w:rFonts w:ascii="Arial" w:cs="Arial" w:eastAsia="Arial" w:hAnsi="Arial"/>
                <w:sz w:val="14"/>
                <w:szCs w:val="14"/>
                <w:color w:val="auto"/>
              </w:rPr>
              <w:t>Total cash and cash equivalents</w:t>
            </w:r>
          </w:p>
        </w:tc>
        <w:tc>
          <w:tcPr>
            <w:tcW w:w="10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479,721</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529,288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Debt securities available for sale</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2,080,849</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1,648,257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17,808</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Loans held for sale, at fair value</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87,772</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68,699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Portfolio loans (net of allowance 2020 $98,841; 2019 $53,748)</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7,022,470</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6,633,501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Premises and equipment, net</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144,001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151,267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asset</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7,251</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311,536</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311,536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54,424</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Cash surrender value of bank owned life insurance</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175,570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173,595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158,226</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10,539,628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9,695,729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340"/>
              <w:spacing w:after="0"/>
              <w:rPr>
                <w:sz w:val="20"/>
                <w:szCs w:val="20"/>
                <w:color w:val="auto"/>
              </w:rPr>
            </w:pPr>
            <w:r>
              <w:rPr>
                <w:rFonts w:ascii="Arial" w:cs="Arial" w:eastAsia="Arial" w:hAnsi="Arial"/>
                <w:sz w:val="14"/>
                <w:szCs w:val="14"/>
                <w:color w:val="auto"/>
              </w:rPr>
              <w:t>Noninterest-bearing</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2,595,075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1,832,619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Interest-bearing</w:t>
            </w: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6,047,626</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6,069,777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Pr>
          <w:p>
            <w:pPr>
              <w:ind w:left="440"/>
              <w:spacing w:after="0"/>
              <w:rPr>
                <w:sz w:val="20"/>
                <w:szCs w:val="20"/>
                <w:color w:val="auto"/>
              </w:rPr>
            </w:pPr>
            <w:r>
              <w:rPr>
                <w:rFonts w:ascii="Arial" w:cs="Arial" w:eastAsia="Arial" w:hAnsi="Arial"/>
                <w:sz w:val="14"/>
                <w:szCs w:val="14"/>
                <w:color w:val="auto"/>
              </w:rPr>
              <w:t>Total deposits</w:t>
            </w:r>
          </w:p>
        </w:tc>
        <w:tc>
          <w:tcPr>
            <w:tcW w:w="10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8,642,701</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7,902,396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201,641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205,491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borrowings</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4,651</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4,931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83,600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net of unamortized issuance costs</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39,775</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Subordinated notes, net of unamortized issuance costs</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182,095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59,248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Junior subordinated debt owed to unconsolidated trusts</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71,427</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7,342</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129,360</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9,283,923</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8,475,295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Outstanding commitments and contingent liabilities (see Notes 10 and 15)</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$.001 par value, authorized 2020 100,000,000 shares; authorized 2019</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56</w:t>
            </w:r>
          </w:p>
        </w:tc>
        <w:tc>
          <w:tcPr>
            <w:tcW w:w="2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66,666,667 shares; 55,910,733 shares issued</w:t>
            </w:r>
          </w:p>
        </w:tc>
        <w:tc>
          <w:tcPr>
            <w:tcW w:w="100" w:type="dxa"/>
            <w:vAlign w:val="bottom"/>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1,250,391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1,248,216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 (accumulated deficit)</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4,718</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35,525</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stockholders’ equity before treasury stock</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1,290,690</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2020 1,388,502 shares; 2019 1,121,961 shares</w:t>
            </w: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(34,985)</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1,255,705</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1,220,434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10,539,628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9,695,729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shares outstanding at period end</w:t>
            </w: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54,522,231</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54,788,772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120" w:type="dxa"/>
            <w:vAlign w:val="bottom"/>
            <w:gridSpan w:val="6"/>
          </w:tcPr>
          <w:p>
            <w:pPr>
              <w:jc w:val="right"/>
              <w:ind w:right="148"/>
              <w:spacing w:after="0" w:line="155" w:lineRule="exact"/>
              <w:rPr>
                <w:sz w:val="20"/>
                <w:szCs w:val="20"/>
                <w:color w:val="auto"/>
              </w:rPr>
            </w:pPr>
            <w:r>
              <w:rPr>
                <w:rFonts w:ascii="Arial" w:cs="Arial" w:eastAsia="Arial" w:hAnsi="Arial"/>
                <w:sz w:val="14"/>
                <w:szCs w:val="14"/>
                <w:b w:val="1"/>
                <w:bCs w:val="1"/>
                <w:i w:val="1"/>
                <w:iCs w:val="1"/>
                <w:color w:val="auto"/>
                <w:w w:val="87"/>
              </w:rPr>
              <w:t>(dollars in thousands, except per share amounts)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20"/>
              <w:spacing w:after="0"/>
              <w:rPr>
                <w:sz w:val="20"/>
                <w:szCs w:val="20"/>
                <w:color w:val="auto"/>
              </w:rPr>
            </w:pPr>
            <w:r>
              <w:rPr>
                <w:rFonts w:ascii="Arial" w:cs="Arial" w:eastAsia="Arial" w:hAnsi="Arial"/>
                <w:sz w:val="14"/>
                <w:szCs w:val="14"/>
                <w:color w:val="auto"/>
              </w:rPr>
              <w:t>Interest and fees on loans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69,809</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78,083</w:t>
            </w:r>
          </w:p>
        </w:tc>
        <w:tc>
          <w:tcPr>
            <w:tcW w:w="180" w:type="dxa"/>
            <w:vAlign w:val="bottom"/>
          </w:tcPr>
          <w:p>
            <w:pPr>
              <w:spacing w:after="0"/>
              <w:rPr>
                <w:sz w:val="15"/>
                <w:szCs w:val="15"/>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213,434</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227,903</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and dividends on investment securities: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340"/>
              <w:spacing w:after="0"/>
              <w:rPr>
                <w:sz w:val="20"/>
                <w:szCs w:val="20"/>
                <w:color w:val="auto"/>
              </w:rPr>
            </w:pPr>
            <w:r>
              <w:rPr>
                <w:rFonts w:ascii="Arial" w:cs="Arial" w:eastAsia="Arial" w:hAnsi="Arial"/>
                <w:sz w:val="14"/>
                <w:szCs w:val="14"/>
                <w:color w:val="auto"/>
              </w:rPr>
              <w:t>Taxable interest income</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8,466</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10,247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26,807</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31,583</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Non-taxable interest income</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1,141</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3,458</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 interest income</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1,596</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4,496</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income</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79,629</w:t>
            </w:r>
          </w:p>
        </w:tc>
        <w:tc>
          <w:tcPr>
            <w:tcW w:w="5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91,691</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245,295</w:t>
            </w: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267,438</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Interest expense: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6,105</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26,053</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41,407</w:t>
            </w:r>
          </w:p>
        </w:tc>
        <w:tc>
          <w:tcPr>
            <w:tcW w:w="0" w:type="dxa"/>
            <w:vAlign w:val="bottom"/>
          </w:tcPr>
          <w:p>
            <w:pPr>
              <w:spacing w:after="0"/>
              <w:rPr>
                <w:sz w:val="1"/>
                <w:szCs w:val="1"/>
                <w:color w:val="auto"/>
              </w:rPr>
            </w:pPr>
          </w:p>
        </w:tc>
      </w:tr>
      <w:tr>
        <w:trPr>
          <w:trHeight w:val="182"/>
        </w:trPr>
        <w:tc>
          <w:tcPr>
            <w:tcW w:w="3900" w:type="dxa"/>
            <w:vAlign w:val="bottom"/>
          </w:tcPr>
          <w:p>
            <w:pPr>
              <w:ind w:left="220"/>
              <w:spacing w:after="0"/>
              <w:rPr>
                <w:sz w:val="20"/>
                <w:szCs w:val="20"/>
                <w:color w:val="auto"/>
              </w:rPr>
            </w:pPr>
            <w:r>
              <w:rPr>
                <w:rFonts w:ascii="Arial" w:cs="Arial" w:eastAsia="Arial" w:hAnsi="Arial"/>
                <w:sz w:val="14"/>
                <w:szCs w:val="14"/>
                <w:color w:val="auto"/>
              </w:rPr>
              <w:t>Federal funds purchased and securities sold under</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88</w:t>
            </w:r>
          </w:p>
        </w:tc>
        <w:tc>
          <w:tcPr>
            <w:tcW w:w="5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579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596</w:t>
            </w: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1,789</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Arial" w:cs="Arial" w:eastAsia="Arial" w:hAnsi="Arial"/>
                <w:sz w:val="14"/>
                <w:szCs w:val="14"/>
                <w:color w:val="auto"/>
              </w:rPr>
              <w:t>agreements to repurchase</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borrowings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215</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76"/>
        </w:trPr>
        <w:tc>
          <w:tcPr>
            <w:tcW w:w="3900" w:type="dxa"/>
            <w:vAlign w:val="bottom"/>
          </w:tcPr>
          <w:p>
            <w:pPr>
              <w:ind w:left="2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495</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Senior notes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1,199</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76"/>
        </w:trPr>
        <w:tc>
          <w:tcPr>
            <w:tcW w:w="3900" w:type="dxa"/>
            <w:vAlign w:val="bottom"/>
          </w:tcPr>
          <w:p>
            <w:pPr>
              <w:ind w:left="220"/>
              <w:spacing w:after="0"/>
              <w:rPr>
                <w:sz w:val="20"/>
                <w:szCs w:val="20"/>
                <w:color w:val="auto"/>
              </w:rPr>
            </w:pPr>
            <w:r>
              <w:rPr>
                <w:rFonts w:ascii="Arial" w:cs="Arial" w:eastAsia="Arial" w:hAnsi="Arial"/>
                <w:sz w:val="14"/>
                <w:szCs w:val="14"/>
                <w:color w:val="auto"/>
              </w:rPr>
              <w:t>Subordinated notes</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2,475</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4,518</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Junior subordinated debt owed to unconsolidated trusts</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740</w:t>
            </w: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2,220</w:t>
            </w:r>
          </w:p>
        </w:tc>
        <w:tc>
          <w:tcPr>
            <w:tcW w:w="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interest expense</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9,876</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35,296</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52,151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69,753</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73,476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209,999</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215,287</w:t>
            </w:r>
          </w:p>
        </w:tc>
        <w:tc>
          <w:tcPr>
            <w:tcW w:w="0" w:type="dxa"/>
            <w:vAlign w:val="bottom"/>
          </w:tcPr>
          <w:p>
            <w:pPr>
              <w:spacing w:after="0"/>
              <w:rPr>
                <w:sz w:val="1"/>
                <w:szCs w:val="1"/>
                <w:color w:val="auto"/>
              </w:rPr>
            </w:pPr>
          </w:p>
        </w:tc>
      </w:tr>
      <w:tr>
        <w:trPr>
          <w:trHeight w:val="175"/>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credit losses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5,549</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35,656</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8,039</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 after provision for credit losses</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64,204</w:t>
            </w:r>
          </w:p>
        </w:tc>
        <w:tc>
          <w:tcPr>
            <w:tcW w:w="5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70,065</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174,343</w:t>
            </w: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207,248</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Wealth management fees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10,548</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32,296</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27,338</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Fees for customer services</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8,014</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9,842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23,400</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27,635</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Remittance processing</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3,995</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11,466</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11,277</w:t>
            </w:r>
          </w:p>
        </w:tc>
        <w:tc>
          <w:tcPr>
            <w:tcW w:w="0" w:type="dxa"/>
            <w:vAlign w:val="bottom"/>
          </w:tcPr>
          <w:p>
            <w:pPr>
              <w:spacing w:after="0"/>
              <w:rPr>
                <w:sz w:val="1"/>
                <w:szCs w:val="1"/>
                <w:color w:val="auto"/>
              </w:rPr>
            </w:pPr>
          </w:p>
        </w:tc>
      </w:tr>
      <w:tr>
        <w:trPr>
          <w:trHeight w:val="176"/>
        </w:trPr>
        <w:tc>
          <w:tcPr>
            <w:tcW w:w="3900" w:type="dxa"/>
            <w:vAlign w:val="bottom"/>
          </w:tcPr>
          <w:p>
            <w:pPr>
              <w:ind w:left="220"/>
              <w:spacing w:after="0"/>
              <w:rPr>
                <w:sz w:val="20"/>
                <w:szCs w:val="20"/>
                <w:color w:val="auto"/>
              </w:rPr>
            </w:pPr>
            <w:r>
              <w:rPr>
                <w:rFonts w:ascii="Arial" w:cs="Arial" w:eastAsia="Arial" w:hAnsi="Arial"/>
                <w:sz w:val="14"/>
                <w:szCs w:val="14"/>
                <w:color w:val="auto"/>
              </w:rPr>
              <w:t>Mortgage revenue</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5,793</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9,879</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8,127</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on bank owned life insurance</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1,022</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4,361</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Net gains (losses) on sales of securities</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1,710</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gains (losses) recognized on equity securities</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(437)</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(1,234)</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75"/>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3,339</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5,888</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6,370</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non-interest income</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32,285</w:t>
            </w:r>
          </w:p>
        </w:tc>
        <w:tc>
          <w:tcPr>
            <w:tcW w:w="5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30,936</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87,766</w:t>
            </w: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84,777</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wages and employee benefits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32,839</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38,747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95,397</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105,356</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Data processing</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3,937</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5,032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12,383</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15,049</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occupancy expense of premises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4,256</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13,419</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13,365</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Furniture and equipment expenses</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2,325</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2,489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7,311</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6,936</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Professional fees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1,698</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5,508</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9,001</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2,493</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7,569</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6,866</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expense</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8,994</w:t>
            </w: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12,219</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28,537</w:t>
            </w:r>
          </w:p>
        </w:tc>
        <w:tc>
          <w:tcPr>
            <w:tcW w:w="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36,731</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non-interest expense</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56,542</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170,124</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193,304</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39,947</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91,985</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98,721</w:t>
            </w:r>
          </w:p>
        </w:tc>
        <w:tc>
          <w:tcPr>
            <w:tcW w:w="0" w:type="dxa"/>
            <w:vAlign w:val="bottom"/>
          </w:tcPr>
          <w:p>
            <w:pPr>
              <w:spacing w:after="0"/>
              <w:rPr>
                <w:sz w:val="1"/>
                <w:szCs w:val="1"/>
                <w:color w:val="auto"/>
              </w:rPr>
            </w:pPr>
          </w:p>
        </w:tc>
      </w:tr>
      <w:tr>
        <w:trPr>
          <w:trHeight w:val="175"/>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9,118</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19,986</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24,339</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30,829</w:t>
            </w:r>
          </w:p>
        </w:tc>
        <w:tc>
          <w:tcPr>
            <w:tcW w:w="5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24,828</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71,999</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74,382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0.56</w:t>
            </w:r>
          </w:p>
        </w:tc>
        <w:tc>
          <w:tcPr>
            <w:tcW w:w="5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1.32</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Diluted earnings per common share</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b w:val="1"/>
                <w:bCs w:val="1"/>
                <w:color w:val="auto"/>
              </w:rPr>
              <w:t>0.56</w:t>
            </w:r>
          </w:p>
        </w:tc>
        <w:tc>
          <w:tcPr>
            <w:tcW w:w="52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0.45</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b w:val="1"/>
                <w:bCs w:val="1"/>
                <w:color w:val="auto"/>
              </w:rPr>
              <w:t>1.31</w:t>
            </w:r>
          </w:p>
        </w:tc>
        <w:tc>
          <w:tcPr>
            <w:tcW w:w="38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6"/>
        </w:trPr>
        <w:tc>
          <w:tcPr>
            <w:tcW w:w="390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Dividends declared per share of common stock</w:t>
            </w: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0.22</w:t>
            </w:r>
          </w:p>
        </w:tc>
        <w:tc>
          <w:tcPr>
            <w:tcW w:w="520" w:type="dxa"/>
            <w:vAlign w:val="bottom"/>
            <w:tcBorders>
              <w:bottom w:val="single" w:sz="8" w:color="auto"/>
            </w:tcBorders>
            <w:shd w:val="clear" w:color="auto" w:fill="CCEEFF"/>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0.21</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ind w:right="68"/>
              <w:spacing w:after="0" w:line="156" w:lineRule="exact"/>
              <w:rPr>
                <w:sz w:val="20"/>
                <w:szCs w:val="20"/>
                <w:color w:val="auto"/>
              </w:rPr>
            </w:pPr>
            <w:r>
              <w:rPr>
                <w:rFonts w:ascii="Arial" w:cs="Arial" w:eastAsia="Arial" w:hAnsi="Arial"/>
                <w:sz w:val="14"/>
                <w:szCs w:val="14"/>
                <w:b w:val="1"/>
                <w:bCs w:val="1"/>
                <w:color w:val="auto"/>
              </w:rPr>
              <w:t>0.66</w:t>
            </w:r>
          </w:p>
        </w:tc>
        <w:tc>
          <w:tcPr>
            <w:tcW w:w="380" w:type="dxa"/>
            <w:vAlign w:val="bottom"/>
            <w:tcBorders>
              <w:bottom w:val="single" w:sz="8" w:color="auto"/>
            </w:tcBorders>
            <w:shd w:val="clear" w:color="auto" w:fill="CCEEFF"/>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60" w:right="79"/>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COMPREHENSIVE INCOME (Unaudited)</w:t>
      </w:r>
    </w:p>
    <w:tbl>
      <w:tblPr>
        <w:tblLayout w:type="fixed"/>
        <w:tblInd w:w="6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246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2160" w:type="dxa"/>
            <w:vAlign w:val="bottom"/>
            <w:gridSpan w:val="4"/>
          </w:tcPr>
          <w:p>
            <w:pPr>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rPr>
              <w:t>(dollars in</w:t>
            </w:r>
          </w:p>
        </w:tc>
        <w:tc>
          <w:tcPr>
            <w:tcW w:w="140" w:type="dxa"/>
            <w:vAlign w:val="bottom"/>
          </w:tcPr>
          <w:p>
            <w:pPr>
              <w:spacing w:after="0"/>
              <w:rPr>
                <w:sz w:val="13"/>
                <w:szCs w:val="13"/>
                <w:color w:val="auto"/>
              </w:rPr>
            </w:pPr>
          </w:p>
        </w:tc>
        <w:tc>
          <w:tcPr>
            <w:tcW w:w="108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thousands)</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30,829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71,999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74,382</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on debt securities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available</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 sale:</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60"/>
              <w:spacing w:after="0"/>
              <w:rPr>
                <w:sz w:val="20"/>
                <w:szCs w:val="20"/>
                <w:color w:val="auto"/>
              </w:rPr>
            </w:pPr>
            <w:r>
              <w:rPr>
                <w:rFonts w:ascii="Arial" w:cs="Arial" w:eastAsia="Arial" w:hAnsi="Arial"/>
                <w:sz w:val="18"/>
                <w:szCs w:val="18"/>
                <w:color w:val="auto"/>
              </w:rPr>
              <w:t>Net unrealized holding gains (losses) on debt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40" w:type="dxa"/>
            <w:vAlign w:val="bottom"/>
          </w:tcPr>
          <w:p>
            <w:pPr>
              <w:ind w:left="400"/>
              <w:spacing w:after="0"/>
              <w:rPr>
                <w:sz w:val="20"/>
                <w:szCs w:val="20"/>
                <w:color w:val="auto"/>
              </w:rPr>
            </w:pPr>
            <w:r>
              <w:rPr>
                <w:rFonts w:ascii="Arial" w:cs="Arial" w:eastAsia="Arial" w:hAnsi="Arial"/>
                <w:sz w:val="18"/>
                <w:szCs w:val="18"/>
                <w:color w:val="auto"/>
                <w:w w:val="95"/>
              </w:rPr>
              <w:t>securities available for sale, net of taxes of $682,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(1,710)</w:t>
            </w:r>
          </w:p>
        </w:tc>
        <w:tc>
          <w:tcPr>
            <w:tcW w:w="3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3,568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23,974</w:t>
            </w:r>
          </w:p>
        </w:tc>
        <w:tc>
          <w:tcPr>
            <w:tcW w:w="32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21,453</w:t>
            </w:r>
          </w:p>
        </w:tc>
        <w:tc>
          <w:tcPr>
            <w:tcW w:w="0" w:type="dxa"/>
            <w:vAlign w:val="bottom"/>
          </w:tcPr>
          <w:p>
            <w:pPr>
              <w:spacing w:after="0"/>
              <w:rPr>
                <w:sz w:val="1"/>
                <w:szCs w:val="1"/>
                <w:color w:val="auto"/>
              </w:rPr>
            </w:pPr>
          </w:p>
        </w:tc>
      </w:tr>
      <w:tr>
        <w:trPr>
          <w:trHeight w:val="217"/>
        </w:trPr>
        <w:tc>
          <w:tcPr>
            <w:tcW w:w="4140" w:type="dxa"/>
            <w:vAlign w:val="bottom"/>
          </w:tcPr>
          <w:p>
            <w:pPr>
              <w:ind w:left="400"/>
              <w:spacing w:after="0"/>
              <w:rPr>
                <w:sz w:val="20"/>
                <w:szCs w:val="20"/>
                <w:color w:val="auto"/>
              </w:rPr>
            </w:pPr>
            <w:r>
              <w:rPr>
                <w:rFonts w:ascii="Arial" w:cs="Arial" w:eastAsia="Arial" w:hAnsi="Arial"/>
                <w:sz w:val="18"/>
                <w:szCs w:val="18"/>
                <w:color w:val="auto"/>
              </w:rPr>
              <w:t>$(1,423), $(9,577) and $(8,552), respectively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Net unrealized losses on debt securities transferred</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8"/>
              </w:rPr>
              <w:t>from held to maturity to available for sale, net of</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taxes of $- , $-, $- and $(1,363), respectively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60"/>
              <w:spacing w:after="0"/>
              <w:rPr>
                <w:sz w:val="20"/>
                <w:szCs w:val="20"/>
                <w:color w:val="auto"/>
              </w:rPr>
            </w:pPr>
            <w:r>
              <w:rPr>
                <w:rFonts w:ascii="Arial" w:cs="Arial" w:eastAsia="Arial" w:hAnsi="Arial"/>
                <w:sz w:val="18"/>
                <w:szCs w:val="18"/>
                <w:color w:val="auto"/>
              </w:rPr>
              <w:t>Reclassification adjustment for realized (gains)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40" w:type="dxa"/>
            <w:vAlign w:val="bottom"/>
          </w:tcPr>
          <w:p>
            <w:pPr>
              <w:ind w:left="400"/>
              <w:spacing w:after="0"/>
              <w:rPr>
                <w:sz w:val="20"/>
                <w:szCs w:val="20"/>
                <w:color w:val="auto"/>
              </w:rPr>
            </w:pPr>
            <w:r>
              <w:rPr>
                <w:rFonts w:ascii="Arial" w:cs="Arial" w:eastAsia="Arial" w:hAnsi="Arial"/>
                <w:sz w:val="18"/>
                <w:szCs w:val="18"/>
                <w:color w:val="auto"/>
              </w:rPr>
              <w:t>losses on debt securities available for sale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400"/>
              <w:spacing w:after="0"/>
              <w:rPr>
                <w:sz w:val="20"/>
                <w:szCs w:val="20"/>
                <w:color w:val="auto"/>
              </w:rPr>
            </w:pPr>
            <w:r>
              <w:rPr>
                <w:rFonts w:ascii="Arial" w:cs="Arial" w:eastAsia="Arial" w:hAnsi="Arial"/>
                <w:sz w:val="18"/>
                <w:szCs w:val="18"/>
                <w:color w:val="auto"/>
                <w:w w:val="99"/>
              </w:rPr>
              <w:t>included in net income, net of taxes of $3, $85,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(8)</w:t>
            </w:r>
          </w:p>
        </w:tc>
        <w:tc>
          <w:tcPr>
            <w:tcW w:w="3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(1,218)</w:t>
            </w:r>
          </w:p>
        </w:tc>
        <w:tc>
          <w:tcPr>
            <w:tcW w:w="3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7"/>
        </w:trPr>
        <w:tc>
          <w:tcPr>
            <w:tcW w:w="41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$492 and $29, respectively</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change in unrealized gains (losses) on debt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(1,718)</w:t>
            </w:r>
          </w:p>
        </w:tc>
        <w:tc>
          <w:tcPr>
            <w:tcW w:w="3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22,756</w:t>
            </w:r>
          </w:p>
        </w:tc>
        <w:tc>
          <w:tcPr>
            <w:tcW w:w="32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24,795</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 available for sale</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Unrealized gains (losses)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unrealized holding (losses) gains on cash flow</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hedges, net of taxes of $(6), $239, $890 and</w:t>
      </w:r>
    </w:p>
    <w:p>
      <w:pPr>
        <w:sectPr>
          <w:pgSz w:w="11900" w:h="16838" w:orient="portrait"/>
          <w:cols w:equalWidth="0" w:num="1">
            <w:col w:w="9019"/>
          </w:cols>
          <w:pgMar w:left="1440" w:top="530" w:right="1440" w:bottom="1440" w:gutter="0" w:footer="0" w:header="0"/>
        </w:sectPr>
      </w:pP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$239,</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respectively</w:t>
      </w:r>
    </w:p>
    <w:p>
      <w:pPr>
        <w:spacing w:after="0" w:line="23" w:lineRule="exact"/>
        <w:rPr>
          <w:sz w:val="20"/>
          <w:szCs w:val="20"/>
          <w:color w:val="auto"/>
        </w:rPr>
      </w:pPr>
    </w:p>
    <w:p>
      <w:pPr>
        <w:ind w:left="460" w:right="660" w:hanging="134"/>
        <w:spacing w:after="0" w:line="299" w:lineRule="auto"/>
        <w:rPr>
          <w:sz w:val="20"/>
          <w:szCs w:val="20"/>
          <w:color w:val="auto"/>
        </w:rPr>
      </w:pPr>
      <w:r>
        <w:rPr>
          <w:rFonts w:ascii="Arial" w:cs="Arial" w:eastAsia="Arial" w:hAnsi="Arial"/>
          <w:sz w:val="16"/>
          <w:szCs w:val="16"/>
          <w:color w:val="auto"/>
        </w:rPr>
        <w:t>Reclassification adjustment for realized losses (gains) on cash flow hedges included in net income, net of taxes of $(76), $(3), $(16)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respectively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80"/>
        <w:spacing w:after="0"/>
        <w:tabs>
          <w:tab w:leader="none" w:pos="1140" w:val="left"/>
          <w:tab w:leader="none" w:pos="2120" w:val="left"/>
          <w:tab w:leader="none" w:pos="3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(598)</w:t>
      </w:r>
      <w:r>
        <w:rPr>
          <w:sz w:val="20"/>
          <w:szCs w:val="20"/>
          <w:color w:val="auto"/>
        </w:rPr>
        <w:tab/>
      </w:r>
      <w:r>
        <w:rPr>
          <w:rFonts w:ascii="Arial" w:cs="Arial" w:eastAsia="Arial" w:hAnsi="Arial"/>
          <w:sz w:val="18"/>
          <w:szCs w:val="18"/>
          <w:b w:val="1"/>
          <w:bCs w:val="1"/>
          <w:color w:val="auto"/>
        </w:rPr>
        <w:t>(2,233)</w:t>
      </w:r>
      <w:r>
        <w:rPr>
          <w:sz w:val="20"/>
          <w:szCs w:val="20"/>
          <w:color w:val="auto"/>
        </w:rPr>
        <w:tab/>
      </w:r>
      <w:r>
        <w:rPr>
          <w:rFonts w:ascii="Arial" w:cs="Arial" w:eastAsia="Arial" w:hAnsi="Arial"/>
          <w:sz w:val="17"/>
          <w:szCs w:val="17"/>
          <w:color w:val="auto"/>
        </w:rPr>
        <w:t>(598)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17145</wp:posOffset>
            </wp:positionV>
            <wp:extent cx="5648960" cy="728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1380" w:val="left"/>
          <w:tab w:leader="none" w:pos="2420" w:val="left"/>
          <w:tab w:leader="none" w:pos="36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color w:val="auto"/>
        </w:rPr>
        <w:t>6</w:t>
      </w:r>
    </w:p>
    <w:p>
      <w:pPr>
        <w:spacing w:after="0" w:line="27" w:lineRule="exact"/>
        <w:rPr>
          <w:sz w:val="20"/>
          <w:szCs w:val="20"/>
          <w:color w:val="auto"/>
        </w:rPr>
      </w:pPr>
    </w:p>
    <w:p>
      <w:pPr>
        <w:sectPr>
          <w:pgSz w:w="11900" w:h="16838" w:orient="portrait"/>
          <w:cols w:equalWidth="0" w:num="2">
            <w:col w:w="4380" w:space="720"/>
            <w:col w:w="3919"/>
          </w:cols>
          <w:pgMar w:left="1440" w:top="530" w:right="1440" w:bottom="1440" w:gutter="0" w:footer="0" w:header="0"/>
          <w:type w:val="continuous"/>
        </w:sectPr>
      </w:pPr>
    </w:p>
    <w:tbl>
      <w:tblPr>
        <w:tblLayout w:type="fixed"/>
        <w:tblInd w:w="60" w:type="dxa"/>
        <w:tblCellMar>
          <w:top w:w="0" w:type="dxa"/>
          <w:left w:w="0" w:type="dxa"/>
          <w:bottom w:w="0" w:type="dxa"/>
          <w:right w:w="0" w:type="dxa"/>
        </w:tblCellMar>
      </w:tblPr>
      <w:tr>
        <w:trPr>
          <w:trHeight w:val="222"/>
        </w:trPr>
        <w:tc>
          <w:tcPr>
            <w:tcW w:w="4120" w:type="dxa"/>
            <w:vAlign w:val="bottom"/>
          </w:tcPr>
          <w:p>
            <w:pPr>
              <w:ind w:left="260"/>
              <w:spacing w:after="0"/>
              <w:rPr>
                <w:sz w:val="20"/>
                <w:szCs w:val="20"/>
                <w:color w:val="auto"/>
              </w:rPr>
            </w:pPr>
            <w:r>
              <w:rPr>
                <w:rFonts w:ascii="Arial" w:cs="Arial" w:eastAsia="Arial" w:hAnsi="Arial"/>
                <w:sz w:val="18"/>
                <w:szCs w:val="18"/>
                <w:color w:val="auto"/>
              </w:rPr>
              <w:t>Net change in unrealized gains (losses) on</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206</w:t>
            </w: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(2,191)</w:t>
            </w: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7"/>
        </w:trPr>
        <w:tc>
          <w:tcPr>
            <w:tcW w:w="41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Net change in accumulated other comprehensive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(1,512)</w:t>
            </w:r>
          </w:p>
        </w:tc>
        <w:tc>
          <w:tcPr>
            <w:tcW w:w="3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20,565</w:t>
            </w:r>
          </w:p>
        </w:tc>
        <w:tc>
          <w:tcPr>
            <w:tcW w:w="3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24,203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jc w:val="center"/>
              <w:ind w:right="1970"/>
              <w:spacing w:after="0"/>
              <w:rPr>
                <w:sz w:val="20"/>
                <w:szCs w:val="20"/>
                <w:color w:val="auto"/>
              </w:rPr>
            </w:pPr>
            <w:r>
              <w:rPr>
                <w:rFonts w:ascii="Arial" w:cs="Arial" w:eastAsia="Arial" w:hAnsi="Arial"/>
                <w:sz w:val="18"/>
                <w:szCs w:val="18"/>
                <w:color w:val="auto"/>
                <w:w w:val="91"/>
              </w:rPr>
              <w:t>income (loss)</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jc w:val="center"/>
              <w:ind w:right="1950"/>
              <w:spacing w:after="0"/>
              <w:rPr>
                <w:sz w:val="20"/>
                <w:szCs w:val="20"/>
                <w:color w:val="auto"/>
              </w:rPr>
            </w:pPr>
            <w:r>
              <w:rPr>
                <w:rFonts w:ascii="Arial" w:cs="Arial" w:eastAsia="Arial" w:hAnsi="Arial"/>
                <w:sz w:val="18"/>
                <w:szCs w:val="18"/>
                <w:color w:val="auto"/>
                <w:w w:val="90"/>
              </w:rPr>
              <w:t>Total comprehensive income</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29,317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92,564</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50"/>
        </w:trPr>
        <w:tc>
          <w:tcPr>
            <w:tcW w:w="2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Retained</w:t>
            </w:r>
          </w:p>
        </w:tc>
        <w:tc>
          <w:tcPr>
            <w:tcW w:w="140" w:type="dxa"/>
            <w:vAlign w:val="bottom"/>
          </w:tcPr>
          <w:p>
            <w:pPr>
              <w:spacing w:after="0"/>
              <w:rPr>
                <w:sz w:val="13"/>
                <w:szCs w:val="13"/>
                <w:color w:val="auto"/>
              </w:rPr>
            </w:pPr>
          </w:p>
        </w:tc>
        <w:tc>
          <w:tcPr>
            <w:tcW w:w="840" w:type="dxa"/>
            <w:vAlign w:val="bottom"/>
          </w:tcPr>
          <w:p>
            <w:pPr>
              <w:jc w:val="center"/>
              <w:ind w:right="74"/>
              <w:spacing w:after="0"/>
              <w:rPr>
                <w:sz w:val="20"/>
                <w:szCs w:val="20"/>
                <w:color w:val="auto"/>
              </w:rPr>
            </w:pPr>
            <w:r>
              <w:rPr>
                <w:rFonts w:ascii="Arial" w:cs="Arial" w:eastAsia="Arial" w:hAnsi="Arial"/>
                <w:sz w:val="12"/>
                <w:szCs w:val="12"/>
                <w:b w:val="1"/>
                <w:bCs w:val="1"/>
                <w:color w:val="auto"/>
                <w:w w:val="87"/>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34"/>
              <w:spacing w:after="0"/>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9"/>
              </w:rPr>
              <w:t>Earnings</w:t>
            </w:r>
          </w:p>
        </w:tc>
        <w:tc>
          <w:tcPr>
            <w:tcW w:w="14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Arial" w:cs="Arial" w:eastAsia="Arial" w:hAnsi="Arial"/>
                <w:sz w:val="12"/>
                <w:szCs w:val="12"/>
                <w:b w:val="1"/>
                <w:bCs w:val="1"/>
                <w:color w:val="auto"/>
                <w:w w:val="92"/>
              </w:rPr>
              <w:t>Common</w:t>
            </w:r>
          </w:p>
        </w:tc>
        <w:tc>
          <w:tcPr>
            <w:tcW w:w="18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Arial" w:cs="Arial" w:eastAsia="Arial" w:hAnsi="Arial"/>
                <w:sz w:val="12"/>
                <w:szCs w:val="12"/>
                <w:b w:val="1"/>
                <w:bCs w:val="1"/>
                <w:color w:val="auto"/>
                <w:w w:val="88"/>
              </w:rPr>
              <w:t>(Accumulated</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Comprehensive</w:t>
            </w:r>
          </w:p>
        </w:tc>
        <w:tc>
          <w:tcPr>
            <w:tcW w:w="18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Arial" w:cs="Arial" w:eastAsia="Arial" w:hAnsi="Arial"/>
                <w:sz w:val="12"/>
                <w:szCs w:val="12"/>
                <w:b w:val="1"/>
                <w:bCs w:val="1"/>
                <w:color w:val="auto"/>
                <w:w w:val="94"/>
              </w:rPr>
              <w:t>Treasury</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Stock</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Deficit)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w w:val="85"/>
              </w:rPr>
              <w:t>Income (loss)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Stock</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2"/>
        </w:trPr>
        <w:tc>
          <w:tcPr>
            <w:tcW w:w="27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Three Months Ended September 30, 2020</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3"/>
                <w:szCs w:val="13"/>
                <w:color w:val="auto"/>
              </w:rPr>
              <w:t>Balance, June 30, 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54,516,000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56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1,248,045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(13,951)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37,037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(35,103)</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1,236,084</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30,829</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30,829</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(1,512)</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(1,512)</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Issuance of treasury stock for employee stock</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plan</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6,119</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116</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3"/>
                <w:szCs w:val="13"/>
                <w:color w:val="auto"/>
              </w:rPr>
              <w:t>Net issuance of treasury stock for</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00"/>
              <w:spacing w:after="0"/>
              <w:rPr>
                <w:sz w:val="20"/>
                <w:szCs w:val="20"/>
                <w:color w:val="auto"/>
              </w:rPr>
            </w:pPr>
            <w:r>
              <w:rPr>
                <w:rFonts w:ascii="Arial" w:cs="Arial" w:eastAsia="Arial" w:hAnsi="Arial"/>
                <w:sz w:val="13"/>
                <w:szCs w:val="13"/>
                <w:color w:val="auto"/>
              </w:rPr>
              <w:t>restricted/deferred stock unit vesting and</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112</w:t>
            </w:r>
          </w:p>
        </w:tc>
        <w:tc>
          <w:tcPr>
            <w:tcW w:w="140" w:type="dxa"/>
            <w:vAlign w:val="bottom"/>
          </w:tcPr>
          <w:p>
            <w:pPr>
              <w:spacing w:after="0"/>
              <w:rPr>
                <w:sz w:val="16"/>
                <w:szCs w:val="16"/>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40" w:type="dxa"/>
            <w:vAlign w:val="bottom"/>
          </w:tcPr>
          <w:p>
            <w:pPr>
              <w:ind w:left="100"/>
              <w:spacing w:after="0"/>
              <w:rPr>
                <w:sz w:val="20"/>
                <w:szCs w:val="20"/>
                <w:color w:val="auto"/>
              </w:rPr>
            </w:pPr>
            <w:r>
              <w:rPr>
                <w:rFonts w:ascii="Arial" w:cs="Arial" w:eastAsia="Arial" w:hAnsi="Arial"/>
                <w:sz w:val="13"/>
                <w:szCs w:val="13"/>
                <w:color w:val="auto"/>
              </w:rPr>
              <w:t>related tax</w:t>
            </w: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w w:val="99"/>
              </w:rPr>
              <w:t>Net issuance of treasury stock for stock options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exercised, net of shares redeemed and related</w:t>
            </w: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3"/>
                <w:szCs w:val="13"/>
                <w:color w:val="auto"/>
                <w:w w:val="95"/>
              </w:rPr>
              <w:t>Cash dividends common stock at $0.22 per share</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(11,994)</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(11,994)</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w w:val="98"/>
              </w:rPr>
              <w:t>Stock dividend equivalents restricted stock units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at $0.22 per share</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Stock-based compensation</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2,205</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2,205</w:t>
            </w:r>
          </w:p>
        </w:tc>
        <w:tc>
          <w:tcPr>
            <w:tcW w:w="0" w:type="dxa"/>
            <w:vAlign w:val="bottom"/>
          </w:tcPr>
          <w:p>
            <w:pPr>
              <w:spacing w:after="0"/>
              <w:rPr>
                <w:sz w:val="1"/>
                <w:szCs w:val="1"/>
                <w:color w:val="auto"/>
              </w:rPr>
            </w:pPr>
          </w:p>
        </w:tc>
      </w:tr>
      <w:tr>
        <w:trPr>
          <w:trHeight w:val="169"/>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September 30, 2020</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54,522,231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b w:val="1"/>
                <w:bCs w:val="1"/>
                <w:color w:val="auto"/>
              </w:rPr>
              <w:t>1,250,391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4,718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35,525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(34,985)</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1,255,705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Nine Months Ended September 30, 2020</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3"/>
                <w:szCs w:val="13"/>
                <w:color w:val="auto"/>
              </w:rPr>
              <w:t>Balance, December 31, 2019</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54,788,772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56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1,248,216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(14,813)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14,960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(27,985)</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1,220,434</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change in accounting</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principle</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(15,922)</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(15,922)</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71,999</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71,999</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20,565</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20,565</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3"/>
                <w:szCs w:val="13"/>
                <w:color w:val="auto"/>
              </w:rPr>
              <w:t>Repurchase of stock</w:t>
            </w:r>
          </w:p>
        </w:tc>
        <w:tc>
          <w:tcPr>
            <w:tcW w:w="760" w:type="dxa"/>
            <w:vAlign w:val="bottom"/>
          </w:tcPr>
          <w:p>
            <w:pPr>
              <w:jc w:val="right"/>
              <w:spacing w:after="0"/>
              <w:rPr>
                <w:sz w:val="20"/>
                <w:szCs w:val="20"/>
                <w:color w:val="auto"/>
              </w:rPr>
            </w:pPr>
            <w:r>
              <w:rPr>
                <w:rFonts w:ascii="Arial" w:cs="Arial" w:eastAsia="Arial" w:hAnsi="Arial"/>
                <w:sz w:val="13"/>
                <w:szCs w:val="13"/>
                <w:color w:val="auto"/>
              </w:rPr>
              <w:t>(407,850)</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(9,669)</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(9,669)</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Issuance of treasury stock for employee stock</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plan</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26,651</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504</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3"/>
                <w:szCs w:val="13"/>
                <w:color w:val="auto"/>
              </w:rPr>
              <w:t>Net issuance of treasury stock for</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00"/>
              <w:spacing w:after="0"/>
              <w:rPr>
                <w:sz w:val="20"/>
                <w:szCs w:val="20"/>
                <w:color w:val="auto"/>
              </w:rPr>
            </w:pPr>
            <w:r>
              <w:rPr>
                <w:rFonts w:ascii="Arial" w:cs="Arial" w:eastAsia="Arial" w:hAnsi="Arial"/>
                <w:sz w:val="13"/>
                <w:szCs w:val="13"/>
                <w:color w:val="auto"/>
              </w:rPr>
              <w:t>restricted/deferred stock unit vesting and</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106,589</w:t>
            </w:r>
          </w:p>
        </w:tc>
        <w:tc>
          <w:tcPr>
            <w:tcW w:w="140" w:type="dxa"/>
            <w:vAlign w:val="bottom"/>
          </w:tcPr>
          <w:p>
            <w:pPr>
              <w:spacing w:after="0"/>
              <w:rPr>
                <w:sz w:val="16"/>
                <w:szCs w:val="16"/>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3"/>
                <w:szCs w:val="13"/>
                <w:color w:val="auto"/>
              </w:rPr>
              <w:t>(2,648)</w:t>
            </w:r>
          </w:p>
        </w:tc>
        <w:tc>
          <w:tcPr>
            <w:tcW w:w="120" w:type="dxa"/>
            <w:vAlign w:val="bottom"/>
          </w:tcPr>
          <w:p>
            <w:pPr>
              <w:spacing w:after="0"/>
              <w:rPr>
                <w:sz w:val="16"/>
                <w:szCs w:val="16"/>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3"/>
                <w:szCs w:val="13"/>
                <w:color w:val="auto"/>
              </w:rPr>
              <w:t>2,013</w:t>
            </w: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63"/>
        </w:trPr>
        <w:tc>
          <w:tcPr>
            <w:tcW w:w="2740" w:type="dxa"/>
            <w:vAlign w:val="bottom"/>
          </w:tcPr>
          <w:p>
            <w:pPr>
              <w:ind w:left="100"/>
              <w:spacing w:after="0"/>
              <w:rPr>
                <w:sz w:val="20"/>
                <w:szCs w:val="20"/>
                <w:color w:val="auto"/>
              </w:rPr>
            </w:pPr>
            <w:r>
              <w:rPr>
                <w:rFonts w:ascii="Arial" w:cs="Arial" w:eastAsia="Arial" w:hAnsi="Arial"/>
                <w:sz w:val="13"/>
                <w:szCs w:val="13"/>
                <w:color w:val="auto"/>
              </w:rPr>
              <w:t>related tax</w:t>
            </w: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w w:val="99"/>
              </w:rPr>
              <w:t>Net issuance of treasury stock for stock options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exercised, net of shares redeemed and related</w:t>
            </w: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8,069</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152</w:t>
            </w:r>
          </w:p>
        </w:tc>
        <w:tc>
          <w:tcPr>
            <w:tcW w:w="2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3"/>
                <w:szCs w:val="13"/>
                <w:color w:val="auto"/>
                <w:w w:val="95"/>
              </w:rPr>
              <w:t>Cash dividends common stock at $0.66 per share</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(36,017)</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(36,017)</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w w:val="98"/>
              </w:rPr>
              <w:t>Stock dividend equivalents restricted stock units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at $0.66 per share</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529</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Stock-based compensation</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4,413</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4,413</w:t>
            </w:r>
          </w:p>
        </w:tc>
        <w:tc>
          <w:tcPr>
            <w:tcW w:w="0" w:type="dxa"/>
            <w:vAlign w:val="bottom"/>
          </w:tcPr>
          <w:p>
            <w:pPr>
              <w:spacing w:after="0"/>
              <w:rPr>
                <w:sz w:val="1"/>
                <w:szCs w:val="1"/>
                <w:color w:val="auto"/>
              </w:rPr>
            </w:pPr>
          </w:p>
        </w:tc>
      </w:tr>
      <w:tr>
        <w:trPr>
          <w:trHeight w:val="169"/>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September 30, 2020</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54,522,231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b w:val="1"/>
                <w:bCs w:val="1"/>
                <w:color w:val="auto"/>
              </w:rPr>
              <w:t>1,250,391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4,718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35,525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(34,985)</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1,255,705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(Continued)</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50"/>
        </w:trPr>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74"/>
              <w:spacing w:after="0"/>
              <w:rPr>
                <w:sz w:val="20"/>
                <w:szCs w:val="20"/>
                <w:color w:val="auto"/>
              </w:rPr>
            </w:pPr>
            <w:r>
              <w:rPr>
                <w:rFonts w:ascii="Arial" w:cs="Arial" w:eastAsia="Arial" w:hAnsi="Arial"/>
                <w:sz w:val="12"/>
                <w:szCs w:val="12"/>
                <w:b w:val="1"/>
                <w:bCs w:val="1"/>
                <w:color w:val="auto"/>
                <w:w w:val="87"/>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14"/>
              <w:spacing w:after="0"/>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Arial" w:cs="Arial" w:eastAsia="Arial" w:hAnsi="Arial"/>
                <w:sz w:val="12"/>
                <w:szCs w:val="12"/>
                <w:b w:val="1"/>
                <w:bCs w:val="1"/>
                <w:color w:val="auto"/>
                <w:w w:val="92"/>
              </w:rPr>
              <w:t>Common</w:t>
            </w:r>
          </w:p>
        </w:tc>
        <w:tc>
          <w:tcPr>
            <w:tcW w:w="20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5"/>
                <w:szCs w:val="15"/>
                <w:color w:val="auto"/>
              </w:rPr>
            </w:pPr>
          </w:p>
        </w:tc>
        <w:tc>
          <w:tcPr>
            <w:tcW w:w="800" w:type="dxa"/>
            <w:vAlign w:val="bottom"/>
          </w:tcPr>
          <w:p>
            <w:pPr>
              <w:jc w:val="right"/>
              <w:ind w:right="73"/>
              <w:spacing w:after="0"/>
              <w:rPr>
                <w:sz w:val="20"/>
                <w:szCs w:val="20"/>
                <w:color w:val="auto"/>
              </w:rPr>
            </w:pPr>
            <w:r>
              <w:rPr>
                <w:rFonts w:ascii="Arial" w:cs="Arial" w:eastAsia="Arial" w:hAnsi="Arial"/>
                <w:sz w:val="12"/>
                <w:szCs w:val="12"/>
                <w:b w:val="1"/>
                <w:bCs w:val="1"/>
                <w:color w:val="auto"/>
                <w:w w:val="84"/>
              </w:rPr>
              <w:t>Accumulated</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Comprehensive</w:t>
            </w:r>
          </w:p>
        </w:tc>
        <w:tc>
          <w:tcPr>
            <w:tcW w:w="180" w:type="dxa"/>
            <w:vAlign w:val="bottom"/>
          </w:tcPr>
          <w:p>
            <w:pPr>
              <w:spacing w:after="0"/>
              <w:rPr>
                <w:sz w:val="15"/>
                <w:szCs w:val="15"/>
                <w:color w:val="auto"/>
              </w:rPr>
            </w:pPr>
          </w:p>
        </w:tc>
        <w:tc>
          <w:tcPr>
            <w:tcW w:w="760" w:type="dxa"/>
            <w:vAlign w:val="bottom"/>
          </w:tcPr>
          <w:p>
            <w:pPr>
              <w:jc w:val="right"/>
              <w:ind w:right="173"/>
              <w:spacing w:after="0"/>
              <w:rPr>
                <w:sz w:val="20"/>
                <w:szCs w:val="20"/>
                <w:color w:val="auto"/>
              </w:rPr>
            </w:pPr>
            <w:r>
              <w:rPr>
                <w:rFonts w:ascii="Arial" w:cs="Arial" w:eastAsia="Arial" w:hAnsi="Arial"/>
                <w:sz w:val="12"/>
                <w:szCs w:val="12"/>
                <w:b w:val="1"/>
                <w:bCs w:val="1"/>
                <w:color w:val="auto"/>
                <w:w w:val="98"/>
              </w:rPr>
              <w:t>Treasury</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Stock</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w w:val="85"/>
              </w:rPr>
              <w:t>Income (loss)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Stock</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For the Three Months Ended September 30, 2019</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Balance, June 30, 2019</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55,386,636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56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1,246,160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(44,878)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14,627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(12,357)</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1,203,608</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24,828</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24,828</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2,764</w:t>
            </w:r>
          </w:p>
        </w:tc>
        <w:tc>
          <w:tcPr>
            <w:tcW w:w="18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2,764</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(194,062)</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Issuance of treasury stock for employee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20"/>
              <w:spacing w:after="0"/>
              <w:rPr>
                <w:sz w:val="20"/>
                <w:szCs w:val="20"/>
                <w:color w:val="auto"/>
              </w:rPr>
            </w:pPr>
            <w:r>
              <w:rPr>
                <w:rFonts w:ascii="Arial" w:cs="Arial" w:eastAsia="Arial" w:hAnsi="Arial"/>
                <w:sz w:val="13"/>
                <w:szCs w:val="13"/>
                <w:color w:val="auto"/>
              </w:rPr>
              <w:t>stock purchase plan</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4,378</w:t>
            </w:r>
          </w:p>
        </w:tc>
        <w:tc>
          <w:tcPr>
            <w:tcW w:w="16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83</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issuance of treasury stock for</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restricted/deferred stock unit vesting and</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related tax</w:t>
            </w: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Net issuance of treasury stock for 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ind w:left="120"/>
              <w:spacing w:after="0"/>
              <w:rPr>
                <w:sz w:val="20"/>
                <w:szCs w:val="20"/>
                <w:color w:val="auto"/>
              </w:rPr>
            </w:pPr>
            <w:r>
              <w:rPr>
                <w:rFonts w:ascii="Arial" w:cs="Arial" w:eastAsia="Arial" w:hAnsi="Arial"/>
                <w:sz w:val="13"/>
                <w:szCs w:val="13"/>
                <w:color w:val="auto"/>
              </w:rPr>
              <w:t>options exercised, net of shares redeemed</w:t>
            </w:r>
          </w:p>
        </w:tc>
        <w:tc>
          <w:tcPr>
            <w:tcW w:w="780" w:type="dxa"/>
            <w:vAlign w:val="bottom"/>
            <w:vMerge w:val="restart"/>
          </w:tcPr>
          <w:p>
            <w:pPr>
              <w:jc w:val="right"/>
              <w:ind w:right="13"/>
              <w:spacing w:after="0"/>
              <w:rPr>
                <w:sz w:val="20"/>
                <w:szCs w:val="20"/>
                <w:color w:val="auto"/>
              </w:rPr>
            </w:pPr>
            <w:r>
              <w:rPr>
                <w:rFonts w:ascii="Arial" w:cs="Arial" w:eastAsia="Arial" w:hAnsi="Arial"/>
                <w:sz w:val="13"/>
                <w:szCs w:val="13"/>
                <w:color w:val="auto"/>
              </w:rPr>
              <w:t>325</w:t>
            </w:r>
          </w:p>
        </w:tc>
        <w:tc>
          <w:tcPr>
            <w:tcW w:w="160" w:type="dxa"/>
            <w:vAlign w:val="bottom"/>
          </w:tcPr>
          <w:p>
            <w:pPr>
              <w:spacing w:after="0"/>
              <w:rPr>
                <w:sz w:val="16"/>
                <w:szCs w:val="16"/>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6"/>
                <w:szCs w:val="16"/>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600" w:type="dxa"/>
            <w:vAlign w:val="bottom"/>
          </w:tcPr>
          <w:p>
            <w:pPr>
              <w:ind w:left="120"/>
              <w:spacing w:after="0"/>
              <w:rPr>
                <w:sz w:val="20"/>
                <w:szCs w:val="20"/>
                <w:color w:val="auto"/>
              </w:rPr>
            </w:pPr>
            <w:r>
              <w:rPr>
                <w:rFonts w:ascii="Arial" w:cs="Arial" w:eastAsia="Arial" w:hAnsi="Arial"/>
                <w:sz w:val="13"/>
                <w:szCs w:val="13"/>
                <w:color w:val="auto"/>
              </w:rPr>
              <w:t>and related tax</w:t>
            </w: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common stock at $0.21 per</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(11,632)</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(11,632)</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Stock dividend equivalents restricted 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20"/>
              <w:spacing w:after="0"/>
              <w:rPr>
                <w:sz w:val="20"/>
                <w:szCs w:val="20"/>
                <w:color w:val="auto"/>
              </w:rPr>
            </w:pPr>
            <w:r>
              <w:rPr>
                <w:rFonts w:ascii="Arial" w:cs="Arial" w:eastAsia="Arial" w:hAnsi="Arial"/>
                <w:sz w:val="13"/>
                <w:szCs w:val="13"/>
                <w:color w:val="auto"/>
              </w:rPr>
              <w:t>units at $0.21 per share</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186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(186)</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1,205</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September 30, 2019</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55,197,277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1,247,560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17,391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(17,158)</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1,215,981</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For the Nine Months Ended September 30, 2019</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2018</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48,874,836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1,080,084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(72,167)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(6,190)</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994,964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74,382</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74,382</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24,203</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24,203</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Stock issued in acquisition of Banc Ed, net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20"/>
              <w:spacing w:after="0"/>
              <w:rPr>
                <w:sz w:val="20"/>
                <w:szCs w:val="20"/>
                <w:color w:val="auto"/>
              </w:rPr>
            </w:pPr>
            <w:r>
              <w:rPr>
                <w:rFonts w:ascii="Arial" w:cs="Arial" w:eastAsia="Arial" w:hAnsi="Arial"/>
                <w:sz w:val="13"/>
                <w:szCs w:val="13"/>
                <w:color w:val="auto"/>
              </w:rPr>
              <w:t>of stock issuance costs</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6,725,152</w:t>
            </w:r>
          </w:p>
        </w:tc>
        <w:tc>
          <w:tcPr>
            <w:tcW w:w="16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166,274</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166,281</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(527,396)</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(13,323)</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(13,323)</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Issuance of treasury stock for employee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20"/>
              <w:spacing w:after="0"/>
              <w:rPr>
                <w:sz w:val="20"/>
                <w:szCs w:val="20"/>
                <w:color w:val="auto"/>
              </w:rPr>
            </w:pPr>
            <w:r>
              <w:rPr>
                <w:rFonts w:ascii="Arial" w:cs="Arial" w:eastAsia="Arial" w:hAnsi="Arial"/>
                <w:sz w:val="13"/>
                <w:szCs w:val="13"/>
                <w:color w:val="auto"/>
              </w:rPr>
              <w:t>stock purchase plan</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20,528</w:t>
            </w:r>
          </w:p>
        </w:tc>
        <w:tc>
          <w:tcPr>
            <w:tcW w:w="16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100</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389</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issuance of treasury stock for</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restricted/deferred stock unit vesting and</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91,032</w:t>
            </w:r>
          </w:p>
        </w:tc>
        <w:tc>
          <w:tcPr>
            <w:tcW w:w="1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(2,541)</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345</w:t>
            </w:r>
          </w:p>
        </w:tc>
        <w:tc>
          <w:tcPr>
            <w:tcW w:w="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(2,196)</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related tax</w:t>
            </w: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Net issuance of treasury stock for 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ind w:left="120"/>
              <w:spacing w:after="0"/>
              <w:rPr>
                <w:sz w:val="20"/>
                <w:szCs w:val="20"/>
                <w:color w:val="auto"/>
              </w:rPr>
            </w:pPr>
            <w:r>
              <w:rPr>
                <w:rFonts w:ascii="Arial" w:cs="Arial" w:eastAsia="Arial" w:hAnsi="Arial"/>
                <w:sz w:val="13"/>
                <w:szCs w:val="13"/>
                <w:color w:val="auto"/>
              </w:rPr>
              <w:t>options exercised, net of shares redeemed</w:t>
            </w:r>
          </w:p>
        </w:tc>
        <w:tc>
          <w:tcPr>
            <w:tcW w:w="780" w:type="dxa"/>
            <w:vAlign w:val="bottom"/>
            <w:vMerge w:val="restart"/>
          </w:tcPr>
          <w:p>
            <w:pPr>
              <w:jc w:val="right"/>
              <w:ind w:right="13"/>
              <w:spacing w:after="0"/>
              <w:rPr>
                <w:sz w:val="20"/>
                <w:szCs w:val="20"/>
                <w:color w:val="auto"/>
              </w:rPr>
            </w:pPr>
            <w:r>
              <w:rPr>
                <w:rFonts w:ascii="Arial" w:cs="Arial" w:eastAsia="Arial" w:hAnsi="Arial"/>
                <w:sz w:val="13"/>
                <w:szCs w:val="13"/>
                <w:color w:val="auto"/>
              </w:rPr>
              <w:t>13,125</w:t>
            </w:r>
          </w:p>
        </w:tc>
        <w:tc>
          <w:tcPr>
            <w:tcW w:w="160" w:type="dxa"/>
            <w:vAlign w:val="bottom"/>
          </w:tcPr>
          <w:p>
            <w:pPr>
              <w:spacing w:after="0"/>
              <w:rPr>
                <w:sz w:val="16"/>
                <w:szCs w:val="16"/>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(97)</w:t>
            </w:r>
          </w:p>
        </w:tc>
        <w:tc>
          <w:tcPr>
            <w:tcW w:w="140" w:type="dxa"/>
            <w:vAlign w:val="bottom"/>
          </w:tcPr>
          <w:p>
            <w:pPr>
              <w:spacing w:after="0"/>
              <w:rPr>
                <w:sz w:val="16"/>
                <w:szCs w:val="16"/>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1,621</w:t>
            </w: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163"/>
        </w:trPr>
        <w:tc>
          <w:tcPr>
            <w:tcW w:w="2600" w:type="dxa"/>
            <w:vAlign w:val="bottom"/>
          </w:tcPr>
          <w:p>
            <w:pPr>
              <w:ind w:left="120"/>
              <w:spacing w:after="0"/>
              <w:rPr>
                <w:sz w:val="20"/>
                <w:szCs w:val="20"/>
                <w:color w:val="auto"/>
              </w:rPr>
            </w:pPr>
            <w:r>
              <w:rPr>
                <w:rFonts w:ascii="Arial" w:cs="Arial" w:eastAsia="Arial" w:hAnsi="Arial"/>
                <w:sz w:val="13"/>
                <w:szCs w:val="13"/>
                <w:color w:val="auto"/>
              </w:rPr>
              <w:t>and related tax</w:t>
            </w: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common stock at $0.63 per</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(33,579)</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(33,579)</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3"/>
                <w:szCs w:val="13"/>
                <w:color w:val="auto"/>
              </w:rPr>
              <w:t>Stock dividend equivalents restricted 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20"/>
              <w:spacing w:after="0"/>
              <w:rPr>
                <w:sz w:val="20"/>
                <w:szCs w:val="20"/>
                <w:color w:val="auto"/>
              </w:rPr>
            </w:pPr>
            <w:r>
              <w:rPr>
                <w:rFonts w:ascii="Arial" w:cs="Arial" w:eastAsia="Arial" w:hAnsi="Arial"/>
                <w:sz w:val="13"/>
                <w:szCs w:val="13"/>
                <w:color w:val="auto"/>
              </w:rPr>
              <w:t>units at $0.63 per share</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504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(504)</w:t>
            </w:r>
          </w:p>
        </w:tc>
        <w:tc>
          <w:tcPr>
            <w:tcW w:w="14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3,236</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3,236</w:t>
            </w:r>
          </w:p>
        </w:tc>
        <w:tc>
          <w:tcPr>
            <w:tcW w:w="0" w:type="dxa"/>
            <w:vAlign w:val="bottom"/>
          </w:tcPr>
          <w:p>
            <w:pPr>
              <w:spacing w:after="0"/>
              <w:rPr>
                <w:sz w:val="1"/>
                <w:szCs w:val="1"/>
                <w:color w:val="auto"/>
              </w:rPr>
            </w:pPr>
          </w:p>
        </w:tc>
      </w:tr>
      <w:tr>
        <w:trPr>
          <w:trHeight w:val="169"/>
        </w:trPr>
        <w:tc>
          <w:tcPr>
            <w:tcW w:w="2600" w:type="dxa"/>
            <w:vAlign w:val="bottom"/>
          </w:tcPr>
          <w:p>
            <w:pPr>
              <w:ind w:left="20"/>
              <w:spacing w:after="0"/>
              <w:rPr>
                <w:sz w:val="20"/>
                <w:szCs w:val="20"/>
                <w:color w:val="auto"/>
              </w:rPr>
            </w:pPr>
            <w:r>
              <w:rPr>
                <w:rFonts w:ascii="Arial" w:cs="Arial" w:eastAsia="Arial" w:hAnsi="Arial"/>
                <w:sz w:val="13"/>
                <w:szCs w:val="13"/>
                <w:color w:val="auto"/>
              </w:rPr>
              <w:t>Balance, September 30, 2019</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55,197,277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1,247,560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17,391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(17,158)</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1,215,981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3"/>
                <w:szCs w:val="13"/>
                <w:b w:val="1"/>
                <w:bCs w:val="1"/>
                <w:color w:val="auto"/>
                <w:w w:val="99"/>
              </w:rPr>
              <w:t>Nine Months Ended September 30,</w:t>
            </w:r>
          </w:p>
        </w:tc>
      </w:tr>
      <w:tr>
        <w:trPr>
          <w:trHeight w:val="169"/>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169"/>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3"/>
          </w:tcPr>
          <w:p>
            <w:pPr>
              <w:jc w:val="right"/>
              <w:ind w:right="653"/>
              <w:spacing w:after="0"/>
              <w:rPr>
                <w:sz w:val="20"/>
                <w:szCs w:val="20"/>
                <w:color w:val="auto"/>
              </w:rPr>
            </w:pPr>
            <w:r>
              <w:rPr>
                <w:rFonts w:ascii="Arial" w:cs="Arial" w:eastAsia="Arial" w:hAnsi="Arial"/>
                <w:sz w:val="13"/>
                <w:szCs w:val="13"/>
                <w:i w:val="1"/>
                <w:iCs w:val="1"/>
                <w:color w:val="auto"/>
              </w:rPr>
              <w:t>(dollars in thousands)</w:t>
            </w:r>
          </w:p>
        </w:tc>
      </w:tr>
      <w:tr>
        <w:trPr>
          <w:trHeight w:val="176"/>
        </w:trPr>
        <w:tc>
          <w:tcPr>
            <w:tcW w:w="6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5"/>
        </w:trPr>
        <w:tc>
          <w:tcPr>
            <w:tcW w:w="614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71,999</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74,382</w:t>
            </w:r>
          </w:p>
        </w:tc>
      </w:tr>
      <w:tr>
        <w:trPr>
          <w:trHeight w:val="176"/>
        </w:trPr>
        <w:tc>
          <w:tcPr>
            <w:tcW w:w="6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Provision for credit losses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35,656</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8,039</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7,569</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6,866</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Amortization of mortgage servicing rights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3,932</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2,061</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Depreciation and amortization of premises and equipment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9,384</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8,701</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Net amortization (accretion) of premium (discount) on portfolio loans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rPr>
              <w:t>(7,015)</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(8,300)</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amortization (accretion) of premium (discount) on investment securities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6,698</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4,514</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Net amortization (accretion) of premium (discount) on time deposits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rPr>
              <w:t>(662)</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(1,236)</w:t>
            </w:r>
          </w:p>
        </w:tc>
      </w:tr>
      <w:tr>
        <w:trPr>
          <w:trHeight w:val="175"/>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6"/>
              </w:rPr>
              <w:t>Net amortization (accretion) of premium (discount) on Federal Home Loan Bank ("FHLB") advances and</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61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other borrowings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387</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Impairment of other real estate owned ("OREO")</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43</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Impairment of fixed assets held for sale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36</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Impairment of mortgage servicing rights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604</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1,822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Impairment of leases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Change in fair value of equity securities, net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1,234</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735</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on equity securities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(Gain) loss on sales of debt securities, net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rPr>
              <w:t>(1,710)</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on sale of loans, net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(21,357)</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(11,022)</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(Gain) loss on sale of OREO</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47</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on sale of premises and equipment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198</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(Gain) loss on life insurance proceeds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rPr>
              <w:t>(1,256)</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(1,509)</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Provision for deferred income taxes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(2,730)</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Stock-based and non-cash compensation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4,413</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3,236</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Decrease in deferred compensation</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(6,781)</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Increase in cash surrender value of bank owned life insurance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rPr>
              <w:t>(3,105)</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(3,144)</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Mortgage loans originated for sale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(770,186)</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(469,249)</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sales of mortgage loans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771,039</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437,525</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change in operating assets and liabilities: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5"/>
        </w:trPr>
        <w:tc>
          <w:tcPr>
            <w:tcW w:w="6140" w:type="dxa"/>
            <w:vAlign w:val="bottom"/>
          </w:tcPr>
          <w:p>
            <w:pPr>
              <w:ind w:left="420"/>
              <w:spacing w:after="0"/>
              <w:rPr>
                <w:sz w:val="20"/>
                <w:szCs w:val="20"/>
                <w:color w:val="auto"/>
              </w:rPr>
            </w:pPr>
            <w:r>
              <w:rPr>
                <w:rFonts w:ascii="Arial" w:cs="Arial" w:eastAsia="Arial" w:hAnsi="Arial"/>
                <w:sz w:val="13"/>
                <w:szCs w:val="13"/>
                <w:color w:val="auto"/>
              </w:rPr>
              <w:t>Decrease (increase) in other assets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rPr>
              <w:t>(3,435)</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3,412</w:t>
            </w:r>
          </w:p>
        </w:tc>
      </w:tr>
      <w:tr>
        <w:trPr>
          <w:trHeight w:val="176"/>
        </w:trPr>
        <w:tc>
          <w:tcPr>
            <w:tcW w:w="6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(Decrease) increase in other liabilities</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(369)</w:t>
            </w: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w:t>
            </w:r>
          </w:p>
        </w:tc>
      </w:tr>
      <w:tr>
        <w:trPr>
          <w:trHeight w:val="169"/>
        </w:trPr>
        <w:tc>
          <w:tcPr>
            <w:tcW w:w="6140" w:type="dxa"/>
            <w:vAlign w:val="bottom"/>
          </w:tcPr>
          <w:p>
            <w:pPr>
              <w:ind w:left="640"/>
              <w:spacing w:after="0"/>
              <w:rPr>
                <w:sz w:val="20"/>
                <w:szCs w:val="20"/>
                <w:color w:val="auto"/>
              </w:rPr>
            </w:pPr>
            <w:r>
              <w:rPr>
                <w:rFonts w:ascii="Arial" w:cs="Arial" w:eastAsia="Arial" w:hAnsi="Arial"/>
                <w:sz w:val="13"/>
                <w:szCs w:val="13"/>
                <w:b w:val="1"/>
                <w:bCs w:val="1"/>
                <w:color w:val="auto"/>
              </w:rPr>
              <w:t>Net cash (used in) provided by operating activities</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101,414</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52,322</w:t>
            </w:r>
          </w:p>
        </w:tc>
      </w:tr>
      <w:tr>
        <w:trPr>
          <w:trHeight w:val="169"/>
        </w:trPr>
        <w:tc>
          <w:tcPr>
            <w:tcW w:w="6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75"/>
        </w:trPr>
        <w:tc>
          <w:tcPr>
            <w:tcW w:w="614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 of equity securities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(13,123)</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Purchases of debt securities available for sale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rPr>
              <w:t>(907,094)</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(296,806)</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 of FHLB stock</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sales of equity securities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33</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958</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sales of debt securities available for sale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227,371</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paydowns and maturities of debt securities held to maturity</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14,422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paydowns and maturities of debt securities available for sale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477,370</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366,624</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the redemption of FHLB stock</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3,720</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cash (received) paid in acquisitions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(61,481)</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Net change in loans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rPr>
              <w:t>(439,679)</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(227,069)</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Cash paid for premiums on bank-owned life insurance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(120)</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Purchases of premises and equipment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rPr>
              <w:t>(3,158)</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(10,746)</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life insurance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2,512</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3,915</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disposition of premises and equipment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806</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393</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Capitalized expenditures on OREO</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5"/>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Proceeds from sale of OREO</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492</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2,071</w:t>
            </w:r>
          </w:p>
        </w:tc>
      </w:tr>
      <w:tr>
        <w:trPr>
          <w:trHeight w:val="169"/>
        </w:trPr>
        <w:tc>
          <w:tcPr>
            <w:tcW w:w="614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(881,961)</w:t>
            </w:r>
          </w:p>
        </w:tc>
        <w:tc>
          <w:tcPr>
            <w:tcW w:w="3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19,667</w:t>
            </w: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60" w:right="79"/>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(Unaudited)</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169"/>
        </w:trPr>
        <w:tc>
          <w:tcPr>
            <w:tcW w:w="5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169"/>
        </w:trPr>
        <w:tc>
          <w:tcPr>
            <w:tcW w:w="5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3"/>
          </w:tcPr>
          <w:p>
            <w:pPr>
              <w:jc w:val="right"/>
              <w:ind w:right="633"/>
              <w:spacing w:after="0"/>
              <w:rPr>
                <w:sz w:val="20"/>
                <w:szCs w:val="20"/>
                <w:color w:val="auto"/>
              </w:rPr>
            </w:pPr>
            <w:r>
              <w:rPr>
                <w:rFonts w:ascii="Arial" w:cs="Arial" w:eastAsia="Arial" w:hAnsi="Arial"/>
                <w:sz w:val="13"/>
                <w:szCs w:val="13"/>
                <w:i w:val="1"/>
                <w:iCs w:val="1"/>
                <w:color w:val="auto"/>
              </w:rPr>
              <w:t>(dollars in thousands)</w:t>
            </w:r>
          </w:p>
        </w:tc>
      </w:tr>
      <w:tr>
        <w:trPr>
          <w:trHeight w:val="176"/>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Net change in deposits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73"/>
              <w:spacing w:after="0"/>
              <w:rPr>
                <w:sz w:val="20"/>
                <w:szCs w:val="20"/>
                <w:color w:val="auto"/>
              </w:rPr>
            </w:pPr>
            <w:r>
              <w:rPr>
                <w:rFonts w:ascii="Arial" w:cs="Arial" w:eastAsia="Arial" w:hAnsi="Arial"/>
                <w:sz w:val="13"/>
                <w:szCs w:val="13"/>
                <w:b w:val="1"/>
                <w:bCs w:val="1"/>
                <w:color w:val="auto"/>
              </w:rPr>
              <w:t>740,967</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243,177</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change in federal funds purchased and securities sold under agreements to repurchase</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(3,850)</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(33,895)</w:t>
            </w: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Proceeds from other borrowings</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b w:val="1"/>
                <w:bCs w:val="1"/>
                <w:color w:val="auto"/>
              </w:rPr>
              <w:t>142,634</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60,000</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Repayment of other borrowings</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(74,000)</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Proceeds from FHLB advances</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b w:val="1"/>
                <w:bCs w:val="1"/>
                <w:color w:val="auto"/>
              </w:rPr>
              <w:t>4,000</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5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FHLB advances</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(32,551)</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(3,479)</w:t>
            </w: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Cash dividends paid</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(36,017)</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(33,579)</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of treasury stock</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(9,669)</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(13,323)</w:t>
            </w: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Cash paid for withholding taxes on share-based payments</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(635)</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(841)</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stock options exercised</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101</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r>
      <w:tr>
        <w:trPr>
          <w:trHeight w:val="175"/>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Common stock issuance costs</w:t>
            </w: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r>
      <w:tr>
        <w:trPr>
          <w:trHeight w:val="169"/>
        </w:trPr>
        <w:tc>
          <w:tcPr>
            <w:tcW w:w="570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Net cash (used in) provided by financing activities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730,980</w:t>
            </w:r>
          </w:p>
        </w:tc>
        <w:tc>
          <w:tcPr>
            <w:tcW w:w="3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213,495</w:t>
            </w:r>
          </w:p>
        </w:tc>
      </w:tr>
      <w:tr>
        <w:trPr>
          <w:trHeight w:val="169"/>
        </w:trPr>
        <w:tc>
          <w:tcPr>
            <w:tcW w:w="5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175"/>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(decrease) increase in cash and cash equivalents</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(49,567)</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285,484</w:t>
            </w:r>
          </w:p>
        </w:tc>
      </w:tr>
      <w:tr>
        <w:trPr>
          <w:trHeight w:val="175"/>
        </w:trPr>
        <w:tc>
          <w:tcPr>
            <w:tcW w:w="57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529,288</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239,973</w:t>
            </w:r>
          </w:p>
        </w:tc>
      </w:tr>
      <w:tr>
        <w:trPr>
          <w:trHeight w:val="169"/>
        </w:trPr>
        <w:tc>
          <w:tcPr>
            <w:tcW w:w="5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3"/>
                <w:szCs w:val="13"/>
                <w:b w:val="1"/>
                <w:bCs w:val="1"/>
                <w:color w:val="auto"/>
              </w:rPr>
              <w:t>Cash and cash equivalents, ending of period</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73"/>
              <w:spacing w:after="0"/>
              <w:rPr>
                <w:sz w:val="20"/>
                <w:szCs w:val="20"/>
                <w:color w:val="auto"/>
              </w:rPr>
            </w:pPr>
            <w:r>
              <w:rPr>
                <w:rFonts w:ascii="Arial" w:cs="Arial" w:eastAsia="Arial" w:hAnsi="Arial"/>
                <w:sz w:val="13"/>
                <w:szCs w:val="13"/>
                <w:b w:val="1"/>
                <w:bCs w:val="1"/>
                <w:color w:val="auto"/>
              </w:rPr>
              <w:t>479,721</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525,457</w:t>
            </w:r>
          </w:p>
        </w:tc>
      </w:tr>
      <w:tr>
        <w:trPr>
          <w:trHeight w:val="156"/>
        </w:trPr>
        <w:tc>
          <w:tcPr>
            <w:tcW w:w="57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175"/>
        </w:trPr>
        <w:tc>
          <w:tcPr>
            <w:tcW w:w="5700" w:type="dxa"/>
            <w:vAlign w:val="bottom"/>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57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5700" w:type="dxa"/>
            <w:vAlign w:val="bottom"/>
          </w:tcPr>
          <w:p>
            <w:pPr>
              <w:spacing w:after="0"/>
              <w:rPr>
                <w:sz w:val="20"/>
                <w:szCs w:val="20"/>
                <w:color w:val="auto"/>
              </w:rPr>
            </w:pPr>
            <w:r>
              <w:rPr>
                <w:rFonts w:ascii="Arial" w:cs="Arial" w:eastAsia="Arial" w:hAnsi="Arial"/>
                <w:sz w:val="13"/>
                <w:szCs w:val="13"/>
                <w:b w:val="1"/>
                <w:bCs w:val="1"/>
                <w:color w:val="auto"/>
              </w:rPr>
              <w:t>Cash Payments for:</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41,987</w:t>
            </w:r>
          </w:p>
        </w:tc>
        <w:tc>
          <w:tcPr>
            <w:tcW w:w="3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51,230</w:t>
            </w: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Income taxes</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b w:val="1"/>
                <w:bCs w:val="1"/>
                <w:color w:val="auto"/>
              </w:rPr>
              <w:t>19,395</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15,205</w:t>
            </w:r>
          </w:p>
        </w:tc>
      </w:tr>
      <w:tr>
        <w:trPr>
          <w:trHeight w:val="176"/>
        </w:trPr>
        <w:tc>
          <w:tcPr>
            <w:tcW w:w="57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570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OREO acquired in settlement of loans</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2,482</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2,349</w:t>
            </w: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Transfer of debt securities held to maturity to available for sale</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573,639</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Basis of Financial Statement Presentation</w:t>
      </w:r>
    </w:p>
    <w:p>
      <w:pPr>
        <w:spacing w:after="0" w:line="225" w:lineRule="exact"/>
        <w:rPr>
          <w:sz w:val="20"/>
          <w:szCs w:val="20"/>
          <w:color w:val="auto"/>
        </w:rPr>
      </w:pPr>
    </w:p>
    <w:p>
      <w:pPr>
        <w:ind w:left="60" w:right="179"/>
        <w:spacing w:after="0" w:line="279" w:lineRule="auto"/>
        <w:rPr>
          <w:sz w:val="20"/>
          <w:szCs w:val="20"/>
          <w:color w:val="auto"/>
        </w:rPr>
      </w:pPr>
      <w:r>
        <w:rPr>
          <w:rFonts w:ascii="Arial" w:cs="Arial" w:eastAsia="Arial" w:hAnsi="Arial"/>
          <w:sz w:val="16"/>
          <w:szCs w:val="16"/>
          <w:color w:val="auto"/>
        </w:rPr>
        <w:t>When preparing these unaudited consolidated financial statements of First Busey Corporation, a Nevada corporation, and its subsidiaries (collectively, “First Busey,” “Company,” “we,” or “our”), we have assumed that you have read the audited consolidated financial statements included in our Annual Report on Form 10-K for the year ended December 31, 2019 (“2019 Form 10-K”). These interim unaudited consolidated financial statements serve to update our 2019 Form 10-K and may not include all information and notes necessary to constitute a complete set of financial statements.</w:t>
      </w:r>
    </w:p>
    <w:p>
      <w:pPr>
        <w:spacing w:after="0" w:line="173"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We prepared these unaudited consolidated financial statements in accordance with accounting principles generally accepted in the United States of America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86" w:lineRule="exact"/>
        <w:rPr>
          <w:sz w:val="20"/>
          <w:szCs w:val="20"/>
          <w:color w:val="auto"/>
        </w:rPr>
      </w:pPr>
    </w:p>
    <w:p>
      <w:pPr>
        <w:jc w:val="both"/>
        <w:ind w:left="60" w:right="199"/>
        <w:spacing w:after="0" w:line="248"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Impacts of COVID-19</w:t>
      </w:r>
    </w:p>
    <w:p>
      <w:pPr>
        <w:spacing w:after="0" w:line="225" w:lineRule="exact"/>
        <w:rPr>
          <w:sz w:val="20"/>
          <w:szCs w:val="20"/>
          <w:color w:val="auto"/>
        </w:rPr>
      </w:pPr>
    </w:p>
    <w:p>
      <w:pPr>
        <w:ind w:left="60" w:right="119"/>
        <w:spacing w:after="0" w:line="270" w:lineRule="auto"/>
        <w:rPr>
          <w:sz w:val="20"/>
          <w:szCs w:val="20"/>
          <w:color w:val="auto"/>
        </w:rPr>
      </w:pPr>
      <w:r>
        <w:rPr>
          <w:rFonts w:ascii="Arial" w:cs="Arial" w:eastAsia="Arial" w:hAnsi="Arial"/>
          <w:sz w:val="16"/>
          <w:szCs w:val="16"/>
          <w:color w:val="auto"/>
        </w:rPr>
        <w:t>First Busey continues to operate as an essential community resource during these challenging and unprecedented times. The coronavirus disease 2019 (“COVID-19”) is not only impacting health and safety around the world, it is causing significant economic disruption for both individuals and businesses, making the Company’s supportive role even more important to its customers. The Company entered this crisis from a position of strength and remains resolute in its focus on protecting its balance sheet. To further enhance the Company’s strong liquidity position, during the second quarter, the Company completed a successful public offering of $125.0 million of its 5.25% fixed-to-floating rate subordinated notes due in 2030. The progression of the COVID-19 pandemic in the United States began to negatively impact the Company’s results of operations starting in the first quarter of 2020. In future quarters, COVID-19 is expected to have a complex and continued adverse impact on the economy, the banking industry and First Busey, all subject to a high degree of uncertainty as it relates to both timing and severity. Primary areas of potential future impact for First Busey may include continued margin compression, increased provision expense, a deterioration in asset quality and lower fees for customer services.</w:t>
      </w:r>
    </w:p>
    <w:p>
      <w:pPr>
        <w:spacing w:after="0" w:line="180" w:lineRule="exact"/>
        <w:rPr>
          <w:sz w:val="20"/>
          <w:szCs w:val="20"/>
          <w:color w:val="auto"/>
        </w:rPr>
      </w:pPr>
    </w:p>
    <w:p>
      <w:pPr>
        <w:ind w:left="60" w:right="79"/>
        <w:spacing w:after="0" w:line="266" w:lineRule="auto"/>
        <w:rPr>
          <w:sz w:val="20"/>
          <w:szCs w:val="20"/>
          <w:color w:val="auto"/>
        </w:rPr>
      </w:pPr>
      <w:r>
        <w:rPr>
          <w:rFonts w:ascii="Arial" w:cs="Arial" w:eastAsia="Arial" w:hAnsi="Arial"/>
          <w:sz w:val="16"/>
          <w:szCs w:val="16"/>
          <w:color w:val="auto"/>
        </w:rPr>
        <w:t>The Company elected to participate in the Paycheck Protection Program (“PPP”) and at September 30, 2020 had $749.4 million in PPP loans outstanding, with an amortized cost of $736.4 million, representing 4,569 new and existing customers. The Company received fees totaling approximately $25.4 million and incurred incremental direct origination costs of $5.1 million, both of which have been deferred and are being amortized over the contractual life of these loans, subject to prepayment. The Company recognized $4.2 million and $3.0 million of this net amount in interest income in the third and second quarters of 2020, respectively. PPP loans contain a forgiveness feature for funds spent on covered expenses, including both principal and accrued interest. Any remaining balance after loan forgiveness maintains a 100% government guarantee for the remaining term of the loan. The Company has implemented an online portal designed to streamline the</w:t>
      </w:r>
    </w:p>
    <w:p>
      <w:pPr>
        <w:spacing w:after="0" w:line="5" w:lineRule="exact"/>
        <w:rPr>
          <w:sz w:val="20"/>
          <w:szCs w:val="20"/>
          <w:color w:val="auto"/>
        </w:rPr>
      </w:pPr>
    </w:p>
    <w:p>
      <w:pPr>
        <w:ind w:left="60" w:right="119" w:hanging="10"/>
        <w:spacing w:after="0" w:line="260" w:lineRule="auto"/>
        <w:tabs>
          <w:tab w:leader="none" w:pos="405" w:val="left"/>
        </w:tabs>
        <w:numPr>
          <w:ilvl w:val="0"/>
          <w:numId w:val="4"/>
        </w:numPr>
        <w:rPr>
          <w:rFonts w:ascii="Arial" w:cs="Arial" w:eastAsia="Arial" w:hAnsi="Arial"/>
          <w:sz w:val="17"/>
          <w:szCs w:val="17"/>
          <w:color w:val="auto"/>
        </w:rPr>
      </w:pPr>
      <w:r>
        <w:rPr>
          <w:rFonts w:ascii="Arial" w:cs="Arial" w:eastAsia="Arial" w:hAnsi="Arial"/>
          <w:sz w:val="17"/>
          <w:szCs w:val="17"/>
          <w:color w:val="auto"/>
        </w:rPr>
        <w:t>loan forgiveness process, providing an intuitive and easy-to-use tool borrowers can use to apply for forgiveness. As of September 30, 2020, no loans were yet approved for forgiveness by the SBA. As these loans are forgiven, the recognition of these fees and direct origination costs will be accelerated.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ind w:left="60" w:right="139"/>
        <w:spacing w:after="0" w:line="294"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on Form 10-Q were issued. Subsequent to quarter end, the Company closed 12 banking centers. The Company anticipates additional one-time restructuring expenses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spacing w:after="0" w:line="279" w:lineRule="auto"/>
        <w:rPr>
          <w:sz w:val="20"/>
          <w:szCs w:val="20"/>
          <w:color w:val="auto"/>
        </w:rPr>
      </w:pPr>
      <w:r>
        <w:rPr>
          <w:rFonts w:ascii="Arial" w:cs="Arial" w:eastAsia="Arial" w:hAnsi="Arial"/>
          <w:sz w:val="16"/>
          <w:szCs w:val="16"/>
          <w:color w:val="auto"/>
        </w:rPr>
        <w:t>related to its banking center consolidation plan in the fourth quarter of 2020 as we finalize the fair value estimates related to the disposition of these banking centers. We currently estimate those remaining non-operating pre-tax expenses related to the banking center consolidation plan to be in the range of $7.0 million to $7.5 million. There were no other significant subsequent events for the quarter ended September 30, 2020 through the issuance date of these unaudited consolidated financial statements that warranted adjustment to or disclosure in the unaudited consolidated financial statements.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investment securities, fair value of assets acquired and liabilities assumed in business combinations, goodwill, income taxes and the determination of the allowance for credit losses.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Impact of recently adopted accounting standards</w:t>
      </w:r>
    </w:p>
    <w:p>
      <w:pPr>
        <w:spacing w:after="0" w:line="198"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 xml:space="preserve">On January 1, 2020, First Busey adopted </w:t>
      </w:r>
      <w:r>
        <w:rPr>
          <w:rFonts w:ascii="Arial" w:cs="Arial" w:eastAsia="Arial" w:hAnsi="Arial"/>
          <w:sz w:val="17"/>
          <w:szCs w:val="17"/>
          <w:i w:val="1"/>
          <w:iCs w:val="1"/>
          <w:color w:val="auto"/>
        </w:rPr>
        <w:t>Accounting Standards Update (“ASU”) 2016-13 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(“Topic 326”): Measurement of Credit Losses on Financial Instruments</w:t>
      </w:r>
      <w:r>
        <w:rPr>
          <w:rFonts w:ascii="Arial" w:cs="Arial" w:eastAsia="Arial" w:hAnsi="Arial"/>
          <w:sz w:val="17"/>
          <w:szCs w:val="17"/>
          <w:color w:val="auto"/>
        </w:rPr>
        <w:t>, as amended, which replaces the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loss methodology with an expected loss methodology that is referred to as the current expected credit loss (“CECL”) methodology. The measurement of expected credit losses under the CECL methodology is applicable to financial assets measured at amortized cost, including loan receivables and held-to-maturity debt securities. It also applies to off-balance-sheet credit exposures not accounted for as insurance (loan commitments, standby letters of credit, financial guarantees, and other similar instruments) and net investments in leases recognized by a lessor in accordance with Topic 842 on leases. In addition, Accounting Standards Codification (“ASC”) 326 made changes to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not be required to sell before recovery of its amortized cost basis.</w:t>
      </w:r>
    </w:p>
    <w:p>
      <w:pPr>
        <w:spacing w:after="0" w:line="199"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First Busey adopted ASC 326 using the modified retrospective method for all financial assets measured at amortized cost and off-balance-sheet credit exposures. Results for reporting periods beginning after January 1, 2020 are presented under ASC 326 while prior period amounts continue to be reported in accordance with previously applicable GAAP which includes a change in terminology from ‘Allowance/Provision for Loan Losses” to “Allowance/Provision for Credit Losses.” First Busey recorded an after tax decrease to retained earnings of $15.9 million as of January 1, 2020 for the cumulative effect of adopting ASC 326. This transition adjustment included $12.0 million in allowance for credit losses on loans and $3.9 million in reserve for off-balance-sheet credit exposures.</w:t>
      </w:r>
    </w:p>
    <w:p>
      <w:pPr>
        <w:spacing w:after="0" w:line="19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First Busey adopted ASC 326 using the prospective transition approach for financial assets purchased with credit deterioration (“PCD”) that were previously classified as purchased credit impaired (“PCI”) and accounted for under ASC 310-30. In accordance with the standard, management did not reassess whether PCI assets met the criteria of PCD assets as of the date of adoption. In accordance with ASC 326, the amortized cost basis of PCD assets were adjusted to reflect an allowance for credit losses for any remaining credit discount. Subsequent changes in expected cash flows will be adjusted through the allowance for credit losses. The noncredit discount will be accreted into interest income at the effective interest rate as of January 1, 2020.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illustrates the impact of ASC 326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5"/>
              </w:rPr>
              <w:t>January 1, 2020</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0"/>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center"/>
              <w:ind w:right="134"/>
              <w:spacing w:after="0" w:line="160" w:lineRule="exact"/>
              <w:rPr>
                <w:sz w:val="20"/>
                <w:szCs w:val="20"/>
                <w:color w:val="auto"/>
              </w:rPr>
            </w:pPr>
            <w:r>
              <w:rPr>
                <w:rFonts w:ascii="Arial" w:cs="Arial" w:eastAsia="Arial" w:hAnsi="Arial"/>
                <w:sz w:val="14"/>
                <w:szCs w:val="14"/>
                <w:b w:val="1"/>
                <w:bCs w:val="1"/>
                <w:color w:val="auto"/>
                <w:w w:val="96"/>
              </w:rPr>
              <w:t>Pre-tax</w:t>
            </w:r>
          </w:p>
        </w:tc>
      </w:tr>
      <w:tr>
        <w:trPr>
          <w:trHeight w:val="175"/>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Post ASC 326</w:t>
            </w:r>
          </w:p>
        </w:tc>
        <w:tc>
          <w:tcPr>
            <w:tcW w:w="220" w:type="dxa"/>
            <w:vAlign w:val="bottom"/>
          </w:tcPr>
          <w:p>
            <w:pPr>
              <w:spacing w:after="0"/>
              <w:rPr>
                <w:sz w:val="15"/>
                <w:szCs w:val="15"/>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Pre-ASC 326</w:t>
            </w:r>
          </w:p>
        </w:tc>
        <w:tc>
          <w:tcPr>
            <w:tcW w:w="142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4"/>
              </w:rPr>
              <w:t>impact of ASC 326</w:t>
            </w:r>
          </w:p>
        </w:tc>
      </w:tr>
      <w:tr>
        <w:trPr>
          <w:trHeight w:val="185"/>
        </w:trPr>
        <w:tc>
          <w:tcPr>
            <w:tcW w:w="4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Adoption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Adoption</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Adoption</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Allowance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19,006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18,291</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9"/>
        </w:trPr>
        <w:tc>
          <w:tcPr>
            <w:tcW w:w="4880" w:type="dxa"/>
            <w:vAlign w:val="bottom"/>
          </w:tcPr>
          <w:p>
            <w:pPr>
              <w:ind w:left="2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30,496</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21,190</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9,306</w:t>
            </w:r>
          </w:p>
        </w:tc>
      </w:tr>
      <w:tr>
        <w:trPr>
          <w:trHeight w:val="230"/>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6,158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3,204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r>
      <w:tr>
        <w:trPr>
          <w:trHeight w:val="229"/>
        </w:trPr>
        <w:tc>
          <w:tcPr>
            <w:tcW w:w="4880" w:type="dxa"/>
            <w:vAlign w:val="bottom"/>
          </w:tcPr>
          <w:p>
            <w:pPr>
              <w:ind w:left="280"/>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13,787</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10,495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3,292</w:t>
            </w:r>
          </w:p>
        </w:tc>
      </w:tr>
      <w:tr>
        <w:trPr>
          <w:trHeight w:val="230"/>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568</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63"/>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70,581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53,748</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w:t>
            </w:r>
          </w:p>
        </w:tc>
      </w:tr>
      <w:tr>
        <w:trPr>
          <w:trHeight w:val="210"/>
        </w:trPr>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off-balance-sheet credit exposures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5,492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Allowance-debt securities available for sale</w:t>
      </w:r>
    </w:p>
    <w:p>
      <w:pPr>
        <w:spacing w:after="0" w:line="225"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allowance,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13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209"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allowance for credit losses through provision for credit losses. Impairment related to noncredit factors is recognized in accumulated other comprehensive income, net of applicable taxes.</w:t>
      </w:r>
    </w:p>
    <w:p>
      <w:pPr>
        <w:spacing w:after="0" w:line="201"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Accrued interest receivable for debt securities available for sale totaled $6.9 million at September 30, 2020 and is excluded from the estimate of credit losses. Accrued interest receivable is reported in Other Assets on the unaudited Consolidated Balance Sheets.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 portfolio loans</w:t>
      </w:r>
    </w:p>
    <w:p>
      <w:pPr>
        <w:spacing w:after="0" w:line="225"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The allowance for credit losses is a significant estimate in the Company’s unaudited Consolidated Balance Sheet, affecting both earnings and capital. The allowance for credit losses is a valuation account that is deducted from the portfolio loans’ amortized cost bases to present the net amount expected to be collected on the portfolio loans. Portfolio loans are charged off against the allowance when management believes the uncollectibility of a loan balance is confirmed. Recoveries will be recognized up to the aggregate amount of previously charged-off balances. The allowance for credit losses is established through provision for credit loss expense charged to income.</w:t>
      </w:r>
    </w:p>
    <w:p>
      <w:pPr>
        <w:spacing w:after="0" w:line="189"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A loan’s amortized cost basis is comprised of the unpaid principal balance of the loan, accrued interest receivable, purchase premiums or discounts, and net deferred origination fees or costs. The Company has estimated its allowance on the amortized cost basis, exclusive of government guaranteed loans and accrued interest receivable. The Company writes-off uncollectible accrued interest receivable in a timely manner and has elected to not measure an allowance for accrued interest receivable. The Company presents the aggregate amount of accrued interest receivable for all financial instruments in other assets on the unaudited Consolidated Balance Sheets and the balance of accrued interest receivable is disclosed in “Note 14: Fair Value Measurements.”</w:t>
      </w:r>
    </w:p>
    <w:p>
      <w:pPr>
        <w:spacing w:after="0" w:line="193"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Our methodology influences, and is influenced by, the Company’s overall credit risk management processes. The allowance for credit losses is managed in accordance with GAAP to provide an adequate reserve for expected credit losses that is reflective of management’s best estimate of what is expected to be collected. The allowance for credit losses is measured on a collective pool basis when similar risk characteristics exist. Loans that do not share risk characteristics are evaluated on an individual basis.</w:t>
      </w:r>
    </w:p>
    <w:p>
      <w:pPr>
        <w:spacing w:after="0" w:line="203" w:lineRule="exact"/>
        <w:rPr>
          <w:sz w:val="20"/>
          <w:szCs w:val="20"/>
          <w:color w:val="auto"/>
        </w:rPr>
      </w:pPr>
    </w:p>
    <w:p>
      <w:pPr>
        <w:ind w:left="60" w:right="159"/>
        <w:spacing w:after="0" w:line="269" w:lineRule="auto"/>
        <w:rPr>
          <w:sz w:val="20"/>
          <w:szCs w:val="20"/>
          <w:color w:val="auto"/>
        </w:rPr>
      </w:pPr>
      <w:r>
        <w:rPr>
          <w:rFonts w:ascii="Arial" w:cs="Arial" w:eastAsia="Arial" w:hAnsi="Arial"/>
          <w:sz w:val="16"/>
          <w:szCs w:val="16"/>
          <w:color w:val="auto"/>
        </w:rPr>
        <w:t>The measurement of expected credit losses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the Company may not be able to make or obtain such forecasts for the entire life of the financial assets and requires a reversion to historical credit loss information. At implementation, the Company selected an eight-quarter forecast period with an immediate reversion to historical loss rates as management felt this period could be reasonably forecasted and was consistent with forecast periods used in other areas of finance. During the first quarter of 2020, the Company reduced its reasonable and supportable forecast period from eight quarters to four quarters. Due to rapidly changing forecasts around the impact of COVID-19, the Company does not believe it has the current ability to incorporate reasonable and supportable forecasts into its CECL models extending beyond four quarters.</w:t>
      </w:r>
    </w:p>
    <w:p>
      <w:pPr>
        <w:spacing w:after="0" w:line="185" w:lineRule="exact"/>
        <w:rPr>
          <w:sz w:val="20"/>
          <w:szCs w:val="20"/>
          <w:color w:val="auto"/>
        </w:rPr>
      </w:pPr>
    </w:p>
    <w:p>
      <w:pPr>
        <w:jc w:val="both"/>
        <w:ind w:left="60" w:right="659"/>
        <w:spacing w:after="0" w:line="324" w:lineRule="auto"/>
        <w:rPr>
          <w:sz w:val="20"/>
          <w:szCs w:val="20"/>
          <w:color w:val="auto"/>
        </w:rPr>
      </w:pPr>
      <w:r>
        <w:rPr>
          <w:rFonts w:ascii="Arial" w:cs="Arial" w:eastAsia="Arial" w:hAnsi="Arial"/>
          <w:sz w:val="16"/>
          <w:szCs w:val="16"/>
          <w:color w:val="auto"/>
        </w:rPr>
        <w:t>Ongoing impacts of the CECL methodology will be dependent upon changes in economic conditions and forecasts, originated and acquired loan portfolio composition, credit performance trends, portfolio duration, and other factors.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Reserve for Off-balance-sheet credit exposures</w:t>
      </w:r>
    </w:p>
    <w:p>
      <w:pPr>
        <w:spacing w:after="0" w:line="225"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In estimating expected credit losses for off-balance-sheet credit exposures, the Company is required to estimate expected credit losses over the contractual period in which it is exposed to credit risk via a present contractual obligation to extend credit, unless that obligation is unconditionally cancellable by the issuer. To be considered unconditionally cancelable for accounting purposes, the Company must have the ability to, at any time, with or without cause, refuse to extend credit under the commitment. Off-balance-sheet credit exposure segments share the same risk characteristics as portfolio loans. The Company incorporates a probability of funding and utilizes the allowance for credit losses loss rates to calculate the reserve. The reserve for off-balance-sheet credit exposure is carried on the balance sheet in other liabilities rather than as a component of the allowance. The reserve for off-balance-sheet credit exposure is adjusted as a provision for off-balance-sheet credit exposure reported as a component of non-interest expense in the accompanying unaudited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The Banc Ed Corp.</w:t>
      </w:r>
    </w:p>
    <w:p>
      <w:pPr>
        <w:spacing w:after="0" w:line="225" w:lineRule="exact"/>
        <w:rPr>
          <w:sz w:val="20"/>
          <w:szCs w:val="20"/>
          <w:color w:val="auto"/>
        </w:rPr>
      </w:pPr>
    </w:p>
    <w:p>
      <w:pPr>
        <w:ind w:left="60" w:right="399"/>
        <w:spacing w:after="0" w:line="243" w:lineRule="auto"/>
        <w:rPr>
          <w:sz w:val="20"/>
          <w:szCs w:val="20"/>
          <w:color w:val="auto"/>
        </w:rPr>
      </w:pPr>
      <w:r>
        <w:rPr>
          <w:rFonts w:ascii="Arial" w:cs="Arial" w:eastAsia="Arial" w:hAnsi="Arial"/>
          <w:sz w:val="18"/>
          <w:szCs w:val="18"/>
          <w:color w:val="auto"/>
        </w:rPr>
        <w:t>On January 31, 2019, the Company completed its acquisition of The Banc Ed Corp. (“Banc Ed”). TheBANK of Edwardsville (“TheBANK”), Banc Ed’s wholly-owned bank subsidiary, was operated as a separate subsidiary from the completion of the acquisition until October 4, 2019 when it was merged with and into Busey Bank. At that time, TheBANK’s banking centers became banking centers of Busey Bank.</w:t>
      </w:r>
    </w:p>
    <w:p>
      <w:pPr>
        <w:spacing w:after="0" w:line="201"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Under the terms of the merger agreement with Banc Ed, at the effective time of the acquisition, each share of Banc Ed common stock issued and outstanding was converted into the right to receive 8.2067 shares of the Company’s common stock, cash in lieu of fractional shares and $111.53 in cash consideration per share. The market value of the 6.7 million shares of First Busey common stock issued at the effective time of the acquisition was approximately $166.5 million based on First Busey’s closing stock price of $24.76 on January 31, 2019.</w:t>
      </w:r>
    </w:p>
    <w:p>
      <w:pPr>
        <w:spacing w:after="0" w:line="187" w:lineRule="exact"/>
        <w:rPr>
          <w:sz w:val="20"/>
          <w:szCs w:val="20"/>
          <w:color w:val="auto"/>
        </w:rPr>
      </w:pPr>
    </w:p>
    <w:p>
      <w:pPr>
        <w:ind w:left="60" w:right="139"/>
        <w:spacing w:after="0" w:line="279"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was recorded at estimated fair values on the date of acquisition. As the total consideration paid for Banc Ed exceeded the net assets acquired, goodwill of $41.4 million was recorded as a result of the acquisition. Goodwill recorded in the transaction, which reflected the synergies expected from the acquisition and expansion within the St. Louis MSA, is not tax deductible and was assigned to the Banking operating segment.</w:t>
      </w:r>
    </w:p>
    <w:p>
      <w:pPr>
        <w:spacing w:after="0" w:line="173" w:lineRule="exact"/>
        <w:rPr>
          <w:sz w:val="20"/>
          <w:szCs w:val="20"/>
          <w:color w:val="auto"/>
        </w:rPr>
      </w:pPr>
    </w:p>
    <w:p>
      <w:pPr>
        <w:jc w:val="both"/>
        <w:ind w:left="60" w:right="259"/>
        <w:spacing w:after="0" w:line="276" w:lineRule="auto"/>
        <w:rPr>
          <w:sz w:val="20"/>
          <w:szCs w:val="20"/>
          <w:color w:val="auto"/>
        </w:rPr>
      </w:pPr>
      <w:r>
        <w:rPr>
          <w:rFonts w:ascii="Arial" w:cs="Arial" w:eastAsia="Arial" w:hAnsi="Arial"/>
          <w:sz w:val="16"/>
          <w:szCs w:val="16"/>
          <w:color w:val="auto"/>
        </w:rPr>
        <w:t>First Busey incurred $0.2 million in pre-tax expenses related to the acquisition of Banc Ed for the three and nine months ended September 30, 2020 related to a lease termination, which is reported as a component of non-interest expense in the accompanying unaudited Consolidated Statement of Income. First Busey incurred $6.5 million and $11.5 million in pre-tax expenses related to the acquisition of Banc Ed for the three and nine months ended September 30, 2019, respectively, primarily for salaries, wages and employee benefits, professional and legal fees and deconversion expenses, all of which are reported as a component of non-interest expense in the accompanying unaudited Consolidated Statement of Income.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39"/>
        <w:spacing w:after="0" w:line="261" w:lineRule="auto"/>
        <w:rPr>
          <w:sz w:val="20"/>
          <w:szCs w:val="20"/>
          <w:color w:val="auto"/>
        </w:rPr>
      </w:pPr>
      <w:r>
        <w:rPr>
          <w:rFonts w:ascii="Arial" w:cs="Arial" w:eastAsia="Arial" w:hAnsi="Arial"/>
          <w:sz w:val="18"/>
          <w:szCs w:val="18"/>
          <w:color w:val="auto"/>
        </w:rPr>
        <w:t xml:space="preserve">The following table presents the estimated fair value of Banc Ed’s assets acquired and liabilities assumed as of January 31, 2019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Loans held for sale</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Portfolio loans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Premises and equipment</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32,156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intangible assets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Mortgage servicing rights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23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2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1,739,273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Liabilities assumed:</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Deposits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Other borrowings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63,439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23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2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216,478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Consideration paid:</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27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Common stock</w:t>
            </w:r>
          </w:p>
        </w:tc>
        <w:tc>
          <w:tcPr>
            <w:tcW w:w="2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2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257,915</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79"/>
        <w:spacing w:after="0" w:line="267" w:lineRule="auto"/>
        <w:rPr>
          <w:sz w:val="20"/>
          <w:szCs w:val="20"/>
          <w:color w:val="auto"/>
        </w:rPr>
      </w:pPr>
      <w:r>
        <w:rPr>
          <w:rFonts w:ascii="Arial" w:cs="Arial" w:eastAsia="Arial" w:hAnsi="Arial"/>
          <w:sz w:val="16"/>
          <w:szCs w:val="16"/>
          <w:color w:val="auto"/>
        </w:rPr>
        <w:t>The following table provides the unaudited pro forma information for the results of operations for the three and nine months ended September 30, 2019, as if the acquisition had occurred on January 1, 2019. The pro forma results combine the historical results of Banc Ed into the Company’s unaudited Consolidated Statements of Income, including the impact of purchase accounting adjustments including loan discount accretion, intangible assets amortization, deposit accretion and premises accretion, net of taxes. The pro forma results have been prepared for comparative purposes only and are not necessarily indicative of the results that would have been obtained had the acquisition actually occurred on January 1,</w:t>
      </w:r>
    </w:p>
    <w:p>
      <w:pPr>
        <w:spacing w:after="0" w:line="3"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2019. No assumptions have been applied to the pro forma results of operations regarding possible revenue enhancements, expense efficiencies or asset dispositions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gridSpan w:val="5"/>
          </w:tcPr>
          <w:p>
            <w:pPr>
              <w:ind w:left="1520"/>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 interest income plus non-interest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104,543</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305,709</w:t>
            </w:r>
          </w:p>
        </w:tc>
        <w:tc>
          <w:tcPr>
            <w:tcW w:w="20" w:type="dxa"/>
            <w:vAlign w:val="bottom"/>
          </w:tcPr>
          <w:p>
            <w:pPr>
              <w:spacing w:after="0"/>
              <w:rPr>
                <w:sz w:val="19"/>
                <w:szCs w:val="19"/>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30,811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84,742</w:t>
            </w:r>
          </w:p>
        </w:tc>
        <w:tc>
          <w:tcPr>
            <w:tcW w:w="20" w:type="dxa"/>
            <w:vAlign w:val="bottom"/>
          </w:tcPr>
          <w:p>
            <w:pPr>
              <w:spacing w:after="0"/>
              <w:rPr>
                <w:sz w:val="19"/>
                <w:szCs w:val="19"/>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r>
      <w:tr>
        <w:trPr>
          <w:trHeight w:val="918"/>
        </w:trPr>
        <w:tc>
          <w:tcPr>
            <w:tcW w:w="500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5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Investors’ Security Trust Company</w:t>
      </w:r>
    </w:p>
    <w:p>
      <w:pPr>
        <w:spacing w:after="0" w:line="22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August 31, 2019, the Company completed the previously announced acquisition by Busey Bank of Investors’ Security Trust Company (“IST”), a Fort Myers, Florida wealth management firm. While the partnership is expected to add to the Company’s wealth management offerings, it is not expected to have any immediate, material impact on the Company’s earnings or overall business. This transaction was accounted for using the acquisition method of accounting and, accordingly, assets acquired, liabilities assumed, and consideration exchanged was recorded at estimated fair values on the date of acquisition.</w:t>
      </w:r>
    </w:p>
    <w:p>
      <w:pPr>
        <w:spacing w:after="0" w:line="203" w:lineRule="exact"/>
        <w:rPr>
          <w:sz w:val="20"/>
          <w:szCs w:val="20"/>
          <w:color w:val="auto"/>
        </w:rPr>
      </w:pPr>
    </w:p>
    <w:p>
      <w:pPr>
        <w:ind w:left="60" w:right="119"/>
        <w:spacing w:after="0" w:line="276" w:lineRule="auto"/>
        <w:rPr>
          <w:sz w:val="20"/>
          <w:szCs w:val="20"/>
          <w:color w:val="auto"/>
        </w:rPr>
      </w:pPr>
      <w:r>
        <w:rPr>
          <w:rFonts w:ascii="Arial" w:cs="Arial" w:eastAsia="Arial" w:hAnsi="Arial"/>
          <w:sz w:val="16"/>
          <w:szCs w:val="16"/>
          <w:color w:val="auto"/>
        </w:rPr>
        <w:t>First Busey incurred $0.1 million and $0.4 million in pre-tax expenses related to the acquisition of IST for the three and nine months ended September 30, 2020, respectively, primarily for contingent earn-out payments owed under the purchase agreement, which are reported as components of non-interest expense in the accompanying unaudited Consolidated Statements of Income. First Busey incurred $0.5 million and $0.7 million in pre-tax expenses related to the acquisition of IST for the three and nine months ended September 30, 2019, respectively, primarily for professional and legal fees, which are reported as a component of non-interest expense in the accompanying unaudited Consolidated Statements of Income.</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Securities</w:t>
      </w:r>
    </w:p>
    <w:p>
      <w:pPr>
        <w:spacing w:after="0" w:line="229"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5"/>
                <w:szCs w:val="15"/>
                <w:color w:val="auto"/>
              </w:rPr>
            </w:pPr>
          </w:p>
        </w:tc>
        <w:tc>
          <w:tcPr>
            <w:tcW w:w="540" w:type="dxa"/>
            <w:vAlign w:val="bottom"/>
          </w:tcPr>
          <w:p>
            <w:pPr>
              <w:jc w:val="center"/>
              <w:ind w:left="55"/>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5"/>
                <w:szCs w:val="15"/>
                <w:color w:val="auto"/>
              </w:rPr>
            </w:pPr>
          </w:p>
        </w:tc>
        <w:tc>
          <w:tcPr>
            <w:tcW w:w="76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5"/>
                <w:szCs w:val="15"/>
                <w:color w:val="auto"/>
              </w:rPr>
            </w:pPr>
          </w:p>
        </w:tc>
        <w:tc>
          <w:tcPr>
            <w:tcW w:w="8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for Credit</w:t>
            </w:r>
          </w:p>
        </w:tc>
        <w:tc>
          <w:tcPr>
            <w:tcW w:w="300" w:type="dxa"/>
            <w:vAlign w:val="bottom"/>
          </w:tcPr>
          <w:p>
            <w:pPr>
              <w:spacing w:after="0"/>
              <w:rPr>
                <w:sz w:val="15"/>
                <w:szCs w:val="15"/>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36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242"/>
              <w:spacing w:after="0" w:line="158" w:lineRule="exact"/>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7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3"/>
                <w:szCs w:val="13"/>
                <w:color w:val="auto"/>
              </w:rPr>
            </w:pPr>
          </w:p>
        </w:tc>
        <w:tc>
          <w:tcPr>
            <w:tcW w:w="540" w:type="dxa"/>
            <w:vAlign w:val="bottom"/>
          </w:tcPr>
          <w:p>
            <w:pPr>
              <w:jc w:val="center"/>
              <w:ind w:left="55"/>
              <w:spacing w:after="0" w:line="158" w:lineRule="exact"/>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3"/>
                <w:szCs w:val="13"/>
                <w:color w:val="auto"/>
              </w:rPr>
            </w:pPr>
          </w:p>
        </w:tc>
        <w:tc>
          <w:tcPr>
            <w:tcW w:w="840" w:type="dxa"/>
            <w:vAlign w:val="bottom"/>
          </w:tcPr>
          <w:p>
            <w:pPr>
              <w:jc w:val="right"/>
              <w:ind w:right="25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29,442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29,937</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76,021</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2,512</w:t>
            </w:r>
          </w:p>
        </w:tc>
        <w:tc>
          <w:tcPr>
            <w:tcW w:w="240" w:type="dxa"/>
            <w:vAlign w:val="bottom"/>
            <w:shd w:val="clear" w:color="auto" w:fill="CCEEFF"/>
          </w:tcPr>
          <w:p>
            <w:pPr>
              <w:spacing w:after="0"/>
              <w:rPr>
                <w:sz w:val="20"/>
                <w:szCs w:val="2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78,478</w:t>
            </w: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w w:val="99"/>
              </w:rPr>
              <w:t>Obligations of states and political subdivisions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304,749</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11,380</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316,120</w:t>
            </w: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346,543</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357,243</w:t>
            </w: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4"/>
              </w:rPr>
              <w:t>1,192,131</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26,699</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1,218,526</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78,930</w:t>
            </w: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1,619</w:t>
            </w: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80,545</w:t>
            </w:r>
          </w:p>
        </w:tc>
        <w:tc>
          <w:tcPr>
            <w:tcW w:w="0" w:type="dxa"/>
            <w:vAlign w:val="bottom"/>
          </w:tcPr>
          <w:p>
            <w:pPr>
              <w:spacing w:after="0"/>
              <w:rPr>
                <w:sz w:val="1"/>
                <w:szCs w:val="1"/>
                <w:color w:val="auto"/>
              </w:rPr>
            </w:pPr>
          </w:p>
        </w:tc>
      </w:tr>
      <w:tr>
        <w:trPr>
          <w:trHeight w:val="223"/>
        </w:trPr>
        <w:tc>
          <w:tcPr>
            <w:tcW w:w="3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2,027,816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53,509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2,080,849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w w:val="93"/>
              </w:rPr>
              <w:t>Gross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ind w:right="314"/>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right"/>
              <w:ind w:right="58"/>
              <w:spacing w:after="0"/>
              <w:rPr>
                <w:sz w:val="20"/>
                <w:szCs w:val="20"/>
                <w:color w:val="auto"/>
              </w:rPr>
            </w:pPr>
            <w:r>
              <w:rPr>
                <w:rFonts w:ascii="Arial" w:cs="Arial" w:eastAsia="Arial" w:hAnsi="Arial"/>
                <w:sz w:val="14"/>
                <w:szCs w:val="14"/>
                <w:b w:val="1"/>
                <w:bCs w:val="1"/>
                <w:color w:val="auto"/>
              </w:rPr>
              <w:t>Amortized</w:t>
            </w:r>
          </w:p>
        </w:tc>
        <w:tc>
          <w:tcPr>
            <w:tcW w:w="126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5"/>
                <w:szCs w:val="15"/>
                <w:color w:val="auto"/>
              </w:rPr>
            </w:pPr>
          </w:p>
        </w:tc>
        <w:tc>
          <w:tcPr>
            <w:tcW w:w="960" w:type="dxa"/>
            <w:vAlign w:val="bottom"/>
            <w:gridSpan w:val="2"/>
          </w:tcPr>
          <w:p>
            <w:pPr>
              <w:jc w:val="center"/>
              <w:ind w:right="134"/>
              <w:spacing w:after="0"/>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36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gridSpan w:val="2"/>
          </w:tcPr>
          <w:p>
            <w:pPr>
              <w:jc w:val="right"/>
              <w:ind w:right="295"/>
              <w:spacing w:after="0" w:line="158" w:lineRule="exact"/>
              <w:rPr>
                <w:sz w:val="20"/>
                <w:szCs w:val="20"/>
                <w:color w:val="auto"/>
              </w:rPr>
            </w:pPr>
            <w:r>
              <w:rPr>
                <w:rFonts w:ascii="Arial" w:cs="Arial" w:eastAsia="Arial" w:hAnsi="Arial"/>
                <w:sz w:val="14"/>
                <w:szCs w:val="14"/>
                <w:b w:val="1"/>
                <w:bCs w:val="1"/>
                <w:color w:val="auto"/>
                <w:w w:val="97"/>
              </w:rPr>
              <w:t>Gains</w:t>
            </w:r>
          </w:p>
        </w:tc>
        <w:tc>
          <w:tcPr>
            <w:tcW w:w="260" w:type="dxa"/>
            <w:vAlign w:val="bottom"/>
          </w:tcPr>
          <w:p>
            <w:pPr>
              <w:spacing w:after="0"/>
              <w:rPr>
                <w:sz w:val="13"/>
                <w:szCs w:val="13"/>
                <w:color w:val="auto"/>
              </w:rPr>
            </w:pPr>
          </w:p>
        </w:tc>
        <w:tc>
          <w:tcPr>
            <w:tcW w:w="960" w:type="dxa"/>
            <w:vAlign w:val="bottom"/>
            <w:gridSpan w:val="2"/>
          </w:tcPr>
          <w:p>
            <w:pPr>
              <w:jc w:val="center"/>
              <w:ind w:right="114"/>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3"/>
                <w:szCs w:val="13"/>
                <w:color w:val="auto"/>
              </w:rPr>
            </w:pPr>
          </w:p>
        </w:tc>
        <w:tc>
          <w:tcPr>
            <w:tcW w:w="840" w:type="dxa"/>
            <w:vAlign w:val="bottom"/>
          </w:tcPr>
          <w:p>
            <w:pPr>
              <w:jc w:val="right"/>
              <w:ind w:right="27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6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51,472</w:t>
            </w:r>
          </w:p>
        </w:tc>
        <w:tc>
          <w:tcPr>
            <w:tcW w:w="4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265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51,737</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rPr>
              <w:t>160,364</w:t>
            </w: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93"/>
              </w:rPr>
              <w:t>2,684</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5"/>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w w:val="99"/>
              </w:rPr>
              <w:t>Obligations of states and political subdivisions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262,492</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w w:val="93"/>
              </w:rPr>
              <w:t>5,810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268,291</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137,733</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3"/>
              </w:rPr>
              <w:t>1,700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139,287</w:t>
            </w: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912,308</w:t>
            </w:r>
          </w:p>
        </w:tc>
        <w:tc>
          <w:tcPr>
            <w:tcW w:w="48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8"/>
                <w:szCs w:val="18"/>
                <w:color w:val="auto"/>
              </w:rPr>
              <w:t>10,282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921,966</w:t>
            </w: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102,696</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3"/>
              </w:rPr>
              <w:t>1,280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23"/>
        </w:trPr>
        <w:tc>
          <w:tcPr>
            <w:tcW w:w="3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3"/>
              </w:rPr>
              <w:t>$  1,627,065</w:t>
            </w:r>
          </w:p>
        </w:tc>
        <w:tc>
          <w:tcPr>
            <w:tcW w:w="4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22,021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1,648,257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19"/>
        <w:spacing w:after="0" w:line="243" w:lineRule="auto"/>
        <w:rPr>
          <w:sz w:val="20"/>
          <w:szCs w:val="20"/>
          <w:color w:val="auto"/>
        </w:rPr>
      </w:pPr>
      <w:r>
        <w:rPr>
          <w:rFonts w:ascii="Arial" w:cs="Arial" w:eastAsia="Arial" w:hAnsi="Arial"/>
          <w:sz w:val="18"/>
          <w:szCs w:val="18"/>
          <w:color w:val="auto"/>
        </w:rPr>
        <w:t xml:space="preserve">The amortized cost and fair value of debt securities, by contractual maturity or pre-refunded date, are shown below. Mortgages underlying mortgage-backed securities may be called or prepaid; therefore, actual maturities could differ from the contractual maturities. All mortgage-backed securities were issued by U.S. government corporations and agencies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Debt securities available for sale</w:t>
            </w:r>
          </w:p>
        </w:tc>
      </w:tr>
      <w:tr>
        <w:trPr>
          <w:trHeight w:val="160"/>
        </w:trPr>
        <w:tc>
          <w:tcPr>
            <w:tcW w:w="12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577"/>
              <w:spacing w:after="0" w:line="160" w:lineRule="exact"/>
              <w:rPr>
                <w:sz w:val="20"/>
                <w:szCs w:val="20"/>
                <w:color w:val="auto"/>
              </w:rPr>
            </w:pPr>
            <w:r>
              <w:rPr>
                <w:rFonts w:ascii="Arial" w:cs="Arial" w:eastAsia="Arial" w:hAnsi="Arial"/>
                <w:sz w:val="14"/>
                <w:szCs w:val="14"/>
                <w:b w:val="1"/>
                <w:bCs w:val="1"/>
                <w:color w:val="auto"/>
              </w:rPr>
              <w:t>Amortized</w:t>
            </w:r>
          </w:p>
        </w:tc>
        <w:tc>
          <w:tcPr>
            <w:tcW w:w="600" w:type="dxa"/>
            <w:vAlign w:val="bottom"/>
          </w:tcPr>
          <w:p>
            <w:pPr>
              <w:spacing w:after="0"/>
              <w:rPr>
                <w:sz w:val="13"/>
                <w:szCs w:val="13"/>
                <w:color w:val="auto"/>
              </w:rPr>
            </w:pPr>
          </w:p>
        </w:tc>
        <w:tc>
          <w:tcPr>
            <w:tcW w:w="1300" w:type="dxa"/>
            <w:vAlign w:val="bottom"/>
          </w:tcPr>
          <w:p>
            <w:pPr>
              <w:jc w:val="right"/>
              <w:ind w:right="615"/>
              <w:spacing w:after="0" w:line="160" w:lineRule="exact"/>
              <w:rPr>
                <w:sz w:val="20"/>
                <w:szCs w:val="20"/>
                <w:color w:val="auto"/>
              </w:rPr>
            </w:pPr>
            <w:r>
              <w:rPr>
                <w:rFonts w:ascii="Arial" w:cs="Arial" w:eastAsia="Arial" w:hAnsi="Arial"/>
                <w:sz w:val="14"/>
                <w:szCs w:val="14"/>
                <w:b w:val="1"/>
                <w:bCs w:val="1"/>
                <w:color w:val="auto"/>
              </w:rPr>
              <w:t>Fair</w:t>
            </w:r>
          </w:p>
        </w:tc>
      </w:tr>
      <w:tr>
        <w:trPr>
          <w:trHeight w:val="158"/>
        </w:trPr>
        <w:tc>
          <w:tcPr>
            <w:tcW w:w="3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September 30, 2020:</w:t>
            </w: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757"/>
              <w:spacing w:after="0" w:line="158" w:lineRule="exact"/>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3"/>
                <w:szCs w:val="13"/>
                <w:color w:val="auto"/>
              </w:rPr>
            </w:pPr>
          </w:p>
        </w:tc>
        <w:tc>
          <w:tcPr>
            <w:tcW w:w="1300" w:type="dxa"/>
            <w:vAlign w:val="bottom"/>
          </w:tcPr>
          <w:p>
            <w:pPr>
              <w:jc w:val="right"/>
              <w:ind w:right="575"/>
              <w:spacing w:after="0" w:line="158" w:lineRule="exact"/>
              <w:rPr>
                <w:sz w:val="20"/>
                <w:szCs w:val="20"/>
                <w:color w:val="auto"/>
              </w:rPr>
            </w:pPr>
            <w:r>
              <w:rPr>
                <w:rFonts w:ascii="Arial" w:cs="Arial" w:eastAsia="Arial" w:hAnsi="Arial"/>
                <w:sz w:val="14"/>
                <w:szCs w:val="14"/>
                <w:b w:val="1"/>
                <w:bCs w:val="1"/>
                <w:color w:val="auto"/>
              </w:rPr>
              <w:t>Value</w:t>
            </w: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148,312</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149,872</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137"/>
              <w:spacing w:after="0"/>
              <w:rPr>
                <w:sz w:val="20"/>
                <w:szCs w:val="20"/>
                <w:color w:val="auto"/>
              </w:rPr>
            </w:pPr>
            <w:r>
              <w:rPr>
                <w:rFonts w:ascii="Arial" w:cs="Arial" w:eastAsia="Arial" w:hAnsi="Arial"/>
                <w:sz w:val="18"/>
                <w:szCs w:val="18"/>
                <w:color w:val="auto"/>
              </w:rPr>
              <w:t>210,254</w:t>
            </w: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219,106</w:t>
            </w:r>
          </w:p>
        </w:tc>
      </w:tr>
      <w:tr>
        <w:trPr>
          <w:trHeight w:val="229"/>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260,947</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272,794</w:t>
            </w:r>
          </w:p>
        </w:tc>
      </w:tr>
      <w:tr>
        <w:trPr>
          <w:trHeight w:val="229"/>
        </w:trPr>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Due after ten years</w:t>
            </w: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1,408,303</w:t>
            </w: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1,439,077</w:t>
            </w:r>
          </w:p>
        </w:tc>
      </w:tr>
      <w:tr>
        <w:trPr>
          <w:trHeight w:val="223"/>
        </w:trPr>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2,027,816</w:t>
            </w:r>
          </w:p>
        </w:tc>
        <w:tc>
          <w:tcPr>
            <w:tcW w:w="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2,080,849</w:t>
            </w:r>
          </w:p>
        </w:tc>
      </w:tr>
      <w:tr>
        <w:trPr>
          <w:trHeight w:val="20"/>
        </w:trPr>
        <w:tc>
          <w:tcPr>
            <w:tcW w:w="1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r>
      <w:tr>
        <w:trPr>
          <w:trHeight w:val="223"/>
        </w:trPr>
        <w:tc>
          <w:tcPr>
            <w:tcW w:w="20" w:type="dxa"/>
            <w:vAlign w:val="bottom"/>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1,718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security (losses)</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gridSpan w:val="2"/>
            <w:shd w:val="clear" w:color="auto" w:fill="CCEEFF"/>
          </w:tcPr>
          <w:p>
            <w:pPr>
              <w:ind w:left="340"/>
              <w:spacing w:after="0" w:line="223" w:lineRule="exact"/>
              <w:rPr>
                <w:sz w:val="20"/>
                <w:szCs w:val="20"/>
                <w:color w:val="auto"/>
              </w:rPr>
            </w:pPr>
            <w:r>
              <w:rPr>
                <w:rFonts w:ascii="Arial" w:cs="Arial" w:eastAsia="Arial" w:hAnsi="Arial"/>
                <w:sz w:val="17"/>
                <w:szCs w:val="17"/>
                <w:color w:val="auto"/>
              </w:rPr>
              <w:t>Net gains (losses) on sales of securities</w:t>
            </w:r>
            <w:r>
              <w:rPr>
                <w:rFonts w:ascii="Arial" w:cs="Arial" w:eastAsia="Arial" w:hAnsi="Arial"/>
                <w:sz w:val="25"/>
                <w:szCs w:val="25"/>
                <w:color w:val="auto"/>
                <w:vertAlign w:val="superscript"/>
              </w:rPr>
              <w:t>(1)</w:t>
            </w: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1,710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67" w:lineRule="exact"/>
        <w:rPr>
          <w:sz w:val="20"/>
          <w:szCs w:val="20"/>
          <w:color w:val="auto"/>
        </w:rPr>
      </w:pPr>
    </w:p>
    <w:p>
      <w:pPr>
        <w:ind w:left="480" w:right="259" w:hanging="322"/>
        <w:spacing w:after="0" w:line="200" w:lineRule="auto"/>
        <w:tabs>
          <w:tab w:leader="none" w:pos="4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Net gains (losses) on sales of securities reported on the unaudited Consolidated Statements of Income includes sale of equity securities, excluded in this table.</w:t>
      </w:r>
    </w:p>
    <w:p>
      <w:pPr>
        <w:spacing w:after="0" w:line="203" w:lineRule="exact"/>
        <w:rPr>
          <w:sz w:val="20"/>
          <w:szCs w:val="20"/>
          <w:color w:val="auto"/>
        </w:rPr>
      </w:pPr>
    </w:p>
    <w:p>
      <w:pPr>
        <w:ind w:left="60" w:right="319"/>
        <w:spacing w:after="0" w:line="248" w:lineRule="auto"/>
        <w:rPr>
          <w:sz w:val="20"/>
          <w:szCs w:val="20"/>
          <w:color w:val="auto"/>
        </w:rPr>
      </w:pPr>
      <w:r>
        <w:rPr>
          <w:rFonts w:ascii="Arial" w:cs="Arial" w:eastAsia="Arial" w:hAnsi="Arial"/>
          <w:sz w:val="18"/>
          <w:szCs w:val="18"/>
          <w:color w:val="auto"/>
        </w:rPr>
        <w:t>Debt securities with carrying amounts of $591.7 million and $704.4 million on September 30, 2020 and December 31, 2019, respectively, were pledged as collateral for public deposits, securities sold under agreements to repurchase and for other purposes as required or permitted by law.</w:t>
      </w:r>
    </w:p>
    <w:p>
      <w:pPr>
        <w:spacing w:after="0" w:line="195"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6"/>
          <w:szCs w:val="16"/>
          <w:i w:val="1"/>
          <w:iCs w:val="1"/>
          <w:color w:val="auto"/>
        </w:rPr>
        <w:t>(dollars in thousands):</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September 30, 2020:</w:t>
      </w:r>
    </w:p>
    <w:p>
      <w:pPr>
        <w:spacing w:after="0" w:line="28" w:lineRule="exact"/>
        <w:rPr>
          <w:sz w:val="20"/>
          <w:szCs w:val="20"/>
          <w:color w:val="auto"/>
        </w:rPr>
      </w:pPr>
    </w:p>
    <w:p>
      <w:pPr>
        <w:ind w:left="60" w:right="860"/>
        <w:spacing w:after="0" w:line="269" w:lineRule="auto"/>
        <w:rPr>
          <w:sz w:val="20"/>
          <w:szCs w:val="20"/>
          <w:color w:val="auto"/>
        </w:rPr>
      </w:pPr>
      <w:r>
        <w:rPr>
          <w:rFonts w:ascii="Arial" w:cs="Arial" w:eastAsia="Arial" w:hAnsi="Arial"/>
          <w:sz w:val="14"/>
          <w:szCs w:val="14"/>
          <w:b w:val="1"/>
          <w:bCs w:val="1"/>
          <w:color w:val="auto"/>
        </w:rPr>
        <w:t xml:space="preserve">Debt securities available for sale </w:t>
      </w:r>
      <w:r>
        <w:rPr>
          <w:rFonts w:ascii="Arial" w:cs="Arial" w:eastAsia="Arial" w:hAnsi="Arial"/>
          <w:sz w:val="14"/>
          <w:szCs w:val="14"/>
          <w:color w:val="auto"/>
        </w:rPr>
        <w:t>U.S. Treasury securities</w:t>
      </w:r>
    </w:p>
    <w:p>
      <w:pPr>
        <w:spacing w:after="0" w:line="1" w:lineRule="exact"/>
        <w:rPr>
          <w:sz w:val="20"/>
          <w:szCs w:val="20"/>
          <w:color w:val="auto"/>
        </w:rPr>
      </w:pPr>
    </w:p>
    <w:p>
      <w:pPr>
        <w:ind w:left="160" w:hanging="107"/>
        <w:spacing w:after="0" w:line="261" w:lineRule="auto"/>
        <w:rPr>
          <w:sz w:val="20"/>
          <w:szCs w:val="20"/>
          <w:color w:val="auto"/>
        </w:rPr>
      </w:pPr>
      <w:r>
        <w:rPr>
          <w:rFonts w:ascii="Arial" w:cs="Arial" w:eastAsia="Arial" w:hAnsi="Arial"/>
          <w:sz w:val="14"/>
          <w:szCs w:val="14"/>
          <w:color w:val="auto"/>
        </w:rPr>
        <w:t>Obligations of U.S. government corporations and agencies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Obligations of states and political subdivisions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Commercial mortgage-backed securities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Residential mortgage-backed securities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debt securities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Total temporarily impaired securities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0"/>
              </w:rPr>
              <w:t>Less than 12 months, gross</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89"/>
              </w:rPr>
              <w:t>12 months or more, gross</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Total, gross</w:t>
            </w:r>
          </w:p>
        </w:tc>
      </w:tr>
      <w:tr>
        <w:trPr>
          <w:trHeight w:val="160"/>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82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76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82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760" w:type="dxa"/>
            <w:vAlign w:val="bottom"/>
          </w:tcPr>
          <w:p>
            <w:pPr>
              <w:jc w:val="right"/>
              <w:ind w:right="8"/>
              <w:spacing w:after="0" w:line="160" w:lineRule="exact"/>
              <w:rPr>
                <w:sz w:val="20"/>
                <w:szCs w:val="20"/>
                <w:color w:val="auto"/>
              </w:rPr>
            </w:pPr>
            <w:r>
              <w:rPr>
                <w:rFonts w:ascii="Arial" w:cs="Arial" w:eastAsia="Arial" w:hAnsi="Arial"/>
                <w:sz w:val="14"/>
                <w:szCs w:val="14"/>
                <w:b w:val="1"/>
                <w:bCs w:val="1"/>
                <w:color w:val="auto"/>
                <w:w w:val="93"/>
              </w:rPr>
              <w:t>Unrealized</w:t>
            </w:r>
          </w:p>
        </w:tc>
      </w:tr>
      <w:tr>
        <w:trPr>
          <w:trHeight w:val="185"/>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Losses</w:t>
            </w:r>
          </w:p>
        </w:tc>
      </w:tr>
      <w:tr>
        <w:trPr>
          <w:trHeight w:val="346"/>
        </w:trPr>
        <w:tc>
          <w:tcPr>
            <w:tcW w:w="160" w:type="dxa"/>
            <w:vAlign w:val="bottom"/>
            <w:gridSpan w:val="2"/>
          </w:tcPr>
          <w:p>
            <w:pPr>
              <w:jc w:val="right"/>
              <w:ind w:right="1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28"/>
              <w:spacing w:after="0"/>
              <w:rPr>
                <w:sz w:val="20"/>
                <w:szCs w:val="20"/>
                <w:color w:val="auto"/>
              </w:rPr>
            </w:pPr>
            <w:r>
              <w:rPr>
                <w:rFonts w:ascii="Arial" w:cs="Arial" w:eastAsia="Arial" w:hAnsi="Arial"/>
                <w:sz w:val="14"/>
                <w:szCs w:val="14"/>
                <w:color w:val="auto"/>
              </w:rPr>
              <w:t>—   $</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5,479</w:t>
            </w:r>
          </w:p>
        </w:tc>
        <w:tc>
          <w:tcPr>
            <w:tcW w:w="1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5,479</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3,810</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3,810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53,690</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53,690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152,298</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(301)</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153,136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181"/>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7,563</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7,563</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69"/>
        </w:trPr>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217,361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223,678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-1045210</wp:posOffset>
            </wp:positionV>
            <wp:extent cx="564896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-814070</wp:posOffset>
            </wp:positionV>
            <wp:extent cx="564896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22288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-479425</wp:posOffset>
            </wp:positionV>
            <wp:extent cx="5648960" cy="111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-256540</wp:posOffset>
            </wp:positionV>
            <wp:extent cx="5648960"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400"/>
            <w:col w:w="5719"/>
          </w:cols>
          <w:pgMar w:left="1440" w:top="530" w:right="1440"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89"/>
              </w:rPr>
              <w:t>Less than 12 months, gross</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89"/>
              </w:rPr>
              <w:t>12 months or more, gross</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2"/>
          </w:tcPr>
          <w:p>
            <w:pPr>
              <w:jc w:val="right"/>
              <w:ind w:right="68"/>
              <w:spacing w:after="0" w:line="160"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76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82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3"/>
                <w:szCs w:val="13"/>
                <w:color w:val="auto"/>
              </w:rPr>
            </w:pPr>
          </w:p>
        </w:tc>
        <w:tc>
          <w:tcPr>
            <w:tcW w:w="72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780" w:type="dxa"/>
            <w:vAlign w:val="bottom"/>
          </w:tcPr>
          <w:p>
            <w:pPr>
              <w:jc w:val="right"/>
              <w:ind w:right="28"/>
              <w:spacing w:after="0" w:line="16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74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w w:val="95"/>
              </w:rPr>
              <w:t>Losses</w:t>
            </w:r>
          </w:p>
        </w:tc>
        <w:tc>
          <w:tcPr>
            <w:tcW w:w="180" w:type="dxa"/>
            <w:vAlign w:val="bottom"/>
          </w:tcPr>
          <w:p>
            <w:pPr>
              <w:spacing w:after="0"/>
              <w:rPr>
                <w:sz w:val="13"/>
                <w:szCs w:val="13"/>
                <w:color w:val="auto"/>
              </w:rPr>
            </w:pPr>
          </w:p>
        </w:tc>
        <w:tc>
          <w:tcPr>
            <w:tcW w:w="76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3"/>
                <w:szCs w:val="13"/>
                <w:color w:val="auto"/>
              </w:rPr>
            </w:pPr>
          </w:p>
        </w:tc>
        <w:tc>
          <w:tcPr>
            <w:tcW w:w="82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3"/>
                <w:szCs w:val="13"/>
                <w:color w:val="auto"/>
              </w:rPr>
            </w:pPr>
          </w:p>
        </w:tc>
        <w:tc>
          <w:tcPr>
            <w:tcW w:w="72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3"/>
                <w:szCs w:val="13"/>
                <w:color w:val="auto"/>
              </w:rPr>
            </w:pPr>
          </w:p>
        </w:tc>
        <w:tc>
          <w:tcPr>
            <w:tcW w:w="78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gridSpan w:val="3"/>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Debt securities available for sale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gridSpan w:val="3"/>
          </w:tcPr>
          <w:p>
            <w:pPr>
              <w:spacing w:after="0"/>
              <w:rPr>
                <w:sz w:val="20"/>
                <w:szCs w:val="20"/>
                <w:color w:val="auto"/>
              </w:rPr>
            </w:pPr>
            <w:r>
              <w:rPr>
                <w:rFonts w:ascii="Arial" w:cs="Arial" w:eastAsia="Arial" w:hAnsi="Arial"/>
                <w:sz w:val="14"/>
                <w:szCs w:val="14"/>
                <w:color w:val="auto"/>
              </w:rPr>
              <w:t>U.S. Treasury securities</w:t>
            </w:r>
          </w:p>
        </w:tc>
        <w:tc>
          <w:tcPr>
            <w:tcW w:w="160" w:type="dxa"/>
            <w:vAlign w:val="bottom"/>
            <w:gridSpan w:val="2"/>
          </w:tcPr>
          <w:p>
            <w:pPr>
              <w:jc w:val="right"/>
              <w:ind w:right="1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Obligations of U.S. government corporations and</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6,362</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6,362</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agencies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gridSpan w:val="3"/>
          </w:tcPr>
          <w:p>
            <w:pPr>
              <w:spacing w:after="0" w:line="176" w:lineRule="exact"/>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20"/>
                <w:szCs w:val="20"/>
                <w:color w:val="auto"/>
                <w:vertAlign w:val="superscript"/>
              </w:rPr>
              <w:t>(1)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4,981</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1,548</w:t>
            </w:r>
          </w:p>
        </w:tc>
        <w:tc>
          <w:tcPr>
            <w:tcW w:w="1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6,529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mortgage-backed securities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33,322</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2,044</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35,366</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gridSpan w:val="3"/>
          </w:tcPr>
          <w:p>
            <w:pPr>
              <w:spacing w:after="0"/>
              <w:rPr>
                <w:sz w:val="20"/>
                <w:szCs w:val="20"/>
                <w:color w:val="auto"/>
              </w:rPr>
            </w:pPr>
            <w:r>
              <w:rPr>
                <w:rFonts w:ascii="Arial" w:cs="Arial" w:eastAsia="Arial" w:hAnsi="Arial"/>
                <w:sz w:val="14"/>
                <w:szCs w:val="14"/>
                <w:color w:val="auto"/>
              </w:rPr>
              <w:t>Residential mortgage-backed securities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78,326</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(245)</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50,259</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(379)</w:t>
            </w:r>
          </w:p>
        </w:tc>
        <w:tc>
          <w:tcPr>
            <w:tcW w:w="22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128,585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gridSpan w:val="3"/>
          </w:tcPr>
          <w:p>
            <w:pPr>
              <w:spacing w:after="0"/>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122,991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176,842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80" w:hanging="322"/>
        <w:spacing w:after="0"/>
        <w:tabs>
          <w:tab w:leader="none" w:pos="48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Unrealized losses for 12 months or more, gross, was less than one thousand dollars.</w:t>
      </w:r>
    </w:p>
    <w:p>
      <w:pPr>
        <w:spacing w:after="0" w:line="202"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As of September 30, 2020, the Company’s debt security portfolio consisted of 1,190 securities. The total number of debt securities in the investment portfolio in an unrealized loss position as of September 30, 2020 was 37 and represented an unrealized loss of 0.21% of the aggregate fair value. The unrealized losses relate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 collection of the amounts due according to the contractual terms of the debt securities is expected; therefore, the impairment related to noncredit factors is recognized in accumulated other comprehensive income (loss), net of applicable taxes, at September 30, 2020. As of September 30, 2020, the Company did not hold general obligation bonds of any single issuer, the aggregate of which exceeded 10% of the Company’s stockholders’ equity.</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Portfolio loans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distribution of portfolio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2,281,031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2,912,408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2,793,417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Retail real estate</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1,480,520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1,693,769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40,086</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4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7,121,311</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6,687,249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(98,841)</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7,022,470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Net deferred loan origination fees included in the balances above were $(6.0) million as of September 30, 2020 compared to $6.2 million of net deferred loan origination costs as of December 31, 2019. Net accretable purchase accounting adjustments included in the balances above reduced loans by $13.2 million as of September 30, 2020 and $20.2 million as of December 31, 2019. The September 30, 2020 commercial balance includes loans originated under PPP with an amortized cost of $736.4 million.</w:t>
      </w:r>
    </w:p>
    <w:p>
      <w:pPr>
        <w:spacing w:after="0" w:line="203"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During the first quarter of 2020, the Company purchased $43.9 million of retail real estate loans. There were no purchases during the second or third quarters of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999"/>
        <w:spacing w:after="0" w:line="261"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84" w:lineRule="exact"/>
        <w:rPr>
          <w:sz w:val="20"/>
          <w:szCs w:val="20"/>
          <w:color w:val="auto"/>
        </w:rPr>
      </w:pPr>
    </w:p>
    <w:p>
      <w:pPr>
        <w:ind w:left="720" w:right="419" w:hanging="319"/>
        <w:spacing w:after="0" w:line="24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95" w:lineRule="exact"/>
        <w:rPr>
          <w:rFonts w:ascii="Arial" w:cs="Arial" w:eastAsia="Arial" w:hAnsi="Arial"/>
          <w:sz w:val="18"/>
          <w:szCs w:val="18"/>
          <w:color w:val="auto"/>
        </w:rPr>
      </w:pPr>
    </w:p>
    <w:p>
      <w:pPr>
        <w:ind w:left="720" w:right="179" w:hanging="319"/>
        <w:spacing w:after="0" w:line="24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that warrant a higher than 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201" w:lineRule="exact"/>
        <w:rPr>
          <w:rFonts w:ascii="Arial" w:cs="Arial" w:eastAsia="Arial" w:hAnsi="Arial"/>
          <w:sz w:val="18"/>
          <w:szCs w:val="18"/>
          <w:color w:val="auto"/>
        </w:rPr>
      </w:pPr>
    </w:p>
    <w:p>
      <w:pPr>
        <w:ind w:left="720" w:right="99" w:hanging="319"/>
        <w:spacing w:after="0" w:line="24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95" w:lineRule="exact"/>
        <w:rPr>
          <w:rFonts w:ascii="Arial" w:cs="Arial" w:eastAsia="Arial" w:hAnsi="Arial"/>
          <w:sz w:val="18"/>
          <w:szCs w:val="18"/>
          <w:color w:val="auto"/>
        </w:rPr>
      </w:pPr>
    </w:p>
    <w:p>
      <w:pPr>
        <w:ind w:left="720" w:right="139" w:hanging="319"/>
        <w:spacing w:after="0" w:line="262"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85" w:lineRule="exact"/>
        <w:rPr>
          <w:rFonts w:ascii="Arial" w:cs="Arial" w:eastAsia="Arial" w:hAnsi="Arial"/>
          <w:sz w:val="17"/>
          <w:szCs w:val="17"/>
          <w:color w:val="auto"/>
        </w:rPr>
      </w:pPr>
    </w:p>
    <w:p>
      <w:pPr>
        <w:ind w:left="720" w:right="179" w:hanging="319"/>
        <w:spacing w:after="0" w:line="270"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77" w:lineRule="exact"/>
        <w:rPr>
          <w:sz w:val="20"/>
          <w:szCs w:val="20"/>
          <w:color w:val="auto"/>
        </w:rPr>
      </w:pPr>
    </w:p>
    <w:p>
      <w:pPr>
        <w:ind w:left="60" w:right="239"/>
        <w:spacing w:after="0" w:line="241"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203" w:lineRule="exact"/>
        <w:rPr>
          <w:sz w:val="20"/>
          <w:szCs w:val="20"/>
          <w:color w:val="auto"/>
        </w:rPr>
      </w:pPr>
    </w:p>
    <w:p>
      <w:pPr>
        <w:ind w:left="60" w:right="299"/>
        <w:spacing w:after="0" w:line="248"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September 30, 2020 includes purchase discounts and clearings in the pass rating. December 31, 2019 excludes purchase discounts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89"/>
              </w:rPr>
              <w:t>Special</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2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Pass</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Watch</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6"/>
              </w:rPr>
              <w:t>Mention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Substandard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Non-accrual</w:t>
            </w:r>
          </w:p>
        </w:tc>
      </w:tr>
      <w:tr>
        <w:trPr>
          <w:trHeight w:val="169"/>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2,011,113</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145,817</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82,942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33,247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7,912</w:t>
            </w:r>
          </w:p>
        </w:tc>
      </w:tr>
      <w:tr>
        <w:trPr>
          <w:trHeight w:val="175"/>
        </w:trPr>
        <w:tc>
          <w:tcPr>
            <w:tcW w:w="246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2,541,455</w:t>
            </w:r>
          </w:p>
        </w:tc>
        <w:tc>
          <w:tcPr>
            <w:tcW w:w="3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255,447</w:t>
            </w:r>
          </w:p>
        </w:tc>
        <w:tc>
          <w:tcPr>
            <w:tcW w:w="36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71,315</w:t>
            </w:r>
          </w:p>
        </w:tc>
        <w:tc>
          <w:tcPr>
            <w:tcW w:w="2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37,052</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7,139</w:t>
            </w:r>
          </w:p>
        </w:tc>
      </w:tr>
      <w:tr>
        <w:trPr>
          <w:trHeight w:val="175"/>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376,787</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26,820</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603</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2,797</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75"/>
        </w:trPr>
        <w:tc>
          <w:tcPr>
            <w:tcW w:w="246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1,452,145</w:t>
            </w:r>
          </w:p>
        </w:tc>
        <w:tc>
          <w:tcPr>
            <w:tcW w:w="3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10,960</w:t>
            </w:r>
          </w:p>
        </w:tc>
        <w:tc>
          <w:tcPr>
            <w:tcW w:w="36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4,069</w:t>
            </w:r>
          </w:p>
        </w:tc>
        <w:tc>
          <w:tcPr>
            <w:tcW w:w="2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4,848</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8,498</w:t>
            </w:r>
          </w:p>
        </w:tc>
      </w:tr>
      <w:tr>
        <w:trPr>
          <w:trHeight w:val="175"/>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39,996</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69"/>
        </w:trPr>
        <w:tc>
          <w:tcPr>
            <w:tcW w:w="2460" w:type="dxa"/>
            <w:vAlign w:val="bottom"/>
          </w:tcPr>
          <w:p>
            <w:pPr>
              <w:ind w:left="2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6,421,496</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439,044</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158,929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77,944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23,898</w:t>
            </w: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89"/>
              </w:rPr>
              <w:t>Special</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2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Pass</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Watch</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6"/>
              </w:rPr>
              <w:t>Mention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Substandard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Non-accrual</w:t>
            </w:r>
          </w:p>
        </w:tc>
      </w:tr>
      <w:tr>
        <w:trPr>
          <w:trHeight w:val="169"/>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1,458,416</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172,526</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66,337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41,273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9,096</w:t>
            </w: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2,477,398</w:t>
            </w:r>
          </w:p>
        </w:tc>
        <w:tc>
          <w:tcPr>
            <w:tcW w:w="3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186,963</w:t>
            </w:r>
          </w:p>
        </w:tc>
        <w:tc>
          <w:tcPr>
            <w:tcW w:w="36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105,487</w:t>
            </w:r>
          </w:p>
        </w:tc>
        <w:tc>
          <w:tcPr>
            <w:tcW w:w="2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26,204</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9,178</w:t>
            </w:r>
          </w:p>
        </w:tc>
      </w:tr>
      <w:tr>
        <w:trPr>
          <w:trHeight w:val="176"/>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351,923</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45,262</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3,928</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737</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r>
      <w:tr>
        <w:trPr>
          <w:trHeight w:val="175"/>
        </w:trPr>
        <w:tc>
          <w:tcPr>
            <w:tcW w:w="246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1,661,691</w:t>
            </w:r>
          </w:p>
        </w:tc>
        <w:tc>
          <w:tcPr>
            <w:tcW w:w="3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9,125</w:t>
            </w:r>
          </w:p>
        </w:tc>
        <w:tc>
          <w:tcPr>
            <w:tcW w:w="36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5,355</w:t>
            </w:r>
          </w:p>
        </w:tc>
        <w:tc>
          <w:tcPr>
            <w:tcW w:w="2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7,001</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8,935</w:t>
            </w:r>
          </w:p>
        </w:tc>
      </w:tr>
      <w:tr>
        <w:trPr>
          <w:trHeight w:val="175"/>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47,698</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69"/>
        </w:trPr>
        <w:tc>
          <w:tcPr>
            <w:tcW w:w="2460" w:type="dxa"/>
            <w:vAlign w:val="bottom"/>
          </w:tcPr>
          <w:p>
            <w:pPr>
              <w:ind w:left="2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5,997,126</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413,876</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181,107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75,215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27,896</w:t>
            </w: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Risk grades of portfolio loans, further sorted by origination year at September 30, 2020 is as follows </w:t>
      </w:r>
      <w:r>
        <w:rPr>
          <w:rFonts w:ascii="Arial" w:cs="Arial" w:eastAsia="Arial" w:hAnsi="Arial"/>
          <w:sz w:val="16"/>
          <w:szCs w:val="16"/>
          <w:i w:val="1"/>
          <w:iCs w:val="1"/>
          <w:color w:val="auto"/>
        </w:rPr>
        <w:t>(dollars in thousand)</w:t>
      </w:r>
      <w:r>
        <w:rPr>
          <w:rFonts w:ascii="Arial" w:cs="Arial" w:eastAsia="Arial" w:hAnsi="Arial"/>
          <w:sz w:val="16"/>
          <w:szCs w:val="16"/>
          <w:color w:val="auto"/>
        </w:rPr>
        <w:t>:</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197"/>
              <w:spacing w:after="0"/>
              <w:rPr>
                <w:sz w:val="20"/>
                <w:szCs w:val="20"/>
                <w:color w:val="auto"/>
              </w:rPr>
            </w:pPr>
            <w:r>
              <w:rPr>
                <w:rFonts w:ascii="Arial" w:cs="Arial" w:eastAsia="Arial" w:hAnsi="Arial"/>
                <w:sz w:val="13"/>
                <w:szCs w:val="13"/>
                <w:b w:val="1"/>
                <w:bCs w:val="1"/>
                <w:color w:val="auto"/>
                <w:w w:val="91"/>
              </w:rPr>
              <w:t>Term Loans Amortized Cost Basis by Origination Year</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3"/>
        </w:trPr>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93"/>
              </w:rPr>
              <w:t>Revolving</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5"/>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As of September 30, 2020</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2017</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2016</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Prior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loans</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57"/>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1"/>
        </w:trPr>
        <w:tc>
          <w:tcPr>
            <w:tcW w:w="182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1,029,324</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173,103</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117,434</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100,388</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67,473</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87,096</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436,295</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2,011,113</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24,601</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21,566</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16,918</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14,606</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3,488</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13,653</w:t>
            </w:r>
          </w:p>
        </w:tc>
        <w:tc>
          <w:tcPr>
            <w:tcW w:w="24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50,985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145,817</w:t>
            </w: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6,011</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2,572</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2,166</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7,181</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6,853</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14,949</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43,210</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82,942</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8,450</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3,578</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2,528</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4,437</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935</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1,292</w:t>
            </w:r>
          </w:p>
        </w:tc>
        <w:tc>
          <w:tcPr>
            <w:tcW w:w="24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12,027</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33,247</w:t>
            </w:r>
          </w:p>
        </w:tc>
      </w:tr>
      <w:tr>
        <w:trPr>
          <w:trHeight w:val="162"/>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348</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3,076</w:t>
            </w: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586</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540</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792</w:t>
            </w: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2,500</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7,912</w:t>
            </w:r>
          </w:p>
        </w:tc>
      </w:tr>
      <w:tr>
        <w:trPr>
          <w:trHeight w:val="19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commercial</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6"/>
              </w:rPr>
              <w:t>1,068,734</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203,895</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139,632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127,152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79,541</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117,060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545,017</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2,281,031</w:t>
            </w:r>
          </w:p>
        </w:tc>
      </w:tr>
      <w:tr>
        <w:trPr>
          <w:trHeight w:val="143"/>
        </w:trPr>
        <w:tc>
          <w:tcPr>
            <w:tcW w:w="18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Commercial real estate: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61"/>
        </w:trPr>
        <w:tc>
          <w:tcPr>
            <w:tcW w:w="182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557,205</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565,460</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425,448</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439,438</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215,498</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315,026</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23,380</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2,541,455</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52,304</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71,844</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62,609</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28,787</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21,629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18,186</w:t>
            </w:r>
          </w:p>
        </w:tc>
        <w:tc>
          <w:tcPr>
            <w:tcW w:w="24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88</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255,447</w:t>
            </w: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8,429</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14,981</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5,479</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12,664</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6,096</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23,170</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496</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71,315</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19,809</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4,662</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1,197</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7,165</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2,137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1,587</w:t>
            </w:r>
          </w:p>
        </w:tc>
        <w:tc>
          <w:tcPr>
            <w:tcW w:w="24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495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37,052</w:t>
            </w:r>
          </w:p>
        </w:tc>
      </w:tr>
      <w:tr>
        <w:trPr>
          <w:trHeight w:val="162"/>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923</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795</w:t>
            </w: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1,939</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1,475</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287</w:t>
            </w: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1,720</w:t>
            </w: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7,139</w:t>
            </w:r>
          </w:p>
        </w:tc>
      </w:tr>
      <w:tr>
        <w:trPr>
          <w:trHeight w:val="19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commercial real estate</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638,670</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657,742</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496,672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489,529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245,647</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359,689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24,459</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2,912,408</w:t>
            </w:r>
          </w:p>
        </w:tc>
      </w:tr>
      <w:tr>
        <w:trPr>
          <w:trHeight w:val="143"/>
        </w:trPr>
        <w:tc>
          <w:tcPr>
            <w:tcW w:w="18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Real estate construction:</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61"/>
        </w:trPr>
        <w:tc>
          <w:tcPr>
            <w:tcW w:w="182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107,927</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188,254</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60,326</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1,188</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568</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16,656</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376,787</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17,661</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4,266</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2,515</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2,205</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173</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26,820</w:t>
            </w: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592</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2,577</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148</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2,797</w:t>
            </w:r>
          </w:p>
        </w:tc>
      </w:tr>
      <w:tr>
        <w:trPr>
          <w:trHeight w:val="162"/>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256</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9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real estate construction</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128,757</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192,531</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63,144</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3,418</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889</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16,656</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407,266</w:t>
            </w:r>
          </w:p>
        </w:tc>
      </w:tr>
      <w:tr>
        <w:trPr>
          <w:trHeight w:val="143"/>
        </w:trPr>
        <w:tc>
          <w:tcPr>
            <w:tcW w:w="18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Retail real estate: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61"/>
        </w:trPr>
        <w:tc>
          <w:tcPr>
            <w:tcW w:w="182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273,752</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180,799</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152,772</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158,192</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157,611</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293,570</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235,449</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1,452,145</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1,570</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2,090</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1,255</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320</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570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255</w:t>
            </w:r>
          </w:p>
        </w:tc>
        <w:tc>
          <w:tcPr>
            <w:tcW w:w="24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4,900</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10,960</w:t>
            </w: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516</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589</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1,975</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4,069</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1,642</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100</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330</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82</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770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1,655</w:t>
            </w:r>
          </w:p>
        </w:tc>
        <w:tc>
          <w:tcPr>
            <w:tcW w:w="24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269</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4,848</w:t>
            </w:r>
          </w:p>
        </w:tc>
      </w:tr>
      <w:tr>
        <w:trPr>
          <w:trHeight w:val="162"/>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275</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81</w:t>
            </w: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697</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688</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239</w:t>
            </w: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4,929</w:t>
            </w: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1,589</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8,498</w:t>
            </w:r>
          </w:p>
        </w:tc>
      </w:tr>
      <w:tr>
        <w:trPr>
          <w:trHeight w:val="19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retail real estate</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277,755</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183,070</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155,124</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159,871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161,165</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301,328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242,207</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1,480,520</w:t>
            </w:r>
          </w:p>
        </w:tc>
      </w:tr>
      <w:tr>
        <w:trPr>
          <w:trHeight w:val="143"/>
        </w:trPr>
        <w:tc>
          <w:tcPr>
            <w:tcW w:w="18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Retail other:</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61"/>
        </w:trPr>
        <w:tc>
          <w:tcPr>
            <w:tcW w:w="182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6,974</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10,695</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6,798</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3,336</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961</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10,455</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39,996</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82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56"/>
        </w:trPr>
        <w:tc>
          <w:tcPr>
            <w:tcW w:w="1820" w:type="dxa"/>
            <w:vAlign w:val="bottom"/>
          </w:tcPr>
          <w:p>
            <w:pPr>
              <w:ind w:left="20"/>
              <w:spacing w:after="0"/>
              <w:rPr>
                <w:sz w:val="20"/>
                <w:szCs w:val="20"/>
                <w:color w:val="auto"/>
              </w:rPr>
            </w:pPr>
            <w:r>
              <w:rPr>
                <w:rFonts w:ascii="Arial" w:cs="Arial" w:eastAsia="Arial" w:hAnsi="Arial"/>
                <w:sz w:val="13"/>
                <w:szCs w:val="13"/>
                <w:color w:val="auto"/>
              </w:rPr>
              <w:t>Total retail other</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6,989</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10,702</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6,798</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3,338</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962</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10,456</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40,086</w:t>
            </w:r>
          </w:p>
        </w:tc>
      </w:tr>
      <w:tr>
        <w:trPr>
          <w:trHeight w:val="20"/>
        </w:trPr>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 xml:space="preserve">An analysis of the amortized cost basis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4"/>
                <w:szCs w:val="14"/>
                <w:b w:val="1"/>
                <w:bCs w:val="1"/>
                <w:color w:val="auto"/>
              </w:rPr>
              <w:t>September 30, 2020</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Loans past due, still accruing</w:t>
            </w: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Non-accrual</w:t>
            </w:r>
          </w:p>
        </w:tc>
      </w:tr>
      <w:tr>
        <w:trPr>
          <w:trHeight w:val="169"/>
        </w:trPr>
        <w:tc>
          <w:tcPr>
            <w:tcW w:w="20" w:type="dxa"/>
            <w:vAlign w:val="bottom"/>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30-59 Days</w:t>
            </w: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5"/>
              </w:rPr>
              <w:t>60-89 Days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90+Days</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Loans</w:t>
            </w:r>
          </w:p>
        </w:tc>
      </w:tr>
      <w:tr>
        <w:trPr>
          <w:trHeight w:val="223"/>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w:t>
            </w:r>
          </w:p>
        </w:tc>
      </w:tr>
      <w:tr>
        <w:trPr>
          <w:trHeight w:val="230"/>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9"/>
                <w:szCs w:val="19"/>
                <w:color w:val="auto"/>
              </w:rPr>
            </w:pPr>
          </w:p>
        </w:tc>
        <w:tc>
          <w:tcPr>
            <w:tcW w:w="1340" w:type="dxa"/>
            <w:vAlign w:val="bottom"/>
          </w:tcPr>
          <w:p>
            <w:pPr>
              <w:jc w:val="right"/>
              <w:ind w:right="255"/>
              <w:spacing w:after="0"/>
              <w:rPr>
                <w:sz w:val="20"/>
                <w:szCs w:val="20"/>
                <w:color w:val="auto"/>
              </w:rPr>
            </w:pPr>
            <w:r>
              <w:rPr>
                <w:rFonts w:ascii="Arial" w:cs="Arial" w:eastAsia="Arial" w:hAnsi="Arial"/>
                <w:sz w:val="18"/>
                <w:szCs w:val="18"/>
                <w:color w:val="auto"/>
              </w:rPr>
              <w:t>294</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7,139</w:t>
            </w:r>
          </w:p>
        </w:tc>
      </w:tr>
      <w:tr>
        <w:trPr>
          <w:trHeight w:val="229"/>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Retail real estate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4,606</w:t>
            </w:r>
          </w:p>
        </w:tc>
        <w:tc>
          <w:tcPr>
            <w:tcW w:w="560" w:type="dxa"/>
            <w:vAlign w:val="bottom"/>
          </w:tcPr>
          <w:p>
            <w:pPr>
              <w:spacing w:after="0"/>
              <w:rPr>
                <w:sz w:val="19"/>
                <w:szCs w:val="19"/>
                <w:color w:val="auto"/>
              </w:rPr>
            </w:pPr>
          </w:p>
        </w:tc>
        <w:tc>
          <w:tcPr>
            <w:tcW w:w="1340" w:type="dxa"/>
            <w:vAlign w:val="bottom"/>
          </w:tcPr>
          <w:p>
            <w:pPr>
              <w:jc w:val="right"/>
              <w:ind w:right="255"/>
              <w:spacing w:after="0"/>
              <w:rPr>
                <w:sz w:val="20"/>
                <w:szCs w:val="20"/>
                <w:color w:val="auto"/>
              </w:rPr>
            </w:pPr>
            <w:r>
              <w:rPr>
                <w:rFonts w:ascii="Arial" w:cs="Arial" w:eastAsia="Arial" w:hAnsi="Arial"/>
                <w:sz w:val="18"/>
                <w:szCs w:val="18"/>
                <w:color w:val="auto"/>
              </w:rPr>
              <w:t>1,558</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262</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8,498</w:t>
            </w: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25</w:t>
            </w: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20" w:type="dxa"/>
            <w:vAlign w:val="bottom"/>
          </w:tcPr>
          <w:p>
            <w:pPr>
              <w:spacing w:after="0"/>
              <w:rPr>
                <w:sz w:val="19"/>
                <w:szCs w:val="19"/>
                <w:color w:val="auto"/>
              </w:rPr>
            </w:pPr>
          </w:p>
        </w:tc>
        <w:tc>
          <w:tcPr>
            <w:tcW w:w="2240" w:type="dxa"/>
            <w:vAlign w:val="bottom"/>
          </w:tcPr>
          <w:p>
            <w:pPr>
              <w:ind w:left="10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1,877</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279</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23,898</w:t>
            </w: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Loans past due, still accruing</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Non-accrual</w:t>
            </w:r>
          </w:p>
        </w:tc>
      </w:tr>
      <w:tr>
        <w:trPr>
          <w:trHeight w:val="169"/>
        </w:trPr>
        <w:tc>
          <w:tcPr>
            <w:tcW w:w="2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30-59 Days</w:t>
            </w: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60-89 Days</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90+Days</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Loans</w:t>
            </w:r>
          </w:p>
        </w:tc>
      </w:tr>
      <w:tr>
        <w:trPr>
          <w:trHeight w:val="22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2,653</w:t>
            </w:r>
          </w:p>
        </w:tc>
        <w:tc>
          <w:tcPr>
            <w:tcW w:w="480" w:type="dxa"/>
            <w:vAlign w:val="bottom"/>
          </w:tcPr>
          <w:p>
            <w:pPr>
              <w:spacing w:after="0"/>
              <w:rPr>
                <w:sz w:val="19"/>
                <w:szCs w:val="19"/>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3,121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9,178</w:t>
            </w:r>
          </w:p>
        </w:tc>
      </w:tr>
      <w:tr>
        <w:trPr>
          <w:trHeight w:val="22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5,021</w:t>
            </w:r>
          </w:p>
        </w:tc>
        <w:tc>
          <w:tcPr>
            <w:tcW w:w="480" w:type="dxa"/>
            <w:vAlign w:val="bottom"/>
          </w:tcPr>
          <w:p>
            <w:pPr>
              <w:spacing w:after="0"/>
              <w:rPr>
                <w:sz w:val="19"/>
                <w:szCs w:val="19"/>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1,248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8,935</w:t>
            </w: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27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w:t>
            </w: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5,451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27,896</w:t>
            </w: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79"/>
        <w:spacing w:after="0" w:line="276" w:lineRule="auto"/>
        <w:rPr>
          <w:sz w:val="20"/>
          <w:szCs w:val="20"/>
          <w:color w:val="auto"/>
        </w:rPr>
      </w:pPr>
      <w:r>
        <w:rPr>
          <w:rFonts w:ascii="Arial" w:cs="Arial" w:eastAsia="Arial" w:hAnsi="Arial"/>
          <w:sz w:val="16"/>
          <w:szCs w:val="16"/>
          <w:color w:val="auto"/>
        </w:rPr>
        <w:t>The gross interest income that would have been recorded in the three months ended September 30, 2020 and 2019 if non-accrual loans and 90+ days past due loans had been current in accordance with their original terms was $0.5 million. The gross interest income that would have been recorded in the nine months ended September 30, 2020 and 2019 if non-accrual loans and 90+ days past due loans had been current in accordance with their original terms was $1.4 million and $1.6 million, respectively. The amount of interest collected on those loans and recognized on a cash basis that was included in interest income was insignificant for the three and nine months ended September 30, 2020 and 2019.</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 summary of troubled debt restructurings (“TDR”)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4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2019</w:t>
            </w:r>
          </w:p>
        </w:tc>
      </w:tr>
      <w:tr>
        <w:trPr>
          <w:trHeight w:val="22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3,927</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30 — 89 days past due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ind w:right="76"/>
              <w:spacing w:after="0"/>
              <w:rPr>
                <w:sz w:val="20"/>
                <w:szCs w:val="20"/>
                <w:color w:val="auto"/>
              </w:rPr>
            </w:pPr>
            <w:r>
              <w:rPr>
                <w:rFonts w:ascii="Arial" w:cs="Arial" w:eastAsia="Arial" w:hAnsi="Arial"/>
                <w:sz w:val="18"/>
                <w:szCs w:val="18"/>
                <w:color w:val="auto"/>
              </w:rPr>
              <w:t>291</w:t>
            </w: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1,253</w:t>
            </w:r>
          </w:p>
        </w:tc>
        <w:tc>
          <w:tcPr>
            <w:tcW w:w="5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23"/>
        </w:trPr>
        <w:tc>
          <w:tcPr>
            <w:tcW w:w="494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5,471</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259"/>
        <w:spacing w:after="0" w:line="253" w:lineRule="auto"/>
        <w:rPr>
          <w:sz w:val="20"/>
          <w:szCs w:val="20"/>
          <w:color w:val="auto"/>
        </w:rPr>
      </w:pPr>
      <w:r>
        <w:rPr>
          <w:rFonts w:ascii="Arial" w:cs="Arial" w:eastAsia="Arial" w:hAnsi="Arial"/>
          <w:sz w:val="17"/>
          <w:szCs w:val="17"/>
          <w:color w:val="auto"/>
        </w:rPr>
        <w:t>Loans newly classified as a TDR in compliance with modified terms during the three months ended September 30, 2020, included one retail real estate loan for payment modification with a recorded investment of $0.2 million. Loans newly classified as a TDR in compliance with modified terms during the nine months ended September 30, 2020, included two retail real estate loans for payment modifications with a recorded investment of $0.4 million. Loans newly classified as a TDR in compliance with modified terms during the three months ended September 30, 2019, included one commercial loan for short-term interest rate relief, with a recorded investment of $0.3 million. Loans newly classified as a TDR in compliance with modified terms during the nine months ended September 30, 2019, included one commercial loan for payment modification with a recorded investment of $0.6 million and one commercial loan for short-term interest rate relief, with a recorded investment of $0.3 million.</w:t>
      </w:r>
    </w:p>
    <w:p>
      <w:pPr>
        <w:spacing w:after="0" w:line="197" w:lineRule="exact"/>
        <w:rPr>
          <w:sz w:val="20"/>
          <w:szCs w:val="20"/>
          <w:color w:val="auto"/>
        </w:rPr>
      </w:pPr>
    </w:p>
    <w:p>
      <w:pPr>
        <w:ind w:left="60" w:right="99"/>
        <w:spacing w:after="0" w:line="324" w:lineRule="auto"/>
        <w:rPr>
          <w:sz w:val="20"/>
          <w:szCs w:val="20"/>
          <w:color w:val="auto"/>
        </w:rPr>
      </w:pPr>
      <w:r>
        <w:rPr>
          <w:rFonts w:ascii="Arial" w:cs="Arial" w:eastAsia="Arial" w:hAnsi="Arial"/>
          <w:sz w:val="16"/>
          <w:szCs w:val="16"/>
          <w:color w:val="auto"/>
        </w:rPr>
        <w:t>The gross interest income that would have been recorded in the three and nine months ended September 30, 2020 and 2019 if TDRs had performed in accordance with their original terms compared with their modified terms was insignificant.</w:t>
      </w:r>
    </w:p>
    <w:p>
      <w:pPr>
        <w:spacing w:after="0" w:line="138" w:lineRule="exact"/>
        <w:rPr>
          <w:sz w:val="20"/>
          <w:szCs w:val="20"/>
          <w:color w:val="auto"/>
        </w:rPr>
      </w:pPr>
    </w:p>
    <w:p>
      <w:pPr>
        <w:ind w:left="60" w:right="179"/>
        <w:spacing w:after="0" w:line="259" w:lineRule="auto"/>
        <w:rPr>
          <w:sz w:val="20"/>
          <w:szCs w:val="20"/>
          <w:color w:val="auto"/>
        </w:rPr>
      </w:pPr>
      <w:r>
        <w:rPr>
          <w:rFonts w:ascii="Arial" w:cs="Arial" w:eastAsia="Arial" w:hAnsi="Arial"/>
          <w:sz w:val="17"/>
          <w:szCs w:val="17"/>
          <w:color w:val="auto"/>
        </w:rPr>
        <w:t>There were no TDRs that were entered into during the last 12 months that were subsequently classified as non-performing and had payment defaults (a default occurs when a loan is 90 days or more past due or transferred to non-accrual) during the three and nine months ended September 30, 2020. One commercial real estate TDR, with a recorded investment of $3.2 million, that was entered into during the prior 12 months, was subsequently classified as non-performing and had payment defaults during the nine months ended September 30, 2019.</w:t>
      </w:r>
    </w:p>
    <w:p>
      <w:pPr>
        <w:spacing w:after="0" w:line="187" w:lineRule="exact"/>
        <w:rPr>
          <w:sz w:val="20"/>
          <w:szCs w:val="20"/>
          <w:color w:val="auto"/>
        </w:rPr>
      </w:pPr>
    </w:p>
    <w:p>
      <w:pPr>
        <w:ind w:left="60" w:right="279"/>
        <w:spacing w:after="0" w:line="270" w:lineRule="auto"/>
        <w:rPr>
          <w:sz w:val="20"/>
          <w:szCs w:val="20"/>
          <w:color w:val="auto"/>
        </w:rPr>
      </w:pPr>
      <w:r>
        <w:rPr>
          <w:rFonts w:ascii="Arial" w:cs="Arial" w:eastAsia="Arial" w:hAnsi="Arial"/>
          <w:sz w:val="17"/>
          <w:szCs w:val="17"/>
          <w:color w:val="auto"/>
        </w:rPr>
        <w:t>Modified loans with payment deferrals that fall under the Coronavirus Aid, Relief and Economic Security Act (“CARES Act”) or revised Interagency Statement on Loan Modifications and Reporting for Financial Institutions that suspended requirements under GAAP related to TDR classification are not included in the Company’s TDR totals.</w:t>
      </w:r>
    </w:p>
    <w:p>
      <w:pPr>
        <w:spacing w:after="0" w:line="177" w:lineRule="exact"/>
        <w:rPr>
          <w:sz w:val="20"/>
          <w:szCs w:val="20"/>
          <w:color w:val="auto"/>
        </w:rPr>
      </w:pPr>
    </w:p>
    <w:p>
      <w:pPr>
        <w:ind w:left="60" w:right="459"/>
        <w:spacing w:after="0" w:line="324" w:lineRule="auto"/>
        <w:rPr>
          <w:sz w:val="20"/>
          <w:szCs w:val="20"/>
          <w:color w:val="auto"/>
        </w:rPr>
      </w:pPr>
      <w:r>
        <w:rPr>
          <w:rFonts w:ascii="Arial" w:cs="Arial" w:eastAsia="Arial" w:hAnsi="Arial"/>
          <w:sz w:val="16"/>
          <w:szCs w:val="16"/>
          <w:color w:val="auto"/>
        </w:rPr>
        <w:t>At September 30, 2020, the Company had $1.2 million of residential real estate in the process of foreclosure. The Company has elected to follow the Federal Housing Finance Agency guidelines on single-family foreclosures and real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spacing w:after="0" w:line="291" w:lineRule="auto"/>
        <w:rPr>
          <w:sz w:val="20"/>
          <w:szCs w:val="20"/>
          <w:color w:val="auto"/>
        </w:rPr>
      </w:pPr>
      <w:r>
        <w:rPr>
          <w:rFonts w:ascii="Arial" w:cs="Arial" w:eastAsia="Arial" w:hAnsi="Arial"/>
          <w:sz w:val="17"/>
          <w:szCs w:val="17"/>
          <w:color w:val="auto"/>
        </w:rPr>
        <w:t>estate owned evictions on portfolio loans. The agency has extended the moratoriums on single-family foreclosures and real estate owned evictions until at least December 31, 2020 which will delay many foreclosures into 2021.</w:t>
      </w:r>
    </w:p>
    <w:p>
      <w:pPr>
        <w:spacing w:after="0" w:line="160"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 xml:space="preserve">The following tables provide details of loans evaluated individually, segregated by category. With the adoption of CECL, the Company only evaluated loans with disparate risk characteristics on an individual basis. The unpaid contractual principal balance represents the customer outstanding balance excluding any partial charge-offs. The amortized cost represents customer balances net of any partial charge-offs recognized on the loan. The average amortized cost is calculated using the most recent four quarters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77"/>
              <w:spacing w:after="0" w:line="160" w:lineRule="exact"/>
              <w:rPr>
                <w:sz w:val="20"/>
                <w:szCs w:val="20"/>
                <w:color w:val="auto"/>
              </w:rPr>
            </w:pPr>
            <w:r>
              <w:rPr>
                <w:rFonts w:ascii="Arial" w:cs="Arial" w:eastAsia="Arial" w:hAnsi="Arial"/>
                <w:sz w:val="14"/>
                <w:szCs w:val="14"/>
                <w:b w:val="1"/>
                <w:bCs w:val="1"/>
                <w:color w:val="auto"/>
                <w:w w:val="96"/>
              </w:rPr>
              <w:t>Unpaid</w:t>
            </w:r>
          </w:p>
        </w:tc>
        <w:tc>
          <w:tcPr>
            <w:tcW w:w="260" w:type="dxa"/>
            <w:vAlign w:val="bottom"/>
          </w:tcPr>
          <w:p>
            <w:pPr>
              <w:spacing w:after="0"/>
              <w:rPr>
                <w:sz w:val="13"/>
                <w:szCs w:val="13"/>
                <w:color w:val="auto"/>
              </w:rPr>
            </w:pPr>
          </w:p>
        </w:tc>
        <w:tc>
          <w:tcPr>
            <w:tcW w:w="920" w:type="dxa"/>
            <w:vAlign w:val="bottom"/>
          </w:tcPr>
          <w:p>
            <w:pPr>
              <w:jc w:val="center"/>
              <w:ind w:right="117"/>
              <w:spacing w:after="0" w:line="160"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94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5"/>
                <w:szCs w:val="15"/>
                <w:color w:val="auto"/>
              </w:rPr>
            </w:pPr>
          </w:p>
        </w:tc>
        <w:tc>
          <w:tcPr>
            <w:tcW w:w="9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5"/>
                <w:szCs w:val="15"/>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Amortized</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15,464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5,205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7,759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9,047</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7,737</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8,331</w:t>
            </w:r>
          </w:p>
        </w:tc>
        <w:tc>
          <w:tcPr>
            <w:tcW w:w="26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569</w:t>
            </w:r>
          </w:p>
        </w:tc>
        <w:tc>
          <w:tcPr>
            <w:tcW w:w="26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5,285</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4,578</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5,052</w:t>
            </w:r>
          </w:p>
        </w:tc>
        <w:tc>
          <w:tcPr>
            <w:tcW w:w="26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19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30,365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15,421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6,273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21,694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2,404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77"/>
              <w:spacing w:after="0" w:line="160" w:lineRule="exact"/>
              <w:rPr>
                <w:sz w:val="20"/>
                <w:szCs w:val="20"/>
                <w:color w:val="auto"/>
              </w:rPr>
            </w:pPr>
            <w:r>
              <w:rPr>
                <w:rFonts w:ascii="Arial" w:cs="Arial" w:eastAsia="Arial" w:hAnsi="Arial"/>
                <w:sz w:val="14"/>
                <w:szCs w:val="14"/>
                <w:b w:val="1"/>
                <w:bCs w:val="1"/>
                <w:color w:val="auto"/>
                <w:w w:val="96"/>
              </w:rPr>
              <w:t>Unpaid</w:t>
            </w:r>
          </w:p>
        </w:tc>
        <w:tc>
          <w:tcPr>
            <w:tcW w:w="260" w:type="dxa"/>
            <w:vAlign w:val="bottom"/>
          </w:tcPr>
          <w:p>
            <w:pPr>
              <w:spacing w:after="0"/>
              <w:rPr>
                <w:sz w:val="13"/>
                <w:szCs w:val="13"/>
                <w:color w:val="auto"/>
              </w:rPr>
            </w:pPr>
          </w:p>
        </w:tc>
        <w:tc>
          <w:tcPr>
            <w:tcW w:w="920" w:type="dxa"/>
            <w:vAlign w:val="bottom"/>
          </w:tcPr>
          <w:p>
            <w:pPr>
              <w:jc w:val="center"/>
              <w:ind w:right="117"/>
              <w:spacing w:after="0" w:line="160"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94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5"/>
                <w:szCs w:val="15"/>
                <w:color w:val="auto"/>
              </w:rPr>
            </w:pPr>
          </w:p>
        </w:tc>
        <w:tc>
          <w:tcPr>
            <w:tcW w:w="9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5"/>
                <w:szCs w:val="15"/>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Amortized</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14,415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4,727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9,753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14,487</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9,883</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2,039</w:t>
            </w:r>
          </w:p>
        </w:tc>
        <w:tc>
          <w:tcPr>
            <w:tcW w:w="2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11,922</w:t>
            </w:r>
          </w:p>
        </w:tc>
        <w:tc>
          <w:tcPr>
            <w:tcW w:w="26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1,049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1,116</w:t>
            </w:r>
          </w:p>
        </w:tc>
        <w:tc>
          <w:tcPr>
            <w:tcW w:w="26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15,581</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13,898</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14,372</w:t>
            </w:r>
          </w:p>
        </w:tc>
        <w:tc>
          <w:tcPr>
            <w:tcW w:w="26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19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45,686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29,540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7,539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37,079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4,853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As of September 30, 2020, there were $17.5 million of collateral dependent loans which are secured by real estate or business assets.</w:t>
      </w:r>
    </w:p>
    <w:p>
      <w:pPr>
        <w:spacing w:after="0" w:line="204" w:lineRule="exact"/>
        <w:rPr>
          <w:sz w:val="20"/>
          <w:szCs w:val="20"/>
          <w:color w:val="auto"/>
        </w:rPr>
      </w:pPr>
    </w:p>
    <w:p>
      <w:pPr>
        <w:ind w:left="60" w:right="99"/>
        <w:spacing w:after="0" w:line="272" w:lineRule="auto"/>
        <w:rPr>
          <w:sz w:val="20"/>
          <w:szCs w:val="20"/>
          <w:color w:val="auto"/>
        </w:rPr>
      </w:pPr>
      <w:r>
        <w:rPr>
          <w:rFonts w:ascii="Arial" w:cs="Arial" w:eastAsia="Arial" w:hAnsi="Arial"/>
          <w:sz w:val="16"/>
          <w:szCs w:val="16"/>
          <w:color w:val="auto"/>
        </w:rPr>
        <w:t>Management estimates the allowance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As of September 30, 2020, the Company expects the markets in which it operates to experience declines in economic conditions and increases in the unemployment rates and levels of delinquencies over the next 12 months. Management adjusted the historical loss experience for these expectations with an immediate reversion to historical loss rate beyond this forecast period. PPP loans were excluded from the allowance calculation as they are 100% government guaranteed.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 xml:space="preserve">The following table details activity in the allowance.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7"/>
          </w:tcPr>
          <w:p>
            <w:pPr>
              <w:jc w:val="center"/>
              <w:ind w:right="72"/>
              <w:spacing w:after="0"/>
              <w:rPr>
                <w:sz w:val="20"/>
                <w:szCs w:val="20"/>
                <w:color w:val="auto"/>
              </w:rPr>
            </w:pPr>
            <w:r>
              <w:rPr>
                <w:rFonts w:ascii="Arial" w:cs="Arial" w:eastAsia="Arial" w:hAnsi="Arial"/>
                <w:sz w:val="14"/>
                <w:szCs w:val="14"/>
                <w:b w:val="1"/>
                <w:bCs w:val="1"/>
                <w:color w:val="auto"/>
                <w:w w:val="92"/>
              </w:rPr>
              <w:t>As of and for the Three Months Ended September 30, 2020</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ind w:left="220"/>
              <w:spacing w:after="0" w:line="160" w:lineRule="exact"/>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3"/>
                <w:szCs w:val="13"/>
                <w:color w:val="auto"/>
              </w:rPr>
            </w:pPr>
          </w:p>
        </w:tc>
        <w:tc>
          <w:tcPr>
            <w:tcW w:w="940" w:type="dxa"/>
            <w:vAlign w:val="bottom"/>
          </w:tcPr>
          <w:p>
            <w:pPr>
              <w:jc w:val="right"/>
              <w:ind w:right="132"/>
              <w:spacing w:after="0" w:line="160" w:lineRule="exact"/>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3"/>
                <w:szCs w:val="13"/>
                <w:color w:val="auto"/>
              </w:rPr>
            </w:pPr>
          </w:p>
        </w:tc>
        <w:tc>
          <w:tcPr>
            <w:tcW w:w="980" w:type="dxa"/>
            <w:vAlign w:val="bottom"/>
          </w:tcPr>
          <w:p>
            <w:pPr>
              <w:jc w:val="center"/>
              <w:ind w:right="95"/>
              <w:spacing w:after="0" w:line="160" w:lineRule="exact"/>
              <w:rPr>
                <w:sz w:val="20"/>
                <w:szCs w:val="20"/>
                <w:color w:val="auto"/>
              </w:rPr>
            </w:pPr>
            <w:r>
              <w:rPr>
                <w:rFonts w:ascii="Arial" w:cs="Arial" w:eastAsia="Arial" w:hAnsi="Arial"/>
                <w:sz w:val="14"/>
                <w:szCs w:val="14"/>
                <w:b w:val="1"/>
                <w:bCs w:val="1"/>
                <w:color w:val="auto"/>
                <w:w w:val="94"/>
              </w:rPr>
              <w:t>Retail Real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Real Estate</w:t>
            </w: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Estate</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Retail Other</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42,680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7,792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20,405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1,023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96,046</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6"/>
                <w:szCs w:val="16"/>
                <w:color w:val="auto"/>
              </w:rPr>
              <w:t>Provision for credit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2,593</w:t>
            </w:r>
          </w:p>
        </w:tc>
        <w:tc>
          <w:tcPr>
            <w:tcW w:w="24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3,703</w:t>
            </w: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Charged-off</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Recoveries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24,363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45,917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7,419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20,184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958</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7"/>
          </w:tcPr>
          <w:p>
            <w:pPr>
              <w:jc w:val="center"/>
              <w:ind w:right="72"/>
              <w:spacing w:after="0"/>
              <w:rPr>
                <w:sz w:val="20"/>
                <w:szCs w:val="20"/>
                <w:color w:val="auto"/>
              </w:rPr>
            </w:pPr>
            <w:r>
              <w:rPr>
                <w:rFonts w:ascii="Arial" w:cs="Arial" w:eastAsia="Arial" w:hAnsi="Arial"/>
                <w:sz w:val="14"/>
                <w:szCs w:val="14"/>
                <w:b w:val="1"/>
                <w:bCs w:val="1"/>
                <w:color w:val="auto"/>
                <w:w w:val="92"/>
              </w:rPr>
              <w:t>As of and for the Nine Months Ended September 30, 2020</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6"/>
                <w:szCs w:val="16"/>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6"/>
                <w:szCs w:val="16"/>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Retail Real</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Real Estate</w:t>
            </w: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Estate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Retail Other</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prior to</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18,291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21,190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3,204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10,495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568</w:t>
            </w:r>
          </w:p>
        </w:tc>
        <w:tc>
          <w:tcPr>
            <w:tcW w:w="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199"/>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adoption of ASC 326</w:t>
            </w:r>
          </w:p>
        </w:tc>
        <w:tc>
          <w:tcPr>
            <w:tcW w:w="2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6"/>
                <w:szCs w:val="16"/>
                <w:color w:val="auto"/>
              </w:rPr>
              <w:t>Adoption of ASC 326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9,306</w:t>
            </w:r>
          </w:p>
        </w:tc>
        <w:tc>
          <w:tcPr>
            <w:tcW w:w="2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2,954</w:t>
            </w:r>
          </w:p>
        </w:tc>
        <w:tc>
          <w:tcPr>
            <w:tcW w:w="22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3,292</w:t>
            </w:r>
          </w:p>
        </w:tc>
        <w:tc>
          <w:tcPr>
            <w:tcW w:w="22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566</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16,833</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10,739</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17,090</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1,082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6,635</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35,656</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6"/>
                <w:szCs w:val="16"/>
                <w:color w:val="auto"/>
              </w:rPr>
              <w:t>Charged-off</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(5,682)</w:t>
            </w:r>
          </w:p>
        </w:tc>
        <w:tc>
          <w:tcPr>
            <w:tcW w:w="2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(1,833)</w:t>
            </w: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Recoveries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300</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164</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901</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289</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24,363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45,917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20,184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958</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3"/>
              </w:rPr>
              <w:t>As of and for the Three Months Ended September 30, 2019</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jc w:val="right"/>
              <w:ind w:right="134"/>
              <w:spacing w:after="0" w:line="160" w:lineRule="exact"/>
              <w:rPr>
                <w:sz w:val="20"/>
                <w:szCs w:val="20"/>
                <w:color w:val="auto"/>
              </w:rPr>
            </w:pPr>
            <w:r>
              <w:rPr>
                <w:rFonts w:ascii="Arial" w:cs="Arial" w:eastAsia="Arial" w:hAnsi="Arial"/>
                <w:sz w:val="14"/>
                <w:szCs w:val="14"/>
                <w:b w:val="1"/>
                <w:bCs w:val="1"/>
                <w:color w:val="auto"/>
              </w:rPr>
              <w:t>Commercial</w:t>
            </w:r>
          </w:p>
        </w:tc>
        <w:tc>
          <w:tcPr>
            <w:tcW w:w="1180" w:type="dxa"/>
            <w:vAlign w:val="bottom"/>
            <w:gridSpan w:val="2"/>
          </w:tcPr>
          <w:p>
            <w:pPr>
              <w:ind w:left="220"/>
              <w:spacing w:after="0" w:line="160" w:lineRule="exact"/>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3"/>
                <w:szCs w:val="13"/>
                <w:color w:val="auto"/>
              </w:rPr>
            </w:pPr>
          </w:p>
        </w:tc>
        <w:tc>
          <w:tcPr>
            <w:tcW w:w="980" w:type="dxa"/>
            <w:vAlign w:val="bottom"/>
          </w:tcPr>
          <w:p>
            <w:pPr>
              <w:jc w:val="center"/>
              <w:ind w:right="175"/>
              <w:spacing w:after="0" w:line="160" w:lineRule="exact"/>
              <w:rPr>
                <w:sz w:val="20"/>
                <w:szCs w:val="20"/>
                <w:color w:val="auto"/>
              </w:rPr>
            </w:pPr>
            <w:r>
              <w:rPr>
                <w:rFonts w:ascii="Arial" w:cs="Arial" w:eastAsia="Arial" w:hAnsi="Arial"/>
                <w:sz w:val="14"/>
                <w:szCs w:val="14"/>
                <w:b w:val="1"/>
                <w:bCs w:val="1"/>
                <w:color w:val="auto"/>
                <w:w w:val="94"/>
              </w:rPr>
              <w:t>Retail Real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9"/>
              </w:rPr>
              <w:t>Commercial</w:t>
            </w: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Real Estate</w:t>
            </w:r>
          </w:p>
        </w:tc>
        <w:tc>
          <w:tcPr>
            <w:tcW w:w="11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Estate</w:t>
            </w:r>
          </w:p>
        </w:tc>
        <w:tc>
          <w:tcPr>
            <w:tcW w:w="11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16,733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20,188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10,613</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51,375</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6"/>
                <w:szCs w:val="16"/>
                <w:color w:val="auto"/>
              </w:rPr>
              <w:t>Provision for loan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9"/>
                <w:szCs w:val="19"/>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3,167</w:t>
            </w:r>
          </w:p>
        </w:tc>
        <w:tc>
          <w:tcPr>
            <w:tcW w:w="2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Charged-off</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Recoveries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16,526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22,220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3,110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10,522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587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gridSpan w:val="7"/>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3"/>
              </w:rPr>
              <w:t>As of and for the Nine Months Ended September 30, 2019</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Commercial</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8"/>
                <w:szCs w:val="18"/>
                <w:color w:val="auto"/>
              </w:rPr>
            </w:pPr>
          </w:p>
        </w:tc>
        <w:tc>
          <w:tcPr>
            <w:tcW w:w="98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Retail Real</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9"/>
              </w:rPr>
              <w:t>Commercial</w:t>
            </w: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Real Estate</w:t>
            </w:r>
          </w:p>
        </w:tc>
        <w:tc>
          <w:tcPr>
            <w:tcW w:w="11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Estate</w:t>
            </w:r>
          </w:p>
        </w:tc>
        <w:tc>
          <w:tcPr>
            <w:tcW w:w="11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21,137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8,471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6"/>
                <w:szCs w:val="16"/>
                <w:color w:val="auto"/>
              </w:rPr>
              <w:t>Provision for loan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3,417</w:t>
            </w:r>
          </w:p>
        </w:tc>
        <w:tc>
          <w:tcPr>
            <w:tcW w:w="240" w:type="dxa"/>
            <w:vAlign w:val="bottom"/>
          </w:tcPr>
          <w:p>
            <w:pPr>
              <w:spacing w:after="0"/>
              <w:rPr>
                <w:sz w:val="19"/>
                <w:szCs w:val="19"/>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1,981</w:t>
            </w:r>
          </w:p>
        </w:tc>
        <w:tc>
          <w:tcPr>
            <w:tcW w:w="24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2,212</w:t>
            </w:r>
          </w:p>
        </w:tc>
        <w:tc>
          <w:tcPr>
            <w:tcW w:w="22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8,039</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Charged-off</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(1,183)</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Recoveries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285</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782</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320</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16,526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22,220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3,110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10,522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587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The following table presents the allowance and amortized cost of portfolio loans by category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w w:val="90"/>
              </w:rPr>
              <w:t>As of September 30, 2020</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Commercial</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5"/>
                <w:szCs w:val="15"/>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Retail Real</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Real Estate</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8"/>
              </w:rPr>
              <w:t>Construction</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Estate</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8"/>
              </w:rPr>
              <w:t>Loans individually evaluated for</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30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22,669</w:t>
            </w:r>
          </w:p>
        </w:tc>
        <w:tc>
          <w:tcPr>
            <w:tcW w:w="200" w:type="dxa"/>
            <w:vAlign w:val="bottom"/>
          </w:tcPr>
          <w:p>
            <w:pPr>
              <w:spacing w:after="0"/>
              <w:rPr>
                <w:sz w:val="20"/>
                <w:szCs w:val="2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45,681</w:t>
            </w:r>
          </w:p>
        </w:tc>
        <w:tc>
          <w:tcPr>
            <w:tcW w:w="220" w:type="dxa"/>
            <w:vAlign w:val="bottom"/>
          </w:tcPr>
          <w:p>
            <w:pPr>
              <w:spacing w:after="0"/>
              <w:rPr>
                <w:sz w:val="20"/>
                <w:szCs w:val="2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color w:val="auto"/>
              </w:rPr>
              <w:t>7,419</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19,710</w:t>
            </w:r>
          </w:p>
        </w:tc>
        <w:tc>
          <w:tcPr>
            <w:tcW w:w="26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958</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96,437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45,917</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20,184</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8"/>
              </w:rPr>
              <w:t>Loans individually evaluated for</w:t>
            </w: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7,759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6,415</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color w:val="auto"/>
              </w:rPr>
              <w:t>297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4,666</w:t>
            </w:r>
          </w:p>
        </w:tc>
        <w:tc>
          <w:tcPr>
            <w:tcW w:w="2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19,137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300" w:type="dxa"/>
            <w:vAlign w:val="bottom"/>
            <w:gridSpan w:val="3"/>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2"/>
              </w:rPr>
              <w:t>2,273,272</w:t>
            </w:r>
          </w:p>
        </w:tc>
        <w:tc>
          <w:tcPr>
            <w:tcW w:w="2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4"/>
              </w:rPr>
              <w:t>2,904,077</w:t>
            </w:r>
          </w:p>
        </w:tc>
        <w:tc>
          <w:tcPr>
            <w:tcW w:w="22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8"/>
              </w:rPr>
              <w:t>406,714</w:t>
            </w:r>
          </w:p>
        </w:tc>
        <w:tc>
          <w:tcPr>
            <w:tcW w:w="18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4"/>
              </w:rPr>
              <w:t>1,475,468</w:t>
            </w:r>
          </w:p>
        </w:tc>
        <w:tc>
          <w:tcPr>
            <w:tcW w:w="26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40,086</w:t>
            </w:r>
          </w:p>
        </w:tc>
        <w:tc>
          <w:tcPr>
            <w:tcW w:w="24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7,099,617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PCD loans evaluated for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20"/>
                <w:szCs w:val="2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2,281,031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2,912,408</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407,266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1,480,520</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7,121,311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w w:val="92"/>
              </w:rPr>
              <w:t>As of December 31, 2019</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4"/>
              </w:rPr>
              <w:t>Commercial</w:t>
            </w:r>
          </w:p>
        </w:tc>
        <w:tc>
          <w:tcPr>
            <w:tcW w:w="1000" w:type="dxa"/>
            <w:vAlign w:val="bottom"/>
            <w:gridSpan w:val="2"/>
          </w:tcPr>
          <w:p>
            <w:pPr>
              <w:jc w:val="right"/>
              <w:ind w:right="52"/>
              <w:spacing w:after="0" w:line="160" w:lineRule="exact"/>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3"/>
                <w:szCs w:val="13"/>
                <w:color w:val="auto"/>
              </w:rPr>
            </w:pPr>
          </w:p>
        </w:tc>
        <w:tc>
          <w:tcPr>
            <w:tcW w:w="900" w:type="dxa"/>
            <w:vAlign w:val="bottom"/>
          </w:tcPr>
          <w:p>
            <w:pPr>
              <w:jc w:val="center"/>
              <w:ind w:right="94"/>
              <w:spacing w:after="0" w:line="160" w:lineRule="exact"/>
              <w:rPr>
                <w:sz w:val="20"/>
                <w:szCs w:val="20"/>
                <w:color w:val="auto"/>
              </w:rPr>
            </w:pPr>
            <w:r>
              <w:rPr>
                <w:rFonts w:ascii="Arial" w:cs="Arial" w:eastAsia="Arial" w:hAnsi="Arial"/>
                <w:sz w:val="14"/>
                <w:szCs w:val="14"/>
                <w:b w:val="1"/>
                <w:bCs w:val="1"/>
                <w:color w:val="auto"/>
                <w:w w:val="94"/>
              </w:rPr>
              <w:t>Retail Real</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6"/>
                <w:szCs w:val="16"/>
                <w:color w:val="auto"/>
              </w:rPr>
            </w:pPr>
          </w:p>
        </w:tc>
        <w:tc>
          <w:tcPr>
            <w:tcW w:w="90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Real Estate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Pr>
          <w:p>
            <w:pPr>
              <w:spacing w:after="0"/>
              <w:rPr>
                <w:sz w:val="16"/>
                <w:szCs w:val="16"/>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Estate</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Pr>
          <w:p>
            <w:pPr>
              <w:spacing w:after="0"/>
              <w:rPr>
                <w:sz w:val="16"/>
                <w:szCs w:val="16"/>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Allowance</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Loans individually evaluated for</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3,330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1,049</w:t>
            </w: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30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14,961</w:t>
            </w:r>
          </w:p>
        </w:tc>
        <w:tc>
          <w:tcPr>
            <w:tcW w:w="200" w:type="dxa"/>
            <w:vAlign w:val="bottom"/>
          </w:tcPr>
          <w:p>
            <w:pPr>
              <w:spacing w:after="0"/>
              <w:rPr>
                <w:sz w:val="20"/>
                <w:szCs w:val="2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20,141</w:t>
            </w:r>
          </w:p>
        </w:tc>
        <w:tc>
          <w:tcPr>
            <w:tcW w:w="220" w:type="dxa"/>
            <w:vAlign w:val="bottom"/>
          </w:tcPr>
          <w:p>
            <w:pPr>
              <w:spacing w:after="0"/>
              <w:rPr>
                <w:sz w:val="20"/>
                <w:szCs w:val="2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3,204</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10,021</w:t>
            </w:r>
          </w:p>
        </w:tc>
        <w:tc>
          <w:tcPr>
            <w:tcW w:w="26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48,895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21,190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10,495</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9"/>
              </w:rPr>
              <w:t>Loans individually evaluated for</w:t>
            </w: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9,740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10,018</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539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13,676</w:t>
            </w:r>
          </w:p>
        </w:tc>
        <w:tc>
          <w:tcPr>
            <w:tcW w:w="2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34,031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impairment</w:t>
            </w:r>
          </w:p>
        </w:tc>
        <w:tc>
          <w:tcPr>
            <w:tcW w:w="300" w:type="dxa"/>
            <w:vAlign w:val="bottom"/>
            <w:gridSpan w:val="3"/>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9"/>
              </w:rPr>
              <w:t>1,738,615</w:t>
            </w:r>
          </w:p>
        </w:tc>
        <w:tc>
          <w:tcPr>
            <w:tcW w:w="2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4"/>
              </w:rPr>
              <w:t>2,781,495</w:t>
            </w:r>
          </w:p>
        </w:tc>
        <w:tc>
          <w:tcPr>
            <w:tcW w:w="22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5"/>
              </w:rPr>
              <w:t>400,887</w:t>
            </w:r>
          </w:p>
        </w:tc>
        <w:tc>
          <w:tcPr>
            <w:tcW w:w="18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4"/>
              </w:rPr>
              <w:t>1,679,397</w:t>
            </w:r>
          </w:p>
        </w:tc>
        <w:tc>
          <w:tcPr>
            <w:tcW w:w="26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49,776</w:t>
            </w:r>
          </w:p>
        </w:tc>
        <w:tc>
          <w:tcPr>
            <w:tcW w:w="24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6,650,170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PCI loans evaluated for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1,904</w:t>
            </w:r>
          </w:p>
        </w:tc>
        <w:tc>
          <w:tcPr>
            <w:tcW w:w="220" w:type="dxa"/>
            <w:vAlign w:val="bottom"/>
          </w:tcPr>
          <w:p>
            <w:pPr>
              <w:spacing w:after="0"/>
              <w:rPr>
                <w:sz w:val="20"/>
                <w:szCs w:val="2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1,748,368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2,793,417</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5"/>
              </w:rPr>
              <w:t>401,861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1,693,769</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49,834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6,687,249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Deposits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9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September 30, 2020</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December 31, 2019</w:t>
            </w:r>
          </w:p>
        </w:tc>
      </w:tr>
      <w:tr>
        <w:trPr>
          <w:trHeight w:val="22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2,595,075</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1,832,619</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Interest-bearing transaction deposits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93"/>
              <w:spacing w:after="0"/>
              <w:rPr>
                <w:sz w:val="20"/>
                <w:szCs w:val="20"/>
                <w:color w:val="auto"/>
              </w:rPr>
            </w:pPr>
            <w:r>
              <w:rPr>
                <w:rFonts w:ascii="Arial" w:cs="Arial" w:eastAsia="Arial" w:hAnsi="Arial"/>
                <w:sz w:val="18"/>
                <w:szCs w:val="18"/>
                <w:color w:val="auto"/>
              </w:rPr>
              <w:t>2,266,338</w:t>
            </w: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1,989,854</w:t>
            </w: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Saving deposits and money market deposits</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2,553,521</w:t>
            </w: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2,545,073</w:t>
            </w:r>
          </w:p>
        </w:tc>
      </w:tr>
      <w:tr>
        <w:trPr>
          <w:trHeight w:val="230"/>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deposits</w:t>
            </w:r>
          </w:p>
        </w:tc>
        <w:tc>
          <w:tcPr>
            <w:tcW w:w="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1,227,767</w:t>
            </w: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1,534,850</w:t>
            </w:r>
          </w:p>
        </w:tc>
      </w:tr>
      <w:tr>
        <w:trPr>
          <w:trHeight w:val="22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8,642,701</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7,902,396</w:t>
            </w:r>
          </w:p>
        </w:tc>
      </w:tr>
      <w:tr>
        <w:trPr>
          <w:trHeight w:val="20"/>
        </w:trPr>
        <w:tc>
          <w:tcPr>
            <w:tcW w:w="3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The Company held brokered saving deposits and money market deposits of $11.0 million and $12.5 million at September 30, 2020 and December 31, 2019, respectively.</w:t>
      </w:r>
    </w:p>
    <w:p>
      <w:pPr>
        <w:spacing w:after="0" w:line="18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aggregate amount of time deposits with a minimum denomination of $100,000 was approximately $641.0 million and $854.1 million at September 30, 2020 and December 31, 2019, respectively. The aggregate amount of time deposits with a minimum denomination that meets or exceeds the Federal Deposit Insurance Corporation (“FDIC”) insurance limit of $250,000 was approximately $234.1 million and $297.4 million at September 30, 2020 and December 31, 2019, respectively. The Company held brokered time deposits of $5.3 million and $5.5 million at September 30, 2020 and December 31, 2019, respectively.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As of September 30, 2020,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October 1, 2020 - September 30, 2021</w:t>
            </w:r>
          </w:p>
        </w:tc>
        <w:tc>
          <w:tcPr>
            <w:tcW w:w="272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803,854</w:t>
            </w: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October 1, 2021 - September 30, 2022</w:t>
            </w:r>
          </w:p>
        </w:tc>
        <w:tc>
          <w:tcPr>
            <w:tcW w:w="1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260,163</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October 1, 2022 - September 30, 2023</w:t>
            </w:r>
          </w:p>
        </w:tc>
        <w:tc>
          <w:tcPr>
            <w:tcW w:w="17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October 1, 2023 - September 30, 2024</w:t>
            </w:r>
          </w:p>
        </w:tc>
        <w:tc>
          <w:tcPr>
            <w:tcW w:w="1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63,121</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October 1, 2024 - September 30, 2025</w:t>
            </w:r>
          </w:p>
        </w:tc>
        <w:tc>
          <w:tcPr>
            <w:tcW w:w="17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19,065</w:t>
            </w:r>
          </w:p>
        </w:tc>
      </w:tr>
      <w:tr>
        <w:trPr>
          <w:trHeight w:val="229"/>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5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1,227,767</w:t>
            </w:r>
          </w:p>
        </w:tc>
      </w:tr>
      <w:tr>
        <w:trPr>
          <w:trHeight w:val="20"/>
        </w:trPr>
        <w:tc>
          <w:tcPr>
            <w:tcW w:w="4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Borrowings</w:t>
      </w:r>
    </w:p>
    <w:p>
      <w:pPr>
        <w:spacing w:after="0" w:line="229" w:lineRule="exact"/>
        <w:rPr>
          <w:sz w:val="20"/>
          <w:szCs w:val="20"/>
          <w:color w:val="auto"/>
        </w:rPr>
      </w:pPr>
    </w:p>
    <w:p>
      <w:pPr>
        <w:ind w:left="60" w:right="339"/>
        <w:spacing w:after="0" w:line="279" w:lineRule="auto"/>
        <w:rPr>
          <w:sz w:val="20"/>
          <w:szCs w:val="20"/>
          <w:color w:val="auto"/>
        </w:rPr>
      </w:pPr>
      <w:r>
        <w:rPr>
          <w:rFonts w:ascii="Arial" w:cs="Arial" w:eastAsia="Arial" w:hAnsi="Arial"/>
          <w:sz w:val="16"/>
          <w:szCs w:val="16"/>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$201.6 million at September 30, 2020 with a weighted average rate of 0.17%.</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Short-term borrowings include $4.7 million of FHLB advances which mature in less than one year from date of origination.</w:t>
      </w:r>
    </w:p>
    <w:p>
      <w:pPr>
        <w:spacing w:after="0" w:line="248"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On January 29, 2019, the Company entered into an Amended and Restated Credit Agreement providing for a $60.0 million term loan (the “Term Loan”) with a maturity date of November 30, 2023. The Term Loan had an annual interest rate of one-month LIBOR plus a spread of 1.50%. The proceeds of the Term Loan were used to fund the cash consideration related to the acquisition of Banc Ed. The Company, at its option, repaid the balance of the Term Loan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The Amended and Restated Credit Agreement also retained the Company’s $20.0 million revolving facility with a maturity date of April 30, 2019. On April 19, 2019, the Company entered into an amendment to the Amended and Restated Credit Agreement to extend the maturity of its revolving loan facility to April 30, 2020. On April 24, 2020, the revolving loan facility maturity was extended one year to April 30, 2021 with an annual interest rate of one-month LIBOR plus a spread of 1.75%. The revolving facility incurs a non-usage fee based on the undrawn amount. The Company had no outstanding balance under the revolving facility on September 30, 2020 or December 31, 2019.</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297"/>
              <w:spacing w:after="0"/>
              <w:rPr>
                <w:sz w:val="20"/>
                <w:szCs w:val="20"/>
                <w:color w:val="auto"/>
              </w:rPr>
            </w:pPr>
            <w:r>
              <w:rPr>
                <w:rFonts w:ascii="Arial" w:cs="Arial" w:eastAsia="Arial" w:hAnsi="Arial"/>
                <w:sz w:val="14"/>
                <w:szCs w:val="14"/>
                <w:b w:val="1"/>
                <w:bCs w:val="1"/>
                <w:color w:val="auto"/>
                <w:w w:val="96"/>
              </w:rPr>
              <w:t>September 30,</w:t>
            </w:r>
          </w:p>
        </w:tc>
        <w:tc>
          <w:tcPr>
            <w:tcW w:w="34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6"/>
              </w:rPr>
              <w:t>Notes payable, FHLB, original maturity of 5 years, collateralized by FHLB</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4,931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deposits, residential and commercial real estate loans and FHLB stock.</w:t>
            </w:r>
          </w:p>
        </w:tc>
        <w:tc>
          <w:tcPr>
            <w:tcW w:w="36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4,931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As of September 30, 2020, long-term debt from the FHLB consisted of a variable-rate note maturing May 2023, with an interest rate of 3.04%. As of December 31, 2019, funds borrowed from the FHLB, listed above, consisted of variable-rate notes maturing through September 2024, with interest rates ranging from 1.25% to 3.04%. The weighted average rate on the long-term advances was 1.53% as of December 31, 2019.</w:t>
      </w:r>
    </w:p>
    <w:p>
      <w:pPr>
        <w:spacing w:after="0" w:line="201" w:lineRule="exact"/>
        <w:rPr>
          <w:sz w:val="20"/>
          <w:szCs w:val="20"/>
          <w:color w:val="auto"/>
        </w:rPr>
      </w:pPr>
    </w:p>
    <w:p>
      <w:pPr>
        <w:ind w:left="60" w:right="99"/>
        <w:spacing w:after="0" w:line="269"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issued in 2017 totaled $0.2 million and $0.7 million, respectively, at September 30, 2020. Unamortized debt issuance costs related to the senior notes and subordinated notes issued in 2017 totaled $0.3 million and $0.8 million, respectively, at December 31, 2019.</w:t>
      </w:r>
    </w:p>
    <w:p>
      <w:pPr>
        <w:spacing w:after="0" w:line="181" w:lineRule="exact"/>
        <w:rPr>
          <w:sz w:val="20"/>
          <w:szCs w:val="20"/>
          <w:color w:val="auto"/>
        </w:rPr>
      </w:pPr>
    </w:p>
    <w:p>
      <w:pPr>
        <w:ind w:left="60" w:right="219"/>
        <w:spacing w:after="0" w:line="271" w:lineRule="auto"/>
        <w:rPr>
          <w:sz w:val="20"/>
          <w:szCs w:val="20"/>
          <w:color w:val="auto"/>
        </w:rPr>
      </w:pPr>
      <w:r>
        <w:rPr>
          <w:rFonts w:ascii="Arial" w:cs="Arial" w:eastAsia="Arial" w:hAnsi="Arial"/>
          <w:sz w:val="16"/>
          <w:szCs w:val="16"/>
          <w:color w:val="auto"/>
        </w:rPr>
        <w:t>To further enhance the Company’s strong capital and liquidity positions, 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 Unamortized debt issuance costs related to the subordinated notes issued in 2020 totaled $2.2 million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Earnings Per Common Share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68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6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0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30,829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71,999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54,586</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54,579</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54,783</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w w:val="99"/>
              </w:rPr>
              <w:t>Dilutive effect of outstanding options, warrants and restricted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00" w:type="dxa"/>
            <w:vAlign w:val="bottom"/>
          </w:tcPr>
          <w:p>
            <w:pPr>
              <w:ind w:left="320"/>
              <w:spacing w:after="0"/>
              <w:rPr>
                <w:sz w:val="20"/>
                <w:szCs w:val="20"/>
                <w:color w:val="auto"/>
              </w:rPr>
            </w:pPr>
            <w:r>
              <w:rPr>
                <w:rFonts w:ascii="Arial" w:cs="Arial" w:eastAsia="Arial" w:hAnsi="Arial"/>
                <w:sz w:val="18"/>
                <w:szCs w:val="18"/>
                <w:color w:val="auto"/>
                <w:w w:val="99"/>
              </w:rPr>
              <w:t>stock units as determined by the application of the treasury</w:t>
            </w:r>
          </w:p>
        </w:tc>
        <w:tc>
          <w:tcPr>
            <w:tcW w:w="180" w:type="dxa"/>
            <w:vAlign w:val="bottom"/>
          </w:tcPr>
          <w:p>
            <w:pPr>
              <w:spacing w:after="0"/>
              <w:rPr>
                <w:sz w:val="20"/>
                <w:szCs w:val="20"/>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stock method</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w w:val="95"/>
              </w:rPr>
              <w:t>Weighted average common shares outstanding, as adjusted for</w:t>
            </w:r>
          </w:p>
        </w:tc>
        <w:tc>
          <w:tcPr>
            <w:tcW w:w="180" w:type="dxa"/>
            <w:vAlign w:val="bottom"/>
          </w:tcPr>
          <w:p>
            <w:pPr>
              <w:spacing w:after="0"/>
              <w:rPr>
                <w:sz w:val="20"/>
                <w:szCs w:val="20"/>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8"/>
                <w:szCs w:val="18"/>
                <w:color w:val="auto"/>
              </w:rPr>
              <w:t>54,738</w:t>
            </w:r>
          </w:p>
        </w:tc>
        <w:tc>
          <w:tcPr>
            <w:tcW w:w="30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55,646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8"/>
                <w:szCs w:val="18"/>
                <w:color w:val="auto"/>
              </w:rPr>
              <w:t>54,796</w:t>
            </w:r>
          </w:p>
        </w:tc>
        <w:tc>
          <w:tcPr>
            <w:tcW w:w="30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55,058</w:t>
            </w: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diluted earnings per share calculation</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0.56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0.56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Common stock equivalents excluded from the earning per</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00" w:type="dxa"/>
            <w:vAlign w:val="bottom"/>
          </w:tcPr>
          <w:p>
            <w:pPr>
              <w:ind w:left="140"/>
              <w:spacing w:after="0"/>
              <w:rPr>
                <w:sz w:val="20"/>
                <w:szCs w:val="20"/>
                <w:color w:val="auto"/>
              </w:rPr>
            </w:pPr>
            <w:r>
              <w:rPr>
                <w:rFonts w:ascii="Arial" w:cs="Arial" w:eastAsia="Arial" w:hAnsi="Arial"/>
                <w:sz w:val="18"/>
                <w:szCs w:val="18"/>
                <w:color w:val="auto"/>
              </w:rPr>
              <w:t>common share calculations because their effect would have</w:t>
            </w:r>
          </w:p>
        </w:tc>
        <w:tc>
          <w:tcPr>
            <w:tcW w:w="180" w:type="dxa"/>
            <w:vAlign w:val="bottom"/>
          </w:tcPr>
          <w:p>
            <w:pPr>
              <w:spacing w:after="0"/>
              <w:rPr>
                <w:sz w:val="20"/>
                <w:szCs w:val="20"/>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35"/>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3"/>
        </w:trPr>
        <w:tc>
          <w:tcPr>
            <w:tcW w:w="5000" w:type="dxa"/>
            <w:vAlign w:val="bottom"/>
          </w:tcPr>
          <w:p>
            <w:pPr>
              <w:ind w:left="140"/>
              <w:spacing w:after="0" w:line="203" w:lineRule="exact"/>
              <w:rPr>
                <w:sz w:val="20"/>
                <w:szCs w:val="20"/>
                <w:color w:val="auto"/>
              </w:rPr>
            </w:pPr>
            <w:r>
              <w:rPr>
                <w:rFonts w:ascii="Arial" w:cs="Arial" w:eastAsia="Arial" w:hAnsi="Arial"/>
                <w:sz w:val="18"/>
                <w:szCs w:val="18"/>
                <w:color w:val="auto"/>
              </w:rPr>
              <w:t>been anti-dilutive</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299"/>
        <w:spacing w:after="0" w:line="296" w:lineRule="auto"/>
        <w:rPr>
          <w:sz w:val="20"/>
          <w:szCs w:val="20"/>
          <w:color w:val="auto"/>
        </w:rPr>
      </w:pPr>
      <w:r>
        <w:rPr>
          <w:rFonts w:ascii="Arial" w:cs="Arial" w:eastAsia="Arial" w:hAnsi="Arial"/>
          <w:sz w:val="17"/>
          <w:szCs w:val="17"/>
          <w:color w:val="auto"/>
        </w:rPr>
        <w:t>Basic earnings per share is computed by dividing net income for the period by the weighted average number of common shares outstanding, which include deferred stock units that are vested but not delivered. Diluted earnings per common share is computed using the treasury stock method and reflects the potential dilution that could occur if the Company’s outstanding stock options and warrants were exercised and restricted stock units were vested.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ind w:left="60" w:right="299"/>
        <w:spacing w:after="0" w:line="250" w:lineRule="auto"/>
        <w:rPr>
          <w:sz w:val="20"/>
          <w:szCs w:val="20"/>
          <w:color w:val="auto"/>
        </w:rPr>
      </w:pPr>
      <w:r>
        <w:rPr>
          <w:rFonts w:ascii="Arial" w:cs="Arial" w:eastAsia="Arial" w:hAnsi="Arial"/>
          <w:sz w:val="18"/>
          <w:szCs w:val="18"/>
          <w:color w:val="auto"/>
        </w:rPr>
        <w:t xml:space="preserve">The following table represents changes in accumulated other comprehensive income (loss) by component, net of tax, for the periods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Three Months Ended</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8255</wp:posOffset>
            </wp:positionV>
            <wp:extent cx="3180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p>
      <w:pPr>
        <w:spacing w:after="0" w:line="17"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15240</wp:posOffset>
            </wp:positionV>
            <wp:extent cx="15430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8" w:lineRule="exact"/>
        <w:rPr>
          <w:sz w:val="20"/>
          <w:szCs w:val="20"/>
          <w:color w:val="auto"/>
        </w:rPr>
      </w:pPr>
    </w:p>
    <w:p>
      <w:pPr>
        <w:jc w:val="center"/>
        <w:ind w:left="4100"/>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15240</wp:posOffset>
            </wp:positionV>
            <wp:extent cx="15430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8" w:lineRule="exact"/>
        <w:rPr>
          <w:sz w:val="20"/>
          <w:szCs w:val="20"/>
          <w:color w:val="auto"/>
        </w:rPr>
      </w:pPr>
    </w:p>
    <w:p>
      <w:pPr>
        <w:jc w:val="center"/>
        <w:ind w:right="79"/>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5" w:lineRule="exact"/>
        <w:rPr>
          <w:sz w:val="20"/>
          <w:szCs w:val="20"/>
          <w:color w:val="auto"/>
        </w:rPr>
      </w:pPr>
    </w:p>
    <w:p>
      <w:pPr>
        <w:sectPr>
          <w:pgSz w:w="11900" w:h="16838" w:orient="portrait"/>
          <w:cols w:equalWidth="0" w:num="2">
            <w:col w:w="6360" w:space="320"/>
            <w:col w:w="233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Unrealized gains (losses) on debt securities available for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sale:</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390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55,436</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(15,802)</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39,634</w:t>
            </w:r>
          </w:p>
        </w:tc>
        <w:tc>
          <w:tcPr>
            <w:tcW w:w="16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20,459</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(5,832)</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14,627</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holding gains (losses) on debt securities</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(2,392)</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2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(1,710)</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4,991</w:t>
            </w: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(1,423)</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3,568</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available for sale, net</w:t>
            </w: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(297)</w:t>
            </w: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69"/>
        </w:trPr>
        <w:tc>
          <w:tcPr>
            <w:tcW w:w="3900" w:type="dxa"/>
            <w:vAlign w:val="bottom"/>
          </w:tcPr>
          <w:p>
            <w:pPr>
              <w:ind w:left="220"/>
              <w:spacing w:after="0"/>
              <w:rPr>
                <w:sz w:val="20"/>
                <w:szCs w:val="20"/>
                <w:color w:val="auto"/>
              </w:rPr>
            </w:pPr>
            <w:r>
              <w:rPr>
                <w:rFonts w:ascii="Arial" w:cs="Arial" w:eastAsia="Arial" w:hAnsi="Arial"/>
                <w:sz w:val="14"/>
                <w:szCs w:val="14"/>
                <w:color w:val="auto"/>
              </w:rPr>
              <w:t>comprehensive income, net</w:t>
            </w: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Balance at end of period</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53,033</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(15,117)</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37,916</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25,153</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(7,170)</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17,983</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gains (losses) on cash flow hedges:</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(3,633)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1,036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(2,597)</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holding gains (losses) on cash flow hedges,</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82"/>
        </w:trPr>
        <w:tc>
          <w:tcPr>
            <w:tcW w:w="3900" w:type="dxa"/>
            <w:vAlign w:val="bottom"/>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192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comprehensive income, net</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Balance at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color w:val="auto"/>
              </w:rPr>
              <w:t>Total accumulated other comprehensive income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49,688</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(14,163)</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35,525</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24,325</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(6,934)</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59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8255</wp:posOffset>
            </wp:positionV>
            <wp:extent cx="3180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p>
      <w:pPr>
        <w:spacing w:after="0" w:line="17"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15240</wp:posOffset>
            </wp:positionV>
            <wp:extent cx="15430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 w:lineRule="exact"/>
        <w:rPr>
          <w:sz w:val="20"/>
          <w:szCs w:val="20"/>
          <w:color w:val="auto"/>
        </w:rPr>
      </w:pPr>
    </w:p>
    <w:p>
      <w:pPr>
        <w:jc w:val="center"/>
        <w:ind w:left="4100"/>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15240</wp:posOffset>
            </wp:positionV>
            <wp:extent cx="15430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 w:lineRule="exact"/>
        <w:rPr>
          <w:sz w:val="20"/>
          <w:szCs w:val="20"/>
          <w:color w:val="auto"/>
        </w:rPr>
      </w:pPr>
    </w:p>
    <w:p>
      <w:pPr>
        <w:jc w:val="center"/>
        <w:ind w:right="79"/>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5" w:lineRule="exact"/>
        <w:rPr>
          <w:sz w:val="20"/>
          <w:szCs w:val="20"/>
          <w:color w:val="auto"/>
        </w:rPr>
      </w:pPr>
    </w:p>
    <w:p>
      <w:pPr>
        <w:sectPr>
          <w:pgSz w:w="11900" w:h="16838" w:orient="portrait"/>
          <w:cols w:equalWidth="0" w:num="2">
            <w:col w:w="6360" w:space="320"/>
            <w:col w:w="233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Unrealized gains (losses) on debt securities available for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sale:</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90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21,192</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(6,032)</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15,160</w:t>
            </w:r>
          </w:p>
        </w:tc>
        <w:tc>
          <w:tcPr>
            <w:tcW w:w="16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(9,528)</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2,716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holding gains (losses) on debt securities</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33,551</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(9,577)</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23,974</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30,005</w:t>
            </w: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(8,552)</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available for sale, net</w:t>
            </w: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120"/>
              <w:spacing w:after="0"/>
              <w:rPr>
                <w:sz w:val="20"/>
                <w:szCs w:val="20"/>
                <w:color w:val="auto"/>
              </w:rPr>
            </w:pPr>
            <w:r>
              <w:rPr>
                <w:rFonts w:ascii="Arial" w:cs="Arial" w:eastAsia="Arial" w:hAnsi="Arial"/>
                <w:sz w:val="14"/>
                <w:szCs w:val="14"/>
                <w:color w:val="auto"/>
              </w:rPr>
              <w:t>Unrealized losses on debt securities transferred from held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Arial" w:cs="Arial" w:eastAsia="Arial" w:hAnsi="Arial"/>
                <w:sz w:val="14"/>
                <w:szCs w:val="14"/>
                <w:color w:val="auto"/>
              </w:rPr>
              <w:t>to</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4,780</w:t>
            </w: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(1,363)</w:t>
            </w: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4"/>
                <w:szCs w:val="14"/>
                <w:color w:val="auto"/>
              </w:rPr>
              <w:t>maturity to available for sale</w:t>
            </w: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2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(1,218)</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net</w:t>
            </w: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Balance at end of period</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53,033</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(15,117)</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37,916</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25,153</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(7,170)</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Arial" w:cs="Arial" w:eastAsia="Arial" w:hAnsi="Arial"/>
                <w:sz w:val="14"/>
                <w:szCs w:val="14"/>
                <w:color w:val="auto"/>
              </w:rPr>
              <w:t>Unrealized gains (losses) on cash flow hedges: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beginning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120"/>
              <w:spacing w:after="0"/>
              <w:rPr>
                <w:sz w:val="20"/>
                <w:szCs w:val="20"/>
                <w:color w:val="auto"/>
              </w:rPr>
            </w:pPr>
            <w:r>
              <w:rPr>
                <w:rFonts w:ascii="Arial" w:cs="Arial" w:eastAsia="Arial" w:hAnsi="Arial"/>
                <w:sz w:val="14"/>
                <w:szCs w:val="14"/>
                <w:color w:val="auto"/>
              </w:rPr>
              <w:t>Unrealized holding gains (losses) on cash flow hedges,</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Arial" w:cs="Arial" w:eastAsia="Arial" w:hAnsi="Arial"/>
                <w:sz w:val="14"/>
                <w:szCs w:val="14"/>
                <w:color w:val="auto"/>
              </w:rPr>
              <w:t>net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(3,123)</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890</w:t>
            </w:r>
          </w:p>
        </w:tc>
        <w:tc>
          <w:tcPr>
            <w:tcW w:w="2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(2,233)</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(837)</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239</w:t>
            </w:r>
          </w:p>
        </w:tc>
        <w:tc>
          <w:tcPr>
            <w:tcW w:w="22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net</w:t>
            </w: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Balance at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(2,391)</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accumulated other comprehensive income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49,688</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(14,163)</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35,525</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24,325</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(6,934)</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Share-based Compensation</w:t>
      </w:r>
    </w:p>
    <w:p>
      <w:pPr>
        <w:spacing w:after="0" w:line="229" w:lineRule="exact"/>
        <w:rPr>
          <w:sz w:val="20"/>
          <w:szCs w:val="20"/>
          <w:color w:val="auto"/>
        </w:rPr>
      </w:pPr>
    </w:p>
    <w:p>
      <w:pPr>
        <w:ind w:left="60" w:right="179"/>
        <w:spacing w:after="0" w:line="279" w:lineRule="auto"/>
        <w:rPr>
          <w:sz w:val="20"/>
          <w:szCs w:val="20"/>
          <w:color w:val="auto"/>
        </w:rPr>
      </w:pPr>
      <w:r>
        <w:rPr>
          <w:rFonts w:ascii="Arial" w:cs="Arial" w:eastAsia="Arial" w:hAnsi="Arial"/>
          <w:sz w:val="16"/>
          <w:szCs w:val="16"/>
          <w:color w:val="auto"/>
        </w:rPr>
        <w:t>The First Busey 2020 Equity Incentive Plan (the “2020 Equity Plan”) was approved by stockholders at the 2020 Annual Meeting of Stockholders. A description of the 2020 Equity Plan can be found in the Company’s Proxy Statement for the 2020 Annual Meeting of Stockholders filed on April 9, 2020. The 2020 Equity Plan replaces the 2010 Equity Incentive Plan and the First Community Financial Partners, Inc. 2016 Equity Incentive Plan, which from time to time, the Company used to grant equity awards to legacy employees of First Community Financial Partners, Inc. Under the terms</w:t>
      </w:r>
    </w:p>
    <w:p>
      <w:pPr>
        <w:sectPr>
          <w:pgSz w:w="11900" w:h="16838" w:orient="portrait"/>
          <w:cols w:equalWidth="0" w:num="1">
            <w:col w:w="9019"/>
          </w:cols>
          <w:pgMar w:left="1440" w:top="530" w:right="1440" w:bottom="1440" w:gutter="0" w:footer="0" w:header="0"/>
          <w:type w:val="continuous"/>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59"/>
        <w:spacing w:after="0" w:line="261" w:lineRule="auto"/>
        <w:rPr>
          <w:sz w:val="20"/>
          <w:szCs w:val="20"/>
          <w:color w:val="auto"/>
        </w:rPr>
      </w:pPr>
      <w:r>
        <w:rPr>
          <w:rFonts w:ascii="Arial" w:cs="Arial" w:eastAsia="Arial" w:hAnsi="Arial"/>
          <w:sz w:val="18"/>
          <w:szCs w:val="18"/>
          <w:color w:val="auto"/>
        </w:rPr>
        <w:t>of the 2020 Equity Plan, the Company has granted restricted stock units, deferred stock units and performance-based restricted stock unit awards.</w:t>
      </w:r>
    </w:p>
    <w:p>
      <w:pPr>
        <w:spacing w:after="0" w:line="184"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The Company grants restricted stock units to members of management periodically throughout the year. Each restricted stock unit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203"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The Company grants deferred stock units, which are restricted stock units with a deferred settlement date, to its directors and advisory directors. Each deferred stock unit is equivalent to one share of the Company’s common stock. The deferred stock units vest over a one-year period following the grant date. These units generally are subject to the same terms as restricted stock units under the Company’s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189" w:lineRule="exact"/>
        <w:rPr>
          <w:sz w:val="20"/>
          <w:szCs w:val="20"/>
          <w:color w:val="auto"/>
        </w:rPr>
      </w:pPr>
    </w:p>
    <w:p>
      <w:pPr>
        <w:ind w:left="60" w:right="319"/>
        <w:spacing w:after="0" w:line="262" w:lineRule="auto"/>
        <w:rPr>
          <w:sz w:val="20"/>
          <w:szCs w:val="20"/>
          <w:color w:val="auto"/>
        </w:rPr>
      </w:pPr>
      <w:r>
        <w:rPr>
          <w:rFonts w:ascii="Arial" w:cs="Arial" w:eastAsia="Arial" w:hAnsi="Arial"/>
          <w:sz w:val="17"/>
          <w:szCs w:val="17"/>
          <w:color w:val="auto"/>
        </w:rPr>
        <w:t>The Company also grants performance-based restricted stock unit awards to members of management periodically throughout the year. Each performance-based restricted stock unit is equivalent to one share of the Company’s common stock. The number of units that ultimately vest will be determined based on the achievement of the market performance goal, subject to accelerated vesting upon eligible retirement from the Company.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outstanding stock options assumed from acquisitions.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Upon vesting/delivery, shares are expected (though not required) to be issued from treasury.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left="60" w:right="299"/>
        <w:spacing w:after="0" w:line="250" w:lineRule="auto"/>
        <w:rPr>
          <w:sz w:val="20"/>
          <w:szCs w:val="20"/>
          <w:color w:val="auto"/>
        </w:rPr>
      </w:pPr>
      <w:r>
        <w:rPr>
          <w:rFonts w:ascii="Arial" w:cs="Arial" w:eastAsia="Arial" w:hAnsi="Arial"/>
          <w:sz w:val="18"/>
          <w:szCs w:val="18"/>
          <w:color w:val="auto"/>
        </w:rPr>
        <w:t>A summary of the status of and changes in the Company's stock option awards for the nine months ended September 30, 2020 follows: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jc w:val="center"/>
              <w:ind w:left="500"/>
              <w:spacing w:after="0"/>
              <w:rPr>
                <w:sz w:val="20"/>
                <w:szCs w:val="20"/>
                <w:color w:val="auto"/>
              </w:rPr>
            </w:pPr>
            <w:r>
              <w:rPr>
                <w:rFonts w:ascii="Arial" w:cs="Arial" w:eastAsia="Arial" w:hAnsi="Arial"/>
                <w:sz w:val="14"/>
                <w:szCs w:val="14"/>
                <w:b w:val="1"/>
                <w:bCs w:val="1"/>
                <w:color w:val="auto"/>
                <w:w w:val="94"/>
              </w:rPr>
              <w:t>Weighted-</w:t>
            </w:r>
          </w:p>
        </w:tc>
        <w:tc>
          <w:tcPr>
            <w:tcW w:w="500" w:type="dxa"/>
            <w:vAlign w:val="bottom"/>
          </w:tcPr>
          <w:p>
            <w:pPr>
              <w:spacing w:after="0"/>
              <w:rPr>
                <w:sz w:val="14"/>
                <w:szCs w:val="14"/>
                <w:color w:val="auto"/>
              </w:rPr>
            </w:pPr>
          </w:p>
        </w:tc>
        <w:tc>
          <w:tcPr>
            <w:tcW w:w="2160" w:type="dxa"/>
            <w:vAlign w:val="bottom"/>
          </w:tcPr>
          <w:p>
            <w:pPr>
              <w:jc w:val="center"/>
              <w:ind w:left="82"/>
              <w:spacing w:after="0"/>
              <w:rPr>
                <w:sz w:val="20"/>
                <w:szCs w:val="20"/>
                <w:color w:val="auto"/>
              </w:rPr>
            </w:pPr>
            <w:r>
              <w:rPr>
                <w:rFonts w:ascii="Arial" w:cs="Arial" w:eastAsia="Arial" w:hAnsi="Arial"/>
                <w:sz w:val="14"/>
                <w:szCs w:val="14"/>
                <w:b w:val="1"/>
                <w:bCs w:val="1"/>
                <w:color w:val="auto"/>
                <w:w w:val="94"/>
              </w:rPr>
              <w:t>Weighted-</w:t>
            </w:r>
          </w:p>
        </w:tc>
      </w:tr>
      <w:tr>
        <w:trPr>
          <w:trHeight w:val="176"/>
        </w:trPr>
        <w:tc>
          <w:tcPr>
            <w:tcW w:w="3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jc w:val="center"/>
              <w:ind w:left="480"/>
              <w:spacing w:after="0"/>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5"/>
                <w:szCs w:val="15"/>
                <w:color w:val="auto"/>
              </w:rPr>
            </w:pPr>
          </w:p>
        </w:tc>
        <w:tc>
          <w:tcPr>
            <w:tcW w:w="2160" w:type="dxa"/>
            <w:vAlign w:val="bottom"/>
          </w:tcPr>
          <w:p>
            <w:pPr>
              <w:jc w:val="center"/>
              <w:ind w:left="82"/>
              <w:spacing w:after="0"/>
              <w:rPr>
                <w:sz w:val="20"/>
                <w:szCs w:val="20"/>
                <w:color w:val="auto"/>
              </w:rPr>
            </w:pPr>
            <w:r>
              <w:rPr>
                <w:rFonts w:ascii="Arial" w:cs="Arial" w:eastAsia="Arial" w:hAnsi="Arial"/>
                <w:sz w:val="14"/>
                <w:szCs w:val="14"/>
                <w:b w:val="1"/>
                <w:bCs w:val="1"/>
                <w:color w:val="auto"/>
                <w:w w:val="94"/>
              </w:rPr>
              <w:t>Average</w:t>
            </w:r>
          </w:p>
        </w:tc>
      </w:tr>
      <w:tr>
        <w:trPr>
          <w:trHeight w:val="175"/>
        </w:trPr>
        <w:tc>
          <w:tcPr>
            <w:tcW w:w="3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jc w:val="center"/>
              <w:ind w:left="500"/>
              <w:spacing w:after="0"/>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5"/>
                <w:szCs w:val="15"/>
                <w:color w:val="auto"/>
              </w:rPr>
            </w:pPr>
          </w:p>
        </w:tc>
        <w:tc>
          <w:tcPr>
            <w:tcW w:w="216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Remaining Contractual</w:t>
            </w:r>
          </w:p>
        </w:tc>
      </w:tr>
      <w:tr>
        <w:trPr>
          <w:trHeight w:val="185"/>
        </w:trPr>
        <w:tc>
          <w:tcPr>
            <w:tcW w:w="32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500"/>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Term</w:t>
            </w: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53,185</w:t>
            </w:r>
          </w:p>
        </w:tc>
        <w:tc>
          <w:tcPr>
            <w:tcW w:w="126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22.00</w:t>
            </w:r>
          </w:p>
        </w:tc>
        <w:tc>
          <w:tcPr>
            <w:tcW w:w="2160" w:type="dxa"/>
            <w:vAlign w:val="bottom"/>
            <w:shd w:val="clear" w:color="auto" w:fill="CCEEFF"/>
          </w:tcPr>
          <w:p>
            <w:pPr>
              <w:spacing w:after="0"/>
              <w:rPr>
                <w:sz w:val="19"/>
                <w:szCs w:val="19"/>
                <w:color w:val="auto"/>
              </w:rPr>
            </w:pPr>
          </w:p>
        </w:tc>
      </w:tr>
      <w:tr>
        <w:trPr>
          <w:trHeight w:val="230"/>
        </w:trPr>
        <w:tc>
          <w:tcPr>
            <w:tcW w:w="4260" w:type="dxa"/>
            <w:vAlign w:val="bottom"/>
            <w:gridSpan w:val="2"/>
          </w:tcPr>
          <w:p>
            <w:pPr>
              <w:ind w:left="220"/>
              <w:spacing w:after="0"/>
              <w:rPr>
                <w:sz w:val="20"/>
                <w:szCs w:val="20"/>
                <w:color w:val="auto"/>
              </w:rPr>
            </w:pPr>
            <w:r>
              <w:rPr>
                <w:rFonts w:ascii="Arial" w:cs="Arial" w:eastAsia="Arial" w:hAnsi="Arial"/>
                <w:sz w:val="18"/>
                <w:szCs w:val="18"/>
                <w:color w:val="auto"/>
              </w:rPr>
              <w:t>Exercised</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89"/>
              </w:rPr>
              <w:t>(12,956)</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22.73</w:t>
            </w:r>
          </w:p>
        </w:tc>
        <w:tc>
          <w:tcPr>
            <w:tcW w:w="2160" w:type="dxa"/>
            <w:vAlign w:val="bottom"/>
          </w:tcPr>
          <w:p>
            <w:pPr>
              <w:spacing w:after="0"/>
              <w:rPr>
                <w:sz w:val="19"/>
                <w:szCs w:val="19"/>
                <w:color w:val="auto"/>
              </w:rPr>
            </w:pPr>
          </w:p>
        </w:tc>
      </w:tr>
      <w:tr>
        <w:trPr>
          <w:trHeight w:val="230"/>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spacing w:after="0"/>
              <w:rPr>
                <w:sz w:val="19"/>
                <w:szCs w:val="19"/>
                <w:color w:val="auto"/>
              </w:rPr>
            </w:pPr>
          </w:p>
        </w:tc>
      </w:tr>
      <w:tr>
        <w:trPr>
          <w:trHeight w:val="229"/>
        </w:trPr>
        <w:tc>
          <w:tcPr>
            <w:tcW w:w="3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Expired</w:t>
            </w: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(1,144)</w:t>
            </w: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21.35</w:t>
            </w:r>
          </w:p>
        </w:tc>
        <w:tc>
          <w:tcPr>
            <w:tcW w:w="2160" w:type="dxa"/>
            <w:vAlign w:val="bottom"/>
            <w:tcBorders>
              <w:bottom w:val="single" w:sz="8" w:color="CCEEFF"/>
            </w:tcBorders>
          </w:tcPr>
          <w:p>
            <w:pPr>
              <w:spacing w:after="0"/>
              <w:rPr>
                <w:sz w:val="19"/>
                <w:szCs w:val="19"/>
                <w:color w:val="auto"/>
              </w:rPr>
            </w:pPr>
          </w:p>
        </w:tc>
      </w:tr>
      <w:tr>
        <w:trPr>
          <w:trHeight w:val="223"/>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39,085</w:t>
            </w:r>
          </w:p>
        </w:tc>
        <w:tc>
          <w:tcPr>
            <w:tcW w:w="126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23.53</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0"/>
        </w:trPr>
        <w:tc>
          <w:tcPr>
            <w:tcW w:w="4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1"/>
        </w:trPr>
        <w:tc>
          <w:tcPr>
            <w:tcW w:w="3220" w:type="dxa"/>
            <w:vAlign w:val="bottom"/>
          </w:tcPr>
          <w:p>
            <w:pPr>
              <w:spacing w:after="0"/>
              <w:rPr>
                <w:sz w:val="20"/>
                <w:szCs w:val="20"/>
                <w:color w:val="auto"/>
              </w:rPr>
            </w:pPr>
            <w:r>
              <w:rPr>
                <w:rFonts w:ascii="Arial" w:cs="Arial" w:eastAsia="Arial" w:hAnsi="Arial"/>
                <w:sz w:val="18"/>
                <w:szCs w:val="18"/>
                <w:color w:val="auto"/>
              </w:rPr>
              <w:t>Exercisable at end of period</w:t>
            </w:r>
          </w:p>
        </w:tc>
        <w:tc>
          <w:tcPr>
            <w:tcW w:w="10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8"/>
              </w:rPr>
              <w:t>39,085</w:t>
            </w:r>
          </w:p>
        </w:tc>
        <w:tc>
          <w:tcPr>
            <w:tcW w:w="1260" w:type="dxa"/>
            <w:vAlign w:val="bottom"/>
            <w:tcBorders>
              <w:top w:val="single" w:sz="8" w:color="auto"/>
            </w:tcBorders>
          </w:tcPr>
          <w:p>
            <w:pPr>
              <w:jc w:val="right"/>
              <w:ind w:right="10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23.53</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r>
    </w:tbl>
    <w:p>
      <w:pPr>
        <w:spacing w:after="0" w:line="214"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The Company did not record any stock option compensation expense for the three or nine months ended September 30, 2020. The Company recorded an insignificant amount and $0.1 million of stock option compensation expense for the three and nine months ended September 30, 2019, respectively, related to the converted options from First Community Financial Partners, Inc.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 Deferred Stock Unit and Performance-Based Restricted Stock Unit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summary of the changes in the Company’s restricted stock unit and deferred stock unit awards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 is as follows:</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377"/>
              <w:spacing w:after="0"/>
              <w:rPr>
                <w:sz w:val="20"/>
                <w:szCs w:val="20"/>
                <w:color w:val="auto"/>
              </w:rPr>
            </w:pPr>
            <w:r>
              <w:rPr>
                <w:rFonts w:ascii="Arial" w:cs="Arial" w:eastAsia="Arial" w:hAnsi="Arial"/>
                <w:sz w:val="14"/>
                <w:szCs w:val="14"/>
                <w:b w:val="1"/>
                <w:bCs w:val="1"/>
                <w:color w:val="auto"/>
                <w:w w:val="94"/>
              </w:rPr>
              <w:t>Weighted-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320" w:type="dxa"/>
            <w:vAlign w:val="bottom"/>
          </w:tcPr>
          <w:p>
            <w:pPr>
              <w:spacing w:after="0"/>
              <w:rPr>
                <w:sz w:val="15"/>
                <w:szCs w:val="15"/>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Weighted-</w:t>
            </w:r>
          </w:p>
        </w:tc>
      </w:tr>
      <w:tr>
        <w:trPr>
          <w:trHeight w:val="176"/>
        </w:trPr>
        <w:tc>
          <w:tcPr>
            <w:tcW w:w="3460" w:type="dxa"/>
            <w:vAlign w:val="bottom"/>
          </w:tcPr>
          <w:p>
            <w:pPr>
              <w:spacing w:after="0"/>
              <w:rPr>
                <w:sz w:val="15"/>
                <w:szCs w:val="15"/>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Restricted</w:t>
            </w:r>
          </w:p>
        </w:tc>
        <w:tc>
          <w:tcPr>
            <w:tcW w:w="260" w:type="dxa"/>
            <w:vAlign w:val="bottom"/>
          </w:tcPr>
          <w:p>
            <w:pPr>
              <w:spacing w:after="0"/>
              <w:rPr>
                <w:sz w:val="15"/>
                <w:szCs w:val="15"/>
                <w:color w:val="auto"/>
              </w:rPr>
            </w:pPr>
          </w:p>
        </w:tc>
        <w:tc>
          <w:tcPr>
            <w:tcW w:w="1340" w:type="dxa"/>
            <w:vAlign w:val="bottom"/>
          </w:tcPr>
          <w:p>
            <w:pPr>
              <w:jc w:val="center"/>
              <w:ind w:right="357"/>
              <w:spacing w:after="0"/>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320" w:type="dxa"/>
            <w:vAlign w:val="bottom"/>
          </w:tcPr>
          <w:p>
            <w:pPr>
              <w:spacing w:after="0"/>
              <w:rPr>
                <w:sz w:val="15"/>
                <w:szCs w:val="15"/>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3460" w:type="dxa"/>
            <w:vAlign w:val="bottom"/>
          </w:tcPr>
          <w:p>
            <w:pPr>
              <w:spacing w:after="0"/>
              <w:rPr>
                <w:sz w:val="15"/>
                <w:szCs w:val="15"/>
                <w:color w:val="auto"/>
              </w:rPr>
            </w:pPr>
          </w:p>
        </w:tc>
        <w:tc>
          <w:tcPr>
            <w:tcW w:w="112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5"/>
                <w:szCs w:val="15"/>
                <w:color w:val="auto"/>
              </w:rPr>
            </w:pPr>
          </w:p>
        </w:tc>
        <w:tc>
          <w:tcPr>
            <w:tcW w:w="1340" w:type="dxa"/>
            <w:vAlign w:val="bottom"/>
          </w:tcPr>
          <w:p>
            <w:pPr>
              <w:jc w:val="center"/>
              <w:ind w:right="357"/>
              <w:spacing w:after="0"/>
              <w:rPr>
                <w:sz w:val="20"/>
                <w:szCs w:val="20"/>
                <w:color w:val="auto"/>
              </w:rPr>
            </w:pPr>
            <w:r>
              <w:rPr>
                <w:rFonts w:ascii="Arial" w:cs="Arial" w:eastAsia="Arial" w:hAnsi="Arial"/>
                <w:sz w:val="14"/>
                <w:szCs w:val="14"/>
                <w:b w:val="1"/>
                <w:bCs w:val="1"/>
                <w:color w:val="auto"/>
                <w:w w:val="97"/>
              </w:rPr>
              <w:t>Grant Date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5"/>
                <w:szCs w:val="15"/>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34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7"/>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period</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778,317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27.27</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21,261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r>
      <w:tr>
        <w:trPr>
          <w:trHeight w:val="229"/>
        </w:trPr>
        <w:tc>
          <w:tcPr>
            <w:tcW w:w="34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384,343</w:t>
            </w:r>
          </w:p>
        </w:tc>
        <w:tc>
          <w:tcPr>
            <w:tcW w:w="260" w:type="dxa"/>
            <w:vAlign w:val="bottom"/>
          </w:tcPr>
          <w:p>
            <w:pPr>
              <w:spacing w:after="0"/>
              <w:rPr>
                <w:sz w:val="19"/>
                <w:szCs w:val="19"/>
                <w:color w:val="auto"/>
              </w:rPr>
            </w:pP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17.26</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33,419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17.17</w:t>
            </w:r>
          </w:p>
        </w:tc>
      </w:tr>
      <w:tr>
        <w:trPr>
          <w:trHeight w:val="229"/>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equivalents earned</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29,265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19.21</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3,235</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30"/>
        </w:trPr>
        <w:tc>
          <w:tcPr>
            <w:tcW w:w="3460" w:type="dxa"/>
            <w:vAlign w:val="bottom"/>
          </w:tcPr>
          <w:p>
            <w:pPr>
              <w:ind w:left="220"/>
              <w:spacing w:after="0"/>
              <w:rPr>
                <w:sz w:val="20"/>
                <w:szCs w:val="20"/>
                <w:color w:val="auto"/>
              </w:rPr>
            </w:pPr>
            <w:r>
              <w:rPr>
                <w:rFonts w:ascii="Arial" w:cs="Arial" w:eastAsia="Arial" w:hAnsi="Arial"/>
                <w:sz w:val="18"/>
                <w:szCs w:val="18"/>
                <w:color w:val="auto"/>
              </w:rPr>
              <w:t>Vested</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(117,641)</w:t>
            </w:r>
          </w:p>
        </w:tc>
        <w:tc>
          <w:tcPr>
            <w:tcW w:w="260" w:type="dxa"/>
            <w:vAlign w:val="bottom"/>
          </w:tcPr>
          <w:p>
            <w:pPr>
              <w:spacing w:after="0"/>
              <w:rPr>
                <w:sz w:val="19"/>
                <w:szCs w:val="19"/>
                <w:color w:val="auto"/>
              </w:rPr>
            </w:pP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21.38</w:t>
            </w:r>
          </w:p>
        </w:tc>
        <w:tc>
          <w:tcPr>
            <w:tcW w:w="1220" w:type="dxa"/>
            <w:vAlign w:val="bottom"/>
          </w:tcPr>
          <w:p>
            <w:pPr>
              <w:jc w:val="right"/>
              <w:spacing w:after="0"/>
              <w:rPr>
                <w:sz w:val="20"/>
                <w:szCs w:val="20"/>
                <w:color w:val="auto"/>
              </w:rPr>
            </w:pPr>
            <w:r>
              <w:rPr>
                <w:rFonts w:ascii="Arial" w:cs="Arial" w:eastAsia="Arial" w:hAnsi="Arial"/>
                <w:sz w:val="18"/>
                <w:szCs w:val="18"/>
                <w:color w:val="auto"/>
              </w:rPr>
              <w:t>(24,066)</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25.95</w:t>
            </w:r>
          </w:p>
        </w:tc>
      </w:tr>
      <w:tr>
        <w:trPr>
          <w:trHeight w:val="229"/>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(66,132)</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26.42</w:t>
            </w: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1,008,152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23.97</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33,849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1,008,152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23.97</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70,186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r>
    </w:tbl>
    <w:p>
      <w:pPr>
        <w:spacing w:after="0" w:line="215"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On February 5, 2020, under the terms of the 2010 Equity Incentive Plan, the Company granted 3,808 restricted stock units to a member of management. The grant date fair value of the award totaled $0.1 million and will be recognized as compensation expense over the three-year requisite service period. Subsequent to the requisite service period, the awards will become 100% vested.</w:t>
      </w:r>
    </w:p>
    <w:p>
      <w:pPr>
        <w:spacing w:after="0" w:line="201"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On July 7, 2020, under the terms of the 2020 Equity Incentive Plan, the Company granted 380,535 restricted stock units to members of management, including the Vice-Chairman of the Board. The grant date fair value of the award totaled $6.5 million and will be recognized as compensation expense over the requisite service period ranging from one year to five years. The terms of these awards included an accelerated vesting provision upon eligible retirement from the Company and added the accelerated vesting provision to all previously issued and outstanding awards. Subsequent to the requisite service period, the awards will become 100% vested. Further, the Company granted 33,419 deferred stock units to directors and advisory directors. The grant date fair value of the award totaled $0.6 million and will be recognized as compensation expense over the requisite service period of one year. Subsequent to the requisite service period, the awards will become 100% vested.</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recognized $2.2 million and $1.2 million of compensation expense related to non-vested restricted stock units and deferred stock units for the three months ended September 30, 2020 and 2019, respectively. The Company recognized $4.4 million and $3.1 million of compensation expense related to non-vested restricted stock units and deferred stock units for the nine months ended September 30, 2020 and 2019, respectively. The expense for the three and nine months ended September 30, 2020 increased over the same period of 2019, primarily as a result of the addition of the retirement vesting provision which resulted in acceleration of compensation expense related to participants who met the retirement eligibility criteria. As of September 30, 2020, there was $13.4 million of total unrecognized compensation cost related to these non-vested stock awards. This cost is expected to be recognized over a weighted average period of 3.0 years.</w:t>
      </w:r>
    </w:p>
    <w:p>
      <w:pPr>
        <w:spacing w:after="0" w:line="205" w:lineRule="exact"/>
        <w:rPr>
          <w:sz w:val="20"/>
          <w:szCs w:val="20"/>
          <w:color w:val="auto"/>
        </w:rPr>
      </w:pPr>
    </w:p>
    <w:p>
      <w:pPr>
        <w:ind w:left="60" w:right="259"/>
        <w:spacing w:after="0" w:line="279" w:lineRule="auto"/>
        <w:rPr>
          <w:sz w:val="20"/>
          <w:szCs w:val="20"/>
          <w:color w:val="auto"/>
        </w:rPr>
      </w:pPr>
      <w:r>
        <w:rPr>
          <w:rFonts w:ascii="Arial" w:cs="Arial" w:eastAsia="Arial" w:hAnsi="Arial"/>
          <w:sz w:val="16"/>
          <w:szCs w:val="16"/>
          <w:color w:val="auto"/>
        </w:rPr>
        <w:t>During the third quarter of 2020, the Company granted a target of 15,724 performance-based restricted stock units with a maximum of 25,158 units. The actual number of units issued at the vest date could range from 0% to 160% of the initial grant, depending on attaining the market performance goal. The grant date fair value of the award is estimated to be $0.3 million, and will be recognized in compensation expense over the performance period ending December 31, 2022. The Company expects to finalize the grant date fair value of these awards in the fourth quarter of 2020.</w:t>
      </w:r>
    </w:p>
    <w:p>
      <w:pPr>
        <w:spacing w:after="0" w:line="173" w:lineRule="exact"/>
        <w:rPr>
          <w:sz w:val="20"/>
          <w:szCs w:val="20"/>
          <w:color w:val="auto"/>
        </w:rPr>
      </w:pPr>
    </w:p>
    <w:p>
      <w:pPr>
        <w:ind w:left="60" w:right="139"/>
        <w:spacing w:after="0" w:line="324" w:lineRule="auto"/>
        <w:rPr>
          <w:sz w:val="20"/>
          <w:szCs w:val="20"/>
          <w:color w:val="auto"/>
        </w:rPr>
      </w:pPr>
      <w:r>
        <w:rPr>
          <w:rFonts w:ascii="Arial" w:cs="Arial" w:eastAsia="Arial" w:hAnsi="Arial"/>
          <w:sz w:val="16"/>
          <w:szCs w:val="16"/>
          <w:color w:val="auto"/>
        </w:rPr>
        <w:t>As of September 30, 2020, 1,429,696 shares remain available for issuance pursuant to the Company’s 2020 Equity Incentive Plan and 18,711 shares remain available for issuance pursuant to the Company’s Employee Stock Purchase Plan.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Outstanding Commitments and Contingent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left="60" w:right="259"/>
        <w:spacing w:after="0" w:line="248"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p>
      <w:pPr>
        <w:ind w:left="5700"/>
        <w:spacing w:after="0"/>
        <w:tabs>
          <w:tab w:leader="none" w:pos="752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15240</wp:posOffset>
            </wp:positionV>
            <wp:extent cx="564896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Financial instruments whose contract amounts represent credit risk:</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Commitments to extend credit</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1,721,099</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1,649,565</w:t>
            </w: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Standby letters of credit</w:t>
            </w:r>
          </w:p>
        </w:tc>
        <w:tc>
          <w:tcPr>
            <w:tcW w:w="19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41,791</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42,581</w:t>
            </w:r>
          </w:p>
        </w:tc>
      </w:tr>
    </w:tbl>
    <w:p>
      <w:pPr>
        <w:spacing w:after="0" w:line="229" w:lineRule="exact"/>
        <w:rPr>
          <w:sz w:val="20"/>
          <w:szCs w:val="20"/>
          <w:color w:val="auto"/>
        </w:rPr>
      </w:pPr>
    </w:p>
    <w:p>
      <w:pPr>
        <w:ind w:left="60" w:right="539"/>
        <w:spacing w:after="0" w:line="294" w:lineRule="auto"/>
        <w:rPr>
          <w:sz w:val="20"/>
          <w:szCs w:val="20"/>
          <w:color w:val="auto"/>
        </w:rPr>
      </w:pPr>
      <w:r>
        <w:rPr>
          <w:rFonts w:ascii="Arial" w:cs="Arial" w:eastAsia="Arial" w:hAnsi="Arial"/>
          <w:sz w:val="16"/>
          <w:szCs w:val="16"/>
          <w:color w:val="auto"/>
        </w:rPr>
        <w:t>Upon adoption of CECL, the Company recorded a $5.5 million reserve for unfunded commitments. The Company recorded provision expense of $0.3 million and $1.8 million in the three and nine months ended September 30, 2020, respectively, in other non-interest expense for a total unfunded reserve of $7.3 million as of September 30, 2020.</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Regulatory Capital</w:t>
      </w:r>
    </w:p>
    <w:p>
      <w:pPr>
        <w:spacing w:after="0" w:line="229"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The Company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consolidated financial statements. The capital amounts and classification also are subject to qualitative judgments by the regulators about components, risk weightings and other factors.</w:t>
      </w:r>
    </w:p>
    <w:p>
      <w:pPr>
        <w:spacing w:after="0" w:line="203" w:lineRule="exact"/>
        <w:rPr>
          <w:sz w:val="20"/>
          <w:szCs w:val="20"/>
          <w:color w:val="auto"/>
        </w:rPr>
      </w:pPr>
    </w:p>
    <w:p>
      <w:pPr>
        <w:ind w:left="60" w:right="239"/>
        <w:spacing w:after="0" w:line="259" w:lineRule="auto"/>
        <w:rPr>
          <w:sz w:val="20"/>
          <w:szCs w:val="20"/>
          <w:color w:val="auto"/>
        </w:rPr>
      </w:pPr>
      <w:r>
        <w:rPr>
          <w:rFonts w:ascii="Arial" w:cs="Arial" w:eastAsia="Arial" w:hAnsi="Arial"/>
          <w:sz w:val="17"/>
          <w:szCs w:val="17"/>
          <w:color w:val="auto"/>
        </w:rPr>
        <w:t>Banking regulations identify five capital categories for insured depository institutions: well capitalized, adequately capitalized, undercapitalized, significantly undercapitalized and critically undercapitalized. As of September 30, 2020 and December 31, 2019, all capital ratios of the Company and Busey Bank exceeded the well capitalized levels under the applicable regulatory capital adequacy guidelines. Management believes that no events or changes have occurred subsequent to September 30, 2020 that would change this designation.</w:t>
      </w:r>
    </w:p>
    <w:p>
      <w:pPr>
        <w:spacing w:after="0" w:line="187"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 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from the adoption of CECL will be deferred for two years. In addition, 25 percent of the ongoing impact of CECL on our allowance for credit losses, retained earnings, and average total consolidated assets from January 1, 2020 through the end of the two-year deferral period, each as reported for regulatory capital purposes, will be added to the deferred transition amounts (“adjusted transition amounts”) and deferred for the two-year period. At the conclusion of the two-year period (January 1, 2022), the adjusted transition amounts will be phased-in for regulatory capital purposes at a rate of 25 percent per year, with the phased-in amounts included in regulatory capital at the beginning of each year.</w:t>
      </w:r>
    </w:p>
    <w:p>
      <w:pPr>
        <w:spacing w:after="0" w:line="210" w:lineRule="exact"/>
        <w:rPr>
          <w:sz w:val="20"/>
          <w:szCs w:val="20"/>
          <w:color w:val="auto"/>
        </w:rPr>
      </w:pPr>
    </w:p>
    <w:p>
      <w:pPr>
        <w:ind w:left="60" w:right="359"/>
        <w:spacing w:after="0" w:line="293"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which qualify as Tier 2 capital for regulatory purposes.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99"/>
        <w:spacing w:after="0" w:line="250" w:lineRule="auto"/>
        <w:rPr>
          <w:sz w:val="20"/>
          <w:szCs w:val="20"/>
          <w:color w:val="auto"/>
        </w:rPr>
      </w:pPr>
      <w:r>
        <w:rPr>
          <w:rFonts w:ascii="Arial" w:cs="Arial" w:eastAsia="Arial" w:hAnsi="Arial"/>
          <w:sz w:val="18"/>
          <w:szCs w:val="18"/>
          <w:color w:val="auto"/>
        </w:rPr>
        <w:t xml:space="preserve">The following tables summarize the applicable holding company and bank regulatory capital requirements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left="236"/>
              <w:spacing w:after="0"/>
              <w:rPr>
                <w:sz w:val="20"/>
                <w:szCs w:val="20"/>
                <w:color w:val="auto"/>
              </w:rPr>
            </w:pPr>
            <w:r>
              <w:rPr>
                <w:rFonts w:ascii="Arial" w:cs="Arial" w:eastAsia="Arial" w:hAnsi="Arial"/>
                <w:sz w:val="14"/>
                <w:szCs w:val="14"/>
                <w:b w:val="1"/>
                <w:bCs w:val="1"/>
                <w:color w:val="auto"/>
                <w:w w:val="97"/>
              </w:rPr>
              <w:t>Minimum</w:t>
            </w:r>
          </w:p>
        </w:tc>
        <w:tc>
          <w:tcPr>
            <w:tcW w:w="7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0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Minimum</w:t>
            </w:r>
          </w:p>
        </w:tc>
        <w:tc>
          <w:tcPr>
            <w:tcW w:w="240" w:type="dxa"/>
            <w:vAlign w:val="bottom"/>
          </w:tcPr>
          <w:p>
            <w:pPr>
              <w:spacing w:after="0"/>
              <w:rPr>
                <w:sz w:val="15"/>
                <w:szCs w:val="15"/>
                <w:color w:val="auto"/>
              </w:rPr>
            </w:pPr>
          </w:p>
        </w:tc>
        <w:tc>
          <w:tcPr>
            <w:tcW w:w="1040" w:type="dxa"/>
            <w:vAlign w:val="bottom"/>
          </w:tcPr>
          <w:p>
            <w:pPr>
              <w:jc w:val="center"/>
              <w:ind w:left="236"/>
              <w:spacing w:after="0"/>
              <w:rPr>
                <w:sz w:val="20"/>
                <w:szCs w:val="20"/>
                <w:color w:val="auto"/>
              </w:rPr>
            </w:pPr>
            <w:r>
              <w:rPr>
                <w:rFonts w:ascii="Arial" w:cs="Arial" w:eastAsia="Arial" w:hAnsi="Arial"/>
                <w:sz w:val="14"/>
                <w:szCs w:val="14"/>
                <w:b w:val="1"/>
                <w:bCs w:val="1"/>
                <w:color w:val="auto"/>
                <w:w w:val="94"/>
              </w:rPr>
              <w:t>To Be Well</w:t>
            </w:r>
          </w:p>
        </w:tc>
        <w:tc>
          <w:tcPr>
            <w:tcW w:w="7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Actual</w:t>
            </w:r>
          </w:p>
        </w:tc>
        <w:tc>
          <w:tcPr>
            <w:tcW w:w="8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Capital Requirement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97"/>
              </w:rPr>
              <w:t>Capitalized</w:t>
            </w:r>
          </w:p>
        </w:tc>
        <w:tc>
          <w:tcPr>
            <w:tcW w:w="700" w:type="dxa"/>
            <w:vAlign w:val="bottom"/>
            <w:tcBorders>
              <w:bottom w:val="single" w:sz="8" w:color="auto"/>
            </w:tcBorders>
          </w:tcPr>
          <w:p>
            <w:pPr>
              <w:spacing w:after="0"/>
              <w:rPr>
                <w:sz w:val="16"/>
                <w:szCs w:val="16"/>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1"/>
              </w:rPr>
              <w:t>Ratio</w:t>
            </w:r>
          </w:p>
        </w:tc>
      </w:tr>
      <w:tr>
        <w:trPr>
          <w:trHeight w:val="223"/>
        </w:trPr>
        <w:tc>
          <w:tcPr>
            <w:tcW w:w="30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7"/>
              </w:rPr>
              <w:t>Total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2"/>
              </w:rPr>
              <w:t>1,225,719</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16.63 %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$ 589,691</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737,114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r>
      <w:tr>
        <w:trPr>
          <w:trHeight w:val="229"/>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1,095,863</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14.89 %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$ 588,690</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735,862</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10.00 %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5"/>
              </w:rPr>
              <w:t>Tier 1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964,399</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13.08 %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$ 442,268</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589,691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1,019,543</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13.86 %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$ 441,517</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588,690</w:t>
            </w:r>
          </w:p>
        </w:tc>
        <w:tc>
          <w:tcPr>
            <w:tcW w:w="700" w:type="dxa"/>
            <w:vAlign w:val="bottom"/>
          </w:tcPr>
          <w:p>
            <w:pPr>
              <w:jc w:val="right"/>
              <w:spacing w:after="0"/>
              <w:rPr>
                <w:sz w:val="20"/>
                <w:szCs w:val="20"/>
                <w:color w:val="auto"/>
              </w:rPr>
            </w:pPr>
            <w:r>
              <w:rPr>
                <w:rFonts w:ascii="Arial" w:cs="Arial" w:eastAsia="Arial" w:hAnsi="Arial"/>
                <w:sz w:val="18"/>
                <w:szCs w:val="18"/>
                <w:color w:val="auto"/>
              </w:rPr>
              <w:t>8.00 %</w:t>
            </w:r>
          </w:p>
        </w:tc>
      </w:tr>
      <w:tr>
        <w:trPr>
          <w:trHeight w:val="229"/>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4220" w:type="dxa"/>
            <w:vAlign w:val="bottom"/>
            <w:gridSpan w:val="8"/>
          </w:tcPr>
          <w:p>
            <w:pPr>
              <w:ind w:left="20"/>
              <w:spacing w:after="0" w:line="189" w:lineRule="exact"/>
              <w:rPr>
                <w:sz w:val="20"/>
                <w:szCs w:val="20"/>
                <w:color w:val="auto"/>
              </w:rPr>
            </w:pPr>
            <w:r>
              <w:rPr>
                <w:rFonts w:ascii="Arial" w:cs="Arial" w:eastAsia="Arial" w:hAnsi="Arial"/>
                <w:sz w:val="18"/>
                <w:szCs w:val="18"/>
                <w:color w:val="auto"/>
                <w:w w:val="92"/>
              </w:rPr>
              <w:t>Common Equity Tier 1 Capital (to Risk Weighted Assets)</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890,399</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12.08 %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$ 331,701</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479,124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29"/>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1,019,543</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13.86 %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$ 331,138</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478,310</w:t>
            </w:r>
          </w:p>
        </w:tc>
        <w:tc>
          <w:tcPr>
            <w:tcW w:w="70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964,399</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9.39 %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$ 410,850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20"/>
                <w:szCs w:val="20"/>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1,019,543</w:t>
            </w:r>
          </w:p>
        </w:tc>
        <w:tc>
          <w:tcPr>
            <w:tcW w:w="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9.93 %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$ 410,669</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513,336</w:t>
            </w:r>
          </w:p>
        </w:tc>
        <w:tc>
          <w:tcPr>
            <w:tcW w:w="70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40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left="236"/>
              <w:spacing w:after="0"/>
              <w:rPr>
                <w:sz w:val="20"/>
                <w:szCs w:val="20"/>
                <w:color w:val="auto"/>
              </w:rPr>
            </w:pPr>
            <w:r>
              <w:rPr>
                <w:rFonts w:ascii="Arial" w:cs="Arial" w:eastAsia="Arial" w:hAnsi="Arial"/>
                <w:sz w:val="14"/>
                <w:szCs w:val="14"/>
                <w:b w:val="1"/>
                <w:bCs w:val="1"/>
                <w:color w:val="auto"/>
                <w:w w:val="97"/>
              </w:rPr>
              <w:t>Minimum</w:t>
            </w:r>
          </w:p>
        </w:tc>
        <w:tc>
          <w:tcPr>
            <w:tcW w:w="70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0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Minimum</w:t>
            </w:r>
          </w:p>
        </w:tc>
        <w:tc>
          <w:tcPr>
            <w:tcW w:w="240" w:type="dxa"/>
            <w:vAlign w:val="bottom"/>
          </w:tcPr>
          <w:p>
            <w:pPr>
              <w:spacing w:after="0"/>
              <w:rPr>
                <w:sz w:val="15"/>
                <w:szCs w:val="15"/>
                <w:color w:val="auto"/>
              </w:rPr>
            </w:pPr>
          </w:p>
        </w:tc>
        <w:tc>
          <w:tcPr>
            <w:tcW w:w="1040" w:type="dxa"/>
            <w:vAlign w:val="bottom"/>
          </w:tcPr>
          <w:p>
            <w:pPr>
              <w:jc w:val="center"/>
              <w:ind w:left="236"/>
              <w:spacing w:after="0"/>
              <w:rPr>
                <w:sz w:val="20"/>
                <w:szCs w:val="20"/>
                <w:color w:val="auto"/>
              </w:rPr>
            </w:pPr>
            <w:r>
              <w:rPr>
                <w:rFonts w:ascii="Arial" w:cs="Arial" w:eastAsia="Arial" w:hAnsi="Arial"/>
                <w:sz w:val="14"/>
                <w:szCs w:val="14"/>
                <w:b w:val="1"/>
                <w:bCs w:val="1"/>
                <w:color w:val="auto"/>
                <w:w w:val="94"/>
              </w:rPr>
              <w:t>To Be Well</w:t>
            </w:r>
          </w:p>
        </w:tc>
        <w:tc>
          <w:tcPr>
            <w:tcW w:w="7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Actual</w:t>
            </w:r>
          </w:p>
        </w:tc>
        <w:tc>
          <w:tcPr>
            <w:tcW w:w="8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Capital Requirement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97"/>
              </w:rPr>
              <w:t>Capitalized</w:t>
            </w:r>
          </w:p>
        </w:tc>
        <w:tc>
          <w:tcPr>
            <w:tcW w:w="700" w:type="dxa"/>
            <w:vAlign w:val="bottom"/>
            <w:tcBorders>
              <w:bottom w:val="single" w:sz="8" w:color="auto"/>
            </w:tcBorders>
          </w:tcPr>
          <w:p>
            <w:pPr>
              <w:spacing w:after="0"/>
              <w:rPr>
                <w:sz w:val="16"/>
                <w:szCs w:val="16"/>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1"/>
              </w:rPr>
              <w:t>Ratio</w:t>
            </w:r>
          </w:p>
        </w:tc>
      </w:tr>
      <w:tr>
        <w:trPr>
          <w:trHeight w:val="223"/>
        </w:trPr>
        <w:tc>
          <w:tcPr>
            <w:tcW w:w="30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7"/>
              </w:rPr>
              <w:t>Total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2"/>
              </w:rPr>
              <w:t>1,036,143</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14.03 %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$ 590,826</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738,532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1,099,449</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14.92 %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$ 589,681</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737,101</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10.00 %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5"/>
              </w:rPr>
              <w:t>Tier 1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922,395</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12.49 %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$ 443,120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590,826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1,045,701</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$ 442,261</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589,681</w:t>
            </w:r>
          </w:p>
        </w:tc>
        <w:tc>
          <w:tcPr>
            <w:tcW w:w="700" w:type="dxa"/>
            <w:vAlign w:val="bottom"/>
          </w:tcPr>
          <w:p>
            <w:pPr>
              <w:jc w:val="right"/>
              <w:spacing w:after="0"/>
              <w:rPr>
                <w:sz w:val="20"/>
                <w:szCs w:val="20"/>
                <w:color w:val="auto"/>
              </w:rPr>
            </w:pPr>
            <w:r>
              <w:rPr>
                <w:rFonts w:ascii="Arial" w:cs="Arial" w:eastAsia="Arial" w:hAnsi="Arial"/>
                <w:sz w:val="18"/>
                <w:szCs w:val="18"/>
                <w:color w:val="auto"/>
              </w:rPr>
              <w:t>8.00 %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4220" w:type="dxa"/>
            <w:vAlign w:val="bottom"/>
            <w:gridSpan w:val="8"/>
          </w:tcPr>
          <w:p>
            <w:pPr>
              <w:ind w:left="20"/>
              <w:spacing w:after="0" w:line="189" w:lineRule="exact"/>
              <w:rPr>
                <w:sz w:val="20"/>
                <w:szCs w:val="20"/>
                <w:color w:val="auto"/>
              </w:rPr>
            </w:pPr>
            <w:r>
              <w:rPr>
                <w:rFonts w:ascii="Arial" w:cs="Arial" w:eastAsia="Arial" w:hAnsi="Arial"/>
                <w:sz w:val="18"/>
                <w:szCs w:val="18"/>
                <w:color w:val="auto"/>
                <w:w w:val="92"/>
              </w:rPr>
              <w:t>Common Equity Tier 1 Capital (to Risk Weighted Assets)</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848,395</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11.49 %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$ 332,340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480,046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1,045,701</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$ 331,696</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479,116</w:t>
            </w:r>
          </w:p>
        </w:tc>
        <w:tc>
          <w:tcPr>
            <w:tcW w:w="70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922,395</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9.88 %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$ 373,360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1,045,701</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$ 373,639</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467,049</w:t>
            </w:r>
          </w:p>
        </w:tc>
        <w:tc>
          <w:tcPr>
            <w:tcW w:w="70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57"/>
        </w:trPr>
        <w:tc>
          <w:tcPr>
            <w:tcW w:w="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bl>
    <w:p>
      <w:pPr>
        <w:spacing w:after="0" w:line="215"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In July 2013, the U.S. federal banking authorities approved the Basel III Rule for strengthening international capital standards. The Basel III Rule introduced a capital conservation buffer, composed entirely of Common Equity Tier 1 Capital (“CET1”), which is added to the minimum risk-weighted asset ratios. The capital conservation buffer is not a</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79"/>
        <w:spacing w:after="0" w:line="279" w:lineRule="auto"/>
        <w:rPr>
          <w:sz w:val="20"/>
          <w:szCs w:val="20"/>
          <w:color w:val="auto"/>
        </w:rPr>
      </w:pPr>
      <w:r>
        <w:rPr>
          <w:rFonts w:ascii="Arial" w:cs="Arial" w:eastAsia="Arial" w:hAnsi="Arial"/>
          <w:sz w:val="16"/>
          <w:szCs w:val="16"/>
          <w:color w:val="auto"/>
        </w:rPr>
        <w:t>minimum capital requirement; however, banking institutions with a ratio of CET1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CET1 to risk-weighted assets of at least 7.00%, (ii) tier 1 capital to risk-weighted assets of at least 8.50%, and (iii) total capital to risk-weighted assets of at least 10.50%.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Operating Segments and Related Information</w:t>
      </w:r>
    </w:p>
    <w:p>
      <w:pPr>
        <w:spacing w:after="0" w:line="22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the St. Louis, Missouri metropolitan area, southwest Florida and through its banking center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204" w:lineRule="exact"/>
        <w:rPr>
          <w:sz w:val="20"/>
          <w:szCs w:val="20"/>
          <w:color w:val="auto"/>
        </w:rPr>
      </w:pPr>
    </w:p>
    <w:p>
      <w:pPr>
        <w:jc w:val="both"/>
        <w:ind w:left="60" w:right="279"/>
        <w:spacing w:after="0" w:line="248"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95"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the “Note 1. Significant Accounting Policies” to Form 10-K. The Company accounts for intersegment revenue and transfers at current market value.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Following is a summary of selected financial information for the Company’s operating segments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Goodwill</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1033"/>
              <w:spacing w:after="0"/>
              <w:rPr>
                <w:sz w:val="20"/>
                <w:szCs w:val="20"/>
                <w:color w:val="auto"/>
              </w:rPr>
            </w:pPr>
            <w:r>
              <w:rPr>
                <w:rFonts w:ascii="Arial" w:cs="Arial" w:eastAsia="Arial" w:hAnsi="Arial"/>
                <w:sz w:val="14"/>
                <w:szCs w:val="14"/>
                <w:b w:val="1"/>
                <w:bCs w:val="1"/>
                <w:color w:val="auto"/>
              </w:rPr>
              <w:t>Total Assets</w:t>
            </w:r>
          </w:p>
        </w:tc>
      </w:tr>
      <w:tr>
        <w:trPr>
          <w:trHeight w:val="169"/>
        </w:trPr>
        <w:tc>
          <w:tcPr>
            <w:tcW w:w="20" w:type="dxa"/>
            <w:vAlign w:val="bottom"/>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w w:val="96"/>
              </w:rPr>
              <w:t>September 30, 2020</w:t>
            </w: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w w:val="96"/>
              </w:rPr>
              <w:t>September 30, 2020</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December 31, 2019</w:t>
            </w:r>
          </w:p>
        </w:tc>
      </w:tr>
      <w:tr>
        <w:trPr>
          <w:trHeight w:val="223"/>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Banking</w:t>
            </w: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288,436</w:t>
            </w:r>
          </w:p>
        </w:tc>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288,436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10,457,479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9,632,368</w:t>
            </w:r>
          </w:p>
        </w:tc>
      </w:t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Remittance Processing</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8,992</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46,124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44,209</w:t>
            </w:r>
          </w:p>
        </w:tc>
      </w:tr>
      <w:tr>
        <w:trPr>
          <w:trHeight w:val="230"/>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14,108</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42,593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32,760</w:t>
            </w:r>
          </w:p>
        </w:tc>
      </w:tr>
      <w:tr>
        <w:trPr>
          <w:trHeight w:val="229"/>
        </w:trPr>
        <w:tc>
          <w:tcPr>
            <w:tcW w:w="20" w:type="dxa"/>
            <w:vAlign w:val="bottom"/>
          </w:tcPr>
          <w:p>
            <w:pPr>
              <w:spacing w:after="0"/>
              <w:rPr>
                <w:sz w:val="19"/>
                <w:szCs w:val="19"/>
                <w:color w:val="auto"/>
              </w:rPr>
            </w:pPr>
          </w:p>
        </w:tc>
        <w:tc>
          <w:tcPr>
            <w:tcW w:w="2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(6,568)</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(13,608)</w:t>
            </w:r>
          </w:p>
        </w:tc>
      </w:tr>
      <w:tr>
        <w:trPr>
          <w:trHeight w:val="223"/>
        </w:trPr>
        <w:tc>
          <w:tcPr>
            <w:tcW w:w="20" w:type="dxa"/>
            <w:vAlign w:val="bottom"/>
          </w:tcPr>
          <w:p>
            <w:pPr>
              <w:spacing w:after="0"/>
              <w:rPr>
                <w:sz w:val="19"/>
                <w:szCs w:val="19"/>
                <w:color w:val="auto"/>
              </w:rPr>
            </w:pPr>
          </w:p>
        </w:tc>
        <w:tc>
          <w:tcPr>
            <w:tcW w:w="2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5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311,536</w:t>
            </w:r>
          </w:p>
        </w:tc>
        <w:tc>
          <w:tcPr>
            <w:tcW w:w="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10,539,628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9,695,729</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34</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22225</wp:posOffset>
            </wp:positionV>
            <wp:extent cx="16973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 w:lineRule="exact"/>
        <w:rPr>
          <w:sz w:val="20"/>
          <w:szCs w:val="20"/>
          <w:color w:val="auto"/>
        </w:rPr>
      </w:pPr>
    </w:p>
    <w:p>
      <w:pPr>
        <w:ind w:left="3780"/>
        <w:spacing w:after="0"/>
        <w:tabs>
          <w:tab w:leader="none" w:pos="5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15240</wp:posOffset>
            </wp:positionV>
            <wp:extent cx="564070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07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22225</wp:posOffset>
            </wp:positionV>
            <wp:extent cx="1714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p>
    <w:p>
      <w:pPr>
        <w:ind w:left="200"/>
        <w:spacing w:after="0"/>
        <w:tabs>
          <w:tab w:leader="none" w:pos="1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36" w:lineRule="exact"/>
        <w:rPr>
          <w:sz w:val="20"/>
          <w:szCs w:val="20"/>
          <w:color w:val="auto"/>
        </w:rPr>
      </w:pPr>
    </w:p>
    <w:p>
      <w:pPr>
        <w:sectPr>
          <w:pgSz w:w="11900" w:h="16838" w:orient="portrait"/>
          <w:cols w:equalWidth="0" w:num="2">
            <w:col w:w="5780" w:space="720"/>
            <w:col w:w="251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8"/>
          <w:szCs w:val="18"/>
          <w:u w:val="single" w:color="auto"/>
          <w:color w:val="auto"/>
        </w:rPr>
        <w:t>Net interest income:</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Banking</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73,330</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75,955</w:t>
            </w:r>
          </w:p>
        </w:tc>
        <w:tc>
          <w:tcPr>
            <w:tcW w:w="260" w:type="dxa"/>
            <w:vAlign w:val="bottom"/>
          </w:tcPr>
          <w:p>
            <w:pPr>
              <w:spacing w:after="0"/>
              <w:rPr>
                <w:sz w:val="19"/>
                <w:szCs w:val="19"/>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218,221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(3,598)</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(2,499)</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(8,281)</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tcBorders>
              <w:bottom w:val="single" w:sz="8" w:color="CCEEFF"/>
            </w:tcBorders>
            <w:gridSpan w:val="5"/>
          </w:tcPr>
          <w:p>
            <w:pPr>
              <w:ind w:left="300"/>
              <w:spacing w:after="0"/>
              <w:rPr>
                <w:sz w:val="20"/>
                <w:szCs w:val="20"/>
                <w:color w:val="auto"/>
              </w:rPr>
            </w:pPr>
            <w:r>
              <w:rPr>
                <w:rFonts w:ascii="Arial" w:cs="Arial" w:eastAsia="Arial" w:hAnsi="Arial"/>
                <w:sz w:val="18"/>
                <w:szCs w:val="18"/>
                <w:color w:val="auto"/>
              </w:rPr>
              <w:t>Total net interest income</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69,753</w:t>
            </w:r>
          </w:p>
        </w:tc>
        <w:tc>
          <w:tcPr>
            <w:tcW w:w="5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73,476</w:t>
            </w: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209,999</w:t>
            </w:r>
          </w:p>
        </w:tc>
        <w:tc>
          <w:tcPr>
            <w:tcW w:w="4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40" w:type="dxa"/>
            <w:vAlign w:val="bottom"/>
            <w:gridSpan w:val="5"/>
          </w:tcPr>
          <w:p>
            <w:pPr>
              <w:spacing w:after="0" w:line="189" w:lineRule="exact"/>
              <w:rPr>
                <w:sz w:val="20"/>
                <w:szCs w:val="20"/>
                <w:color w:val="auto"/>
              </w:rPr>
            </w:pPr>
            <w:r>
              <w:rPr>
                <w:rFonts w:ascii="Arial" w:cs="Arial" w:eastAsia="Arial" w:hAnsi="Arial"/>
                <w:sz w:val="18"/>
                <w:szCs w:val="18"/>
                <w:color w:val="auto"/>
              </w:rPr>
              <w:t>Non-interest income:</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18,523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18,301</w:t>
            </w:r>
          </w:p>
        </w:tc>
        <w:tc>
          <w:tcPr>
            <w:tcW w:w="2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45,717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4,287</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12,318</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10,662</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32,681</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(1,187)</w:t>
            </w:r>
          </w:p>
        </w:tc>
        <w:tc>
          <w:tcPr>
            <w:tcW w:w="5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(2,950)</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top w:val="single" w:sz="8" w:color="CCEEFF"/>
              <w:bottom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color w:val="auto"/>
              </w:rPr>
              <w:t>Total non-interest income</w:t>
            </w: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32,285</w:t>
            </w:r>
          </w:p>
        </w:tc>
        <w:tc>
          <w:tcPr>
            <w:tcW w:w="5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87,766</w:t>
            </w:r>
          </w:p>
        </w:tc>
        <w:tc>
          <w:tcPr>
            <w:tcW w:w="4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87"/>
              </w:rPr>
              <w:t>Non-interest expense:</w:t>
            </w:r>
          </w:p>
        </w:tc>
        <w:tc>
          <w:tcPr>
            <w:tcW w:w="168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Banking</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44,863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56,593</w:t>
            </w:r>
          </w:p>
        </w:tc>
        <w:tc>
          <w:tcPr>
            <w:tcW w:w="260" w:type="dxa"/>
            <w:vAlign w:val="bottom"/>
          </w:tcPr>
          <w:p>
            <w:pPr>
              <w:spacing w:after="0"/>
              <w:rPr>
                <w:sz w:val="19"/>
                <w:szCs w:val="19"/>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135,037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3,523</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9,669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6,497</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19,725</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1,659</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5,693</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tcBorders>
              <w:bottom w:val="single" w:sz="8" w:color="CCEEFF"/>
            </w:tcBorders>
            <w:gridSpan w:val="5"/>
          </w:tcPr>
          <w:p>
            <w:pPr>
              <w:ind w:left="300"/>
              <w:spacing w:after="0"/>
              <w:rPr>
                <w:sz w:val="20"/>
                <w:szCs w:val="20"/>
                <w:color w:val="auto"/>
              </w:rPr>
            </w:pPr>
            <w:r>
              <w:rPr>
                <w:rFonts w:ascii="Arial" w:cs="Arial" w:eastAsia="Arial" w:hAnsi="Arial"/>
                <w:sz w:val="18"/>
                <w:szCs w:val="18"/>
                <w:color w:val="auto"/>
              </w:rPr>
              <w:t>Total non-interest expense</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56,542</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68,121</w:t>
            </w: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170,124</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40" w:type="dxa"/>
            <w:vAlign w:val="bottom"/>
            <w:gridSpan w:val="5"/>
          </w:tcPr>
          <w:p>
            <w:pPr>
              <w:spacing w:after="0" w:line="189" w:lineRule="exact"/>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41,441</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34,252</w:t>
            </w:r>
          </w:p>
        </w:tc>
        <w:tc>
          <w:tcPr>
            <w:tcW w:w="2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93,245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785</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2,708</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4,165</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12,956</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(6,444)</w:t>
            </w:r>
          </w:p>
        </w:tc>
        <w:tc>
          <w:tcPr>
            <w:tcW w:w="5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(5,685)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(16,924)</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top w:val="single" w:sz="8" w:color="CCEEFF"/>
              <w:bottom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color w:val="auto"/>
              </w:rPr>
              <w:t>Total income before income taxes</w:t>
            </w: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39,947</w:t>
            </w:r>
          </w:p>
        </w:tc>
        <w:tc>
          <w:tcPr>
            <w:tcW w:w="5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91,985</w:t>
            </w:r>
          </w:p>
        </w:tc>
        <w:tc>
          <w:tcPr>
            <w:tcW w:w="4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Banking</w:t>
            </w:r>
          </w:p>
        </w:tc>
        <w:tc>
          <w:tcPr>
            <w:tcW w:w="2380" w:type="dxa"/>
            <w:vAlign w:val="bottom"/>
            <w:tcBorders>
              <w:top w:val="single" w:sz="8" w:color="CCEEFF"/>
            </w:tcBorders>
            <w:gridSpan w:val="4"/>
          </w:tcPr>
          <w:p>
            <w:pPr>
              <w:spacing w:after="0"/>
              <w:rPr>
                <w:sz w:val="19"/>
                <w:szCs w:val="19"/>
                <w:color w:val="auto"/>
              </w:rPr>
            </w:pPr>
          </w:p>
        </w:tc>
        <w:tc>
          <w:tcPr>
            <w:tcW w:w="360" w:type="dxa"/>
            <w:vAlign w:val="bottom"/>
            <w:tcBorders>
              <w:top w:val="single" w:sz="8" w:color="CCEEFF"/>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31,744</w:t>
            </w:r>
          </w:p>
        </w:tc>
        <w:tc>
          <w:tcPr>
            <w:tcW w:w="52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25,731</w:t>
            </w:r>
          </w:p>
        </w:tc>
        <w:tc>
          <w:tcPr>
            <w:tcW w:w="2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72,653</w:t>
            </w:r>
          </w:p>
        </w:tc>
        <w:tc>
          <w:tcPr>
            <w:tcW w:w="4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76,837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1,966</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3,166</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9,847</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(4,659)</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(4,059)</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(12,467)</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5"/>
          </w:tcPr>
          <w:p>
            <w:pPr>
              <w:ind w:left="300"/>
              <w:spacing w:after="0"/>
              <w:rPr>
                <w:sz w:val="20"/>
                <w:szCs w:val="20"/>
                <w:color w:val="auto"/>
              </w:rPr>
            </w:pPr>
            <w:r>
              <w:rPr>
                <w:rFonts w:ascii="Arial" w:cs="Arial" w:eastAsia="Arial" w:hAnsi="Arial"/>
                <w:sz w:val="18"/>
                <w:szCs w:val="18"/>
                <w:color w:val="auto"/>
              </w:rPr>
              <w:t>Total net income</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30,829</w:t>
            </w:r>
          </w:p>
        </w:tc>
        <w:tc>
          <w:tcPr>
            <w:tcW w:w="5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71,999</w:t>
            </w:r>
          </w:p>
        </w:tc>
        <w:tc>
          <w:tcPr>
            <w:tcW w:w="4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jc w:val="both"/>
        <w:ind w:left="60" w:right="299"/>
        <w:spacing w:after="0" w:line="279"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“Note 14: Fair Value Measurements” for further discussion of the fair value measurement of such derivatives.</w:t>
      </w:r>
    </w:p>
    <w:p>
      <w:pPr>
        <w:spacing w:after="0" w:line="173" w:lineRule="exact"/>
        <w:rPr>
          <w:sz w:val="20"/>
          <w:szCs w:val="20"/>
          <w:color w:val="auto"/>
        </w:rPr>
      </w:pPr>
    </w:p>
    <w:p>
      <w:pPr>
        <w:ind w:left="60" w:right="439"/>
        <w:spacing w:after="0" w:line="324" w:lineRule="auto"/>
        <w:rPr>
          <w:sz w:val="20"/>
          <w:szCs w:val="20"/>
          <w:color w:val="auto"/>
        </w:rPr>
      </w:pPr>
      <w:r>
        <w:rPr>
          <w:rFonts w:ascii="Arial" w:cs="Arial" w:eastAsia="Arial" w:hAnsi="Arial"/>
          <w:sz w:val="16"/>
          <w:szCs w:val="16"/>
          <w:i w:val="1"/>
          <w:iCs w:val="1"/>
          <w:color w:val="auto"/>
        </w:rPr>
        <w:t xml:space="preserve">Interest Rate Swaps Designated as Cash Flow Hedges: </w:t>
      </w:r>
      <w:r>
        <w:rPr>
          <w:rFonts w:ascii="Arial" w:cs="Arial" w:eastAsia="Arial" w:hAnsi="Arial"/>
          <w:sz w:val="16"/>
          <w:szCs w:val="16"/>
          <w:color w:val="auto"/>
        </w:rPr>
        <w:t>Starting in the third quarter of 2019, the Company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designated as cash flow hedges. For derivative instruments that are designated and qualify as 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cash flow hedge, the change in fair value of the derivative instrument is reported as a component of other comprehensive income (loss) and reclassified into earnings in the same period or periods during which the hedged transaction affects earnings. Change in fair value of components excluded from the assessment of effectiveness are recognized in current earnings.</w:t>
      </w:r>
    </w:p>
    <w:p>
      <w:pPr>
        <w:spacing w:after="0" w:line="20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Interest rate swaps with notional amounts totaling $70.0 million as of September 30, 2020 and December 31, 2019 were designated as cash flow hedges to hedge the risk of variability in cash flows (future interest payments) attributable to changes in the contractually specified 3 month LIBOR benchmark interest rate on the Company’s junior subordinated debt owed to unconsolidated trusts and were determined to be highly effective during the period. The gross aggregate fair value of the swaps of $3.3 million and $0.3 million is recorded in other liabilities in the unaudited Consolidated Balance Sheets at September 30, 2020 and December 31, 2019, respectively, with changes in fair value recorded net of tax in other comprehensive income (loss). The Company expects the hedges to remain highly effective during the remaining terms of the swaps.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 summary of the interest-rate swaps designated as cash flow hedges is presented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6"/>
              </w:rPr>
              <w:t>September 30, 2020</w:t>
            </w:r>
          </w:p>
        </w:tc>
        <w:tc>
          <w:tcPr>
            <w:tcW w:w="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98"/>
              </w:rPr>
              <w:t>December 31, 2019</w:t>
            </w:r>
          </w:p>
        </w:tc>
        <w:tc>
          <w:tcPr>
            <w:tcW w:w="300" w:type="dxa"/>
            <w:vAlign w:val="bottom"/>
            <w:tcBorders>
              <w:bottom w:val="single" w:sz="8" w:color="auto"/>
            </w:tcBorders>
          </w:tcPr>
          <w:p>
            <w:pPr>
              <w:spacing w:after="0"/>
              <w:rPr>
                <w:sz w:val="16"/>
                <w:szCs w:val="16"/>
                <w:color w:val="auto"/>
              </w:rPr>
            </w:pPr>
          </w:p>
        </w:tc>
      </w:tr>
      <w:tr>
        <w:trPr>
          <w:trHeight w:val="19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Notional amount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300" w:type="dxa"/>
            <w:vAlign w:val="bottom"/>
            <w:shd w:val="clear" w:color="auto" w:fill="CCEEFF"/>
          </w:tcPr>
          <w:p>
            <w:pPr>
              <w:spacing w:after="0"/>
              <w:rPr>
                <w:sz w:val="17"/>
                <w:szCs w:val="17"/>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Weighted average fixed pay rates</w:t>
            </w:r>
          </w:p>
        </w:tc>
        <w:tc>
          <w:tcPr>
            <w:tcW w:w="220" w:type="dxa"/>
            <w:vAlign w:val="bottom"/>
          </w:tcPr>
          <w:p>
            <w:pPr>
              <w:spacing w:after="0"/>
              <w:rPr>
                <w:sz w:val="17"/>
                <w:szCs w:val="17"/>
                <w:color w:val="auto"/>
              </w:rPr>
            </w:pPr>
          </w:p>
        </w:tc>
        <w:tc>
          <w:tcPr>
            <w:tcW w:w="2300" w:type="dxa"/>
            <w:vAlign w:val="bottom"/>
            <w:gridSpan w:val="2"/>
          </w:tcPr>
          <w:p>
            <w:pPr>
              <w:jc w:val="right"/>
              <w:ind w:right="499"/>
              <w:spacing w:after="0"/>
              <w:rPr>
                <w:sz w:val="20"/>
                <w:szCs w:val="20"/>
                <w:color w:val="auto"/>
              </w:rPr>
            </w:pPr>
            <w:r>
              <w:rPr>
                <w:rFonts w:ascii="Arial" w:cs="Arial" w:eastAsia="Arial" w:hAnsi="Arial"/>
                <w:sz w:val="16"/>
                <w:szCs w:val="16"/>
                <w:color w:val="auto"/>
              </w:rPr>
              <w:t>1.80 %</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1.80 %</w:t>
            </w: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variable 3 month LIBOR receive rates</w:t>
            </w:r>
          </w:p>
        </w:tc>
        <w:tc>
          <w:tcPr>
            <w:tcW w:w="2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0.25 %</w:t>
            </w:r>
          </w:p>
        </w:tc>
        <w:tc>
          <w:tcPr>
            <w:tcW w:w="19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1.90 %</w:t>
            </w: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Weighted average maturity</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3.11</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w w:val="84"/>
              </w:rPr>
              <w:t>yrs</w:t>
            </w:r>
          </w:p>
        </w:tc>
        <w:tc>
          <w:tcPr>
            <w:tcW w:w="1600" w:type="dxa"/>
            <w:vAlign w:val="bottom"/>
          </w:tcPr>
          <w:p>
            <w:pPr>
              <w:jc w:val="right"/>
              <w:spacing w:after="0"/>
              <w:rPr>
                <w:sz w:val="20"/>
                <w:szCs w:val="20"/>
                <w:color w:val="auto"/>
              </w:rPr>
            </w:pPr>
            <w:r>
              <w:rPr>
                <w:rFonts w:ascii="Arial" w:cs="Arial" w:eastAsia="Arial" w:hAnsi="Arial"/>
                <w:sz w:val="16"/>
                <w:szCs w:val="16"/>
                <w:color w:val="auto"/>
              </w:rPr>
              <w:t>3.86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w w:val="84"/>
              </w:rPr>
              <w:t>yrs</w:t>
            </w: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(losses), net of tax</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30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Interest expense recorded on these swap transactions were $0.3 million and $0.5 million during the three and nine months ended September 30, 2020, respectively. The Company expects $0.3 million of the unrealized loss to be reclassified from Other Comprehensive Income (Loss) (“OCI”) to interest expense during the next 3 months. This reclassified amount could differ from amounts actually recognized due to changes in interest rates, hedge de-designations and the addition of other hedges subsequent to September 30, 2020.</w:t>
      </w:r>
    </w:p>
    <w:p>
      <w:pPr>
        <w:spacing w:after="0" w:line="203"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 xml:space="preserve">The following table presents the net gains (losses) recorded in accumulated other comprehensive income (loss) and the unaudited Consolidated Statements of Income relating to cash flow derivative instruments for the period presented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5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20"/>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rate contracts</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 of gain (loss) recognized in OCI</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(2,233)</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06"/>
        </w:trPr>
        <w:tc>
          <w:tcPr>
            <w:tcW w:w="3140" w:type="dxa"/>
            <w:vAlign w:val="bottom"/>
            <w:gridSpan w:val="2"/>
          </w:tcPr>
          <w:p>
            <w:pPr>
              <w:spacing w:after="0"/>
              <w:rPr>
                <w:sz w:val="20"/>
                <w:szCs w:val="20"/>
                <w:color w:val="auto"/>
              </w:rPr>
            </w:pPr>
            <w:r>
              <w:rPr>
                <w:rFonts w:ascii="Arial" w:cs="Arial" w:eastAsia="Arial" w:hAnsi="Arial"/>
                <w:sz w:val="16"/>
                <w:szCs w:val="16"/>
                <w:color w:val="auto"/>
              </w:rPr>
              <w:t>Amount of (gain) loss reclassified from OCI</w:t>
            </w:r>
          </w:p>
        </w:tc>
        <w:tc>
          <w:tcPr>
            <w:tcW w:w="200" w:type="dxa"/>
            <w:vAlign w:val="bottom"/>
          </w:tcPr>
          <w:p>
            <w:pPr>
              <w:spacing w:after="0"/>
              <w:rPr>
                <w:sz w:val="17"/>
                <w:szCs w:val="17"/>
                <w:color w:val="auto"/>
              </w:rPr>
            </w:pPr>
          </w:p>
        </w:tc>
        <w:tc>
          <w:tcPr>
            <w:tcW w:w="1180" w:type="dxa"/>
            <w:vAlign w:val="bottom"/>
            <w:vMerge w:val="restart"/>
          </w:tcPr>
          <w:p>
            <w:pPr>
              <w:jc w:val="right"/>
              <w:ind w:right="121"/>
              <w:spacing w:after="0"/>
              <w:rPr>
                <w:sz w:val="20"/>
                <w:szCs w:val="20"/>
                <w:color w:val="auto"/>
              </w:rPr>
            </w:pPr>
            <w:r>
              <w:rPr>
                <w:rFonts w:ascii="Arial" w:cs="Arial" w:eastAsia="Arial" w:hAnsi="Arial"/>
                <w:sz w:val="16"/>
                <w:szCs w:val="16"/>
                <w:color w:val="auto"/>
              </w:rPr>
              <w:t>192</w:t>
            </w:r>
          </w:p>
        </w:tc>
        <w:tc>
          <w:tcPr>
            <w:tcW w:w="5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restart"/>
          </w:tcPr>
          <w:p>
            <w:pPr>
              <w:jc w:val="right"/>
              <w:ind w:right="101"/>
              <w:spacing w:after="0"/>
              <w:rPr>
                <w:sz w:val="20"/>
                <w:szCs w:val="20"/>
                <w:color w:val="auto"/>
              </w:rPr>
            </w:pPr>
            <w:r>
              <w:rPr>
                <w:rFonts w:ascii="Arial" w:cs="Arial" w:eastAsia="Arial" w:hAnsi="Arial"/>
                <w:sz w:val="16"/>
                <w:szCs w:val="16"/>
                <w:color w:val="auto"/>
              </w:rPr>
              <w:t>42</w:t>
            </w:r>
          </w:p>
        </w:tc>
        <w:tc>
          <w:tcPr>
            <w:tcW w:w="4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6"/>
        </w:trPr>
        <w:tc>
          <w:tcPr>
            <w:tcW w:w="3140" w:type="dxa"/>
            <w:vAlign w:val="bottom"/>
            <w:gridSpan w:val="2"/>
          </w:tcPr>
          <w:p>
            <w:pPr>
              <w:ind w:left="120"/>
              <w:spacing w:after="0"/>
              <w:rPr>
                <w:sz w:val="20"/>
                <w:szCs w:val="20"/>
                <w:color w:val="auto"/>
              </w:rPr>
            </w:pPr>
            <w:r>
              <w:rPr>
                <w:rFonts w:ascii="Arial" w:cs="Arial" w:eastAsia="Arial" w:hAnsi="Arial"/>
                <w:sz w:val="16"/>
                <w:szCs w:val="16"/>
                <w:color w:val="auto"/>
              </w:rPr>
              <w:t>to interest expense</w:t>
            </w:r>
          </w:p>
        </w:tc>
        <w:tc>
          <w:tcPr>
            <w:tcW w:w="2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The Company pledged $3.5 million and $0.3 million in cash to secure its obligation under these contracts at September 30, 2020 and December 31, 2019, respectively.</w:t>
      </w:r>
    </w:p>
    <w:p>
      <w:pPr>
        <w:spacing w:after="0" w:line="184"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i w:val="1"/>
          <w:iCs w:val="1"/>
          <w:color w:val="auto"/>
        </w:rPr>
        <w:t>Interest Rate Lock Commitments</w:t>
      </w:r>
      <w:r>
        <w:rPr>
          <w:rFonts w:ascii="Arial" w:cs="Arial" w:eastAsia="Arial" w:hAnsi="Arial"/>
          <w:sz w:val="17"/>
          <w:szCs w:val="17"/>
          <w:color w:val="auto"/>
        </w:rPr>
        <w:t>. At September 30, 2020 and December 31, 2019, the Company had issued $57.8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$69.1 million, respectively, of unexpired interest rate lock commitments to loan customers. Such interest rate lock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89"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i w:val="1"/>
          <w:iCs w:val="1"/>
          <w:color w:val="auto"/>
        </w:rPr>
        <w:t>Forward Sales Commitments</w:t>
      </w:r>
      <w:r>
        <w:rPr>
          <w:rFonts w:ascii="Arial" w:cs="Arial" w:eastAsia="Arial" w:hAnsi="Arial"/>
          <w:sz w:val="16"/>
          <w:szCs w:val="16"/>
          <w:color w:val="auto"/>
        </w:rPr>
        <w:t>. At September 30, 2020 and December 31, 2019, the Company had issued $141.9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$135.3 million, respectively, of 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w:t>
      </w:r>
    </w:p>
    <w:p>
      <w:pPr>
        <w:sectPr>
          <w:pgSz w:w="11900" w:h="16838" w:orient="portrait"/>
          <w:cols w:equalWidth="0" w:num="1">
            <w:col w:w="9019"/>
          </w:cols>
          <w:pgMar w:left="1440" w:top="530"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color w:val="auto"/>
        </w:rPr>
        <w:t xml:space="preserve">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While such forward sales commitments generally serve as an economic hedge to the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93" w:lineRule="exact"/>
        <w:rPr>
          <w:sz w:val="20"/>
          <w:szCs w:val="20"/>
          <w:color w:val="auto"/>
        </w:rPr>
      </w:pPr>
    </w:p>
    <w:p>
      <w:pPr>
        <w:ind w:left="60" w:right="119"/>
        <w:spacing w:after="0" w:line="324" w:lineRule="auto"/>
        <w:rPr>
          <w:sz w:val="20"/>
          <w:szCs w:val="20"/>
          <w:color w:val="auto"/>
        </w:rPr>
      </w:pPr>
      <w:r>
        <w:rPr>
          <w:rFonts w:ascii="Arial" w:cs="Arial" w:eastAsia="Arial" w:hAnsi="Arial"/>
          <w:sz w:val="16"/>
          <w:szCs w:val="16"/>
          <w:color w:val="auto"/>
        </w:rPr>
        <w:t xml:space="preserve">The fair values of derivative assets and liabilities related to interest rate lock commitments and forward sales commitments recorded in the unaudited Consolidated Balance Sheets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September 30, 2020</w:t>
            </w: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1,567</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00" w:type="dxa"/>
            <w:vAlign w:val="bottom"/>
          </w:tcPr>
          <w:p>
            <w:pPr>
              <w:spacing w:after="0"/>
              <w:rPr>
                <w:sz w:val="20"/>
                <w:szCs w:val="20"/>
                <w:color w:val="auto"/>
              </w:rPr>
            </w:pPr>
          </w:p>
        </w:tc>
        <w:tc>
          <w:tcPr>
            <w:tcW w:w="1820" w:type="dxa"/>
            <w:vAlign w:val="bottom"/>
          </w:tcPr>
          <w:p>
            <w:pPr>
              <w:jc w:val="right"/>
              <w:ind w:right="96"/>
              <w:spacing w:after="0"/>
              <w:rPr>
                <w:sz w:val="20"/>
                <w:szCs w:val="20"/>
                <w:color w:val="auto"/>
              </w:rPr>
            </w:pPr>
            <w:r>
              <w:rPr>
                <w:rFonts w:ascii="Arial" w:cs="Arial" w:eastAsia="Arial" w:hAnsi="Arial"/>
                <w:sz w:val="18"/>
                <w:szCs w:val="18"/>
                <w:color w:val="auto"/>
              </w:rPr>
              <w:t>4,036</w:t>
            </w:r>
          </w:p>
        </w:tc>
        <w:tc>
          <w:tcPr>
            <w:tcW w:w="4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2,187</w:t>
            </w:r>
          </w:p>
        </w:tc>
      </w:tr>
    </w:tbl>
    <w:p>
      <w:pPr>
        <w:spacing w:after="0" w:line="214"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8"/>
          <w:szCs w:val="18"/>
          <w:color w:val="auto"/>
        </w:rPr>
        <w:t xml:space="preserve">The gross gains and losses on these derivative assets and liabilities related to interest rate lock commitments and forward sales commitments recorded in non-interest income in the unaudited Consolidated Statements of Income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4"/>
                <w:szCs w:val="14"/>
                <w:b w:val="1"/>
                <w:bCs w:val="1"/>
                <w:color w:val="auto"/>
                <w:w w:val="99"/>
              </w:rPr>
              <w:t>Three Months Ended September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19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3"/>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4,014</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15,379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r>
      <w:tr>
        <w:trPr>
          <w:trHeight w:val="230"/>
        </w:trPr>
        <w:tc>
          <w:tcPr>
            <w:tcW w:w="1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w:t>
            </w:r>
          </w:p>
        </w:tc>
        <w:tc>
          <w:tcPr>
            <w:tcW w:w="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(4,036)</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(16,354)</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w:t>
            </w:r>
          </w:p>
        </w:tc>
      </w:tr>
      <w:tr>
        <w:trPr>
          <w:trHeight w:val="223"/>
        </w:trPr>
        <w:tc>
          <w:tcPr>
            <w:tcW w:w="1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gains (losses)</w:t>
            </w:r>
          </w:p>
        </w:tc>
        <w:tc>
          <w:tcPr>
            <w:tcW w:w="5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(975)</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19"/>
        <w:spacing w:after="0" w:line="294"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61"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i w:val="1"/>
          <w:iCs w:val="1"/>
          <w:color w:val="auto"/>
        </w:rPr>
        <w:t xml:space="preserve">Interest Rate Swaps Not Designated as Hedges. </w:t>
      </w:r>
      <w:r>
        <w:rPr>
          <w:rFonts w:ascii="Arial" w:cs="Arial" w:eastAsia="Arial" w:hAnsi="Arial"/>
          <w:sz w:val="17"/>
          <w:szCs w:val="17"/>
          <w:color w:val="auto"/>
        </w:rPr>
        <w:t>The Company may offer derivative contracts to its customers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their risk management needs. The Company manages the risk associated with these contracts by entering into an equal and offsetting derivative with a third-party dealer. With notional values of $791.1 million and $580.8 million at September 30, 2020 and December 31, 2019, respectively, these contracts support variable rate, commercial loan relationships totaling $395.5 million and $290.4 million,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94"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 xml:space="preserve">The fair values of derivative assets and liabilities related to derivatives for customers for interest rate swaps recorded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September 30, 2020</w:t>
            </w:r>
          </w:p>
        </w:tc>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38,144</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96"/>
              <w:spacing w:after="0"/>
              <w:rPr>
                <w:sz w:val="20"/>
                <w:szCs w:val="20"/>
                <w:color w:val="auto"/>
              </w:rPr>
            </w:pPr>
            <w:r>
              <w:rPr>
                <w:rFonts w:ascii="Arial" w:cs="Arial" w:eastAsia="Arial" w:hAnsi="Arial"/>
                <w:sz w:val="18"/>
                <w:szCs w:val="18"/>
                <w:color w:val="auto"/>
              </w:rPr>
              <w:t>38,144</w:t>
            </w:r>
          </w:p>
        </w:tc>
        <w:tc>
          <w:tcPr>
            <w:tcW w:w="5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12,354</w:t>
            </w:r>
          </w:p>
        </w:tc>
      </w:tr>
      <w:tr>
        <w:trPr>
          <w:trHeight w:val="87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80" w:type="dxa"/>
            <w:vAlign w:val="bottom"/>
            <w:gridSpan w:val="2"/>
          </w:tcPr>
          <w:p>
            <w:pPr>
              <w:jc w:val="right"/>
              <w:ind w:right="107"/>
              <w:spacing w:after="0"/>
              <w:rPr>
                <w:sz w:val="20"/>
                <w:szCs w:val="20"/>
                <w:color w:val="auto"/>
              </w:rPr>
            </w:pPr>
            <w:r>
              <w:rPr>
                <w:rFonts w:ascii="Arial" w:cs="Arial" w:eastAsia="Arial" w:hAnsi="Arial"/>
                <w:sz w:val="18"/>
                <w:szCs w:val="18"/>
                <w:color w:val="auto"/>
              </w:rPr>
              <w:t>37</w:t>
            </w: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changes in fair value of these derivative assets and liabilities is recorded in non-interest expense in the unaudited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Statements of Income and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38" w:orient="portrait"/>
          <w:cols w:equalWidth="0" w:num="1">
            <w:col w:w="9019"/>
          </w:cols>
          <w:pgMar w:left="1440" w:top="530" w:right="1440" w:bottom="1440" w:gutter="0" w:footer="0" w:header="0"/>
        </w:sect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22225</wp:posOffset>
            </wp:positionV>
            <wp:extent cx="20313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 w:lineRule="exact"/>
        <w:rPr>
          <w:sz w:val="20"/>
          <w:szCs w:val="20"/>
          <w:color w:val="auto"/>
        </w:rPr>
      </w:pPr>
    </w:p>
    <w:p>
      <w:pPr>
        <w:ind w:left="2900"/>
        <w:spacing w:after="0"/>
        <w:tabs>
          <w:tab w:leader="none" w:pos="46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22225</wp:posOffset>
            </wp:positionV>
            <wp:extent cx="2040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 w:lineRule="exact"/>
        <w:rPr>
          <w:sz w:val="20"/>
          <w:szCs w:val="20"/>
          <w:color w:val="auto"/>
        </w:rPr>
      </w:pPr>
    </w:p>
    <w:p>
      <w:pPr>
        <w:ind w:left="80"/>
        <w:spacing w:after="0"/>
        <w:tabs>
          <w:tab w:leader="none" w:pos="17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44" w:lineRule="exact"/>
        <w:rPr>
          <w:sz w:val="20"/>
          <w:szCs w:val="20"/>
          <w:color w:val="auto"/>
        </w:rPr>
      </w:pPr>
    </w:p>
    <w:p>
      <w:pPr>
        <w:sectPr>
          <w:pgSz w:w="11900" w:h="16838" w:orient="portrait"/>
          <w:cols w:equalWidth="0" w:num="2">
            <w:col w:w="5540" w:space="720"/>
            <w:col w:w="2759"/>
          </w:cols>
          <w:pgMar w:left="1440" w:top="530" w:right="1440" w:bottom="1440" w:gutter="0" w:footer="0" w:header="0"/>
          <w:type w:val="continuous"/>
        </w:sectPr>
      </w:pPr>
    </w:p>
    <w:tbl>
      <w:tblPr>
        <w:tblLayout w:type="fixed"/>
        <w:tblInd w:w="60" w:type="dxa"/>
        <w:tblCellMar>
          <w:top w:w="0" w:type="dxa"/>
          <w:left w:w="0" w:type="dxa"/>
          <w:bottom w:w="0" w:type="dxa"/>
          <w:right w:w="0" w:type="dxa"/>
        </w:tblCellMar>
      </w:tblPr>
      <w:tr>
        <w:trPr>
          <w:trHeight w:val="20"/>
        </w:trPr>
        <w:tc>
          <w:tcPr>
            <w:tcW w:w="2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swaps - pay</w:t>
            </w: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0" w:type="dxa"/>
            <w:vAlign w:val="bottom"/>
            <w:vMerge w:val="continue"/>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6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700" w:type="dxa"/>
            <w:vAlign w:val="bottom"/>
            <w:gridSpan w:val="2"/>
            <w:vMerge w:val="restart"/>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25,790</w:t>
            </w:r>
          </w:p>
        </w:tc>
        <w:tc>
          <w:tcPr>
            <w:tcW w:w="6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15,205</w:t>
            </w:r>
          </w:p>
        </w:tc>
        <w:tc>
          <w:tcPr>
            <w:tcW w:w="0" w:type="dxa"/>
            <w:vAlign w:val="bottom"/>
          </w:tcPr>
          <w:p>
            <w:pPr>
              <w:spacing w:after="0"/>
              <w:rPr>
                <w:sz w:val="1"/>
                <w:szCs w:val="1"/>
                <w:color w:val="auto"/>
              </w:rPr>
            </w:pPr>
          </w:p>
        </w:tc>
      </w:tr>
      <w:tr>
        <w:trPr>
          <w:trHeight w:val="217"/>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floating, receive fixed</w:t>
            </w:r>
          </w:p>
        </w:tc>
        <w:tc>
          <w:tcPr>
            <w:tcW w:w="84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Interest rate swaps - pay</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549</w:t>
            </w:r>
          </w:p>
        </w:tc>
        <w:tc>
          <w:tcPr>
            <w:tcW w:w="6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(4,695)</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(25,790)</w:t>
            </w:r>
          </w:p>
        </w:tc>
        <w:tc>
          <w:tcPr>
            <w:tcW w:w="6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(15,205)</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fixed, receive floating</w:t>
            </w: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The Company pledged $40.1 million and $18.1 million in cash to secure its obligation under these contracts at September 30, 2020 and December 31, 2019,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Fair Value Measurements</w:t>
      </w:r>
    </w:p>
    <w:p>
      <w:pPr>
        <w:spacing w:after="0" w:line="229"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87"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color w:val="auto"/>
        </w:rPr>
        <w:t>Level 1 Inputs - Unadjusted quoted prices in active markets for identical assets or liabilities that the Company has the ability to access at the measurement date.</w:t>
      </w:r>
    </w:p>
    <w:p>
      <w:pPr>
        <w:spacing w:after="0" w:line="184"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Level 2 Inputs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left="60" w:right="199"/>
        <w:spacing w:after="0" w:line="291" w:lineRule="auto"/>
        <w:rPr>
          <w:sz w:val="20"/>
          <w:szCs w:val="20"/>
          <w:color w:val="auto"/>
        </w:rPr>
      </w:pPr>
      <w:r>
        <w:rPr>
          <w:rFonts w:ascii="Arial" w:cs="Arial" w:eastAsia="Arial" w:hAnsi="Arial"/>
          <w:sz w:val="17"/>
          <w:szCs w:val="17"/>
          <w:color w:val="auto"/>
        </w:rPr>
        <w:t>Level 3 Inputs - Unobservable inputs for determining the fair values of assets or liabilities that reflect the Company’s own assumptions about the assumptions that market participants would use in pricing the assets or liabilities.</w:t>
      </w:r>
    </w:p>
    <w:p>
      <w:pPr>
        <w:spacing w:after="0" w:line="160" w:lineRule="exact"/>
        <w:rPr>
          <w:sz w:val="20"/>
          <w:szCs w:val="20"/>
          <w:color w:val="auto"/>
        </w:rPr>
      </w:pPr>
    </w:p>
    <w:p>
      <w:pPr>
        <w:ind w:left="60" w:right="359"/>
        <w:spacing w:after="0" w:line="24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95"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81" w:lineRule="exact"/>
        <w:rPr>
          <w:sz w:val="20"/>
          <w:szCs w:val="20"/>
          <w:color w:val="auto"/>
        </w:rPr>
      </w:pPr>
    </w:p>
    <w:p>
      <w:pPr>
        <w:ind w:left="60" w:right="179"/>
        <w:spacing w:after="0" w:line="284" w:lineRule="auto"/>
        <w:rPr>
          <w:sz w:val="20"/>
          <w:szCs w:val="20"/>
          <w:color w:val="auto"/>
        </w:rPr>
      </w:pPr>
      <w:r>
        <w:rPr>
          <w:rFonts w:ascii="Arial" w:cs="Arial" w:eastAsia="Arial" w:hAnsi="Arial"/>
          <w:sz w:val="16"/>
          <w:szCs w:val="16"/>
          <w:i w:val="1"/>
          <w:iCs w:val="1"/>
          <w:color w:val="auto"/>
        </w:rPr>
        <w:t xml:space="preserve">Debt Securities Available for Sale. </w:t>
      </w:r>
      <w:r>
        <w:rPr>
          <w:rFonts w:ascii="Arial" w:cs="Arial" w:eastAsia="Arial" w:hAnsi="Arial"/>
          <w:sz w:val="16"/>
          <w:szCs w:val="16"/>
          <w:color w:val="auto"/>
        </w:rPr>
        <w:t>Debt securities classified as available for sale are reported at fair value utilizing level 2</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659"/>
        <w:spacing w:after="0" w:line="261" w:lineRule="auto"/>
        <w:rPr>
          <w:sz w:val="20"/>
          <w:szCs w:val="20"/>
          <w:color w:val="auto"/>
        </w:rPr>
      </w:pPr>
      <w:r>
        <w:rPr>
          <w:rFonts w:ascii="Arial" w:cs="Arial" w:eastAsia="Arial" w:hAnsi="Arial"/>
          <w:sz w:val="18"/>
          <w:szCs w:val="18"/>
          <w:color w:val="auto"/>
        </w:rPr>
        <w:t>applies available information, focusing on observable market data such as benchmark curves, benchmarking of like securities, sector groupings, and matrix pricing, to prepare evaluations.</w:t>
      </w:r>
    </w:p>
    <w:p>
      <w:pPr>
        <w:spacing w:after="0" w:line="184" w:lineRule="exact"/>
        <w:rPr>
          <w:sz w:val="20"/>
          <w:szCs w:val="20"/>
          <w:color w:val="auto"/>
        </w:rPr>
      </w:pPr>
    </w:p>
    <w:p>
      <w:pPr>
        <w:ind w:left="60" w:right="319"/>
        <w:spacing w:after="0" w:line="284"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69" w:lineRule="exact"/>
        <w:rPr>
          <w:sz w:val="20"/>
          <w:szCs w:val="20"/>
          <w:color w:val="auto"/>
        </w:rPr>
      </w:pPr>
    </w:p>
    <w:p>
      <w:pPr>
        <w:ind w:left="60" w:right="79"/>
        <w:spacing w:after="0" w:line="274"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77" w:lineRule="exact"/>
        <w:rPr>
          <w:sz w:val="20"/>
          <w:szCs w:val="20"/>
          <w:color w:val="auto"/>
        </w:rPr>
      </w:pPr>
    </w:p>
    <w:p>
      <w:pPr>
        <w:jc w:val="both"/>
        <w:ind w:left="60" w:right="159"/>
        <w:spacing w:after="0" w:line="243"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Equity securities are reported at fair value utilizing level 1 or level 2 measurements. For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unadjusted quoted prices in active markets for identical assets are utilized to determine fair value at the measurement date and have been classified as level 1. For stock, quoted prices for identical or similar assets in markets that are not active are utilized and classified as level 2.</w:t>
      </w:r>
    </w:p>
    <w:p>
      <w:pPr>
        <w:spacing w:after="0" w:line="201" w:lineRule="exact"/>
        <w:rPr>
          <w:sz w:val="20"/>
          <w:szCs w:val="20"/>
          <w:color w:val="auto"/>
        </w:rPr>
      </w:pPr>
    </w:p>
    <w:p>
      <w:pPr>
        <w:ind w:left="60" w:right="299"/>
        <w:spacing w:after="0" w:line="248"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reported at fair value utilizing level 2 measurements.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held for sale are measured using observable quoted market or contract prices or market price equivalents and are classified as level 2.</w:t>
      </w:r>
    </w:p>
    <w:p>
      <w:pPr>
        <w:spacing w:after="0" w:line="195" w:lineRule="exact"/>
        <w:rPr>
          <w:sz w:val="20"/>
          <w:szCs w:val="20"/>
          <w:color w:val="auto"/>
        </w:rPr>
      </w:pPr>
    </w:p>
    <w:p>
      <w:pPr>
        <w:ind w:left="60" w:right="259"/>
        <w:spacing w:after="0" w:line="294" w:lineRule="auto"/>
        <w:rPr>
          <w:sz w:val="20"/>
          <w:szCs w:val="20"/>
          <w:color w:val="auto"/>
        </w:rPr>
      </w:pPr>
      <w:r>
        <w:rPr>
          <w:rFonts w:ascii="Arial" w:cs="Arial" w:eastAsia="Arial" w:hAnsi="Arial"/>
          <w:sz w:val="16"/>
          <w:szCs w:val="16"/>
          <w:i w:val="1"/>
          <w:iCs w:val="1"/>
          <w:color w:val="auto"/>
        </w:rPr>
        <w:t>Derivative Assets and Derivative Liabilities</w:t>
      </w:r>
      <w:r>
        <w:rPr>
          <w:rFonts w:ascii="Arial" w:cs="Arial" w:eastAsia="Arial" w:hAnsi="Arial"/>
          <w:sz w:val="16"/>
          <w:szCs w:val="16"/>
          <w:color w:val="auto"/>
        </w:rPr>
        <w:t>. Derivative assets and derivative liabilities are reported at fair value utilizing</w:t>
      </w:r>
      <w:r>
        <w:rPr>
          <w:rFonts w:ascii="Arial" w:cs="Arial" w:eastAsia="Arial" w:hAnsi="Arial"/>
          <w:sz w:val="16"/>
          <w:szCs w:val="16"/>
          <w:i w:val="1"/>
          <w:iCs w:val="1"/>
          <w:color w:val="auto"/>
        </w:rPr>
        <w:t xml:space="preserve"> </w:t>
      </w:r>
      <w:r>
        <w:rPr>
          <w:rFonts w:ascii="Arial" w:cs="Arial" w:eastAsia="Arial" w:hAnsi="Arial"/>
          <w:sz w:val="16"/>
          <w:szCs w:val="16"/>
          <w:color w:val="auto"/>
        </w:rPr>
        <w:t>level 2 measurements. The fair value of derivative assets and liabilities is determined based on prices that are obtained from a third-party which uses observable market inputs. Derivative assets and liabilities are classified as level 2.</w:t>
      </w:r>
    </w:p>
    <w:p>
      <w:pPr>
        <w:spacing w:after="0" w:line="161" w:lineRule="exact"/>
        <w:rPr>
          <w:sz w:val="20"/>
          <w:szCs w:val="20"/>
          <w:color w:val="auto"/>
        </w:rPr>
      </w:pPr>
    </w:p>
    <w:p>
      <w:pPr>
        <w:ind w:left="60" w:right="499"/>
        <w:spacing w:after="0" w:line="248"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segregated by the level of the valuation inputs within the fair value hierarchy utilized to measure fair value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5"/>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400" w:type="dxa"/>
            <w:vAlign w:val="bottom"/>
          </w:tcPr>
          <w:p>
            <w:pPr>
              <w:spacing w:after="0"/>
              <w:rPr>
                <w:sz w:val="16"/>
                <w:szCs w:val="16"/>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900" w:type="dxa"/>
            <w:vAlign w:val="bottom"/>
          </w:tcPr>
          <w:p>
            <w:pPr>
              <w:jc w:val="right"/>
              <w:ind w:right="273"/>
              <w:spacing w:after="0"/>
              <w:rPr>
                <w:sz w:val="20"/>
                <w:szCs w:val="20"/>
                <w:color w:val="auto"/>
              </w:rPr>
            </w:pPr>
            <w:r>
              <w:rPr>
                <w:rFonts w:ascii="Arial" w:cs="Arial" w:eastAsia="Arial" w:hAnsi="Arial"/>
                <w:sz w:val="14"/>
                <w:szCs w:val="14"/>
                <w:b w:val="1"/>
                <w:bCs w:val="1"/>
                <w:color w:val="auto"/>
              </w:rPr>
              <w:t>Inputs</w:t>
            </w:r>
          </w:p>
        </w:tc>
        <w:tc>
          <w:tcPr>
            <w:tcW w:w="30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4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29,937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29,937</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1"/>
              </w:rPr>
              <w:t>Obligations of U.S. government corporations and agencies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78,478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78,478</w:t>
            </w: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316,120</w:t>
            </w:r>
          </w:p>
        </w:tc>
        <w:tc>
          <w:tcPr>
            <w:tcW w:w="3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316,120</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357,243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357,243</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w w:val="92"/>
              </w:rPr>
              <w:t>1,218,526</w:t>
            </w:r>
          </w:p>
        </w:tc>
        <w:tc>
          <w:tcPr>
            <w:tcW w:w="3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1,218,526</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80,545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80,545</w:t>
            </w: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13,119</w:t>
            </w:r>
          </w:p>
        </w:tc>
        <w:tc>
          <w:tcPr>
            <w:tcW w:w="2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4,689</w:t>
            </w:r>
          </w:p>
        </w:tc>
        <w:tc>
          <w:tcPr>
            <w:tcW w:w="3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17,808</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87,772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87,772</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39,711</w:t>
            </w:r>
          </w:p>
        </w:tc>
        <w:tc>
          <w:tcPr>
            <w:tcW w:w="3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39,711</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45,525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45,525</w:t>
            </w:r>
          </w:p>
        </w:tc>
      </w:tr>
      <w:tr>
        <w:trPr>
          <w:trHeight w:val="87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840" w:type="dxa"/>
            <w:vAlign w:val="bottom"/>
          </w:tcPr>
          <w:p>
            <w:pPr>
              <w:jc w:val="center"/>
              <w:ind w:left="322"/>
              <w:spacing w:after="0"/>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85"/>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2019</w:t>
            </w:r>
          </w:p>
        </w:tc>
        <w:tc>
          <w:tcPr>
            <w:tcW w:w="84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Inputs</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840" w:type="dxa"/>
            <w:vAlign w:val="bottom"/>
          </w:tcPr>
          <w:p>
            <w:pPr>
              <w:jc w:val="right"/>
              <w:ind w:right="52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51,737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51,737</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 agencies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163,000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268,291</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268,291</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139,287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139,287</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921,966</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921,966</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103,976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5,952</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5,952</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68,699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68,699</w:t>
            </w:r>
          </w:p>
        </w:tc>
      </w:tr>
      <w:tr>
        <w:trPr>
          <w:trHeight w:val="229"/>
        </w:trPr>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13,400</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13,400</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14,821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r>
    </w:tbl>
    <w:p>
      <w:pPr>
        <w:spacing w:after="0" w:line="215"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95" w:lineRule="exact"/>
        <w:rPr>
          <w:sz w:val="20"/>
          <w:szCs w:val="20"/>
          <w:color w:val="auto"/>
        </w:rPr>
      </w:pPr>
    </w:p>
    <w:p>
      <w:pPr>
        <w:ind w:left="60" w:right="99"/>
        <w:spacing w:after="0" w:line="276" w:lineRule="auto"/>
        <w:rPr>
          <w:sz w:val="20"/>
          <w:szCs w:val="20"/>
          <w:color w:val="auto"/>
        </w:rPr>
      </w:pPr>
      <w:r>
        <w:rPr>
          <w:rFonts w:ascii="Arial" w:cs="Arial" w:eastAsia="Arial" w:hAnsi="Arial"/>
          <w:sz w:val="16"/>
          <w:szCs w:val="16"/>
          <w:i w:val="1"/>
          <w:iCs w:val="1"/>
          <w:color w:val="auto"/>
        </w:rPr>
        <w:t>Loans Evaluated Individually</w:t>
      </w:r>
      <w:r>
        <w:rPr>
          <w:rFonts w:ascii="Arial" w:cs="Arial" w:eastAsia="Arial" w:hAnsi="Arial"/>
          <w:sz w:val="16"/>
          <w:szCs w:val="16"/>
          <w:color w:val="auto"/>
        </w:rPr>
        <w:t>. The Company does not record portfolio loans at fair value on a recurring basis.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the unobservable inputs, the fair value of individually evaluated collateral dependent loans have been classified as level 3.</w:t>
      </w:r>
    </w:p>
    <w:p>
      <w:pPr>
        <w:spacing w:after="0" w:line="175" w:lineRule="exact"/>
        <w:rPr>
          <w:sz w:val="20"/>
          <w:szCs w:val="20"/>
          <w:color w:val="auto"/>
        </w:rPr>
      </w:pPr>
    </w:p>
    <w:p>
      <w:pPr>
        <w:jc w:val="both"/>
        <w:ind w:left="60" w:right="339"/>
        <w:spacing w:after="0" w:line="294"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measured at fair value include OREO (upon initial recognition or subsequent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OREO properties are measured using a combination of observable inputs, including recent appraisals, and unobservable inputs. Due to the significance of the unobservable inputs, all OREO fair values have been classified as level 3.</w:t>
      </w:r>
    </w:p>
    <w:p>
      <w:pPr>
        <w:spacing w:after="0" w:line="161"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i w:val="1"/>
          <w:iCs w:val="1"/>
          <w:color w:val="auto"/>
        </w:rPr>
        <w:t xml:space="preserve">Bank Property Held for Sale. </w:t>
      </w:r>
      <w:r>
        <w:rPr>
          <w:rFonts w:ascii="Arial" w:cs="Arial" w:eastAsia="Arial" w:hAnsi="Arial"/>
          <w:sz w:val="18"/>
          <w:szCs w:val="18"/>
          <w:color w:val="auto"/>
        </w:rPr>
        <w:t>Bank property held for sale represents certain banking center office buildings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closed and consolidated with other existing banking centers. Bank property held for sale is measured at the lower of amortized cost or fair value less estimated costs to sell. The fair values were based upon discounted appraisals or real estate listing price. Due to the significance of the unobservable inputs, all bank property held for sale fair values have been classified as level 3.</w:t>
      </w:r>
    </w:p>
    <w:p>
      <w:pPr>
        <w:spacing w:after="0" w:line="203" w:lineRule="exact"/>
        <w:rPr>
          <w:sz w:val="20"/>
          <w:szCs w:val="20"/>
          <w:color w:val="auto"/>
        </w:rPr>
      </w:pPr>
    </w:p>
    <w:p>
      <w:pPr>
        <w:ind w:left="60" w:right="379"/>
        <w:spacing w:after="0" w:line="324" w:lineRule="auto"/>
        <w:rPr>
          <w:sz w:val="20"/>
          <w:szCs w:val="20"/>
          <w:color w:val="auto"/>
        </w:rPr>
      </w:pPr>
      <w:r>
        <w:rPr>
          <w:rFonts w:ascii="Arial" w:cs="Arial" w:eastAsia="Arial" w:hAnsi="Arial"/>
          <w:sz w:val="16"/>
          <w:szCs w:val="16"/>
          <w:color w:val="auto"/>
        </w:rPr>
        <w:t xml:space="preserve">The following table summarizes assets and liabilities measured at fair value on a non-recurring basis,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ind w:left="340"/>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Arial" w:cs="Arial" w:eastAsia="Arial" w:hAnsi="Arial"/>
                <w:sz w:val="14"/>
                <w:szCs w:val="14"/>
                <w:b w:val="1"/>
                <w:bCs w:val="1"/>
                <w:color w:val="auto"/>
                <w:w w:val="96"/>
              </w:rPr>
              <w:t>Level 2</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5"/>
                <w:szCs w:val="15"/>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9"/>
              </w:rPr>
              <w:t>Inputs</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Inputs</w:t>
            </w: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Inputs</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Loans evaluated individually</w:t>
            </w:r>
          </w:p>
        </w:tc>
        <w:tc>
          <w:tcPr>
            <w:tcW w:w="154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3,869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3,594</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Loans evaluated individually</w:t>
            </w:r>
          </w:p>
        </w:tc>
        <w:tc>
          <w:tcPr>
            <w:tcW w:w="15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2,686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4,004</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40</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39"/>
        <w:spacing w:after="0" w:line="291" w:lineRule="auto"/>
        <w:rPr>
          <w:sz w:val="20"/>
          <w:szCs w:val="20"/>
          <w:color w:val="auto"/>
        </w:rPr>
      </w:pPr>
      <w:r>
        <w:rPr>
          <w:rFonts w:ascii="Arial" w:cs="Arial" w:eastAsia="Arial" w:hAnsi="Arial"/>
          <w:sz w:val="17"/>
          <w:szCs w:val="17"/>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35"/>
              <w:spacing w:after="0" w:line="160" w:lineRule="exact"/>
              <w:rPr>
                <w:sz w:val="20"/>
                <w:szCs w:val="20"/>
                <w:color w:val="auto"/>
              </w:rPr>
            </w:pPr>
            <w:r>
              <w:rPr>
                <w:rFonts w:ascii="Arial" w:cs="Arial" w:eastAsia="Arial" w:hAnsi="Arial"/>
                <w:sz w:val="14"/>
                <w:szCs w:val="14"/>
                <w:b w:val="1"/>
                <w:bCs w:val="1"/>
                <w:color w:val="auto"/>
                <w:w w:val="92"/>
              </w:rPr>
              <w:t>Fair Value</w:t>
            </w:r>
          </w:p>
        </w:tc>
        <w:tc>
          <w:tcPr>
            <w:tcW w:w="18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5"/>
              </w:rPr>
              <w:t>Valuation</w:t>
            </w:r>
          </w:p>
        </w:tc>
        <w:tc>
          <w:tcPr>
            <w:tcW w:w="19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Unobservable</w:t>
            </w:r>
          </w:p>
        </w:tc>
        <w:tc>
          <w:tcPr>
            <w:tcW w:w="2100" w:type="dxa"/>
            <w:vAlign w:val="bottom"/>
          </w:tcPr>
          <w:p>
            <w:pPr>
              <w:jc w:val="center"/>
              <w:ind w:left="35"/>
              <w:spacing w:after="0" w:line="160" w:lineRule="exact"/>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Estimate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Techniques</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210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40" w:type="dxa"/>
            <w:vAlign w:val="bottom"/>
            <w:gridSpan w:val="2"/>
          </w:tcPr>
          <w:p>
            <w:pPr>
              <w:spacing w:after="0"/>
              <w:rPr>
                <w:sz w:val="20"/>
                <w:szCs w:val="20"/>
                <w:color w:val="auto"/>
              </w:rPr>
            </w:pPr>
            <w:r>
              <w:rPr>
                <w:rFonts w:ascii="Arial" w:cs="Arial" w:eastAsia="Arial" w:hAnsi="Arial"/>
                <w:sz w:val="18"/>
                <w:szCs w:val="18"/>
                <w:color w:val="auto"/>
              </w:rPr>
              <w:t>Loans evaluated</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5"/>
              <w:spacing w:after="0"/>
              <w:rPr>
                <w:sz w:val="20"/>
                <w:szCs w:val="20"/>
                <w:color w:val="auto"/>
              </w:rPr>
            </w:pPr>
            <w:r>
              <w:rPr>
                <w:rFonts w:ascii="Arial" w:cs="Arial" w:eastAsia="Arial" w:hAnsi="Arial"/>
                <w:sz w:val="18"/>
                <w:szCs w:val="18"/>
                <w:color w:val="auto"/>
              </w:rPr>
              <w:t>3,869</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2"/>
              </w:rPr>
              <w:t>Appraisal of collateral</w:t>
            </w:r>
          </w:p>
        </w:tc>
        <w:tc>
          <w:tcPr>
            <w:tcW w:w="1900" w:type="dxa"/>
            <w:vAlign w:val="bottom"/>
            <w:vMerge w:val="restart"/>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tcPr>
          <w:p>
            <w:pPr>
              <w:jc w:val="center"/>
              <w:ind w:left="35"/>
              <w:spacing w:after="0"/>
              <w:rPr>
                <w:sz w:val="20"/>
                <w:szCs w:val="20"/>
                <w:color w:val="auto"/>
              </w:rPr>
            </w:pPr>
            <w:r>
              <w:rPr>
                <w:rFonts w:ascii="Arial" w:cs="Arial" w:eastAsia="Arial" w:hAnsi="Arial"/>
                <w:sz w:val="18"/>
                <w:szCs w:val="18"/>
                <w:color w:val="auto"/>
                <w:w w:val="93"/>
              </w:rPr>
              <w:t>-20.0% to -100% (-38.3)%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tcPr>
          <w:p>
            <w:pPr>
              <w:ind w:left="120"/>
              <w:spacing w:after="0"/>
              <w:rPr>
                <w:sz w:val="20"/>
                <w:szCs w:val="20"/>
                <w:color w:val="auto"/>
              </w:rPr>
            </w:pPr>
            <w:r>
              <w:rPr>
                <w:rFonts w:ascii="Arial" w:cs="Arial" w:eastAsia="Arial" w:hAnsi="Arial"/>
                <w:sz w:val="18"/>
                <w:szCs w:val="18"/>
                <w:color w:val="auto"/>
              </w:rPr>
              <w:t>individually</w:t>
            </w:r>
          </w:p>
        </w:tc>
        <w:tc>
          <w:tcPr>
            <w:tcW w:w="1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79</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Appraisal of collateral</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Appraisal adjustments</w:t>
            </w:r>
          </w:p>
        </w:tc>
        <w:tc>
          <w:tcPr>
            <w:tcW w:w="21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3"/>
              </w:rPr>
              <w:t>-25.0% to -100% (-64.5)%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2"/>
              </w:rPr>
              <w:t>Bank property held for sale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3,594</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Appraisal of collateral</w:t>
            </w:r>
          </w:p>
        </w:tc>
        <w:tc>
          <w:tcPr>
            <w:tcW w:w="1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or real estate listing</w:t>
            </w:r>
          </w:p>
        </w:tc>
        <w:tc>
          <w:tcPr>
            <w:tcW w:w="1900" w:type="dxa"/>
            <w:vAlign w:val="bottom"/>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tcPr>
          <w:p>
            <w:pPr>
              <w:jc w:val="center"/>
              <w:ind w:left="15"/>
              <w:spacing w:after="0"/>
              <w:rPr>
                <w:sz w:val="20"/>
                <w:szCs w:val="20"/>
                <w:color w:val="auto"/>
              </w:rPr>
            </w:pPr>
            <w:r>
              <w:rPr>
                <w:rFonts w:ascii="Arial" w:cs="Arial" w:eastAsia="Arial" w:hAnsi="Arial"/>
                <w:sz w:val="18"/>
                <w:szCs w:val="18"/>
                <w:color w:val="auto"/>
                <w:w w:val="92"/>
              </w:rPr>
              <w:t>-6.2% to -64.9% (-23.9)%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1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Loans evaluated</w:t>
            </w:r>
          </w:p>
        </w:tc>
        <w:tc>
          <w:tcPr>
            <w:tcW w:w="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2,686</w:t>
            </w: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Appraisal of collateral</w:t>
            </w:r>
          </w:p>
        </w:tc>
        <w:tc>
          <w:tcPr>
            <w:tcW w:w="19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vMerge w:val="restart"/>
            <w:shd w:val="clear" w:color="auto" w:fill="CCEEFF"/>
          </w:tcPr>
          <w:p>
            <w:pPr>
              <w:jc w:val="center"/>
              <w:ind w:left="35"/>
              <w:spacing w:after="0"/>
              <w:rPr>
                <w:sz w:val="20"/>
                <w:szCs w:val="20"/>
                <w:color w:val="auto"/>
              </w:rPr>
            </w:pPr>
            <w:r>
              <w:rPr>
                <w:rFonts w:ascii="Arial" w:cs="Arial" w:eastAsia="Arial" w:hAnsi="Arial"/>
                <w:sz w:val="18"/>
                <w:szCs w:val="18"/>
                <w:color w:val="auto"/>
                <w:w w:val="91"/>
              </w:rPr>
              <w:t>-2.9% to -100% (-57.8)%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individually</w:t>
            </w:r>
          </w:p>
        </w:tc>
        <w:tc>
          <w:tcPr>
            <w:tcW w:w="160" w:type="dxa"/>
            <w:vAlign w:val="bottom"/>
            <w:gridSpan w:val="2"/>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860" w:type="dxa"/>
            <w:vAlign w:val="bottom"/>
            <w:vMerge w:val="continue"/>
            <w:shd w:val="clear" w:color="auto" w:fill="CCEEFF"/>
          </w:tcPr>
          <w:p>
            <w:pPr>
              <w:spacing w:after="0"/>
              <w:rPr>
                <w:sz w:val="9"/>
                <w:szCs w:val="9"/>
                <w:color w:val="auto"/>
              </w:rPr>
            </w:pPr>
          </w:p>
        </w:tc>
        <w:tc>
          <w:tcPr>
            <w:tcW w:w="1900" w:type="dxa"/>
            <w:vAlign w:val="bottom"/>
            <w:vMerge w:val="continue"/>
            <w:shd w:val="clear" w:color="auto" w:fill="CCEEFF"/>
          </w:tcPr>
          <w:p>
            <w:pPr>
              <w:spacing w:after="0"/>
              <w:rPr>
                <w:sz w:val="9"/>
                <w:szCs w:val="9"/>
                <w:color w:val="auto"/>
              </w:rPr>
            </w:pPr>
          </w:p>
        </w:tc>
        <w:tc>
          <w:tcPr>
            <w:tcW w:w="2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860" w:type="dxa"/>
            <w:vAlign w:val="bottom"/>
            <w:vMerge w:val="continue"/>
            <w:shd w:val="clear" w:color="auto" w:fill="CCEEFF"/>
          </w:tcPr>
          <w:p>
            <w:pPr>
              <w:spacing w:after="0"/>
              <w:rPr>
                <w:sz w:val="10"/>
                <w:szCs w:val="10"/>
                <w:color w:val="auto"/>
              </w:rPr>
            </w:pPr>
          </w:p>
        </w:tc>
        <w:tc>
          <w:tcPr>
            <w:tcW w:w="1900" w:type="dxa"/>
            <w:vAlign w:val="bottom"/>
            <w:vMerge w:val="continue"/>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OREO</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55</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Appraisal of collateral</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Appraisal adjustments</w:t>
            </w:r>
          </w:p>
        </w:tc>
        <w:tc>
          <w:tcPr>
            <w:tcW w:w="2100" w:type="dxa"/>
            <w:vAlign w:val="bottom"/>
          </w:tcPr>
          <w:p>
            <w:pPr>
              <w:jc w:val="center"/>
              <w:ind w:left="35"/>
              <w:spacing w:after="0"/>
              <w:rPr>
                <w:sz w:val="20"/>
                <w:szCs w:val="20"/>
                <w:color w:val="auto"/>
              </w:rPr>
            </w:pPr>
            <w:r>
              <w:rPr>
                <w:rFonts w:ascii="Arial" w:cs="Arial" w:eastAsia="Arial" w:hAnsi="Arial"/>
                <w:sz w:val="18"/>
                <w:szCs w:val="18"/>
                <w:color w:val="auto"/>
                <w:w w:val="93"/>
              </w:rPr>
              <w:t>-25.0% to -100% (-65.0)%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2"/>
              </w:rPr>
              <w:t>Bank property held for sale</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4,004</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Appraisal of collateral</w:t>
            </w:r>
          </w:p>
        </w:tc>
        <w:tc>
          <w:tcPr>
            <w:tcW w:w="19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or real estate listing</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-6.2% to -71.3% (-40.7)%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price</w:t>
            </w:r>
          </w:p>
        </w:tc>
        <w:tc>
          <w:tcPr>
            <w:tcW w:w="19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79"/>
        <w:spacing w:after="0" w:line="248" w:lineRule="auto"/>
        <w:rPr>
          <w:sz w:val="20"/>
          <w:szCs w:val="20"/>
          <w:color w:val="auto"/>
        </w:rPr>
      </w:pPr>
      <w:r>
        <w:rPr>
          <w:rFonts w:ascii="Arial" w:cs="Arial" w:eastAsia="Arial" w:hAnsi="Arial"/>
          <w:sz w:val="18"/>
          <w:szCs w:val="18"/>
          <w:color w:val="auto"/>
        </w:rPr>
        <w:t xml:space="preserve">The estimated fair values of financial instruments that are reported at amortized cost in the Company’s unaudited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93"/>
              <w:spacing w:after="0" w:line="160"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940" w:type="dxa"/>
            <w:vAlign w:val="bottom"/>
          </w:tcPr>
          <w:p>
            <w:pPr>
              <w:jc w:val="right"/>
              <w:ind w:right="372"/>
              <w:spacing w:after="0" w:line="160"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920" w:type="dxa"/>
            <w:vAlign w:val="bottom"/>
          </w:tcPr>
          <w:p>
            <w:pPr>
              <w:jc w:val="right"/>
              <w:ind w:right="213"/>
              <w:spacing w:after="0" w:line="160"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840" w:type="dxa"/>
            <w:vAlign w:val="bottom"/>
          </w:tcPr>
          <w:p>
            <w:pPr>
              <w:jc w:val="right"/>
              <w:ind w:right="272"/>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Level 1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479,721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479,721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529,288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Level 2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37,609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37,609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27,109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Level 3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Portfolio loans, net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7,022,470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7,055,886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6,633,501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6,648,560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11,982</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12,570</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12,326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servicing rights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1,199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1,696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1,071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Level 2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1,227,767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1,243,305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1,534,850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1,538,597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201,641</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201,641</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205,491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4,651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4,651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8,551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4,931</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5,218</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83,600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Junior subordinated debt owed to unconsolidated</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71,427</w:t>
            </w:r>
          </w:p>
        </w:tc>
        <w:tc>
          <w:tcPr>
            <w:tcW w:w="28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57,793</w:t>
            </w:r>
          </w:p>
        </w:tc>
        <w:tc>
          <w:tcPr>
            <w:tcW w:w="28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71,308</w:t>
            </w:r>
          </w:p>
        </w:tc>
        <w:tc>
          <w:tcPr>
            <w:tcW w:w="28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74,153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trusts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6,648</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6,648</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Senior notes, net of unamortized issuance costs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39,775</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40,099</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39,674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Subordinated notes, net of unamortized issuance costs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182,095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184,944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59,248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Leases</w:t>
      </w:r>
    </w:p>
    <w:p>
      <w:pPr>
        <w:spacing w:after="0" w:line="229" w:lineRule="exact"/>
        <w:rPr>
          <w:sz w:val="20"/>
          <w:szCs w:val="20"/>
          <w:color w:val="auto"/>
        </w:rPr>
      </w:pPr>
    </w:p>
    <w:p>
      <w:pPr>
        <w:ind w:left="60" w:right="359"/>
        <w:spacing w:after="0" w:line="259" w:lineRule="auto"/>
        <w:rPr>
          <w:sz w:val="20"/>
          <w:szCs w:val="20"/>
          <w:color w:val="auto"/>
        </w:rPr>
      </w:pPr>
      <w:r>
        <w:rPr>
          <w:rFonts w:ascii="Arial" w:cs="Arial" w:eastAsia="Arial" w:hAnsi="Arial"/>
          <w:sz w:val="18"/>
          <w:szCs w:val="18"/>
          <w:color w:val="auto"/>
        </w:rPr>
        <w:t>The Company has operating leases consisting primarily of equipment leases and real estate leases. The Company leases real estate property for banking centers, ATM locations, and office space with terms extending through 2032. As of September 30, 2020, the Company reported $7.3 million of right-of-use asset and $7.3 million lease liability in its unaudited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tables represents lease costs and other lease information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80" w:lineRule="exact"/>
        <w:rPr>
          <w:sz w:val="20"/>
          <w:szCs w:val="20"/>
          <w:color w:val="auto"/>
        </w:rPr>
      </w:pPr>
    </w:p>
    <w:tbl>
      <w:tblPr>
        <w:tblLayout w:type="fixed"/>
        <w:tblInd w:w="5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3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Lease Costs</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29"/>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Variable lease costs</w:t>
            </w:r>
          </w:p>
        </w:tc>
        <w:tc>
          <w:tcPr>
            <w:tcW w:w="10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37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Sublease income</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information</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 w:type="dxa"/>
            <w:vAlign w:val="bottom"/>
            <w:tcBorders>
              <w:left w:val="single" w:sz="8" w:color="CCEEFF"/>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Cash paid for amounts included in the</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gridSpan w:val="3"/>
          </w:tcPr>
          <w:p>
            <w:pPr>
              <w:ind w:left="140"/>
              <w:spacing w:after="0"/>
              <w:rPr>
                <w:sz w:val="20"/>
                <w:szCs w:val="20"/>
                <w:color w:val="auto"/>
              </w:rPr>
            </w:pPr>
            <w:r>
              <w:rPr>
                <w:rFonts w:ascii="Arial" w:cs="Arial" w:eastAsia="Arial" w:hAnsi="Arial"/>
                <w:sz w:val="18"/>
                <w:szCs w:val="18"/>
                <w:color w:val="auto"/>
              </w:rPr>
              <w:t>measurement of lease liabilities: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cash flows – Fixed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29"/>
        </w:trPr>
        <w:tc>
          <w:tcPr>
            <w:tcW w:w="3780" w:type="dxa"/>
            <w:vAlign w:val="bottom"/>
            <w:gridSpan w:val="3"/>
          </w:tcPr>
          <w:p>
            <w:pPr>
              <w:ind w:left="20"/>
              <w:spacing w:after="0"/>
              <w:rPr>
                <w:sz w:val="20"/>
                <w:szCs w:val="20"/>
                <w:color w:val="auto"/>
              </w:rPr>
            </w:pPr>
            <w:r>
              <w:rPr>
                <w:rFonts w:ascii="Arial" w:cs="Arial" w:eastAsia="Arial" w:hAnsi="Arial"/>
                <w:sz w:val="18"/>
                <w:szCs w:val="18"/>
                <w:color w:val="auto"/>
                <w:w w:val="99"/>
              </w:rPr>
              <w:t>Operating lease cash flows – Liability reduction</w:t>
            </w:r>
          </w:p>
        </w:tc>
        <w:tc>
          <w:tcPr>
            <w:tcW w:w="10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546</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30"/>
        </w:trPr>
        <w:tc>
          <w:tcPr>
            <w:tcW w:w="37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6"/>
              </w:rPr>
              <w:t>Right of use assets obtained during the period in</w:t>
            </w:r>
          </w:p>
        </w:tc>
        <w:tc>
          <w:tcPr>
            <w:tcW w:w="10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37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exchange for operating lease liabilities</w:t>
            </w: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ind w:left="20"/>
              <w:spacing w:after="0"/>
              <w:rPr>
                <w:sz w:val="20"/>
                <w:szCs w:val="20"/>
                <w:color w:val="auto"/>
              </w:rPr>
            </w:pPr>
            <w:r>
              <w:rPr>
                <w:rFonts w:ascii="Arial" w:cs="Arial" w:eastAsia="Arial" w:hAnsi="Arial"/>
                <w:sz w:val="18"/>
                <w:szCs w:val="18"/>
                <w:color w:val="auto"/>
              </w:rPr>
              <w:t>Weighted average lease term (in years)</w:t>
            </w:r>
          </w:p>
        </w:tc>
        <w:tc>
          <w:tcPr>
            <w:tcW w:w="10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9"/>
        </w:trPr>
        <w:tc>
          <w:tcPr>
            <w:tcW w:w="37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3.08%</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right="199"/>
        <w:spacing w:after="0" w:line="262" w:lineRule="auto"/>
        <w:rPr>
          <w:sz w:val="20"/>
          <w:szCs w:val="20"/>
          <w:color w:val="auto"/>
        </w:rPr>
      </w:pPr>
      <w:r>
        <w:rPr>
          <w:rFonts w:ascii="Arial" w:cs="Arial" w:eastAsia="Arial" w:hAnsi="Arial"/>
          <w:sz w:val="17"/>
          <w:szCs w:val="17"/>
          <w:color w:val="auto"/>
        </w:rPr>
        <w:t>At September 30, 2020, the Company was obligated under noncancelable operating leases for office space and other commitments. Rent expense under operating leases, included in net occupancy and equipment expense, was $0.7 million and $0.8 million for the three months ended September 30, 2020 and 2019, respectively and $2.3 million and $2.2 million for the nine months ended September 30, 2020 and 2019, respectively.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40" w:type="dxa"/>
            <w:vAlign w:val="bottom"/>
          </w:tcPr>
          <w:p>
            <w:pPr>
              <w:jc w:val="right"/>
              <w:ind w:right="1154"/>
              <w:spacing w:after="0"/>
              <w:rPr>
                <w:sz w:val="20"/>
                <w:szCs w:val="20"/>
                <w:color w:val="auto"/>
              </w:rPr>
            </w:pPr>
            <w:r>
              <w:rPr>
                <w:rFonts w:ascii="Arial" w:cs="Arial" w:eastAsia="Arial" w:hAnsi="Arial"/>
                <w:sz w:val="14"/>
                <w:szCs w:val="14"/>
                <w:b w:val="1"/>
                <w:bCs w:val="1"/>
                <w:color w:val="auto"/>
              </w:rPr>
              <w:t>As of</w:t>
            </w:r>
          </w:p>
        </w:tc>
      </w:tr>
      <w:tr>
        <w:trPr>
          <w:trHeight w:val="185"/>
        </w:trPr>
        <w:tc>
          <w:tcPr>
            <w:tcW w:w="59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2,647</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representing interest</w:t>
            </w:r>
          </w:p>
        </w:tc>
        <w:tc>
          <w:tcPr>
            <w:tcW w:w="56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Present value of net future minimum lease payments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7,342</w:t>
            </w:r>
          </w:p>
        </w:tc>
      </w:tr>
      <w:tr>
        <w:trPr>
          <w:trHeight w:val="20"/>
        </w:trPr>
        <w:tc>
          <w:tcPr>
            <w:tcW w:w="5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60" w:right="99"/>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0"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The following discussion and analysis is intended to assist readers in understanding the financial condition and results of operations of the Company during the three and nine months ended September 30, 2020 and should be read in conjunction with the Company’s unaudited consolidated financial statements and notes thereto included in this Form 10-Q, as well as the Company’s 2019 Form 10-K.</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In the face of the challenges and risks posed by COVID-19, the Company remains resolute in its focus on protecting the strength and flexibility of its balance sheet. The progression of the COVID-19 pandemic in the United States began to negatively impact the Company’s results of operations during the first quarter of 2020. In future quarters, COVID-19 is expected to have a complex and continued adverse impact on the economy, the banking industry and First Busey, all subject to a high degree of uncertainty as it relates to both timing and severity. Primary areas of potential future impact to the Company may include further margin compression, increased provision expense, a deterioration in credit quality and lower fees for customer services.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Effects on Our Market Areas.</w:t>
      </w:r>
    </w:p>
    <w:p>
      <w:pPr>
        <w:spacing w:after="0" w:line="225"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Our commercial and consumer banking products and services are delivered in Illinois, Missouri, Indiana and Florida. Each state has experienced a dramatic increase in unemployment claims as a result of the curtailment of business activities. Each state has taken different steps to reopen after COVID-19 thrust the country into lockdown starting in March 2020, and reopening across jurisdictions is subject to changes or further delays based on case monitoring in each state.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Policy and Regulatory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Federal, state and local governments and regulatory authorities have enacted and issued a range of policy responses to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COVID-19 pandemic, including the following:</w:t>
      </w:r>
    </w:p>
    <w:p>
      <w:pPr>
        <w:spacing w:after="0" w:line="209" w:lineRule="exact"/>
        <w:rPr>
          <w:sz w:val="20"/>
          <w:szCs w:val="20"/>
          <w:color w:val="auto"/>
        </w:rPr>
      </w:pPr>
    </w:p>
    <w:p>
      <w:pPr>
        <w:ind w:left="1040" w:right="139" w:hanging="315"/>
        <w:spacing w:after="0" w:line="261"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Reserve decreased the range for the Federal Funds Target Rate by 0.50% on March 3, 2020, and by another 1.0% on March 16, 2020.</w:t>
      </w:r>
    </w:p>
    <w:p>
      <w:pPr>
        <w:spacing w:after="0" w:line="184" w:lineRule="exact"/>
        <w:rPr>
          <w:rFonts w:ascii="Arial" w:cs="Arial" w:eastAsia="Arial" w:hAnsi="Arial"/>
          <w:sz w:val="18"/>
          <w:szCs w:val="18"/>
          <w:color w:val="auto"/>
        </w:rPr>
      </w:pPr>
    </w:p>
    <w:p>
      <w:pPr>
        <w:ind w:left="1040" w:right="139" w:hanging="315"/>
        <w:spacing w:after="0" w:line="270"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March 27, 2020, President Trump signed the CARES Act, which established a $2.0 trillion economic stimulus package, including cash payments to individuals, supplemental unemployment insurance benefits and a $349 billion loan program administered through the U.S. Small Business Administration (“SBA”), referred to as PPP. Under the PPP, small businesses, sole proprietorships, independent contractors and self-employed individuals could apply for loans from existing SBA lenders and other approved regulated lenders that enroll in the program, subject to limitations and eligibility criteria. On April 24, 2020, President Trump signed the Paycheck Protection Program and Health Care Enhancement Act, which authorized an additional $310 billion of PPP loans. The Bank participated as a lender in the PPP. In addition, the CARES Act provides financial institutions the option to temporarily suspend certain requirements under GAAP related to TDRs for a limited period of time to account for the effects of COVID-19.</w:t>
      </w:r>
    </w:p>
    <w:p>
      <w:pPr>
        <w:spacing w:after="0" w:line="184" w:lineRule="exact"/>
        <w:rPr>
          <w:rFonts w:ascii="Arial" w:cs="Arial" w:eastAsia="Arial" w:hAnsi="Arial"/>
          <w:sz w:val="16"/>
          <w:szCs w:val="16"/>
          <w:color w:val="auto"/>
        </w:rPr>
      </w:pPr>
    </w:p>
    <w:p>
      <w:pPr>
        <w:ind w:left="1040" w:right="79" w:hanging="315"/>
        <w:spacing w:after="0" w:line="279"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April 7, 2020, federal banking regulators issued a revised Interagency Statement on Loan Modifications and Reporting for Financial Institutions, which, among other things, encouraged financial institutions to work prudently with borrowers who are or may be unable to meet their contractual payment obligations because of the effects of COVID-19. Further, the statement made it clear that institutions generally do not need to categorize COVID-19-related modifications as TDRs if certain requirements are met and that the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40" w:right="679"/>
        <w:spacing w:after="0" w:line="261" w:lineRule="auto"/>
        <w:rPr>
          <w:sz w:val="20"/>
          <w:szCs w:val="20"/>
          <w:color w:val="auto"/>
        </w:rPr>
      </w:pPr>
      <w:r>
        <w:rPr>
          <w:rFonts w:ascii="Arial" w:cs="Arial" w:eastAsia="Arial" w:hAnsi="Arial"/>
          <w:sz w:val="18"/>
          <w:szCs w:val="18"/>
          <w:color w:val="auto"/>
        </w:rPr>
        <w:t>agencies will not direct supervised institutions to automatically categorize all COVID-19 related loan modifications as TDRs.</w:t>
      </w:r>
    </w:p>
    <w:p>
      <w:pPr>
        <w:spacing w:after="0" w:line="184" w:lineRule="exact"/>
        <w:rPr>
          <w:sz w:val="20"/>
          <w:szCs w:val="20"/>
          <w:color w:val="auto"/>
        </w:rPr>
      </w:pPr>
    </w:p>
    <w:p>
      <w:pPr>
        <w:ind w:left="1040" w:right="119" w:hanging="315"/>
        <w:spacing w:after="0" w:line="253"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April 9, 2020, the Federal Reserve announced additional measures aimed at supporting small and midsized business, as well as state and local governments impacted by COVID-19. The Federal Reserve announced the Main Street Business Lending Program, which provides for five loan facilities with total potential funding of up to $600 billion. The Main Street New Loan Facility ("MSNLF"), the Main Street Priority Loan Facility ("MSPLF") and the Main Street Expanded Loan Facility ("MSELF") are three credit facilities that provide eligible business borrowers impacted by COVID-19 with financing in amounts of $250 thousand to $300 million depending on facility. Similarly, the Nonprofit Organization New Loan Facility ("NONLF") and the Nonprofit Organization Expanded Loan Facility ("NOELF") provide eligible not-for-profit organizations with financing in amounts of $250 thousand to $10 million. As of September 30, 2020, the Company had not participated in the Main Street Business Lending Program.</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Effects on Our Business</w:t>
      </w:r>
    </w:p>
    <w:p>
      <w:pPr>
        <w:spacing w:after="0" w:line="22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COVID-19 pandemic will continue to have a significant impact on our business. In particular, we anticipate that a significant portion of the Bank’s borrowers in the hotel, restaurant, transportation, long-term healthcare and retail industries will continue to endure significant economic distress. This will adversely affect their ability to repay existing indebtedness, and could adversely impact the value of collateral pledged to Busey Bank. These developments, together with economic conditions generally, are also expected to impact our commercial real estate portfolio, particularly with respect to real estate with exposure to these industries, our consumer loan business and loan portfolio, and the value of certain collateral securing our loans. As a result, we anticipate that our financial condition, capital levels and results of operations could be significantly adversely affected.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Response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have taken, and continue to take, numerous steps in response to the COVID-19 pandemic, including the following:</w:t>
      </w:r>
    </w:p>
    <w:p>
      <w:pPr>
        <w:spacing w:after="0" w:line="248" w:lineRule="exact"/>
        <w:rPr>
          <w:sz w:val="20"/>
          <w:szCs w:val="20"/>
          <w:color w:val="auto"/>
        </w:rPr>
      </w:pPr>
    </w:p>
    <w:p>
      <w:pPr>
        <w:jc w:val="both"/>
        <w:ind w:left="720" w:right="79" w:hanging="319"/>
        <w:spacing w:after="0" w:line="255"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First Busey offered an internal Financial Relief Program to qualifying customers designed to alleviate some of the financial hardships that they faced as a result of COVID-19. This program offered solutions for all types of customers—including retail, personal loan and mortgage—as well as commercial clients and small businesses. The program included options for loan payment deferrals as well as certain fee waivers. As of September 30, 2020, the Company had 301 commercial loans on payment deferrals representing $426.4 million in loans, 565 mortgage and personal loans on payment deferrals representing $82.4 million in loans and an additional 520 deferrals for $63.7 million of mortgage loans in the serviced portfolio.</w:t>
      </w:r>
    </w:p>
    <w:p>
      <w:pPr>
        <w:spacing w:after="0" w:line="193" w:lineRule="exact"/>
        <w:rPr>
          <w:rFonts w:ascii="Arial" w:cs="Arial" w:eastAsia="Arial" w:hAnsi="Arial"/>
          <w:sz w:val="17"/>
          <w:szCs w:val="17"/>
          <w:color w:val="auto"/>
        </w:rPr>
      </w:pPr>
    </w:p>
    <w:p>
      <w:pPr>
        <w:jc w:val="both"/>
        <w:ind w:left="720" w:right="79" w:hanging="319"/>
        <w:spacing w:after="0" w:line="270"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First Busey has served as a bridge for the PPP, actively helping existing and new business customers sign up for this important financial resource. At September 30, 2020, First Busey had $749.4 million in PPP loans outstanding, with an amortized cost of $736.4 million, representing 4,569 new and existing customers.</w:t>
      </w:r>
    </w:p>
    <w:p>
      <w:pPr>
        <w:spacing w:after="0" w:line="177" w:lineRule="exact"/>
        <w:rPr>
          <w:rFonts w:ascii="Arial" w:cs="Arial" w:eastAsia="Arial" w:hAnsi="Arial"/>
          <w:sz w:val="17"/>
          <w:szCs w:val="17"/>
          <w:color w:val="auto"/>
        </w:rPr>
      </w:pPr>
    </w:p>
    <w:p>
      <w:pPr>
        <w:ind w:left="720" w:right="239" w:hanging="319"/>
        <w:spacing w:after="0" w:line="24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Busey initiated its pandemic response plan, expanding social-distancing practices and remote work capabilities to ensure the safety of its associates. The Company has also instituted a new Emergency Sick Leave policy for all full-time and part-time associates.</w:t>
      </w:r>
    </w:p>
    <w:p>
      <w:pPr>
        <w:spacing w:after="0" w:line="195" w:lineRule="exact"/>
        <w:rPr>
          <w:rFonts w:ascii="Arial" w:cs="Arial" w:eastAsia="Arial" w:hAnsi="Arial"/>
          <w:sz w:val="18"/>
          <w:szCs w:val="18"/>
          <w:color w:val="auto"/>
        </w:rPr>
      </w:pPr>
    </w:p>
    <w:p>
      <w:pPr>
        <w:ind w:left="720" w:right="459" w:hanging="319"/>
        <w:spacing w:after="0" w:line="261"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Busey has reopened all of its banking center lobbies with safety measurements in place as of October 5, 2020.</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First Busey suspended open-market share repurchases under its share repurchase plan on March 16, 2020.</w:t>
      </w:r>
    </w:p>
    <w:p>
      <w:pPr>
        <w:spacing w:after="0" w:line="236" w:lineRule="exact"/>
        <w:rPr>
          <w:rFonts w:ascii="Arial" w:cs="Arial" w:eastAsia="Arial" w:hAnsi="Arial"/>
          <w:sz w:val="17"/>
          <w:szCs w:val="17"/>
          <w:color w:val="auto"/>
        </w:rPr>
      </w:pPr>
    </w:p>
    <w:p>
      <w:pPr>
        <w:ind w:left="720" w:right="139" w:hanging="319"/>
        <w:spacing w:after="0" w:line="24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Busey completed a successful public offering on June 1, 2020 of $125.0 million of 5.25% fixed-to-floating rate subordinated notes due in 2030. This enhanced the Company’s strong liquidity position and qualifies as Tier 2 capital for regulatory purposes.</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6"/>
          <w:szCs w:val="16"/>
          <w:color w:val="auto"/>
        </w:rPr>
        <w:t>Net income for First Busey for the third quarter of 2020 was $30.8 million, or $0.56 per diluted common share, as compared to $25.8 million, or $0.47 per diluted common share, for the second quarter of 2020 and $24.8 million, or $0.45 per diluted common share, for the third quarter of 2019. Adjusted net income</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for the third quarter of 2020 was $32.8 million, or $0.60 per diluted common share, as compared to $26.2 million, or $0.48 per diluted common share, for the second quarter of 2020 and $30.5 million, or $0.55 per diluted common share, for the third quarter of 2019. For the third quarter of 2020, annualized return on average assets and annualized return on average tangible common equity</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were 1.15% and 13.92%, respectively. Based on adjusted net income</w:t>
      </w:r>
      <w:r>
        <w:rPr>
          <w:rFonts w:ascii="Arial" w:cs="Arial" w:eastAsia="Arial" w:hAnsi="Arial"/>
          <w:sz w:val="23"/>
          <w:szCs w:val="23"/>
          <w:color w:val="auto"/>
          <w:vertAlign w:val="superscript"/>
        </w:rPr>
        <w:t>(1)</w:t>
      </w:r>
      <w:r>
        <w:rPr>
          <w:rFonts w:ascii="Arial" w:cs="Arial" w:eastAsia="Arial" w:hAnsi="Arial"/>
          <w:sz w:val="16"/>
          <w:szCs w:val="16"/>
          <w:color w:val="auto"/>
        </w:rPr>
        <w:t>, annualized return on average assets was 1.22% and annualized return on average tangible common equity</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was 14.81% for the third quarter of 2020.</w:t>
      </w:r>
    </w:p>
    <w:p>
      <w:pPr>
        <w:spacing w:after="0" w:line="83" w:lineRule="exact"/>
        <w:rPr>
          <w:sz w:val="20"/>
          <w:szCs w:val="20"/>
          <w:color w:val="auto"/>
        </w:rPr>
      </w:pPr>
    </w:p>
    <w:p>
      <w:pPr>
        <w:jc w:val="both"/>
        <w:ind w:left="60" w:right="59"/>
        <w:spacing w:after="0" w:line="192" w:lineRule="auto"/>
        <w:rPr>
          <w:sz w:val="20"/>
          <w:szCs w:val="20"/>
          <w:color w:val="auto"/>
        </w:rPr>
      </w:pPr>
      <w:r>
        <w:rPr>
          <w:rFonts w:ascii="Arial" w:cs="Arial" w:eastAsia="Arial" w:hAnsi="Arial"/>
          <w:sz w:val="18"/>
          <w:szCs w:val="18"/>
          <w:color w:val="auto"/>
        </w:rPr>
        <w:t>Pre-provision net revenue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for the third quarter of 2020 was $45.9 million as compared to $45.4 million for the second quarter of 2020 and $35.9 million for the third quarter of 2019. Adjusted pre-provision net revenue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for the third quarter of 2020 was $48.7 million as compared to $46.4 million for the second quarter of 2020 and $43.6 million for the third quarter of 2019. Pre-provision net revenue to average assets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for the third quarter of 2020 was 1.71% as compared to 1.76% for the second quarter of 2020 and 1.48% for the third quarter of 2019. Adjusted pre-provision net revenue to average assets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for the third quarter of 2020 was 1.81% as compared to 1.80% for the second quarter of 2020 and 1.79% for the third quarter of 2019.</w:t>
      </w:r>
    </w:p>
    <w:p>
      <w:pPr>
        <w:spacing w:after="0" w:line="20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Company continues to navigate the economic environment caused by the COVID-19 pandemic effectively and prudently. Our balance sheet strength remains robust with sound and stable asset quality, strong capital levels and substantial liquidity. Nevertheless, we remain vigilant, given that the negative impacts of COVID-19 are expected to continue in future quarters as the course of the economic recovery remains unclear and further fiscal stimulus is uncertain. These negative impacts may include further margin compression, increased provision expense, a deterioration in asset quality and lower fees for customer services.</w:t>
      </w:r>
    </w:p>
    <w:p>
      <w:pPr>
        <w:spacing w:after="0" w:line="203" w:lineRule="exact"/>
        <w:rPr>
          <w:sz w:val="20"/>
          <w:szCs w:val="20"/>
          <w:color w:val="auto"/>
        </w:rPr>
      </w:pPr>
    </w:p>
    <w:p>
      <w:pPr>
        <w:ind w:left="60" w:right="159"/>
        <w:spacing w:after="0" w:line="248" w:lineRule="auto"/>
        <w:rPr>
          <w:sz w:val="20"/>
          <w:szCs w:val="20"/>
          <w:color w:val="auto"/>
        </w:rPr>
      </w:pPr>
      <w:r>
        <w:rPr>
          <w:rFonts w:ascii="Arial" w:cs="Arial" w:eastAsia="Arial" w:hAnsi="Arial"/>
          <w:sz w:val="18"/>
          <w:szCs w:val="18"/>
          <w:color w:val="auto"/>
        </w:rPr>
        <w:t>As of the quarter ended September 30, 2020, the Company’s total assets exceeded $10 billion due to PPP loans and other factors. If the Company remains over $10 billion in assets at year-end, it will begin to face limitations on interchange fees and heightened supervision and regulation in 2021.</w:t>
      </w:r>
    </w:p>
    <w:p>
      <w:pPr>
        <w:spacing w:after="0" w:line="195"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On January 1, 2020, the Company adopted the CECL methodology. During the third quarter of 2020, the Company recorded provision for credit losses of $5.5 million and provision for unfunded commitments of $0.3 million primarily as a result of economic factors and uncertainty due to COVID-19.</w:t>
      </w:r>
    </w:p>
    <w:p>
      <w:pPr>
        <w:spacing w:after="0" w:line="195"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The Company views certain non-operating items, including acquisition-related and restructuring charges, as adjustments to net income reported under GAAP. Non-operating pre-tax adjustments for the third quarter of 2020 included $0.3 million of expenses related to prior acquisitions and $2.2 million of other restructuring costs. The Company believes that non-GAAP measures (including adjusted pre-provision net revenue, adjusted net income, adjusted diluted earnings per share, adjusted return on average assets, adjusted net interest margin, adjusted efficiency ratio, tangible common equity, tangible common equity to tangible assets, tangible book value per share and return on average tangible common equity), facilitate the assessment of its financial results and peer comparability. A reconciliation of these non-GAAP measures is included in tabular form in this Quarterly Report on Form 10-Q in the “Non-GAAP Financial Information” section.</w:t>
      </w:r>
    </w:p>
    <w:p>
      <w:pPr>
        <w:spacing w:after="0" w:line="181"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color w:val="auto"/>
        </w:rPr>
        <w:t>On January 31, 2019, the Company completed its acquisition of Banc Ed. TheBANK, Banc Ed’s wholly-owned bank subsidiary, was operated as a separate subsidiary from the completion of the acquisition until October 4, 2019 when it was merged with and into Busey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201930</wp:posOffset>
            </wp:positionV>
            <wp:extent cx="14141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1" w:lineRule="exact"/>
        <w:rPr>
          <w:sz w:val="20"/>
          <w:szCs w:val="20"/>
          <w:color w:val="auto"/>
        </w:rPr>
      </w:pPr>
    </w:p>
    <w:p>
      <w:pPr>
        <w:ind w:left="380" w:right="239" w:hanging="330"/>
        <w:spacing w:after="0" w:line="200" w:lineRule="auto"/>
        <w:tabs>
          <w:tab w:leader="none" w:pos="38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A non-GAAP financial measure, see “Non-GAAP Financial Information”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Center Consolidation Plan and Operating Model Reorganization</w:t>
      </w:r>
    </w:p>
    <w:p>
      <w:pPr>
        <w:spacing w:after="0" w:line="225" w:lineRule="exact"/>
        <w:rPr>
          <w:sz w:val="20"/>
          <w:szCs w:val="20"/>
          <w:color w:val="auto"/>
        </w:rPr>
      </w:pPr>
    </w:p>
    <w:p>
      <w:pPr>
        <w:ind w:left="60" w:right="139"/>
        <w:spacing w:after="0" w:line="252" w:lineRule="auto"/>
        <w:rPr>
          <w:sz w:val="20"/>
          <w:szCs w:val="20"/>
          <w:color w:val="auto"/>
        </w:rPr>
      </w:pPr>
      <w:r>
        <w:rPr>
          <w:rFonts w:ascii="Arial" w:cs="Arial" w:eastAsia="Arial" w:hAnsi="Arial"/>
          <w:sz w:val="17"/>
          <w:szCs w:val="17"/>
          <w:color w:val="auto"/>
        </w:rPr>
        <w:t>After careful consideration and analysis, the Company decided in July 2020 to consolidate 12 branches to ensure a balance between the Company’s physical banking center network and robust digital banking services. An efficient banking center footprint and strategic service models are necessary to keep First Busey competitive and responsive. These 12 banking centers closed on October 23, 2020. When fully realized, annualized expense savings net of expected associated revenue impacts are anticipated to be approximately $3.3 million with the impact of these cost savings beginning to be realized in the fourth quarter of 2020. Non-operating pre-tax expenses in salaries, wages and employee benefits in relation to the branch closings were $0.6 million during the third quarter of 2020, with an additional $0.1 million expected in the fourth quarter of 2020. The Company anticipates additional one-time expenses related to the banking center consolidation plan in the fourth quarter of 2020 as we finalize the fair value estimates related to the disposition of these banking centers. We currently estimate those remaining non-operating pre-tax expenses related to the consolidation to be in the range of $7.0 million to $7.5 million.</w:t>
      </w:r>
    </w:p>
    <w:p>
      <w:pPr>
        <w:spacing w:after="0" w:line="199"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 operating model reorganization is consistent with the Company’s continued efforts to transition to a regional operating model that enhances sales organization alignment across our key business lines and improves efficiencies. Non-operating pre-tax expenses in salaries, wages and employee benefits related to the reorganization were $1.4 million during the third quarter of 2020. These efforts are currently anticipated to provide approximately $3.6 million in annual pre-tax non-interest expense savings when fully realized.</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Center Markets</w:t>
      </w:r>
    </w:p>
    <w:p>
      <w:pPr>
        <w:spacing w:after="0" w:line="22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At September 30, 2020, Busey Bank had 61 banking centers in Illinois. Eight of the Illinois banking centers were closed on October 23, 2020.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However, the financial condition of the state of Illinois, in which the largest portion of the Company’s customer base resides, is characterized by low credit ratings and budget deficits.</w:t>
      </w:r>
    </w:p>
    <w:p>
      <w:pPr>
        <w:spacing w:after="0" w:line="203" w:lineRule="exact"/>
        <w:rPr>
          <w:sz w:val="20"/>
          <w:szCs w:val="20"/>
          <w:color w:val="auto"/>
        </w:rPr>
      </w:pPr>
    </w:p>
    <w:p>
      <w:pPr>
        <w:ind w:left="60" w:right="259"/>
        <w:spacing w:after="0" w:line="284" w:lineRule="auto"/>
        <w:rPr>
          <w:sz w:val="20"/>
          <w:szCs w:val="20"/>
          <w:color w:val="auto"/>
        </w:rPr>
      </w:pPr>
      <w:r>
        <w:rPr>
          <w:rFonts w:ascii="Arial" w:cs="Arial" w:eastAsia="Arial" w:hAnsi="Arial"/>
          <w:sz w:val="16"/>
          <w:szCs w:val="16"/>
          <w:color w:val="auto"/>
        </w:rPr>
        <w:t>At September 30, 2020, Busey Bank had 13 banking centers in Missouri. Three of the Missouri banking centers were closed on October 23, 2020. St. Louis, Missouri has a diverse economy with major employment sectors including health care, financial services, professional and business services, and retail. Fourteen of our banking centers in Illinois are located within the boundaries of the St. Louis Metropolitan Statistical Area as of October 23, 2020.</w:t>
      </w:r>
    </w:p>
    <w:p>
      <w:pPr>
        <w:spacing w:after="0" w:line="169" w:lineRule="exact"/>
        <w:rPr>
          <w:sz w:val="20"/>
          <w:szCs w:val="20"/>
          <w:color w:val="auto"/>
        </w:rPr>
      </w:pPr>
    </w:p>
    <w:p>
      <w:pPr>
        <w:ind w:left="60" w:right="259"/>
        <w:spacing w:after="0" w:line="248" w:lineRule="auto"/>
        <w:rPr>
          <w:sz w:val="20"/>
          <w:szCs w:val="20"/>
          <w:color w:val="auto"/>
        </w:rPr>
      </w:pPr>
      <w:r>
        <w:rPr>
          <w:rFonts w:ascii="Arial" w:cs="Arial" w:eastAsia="Arial" w:hAnsi="Arial"/>
          <w:sz w:val="18"/>
          <w:szCs w:val="18"/>
          <w:color w:val="auto"/>
        </w:rPr>
        <w:t>At September 30, 2020, Busey Bank had five banking centers in southwest Florida, an area which has experienced above average population growth, job growth and an expanded housing market over the last several years. One of the Florida banking centers was closed on October 23, 2020.</w:t>
      </w:r>
    </w:p>
    <w:p>
      <w:pPr>
        <w:spacing w:after="0" w:line="195"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At September 30, 2020, Busey Bank had one banking center in the Indianapolis, Indiana area, which is the most populous city of Indiana with a diverse economy, including the headquarters of many large corporations.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left="60" w:right="499"/>
        <w:spacing w:after="0" w:line="24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201"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an income tax rate of 21%.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 xml:space="preserve">The following tables show our Consolidated Average Balance Sheets </w:t>
      </w:r>
      <w:r>
        <w:rPr>
          <w:rFonts w:ascii="Arial" w:cs="Arial" w:eastAsia="Arial" w:hAnsi="Arial"/>
          <w:sz w:val="18"/>
          <w:szCs w:val="18"/>
          <w:i w:val="1"/>
          <w:iCs w:val="1"/>
          <w:color w:val="auto"/>
        </w:rPr>
        <w:t>(dollars in thousands)</w:t>
      </w:r>
      <w:r>
        <w:rPr>
          <w:rFonts w:ascii="Arial" w:cs="Arial" w:eastAsia="Arial" w:hAnsi="Arial"/>
          <w:sz w:val="18"/>
          <w:szCs w:val="18"/>
          <w:color w:val="auto"/>
        </w:rPr>
        <w:t>, detailing the major categories of assets and liabilities, the interest income earned on interest-earning assets, the interest expense paid for the interest-bearing liabilities, and the related interest rates for the periods shown. All average information is provided on a daily average basis.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AVERAGE BALANCE SHEETS AND INTEREST RATES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3737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p>
      <w:pPr>
        <w:spacing w:after="0" w:line="26"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2020</w:t>
      </w:r>
    </w:p>
    <w:p>
      <w:pPr>
        <w:spacing w:after="0" w:line="15" w:lineRule="exact"/>
        <w:rPr>
          <w:sz w:val="20"/>
          <w:szCs w:val="20"/>
          <w:color w:val="auto"/>
        </w:rPr>
      </w:pPr>
    </w:p>
    <w:tbl>
      <w:tblPr>
        <w:tblLayout w:type="fixed"/>
        <w:tblInd w:w="3060" w:type="dxa"/>
        <w:tblCellMar>
          <w:top w:w="0" w:type="dxa"/>
          <w:left w:w="0" w:type="dxa"/>
          <w:bottom w:w="0" w:type="dxa"/>
          <w:right w:w="0" w:type="dxa"/>
        </w:tblCellMar>
      </w:tblPr>
      <w:tr>
        <w:trPr>
          <w:trHeight w:val="131"/>
        </w:trPr>
        <w:tc>
          <w:tcPr>
            <w:tcW w:w="860" w:type="dxa"/>
            <w:vAlign w:val="bottom"/>
            <w:tcBorders>
              <w:top w:val="single" w:sz="8" w:color="auto"/>
            </w:tcBorders>
          </w:tcPr>
          <w:p>
            <w:pPr>
              <w:ind w:left="160"/>
              <w:spacing w:after="0" w:line="131" w:lineRule="exact"/>
              <w:rPr>
                <w:sz w:val="20"/>
                <w:szCs w:val="20"/>
                <w:color w:val="auto"/>
              </w:rPr>
            </w:pPr>
            <w:r>
              <w:rPr>
                <w:rFonts w:ascii="Arial" w:cs="Arial" w:eastAsia="Arial" w:hAnsi="Arial"/>
                <w:sz w:val="13"/>
                <w:szCs w:val="13"/>
                <w:b w:val="1"/>
                <w:bCs w:val="1"/>
                <w:color w:val="auto"/>
              </w:rPr>
              <w:t>Average</w:t>
            </w:r>
          </w:p>
        </w:tc>
        <w:tc>
          <w:tcPr>
            <w:tcW w:w="980" w:type="dxa"/>
            <w:vAlign w:val="bottom"/>
            <w:tcBorders>
              <w:top w:val="single" w:sz="8" w:color="auto"/>
            </w:tcBorders>
          </w:tcPr>
          <w:p>
            <w:pPr>
              <w:ind w:left="280"/>
              <w:spacing w:after="0" w:line="131" w:lineRule="exact"/>
              <w:rPr>
                <w:sz w:val="20"/>
                <w:szCs w:val="20"/>
                <w:color w:val="auto"/>
              </w:rPr>
            </w:pPr>
            <w:r>
              <w:rPr>
                <w:rFonts w:ascii="Arial" w:cs="Arial" w:eastAsia="Arial" w:hAnsi="Arial"/>
                <w:sz w:val="13"/>
                <w:szCs w:val="13"/>
                <w:b w:val="1"/>
                <w:bCs w:val="1"/>
                <w:color w:val="auto"/>
              </w:rPr>
              <w:t>Income/</w:t>
            </w:r>
          </w:p>
        </w:tc>
        <w:tc>
          <w:tcPr>
            <w:tcW w:w="960" w:type="dxa"/>
            <w:vAlign w:val="bottom"/>
            <w:tcBorders>
              <w:top w:val="single" w:sz="8" w:color="auto"/>
            </w:tcBorders>
          </w:tcPr>
          <w:p>
            <w:pPr>
              <w:jc w:val="center"/>
              <w:ind w:right="17"/>
              <w:spacing w:after="0" w:line="131" w:lineRule="exact"/>
              <w:rPr>
                <w:sz w:val="20"/>
                <w:szCs w:val="20"/>
                <w:color w:val="auto"/>
              </w:rPr>
            </w:pPr>
            <w:r>
              <w:rPr>
                <w:rFonts w:ascii="Arial" w:cs="Arial" w:eastAsia="Arial" w:hAnsi="Arial"/>
                <w:sz w:val="13"/>
                <w:szCs w:val="13"/>
                <w:b w:val="1"/>
                <w:bCs w:val="1"/>
                <w:color w:val="auto"/>
                <w:w w:val="92"/>
              </w:rPr>
              <w:t>Yield/</w:t>
            </w:r>
          </w:p>
        </w:tc>
      </w:tr>
      <w:tr>
        <w:trPr>
          <w:trHeight w:val="217"/>
        </w:trPr>
        <w:tc>
          <w:tcPr>
            <w:tcW w:w="860" w:type="dxa"/>
            <w:vAlign w:val="bottom"/>
          </w:tcPr>
          <w:p>
            <w:pPr>
              <w:ind w:left="180"/>
              <w:spacing w:after="0"/>
              <w:rPr>
                <w:sz w:val="20"/>
                <w:szCs w:val="20"/>
                <w:color w:val="auto"/>
              </w:rPr>
            </w:pPr>
            <w:r>
              <w:rPr>
                <w:rFonts w:ascii="Arial" w:cs="Arial" w:eastAsia="Arial" w:hAnsi="Arial"/>
                <w:sz w:val="13"/>
                <w:szCs w:val="13"/>
                <w:b w:val="1"/>
                <w:bCs w:val="1"/>
                <w:color w:val="auto"/>
              </w:rPr>
              <w:t>Balance</w:t>
            </w:r>
          </w:p>
        </w:tc>
        <w:tc>
          <w:tcPr>
            <w:tcW w:w="980" w:type="dxa"/>
            <w:vAlign w:val="bottom"/>
          </w:tcPr>
          <w:p>
            <w:pPr>
              <w:ind w:left="280"/>
              <w:spacing w:after="0"/>
              <w:rPr>
                <w:sz w:val="20"/>
                <w:szCs w:val="20"/>
                <w:color w:val="auto"/>
              </w:rPr>
            </w:pPr>
            <w:r>
              <w:rPr>
                <w:rFonts w:ascii="Arial" w:cs="Arial" w:eastAsia="Arial" w:hAnsi="Arial"/>
                <w:sz w:val="13"/>
                <w:szCs w:val="13"/>
                <w:b w:val="1"/>
                <w:bCs w:val="1"/>
                <w:color w:val="auto"/>
              </w:rPr>
              <w:t>Expense</w:t>
            </w:r>
          </w:p>
        </w:tc>
        <w:tc>
          <w:tcPr>
            <w:tcW w:w="960" w:type="dxa"/>
            <w:vAlign w:val="bottom"/>
          </w:tcPr>
          <w:p>
            <w:pPr>
              <w:jc w:val="center"/>
              <w:ind w:right="17"/>
              <w:spacing w:after="0"/>
              <w:rPr>
                <w:sz w:val="20"/>
                <w:szCs w:val="20"/>
                <w:color w:val="auto"/>
              </w:rPr>
            </w:pPr>
            <w:r>
              <w:rPr>
                <w:rFonts w:ascii="Arial" w:cs="Arial" w:eastAsia="Arial" w:hAnsi="Arial"/>
                <w:sz w:val="13"/>
                <w:szCs w:val="13"/>
                <w:b w:val="1"/>
                <w:bCs w:val="1"/>
                <w:color w:val="auto"/>
                <w:w w:val="83"/>
              </w:rPr>
              <w:t>Rate</w:t>
            </w:r>
            <w:r>
              <w:rPr>
                <w:rFonts w:ascii="Arial" w:cs="Arial" w:eastAsia="Arial" w:hAnsi="Arial"/>
                <w:sz w:val="18"/>
                <w:szCs w:val="18"/>
                <w:b w:val="1"/>
                <w:bCs w:val="1"/>
                <w:color w:val="auto"/>
                <w:w w:val="83"/>
                <w:vertAlign w:val="superscript"/>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48960" cy="111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13"/>
          <w:szCs w:val="13"/>
          <w:b w:val="1"/>
          <w:bCs w:val="1"/>
          <w:color w:val="auto"/>
        </w:rPr>
        <w:t>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00" w:type="dxa"/>
            <w:vAlign w:val="bottom"/>
            <w:tcBorders>
              <w:top w:val="single" w:sz="8" w:color="auto"/>
            </w:tcBorders>
          </w:tcPr>
          <w:p>
            <w:pPr>
              <w:ind w:left="180"/>
              <w:spacing w:after="0" w:line="131" w:lineRule="exact"/>
              <w:rPr>
                <w:sz w:val="20"/>
                <w:szCs w:val="20"/>
                <w:color w:val="auto"/>
              </w:rPr>
            </w:pPr>
            <w:r>
              <w:rPr>
                <w:rFonts w:ascii="Arial" w:cs="Arial" w:eastAsia="Arial" w:hAnsi="Arial"/>
                <w:sz w:val="13"/>
                <w:szCs w:val="13"/>
                <w:b w:val="1"/>
                <w:bCs w:val="1"/>
                <w:color w:val="auto"/>
              </w:rPr>
              <w:t>Average</w:t>
            </w:r>
          </w:p>
        </w:tc>
        <w:tc>
          <w:tcPr>
            <w:tcW w:w="980" w:type="dxa"/>
            <w:vAlign w:val="bottom"/>
            <w:tcBorders>
              <w:top w:val="single" w:sz="8" w:color="auto"/>
            </w:tcBorders>
          </w:tcPr>
          <w:p>
            <w:pPr>
              <w:ind w:left="280"/>
              <w:spacing w:after="0" w:line="131" w:lineRule="exact"/>
              <w:rPr>
                <w:sz w:val="20"/>
                <w:szCs w:val="20"/>
                <w:color w:val="auto"/>
              </w:rPr>
            </w:pPr>
            <w:r>
              <w:rPr>
                <w:rFonts w:ascii="Arial" w:cs="Arial" w:eastAsia="Arial" w:hAnsi="Arial"/>
                <w:sz w:val="13"/>
                <w:szCs w:val="13"/>
                <w:b w:val="1"/>
                <w:bCs w:val="1"/>
                <w:color w:val="auto"/>
              </w:rPr>
              <w:t>Income/</w:t>
            </w:r>
          </w:p>
        </w:tc>
        <w:tc>
          <w:tcPr>
            <w:tcW w:w="1000" w:type="dxa"/>
            <w:vAlign w:val="bottom"/>
            <w:tcBorders>
              <w:top w:val="single" w:sz="8" w:color="auto"/>
            </w:tcBorders>
          </w:tcPr>
          <w:p>
            <w:pPr>
              <w:jc w:val="center"/>
              <w:ind w:right="57"/>
              <w:spacing w:after="0" w:line="131" w:lineRule="exact"/>
              <w:rPr>
                <w:sz w:val="20"/>
                <w:szCs w:val="20"/>
                <w:color w:val="auto"/>
              </w:rPr>
            </w:pPr>
            <w:r>
              <w:rPr>
                <w:rFonts w:ascii="Arial" w:cs="Arial" w:eastAsia="Arial" w:hAnsi="Arial"/>
                <w:sz w:val="13"/>
                <w:szCs w:val="13"/>
                <w:b w:val="1"/>
                <w:bCs w:val="1"/>
                <w:color w:val="auto"/>
                <w:w w:val="92"/>
              </w:rPr>
              <w:t>Yield/</w:t>
            </w:r>
          </w:p>
        </w:tc>
      </w:tr>
      <w:tr>
        <w:trPr>
          <w:trHeight w:val="217"/>
        </w:trPr>
        <w:tc>
          <w:tcPr>
            <w:tcW w:w="900" w:type="dxa"/>
            <w:vAlign w:val="bottom"/>
          </w:tcPr>
          <w:p>
            <w:pPr>
              <w:ind w:left="180"/>
              <w:spacing w:after="0"/>
              <w:rPr>
                <w:sz w:val="20"/>
                <w:szCs w:val="20"/>
                <w:color w:val="auto"/>
              </w:rPr>
            </w:pPr>
            <w:r>
              <w:rPr>
                <w:rFonts w:ascii="Arial" w:cs="Arial" w:eastAsia="Arial" w:hAnsi="Arial"/>
                <w:sz w:val="13"/>
                <w:szCs w:val="13"/>
                <w:b w:val="1"/>
                <w:bCs w:val="1"/>
                <w:color w:val="auto"/>
              </w:rPr>
              <w:t>Balance</w:t>
            </w:r>
          </w:p>
        </w:tc>
        <w:tc>
          <w:tcPr>
            <w:tcW w:w="980" w:type="dxa"/>
            <w:vAlign w:val="bottom"/>
          </w:tcPr>
          <w:p>
            <w:pPr>
              <w:ind w:left="260"/>
              <w:spacing w:after="0"/>
              <w:rPr>
                <w:sz w:val="20"/>
                <w:szCs w:val="20"/>
                <w:color w:val="auto"/>
              </w:rPr>
            </w:pPr>
            <w:r>
              <w:rPr>
                <w:rFonts w:ascii="Arial" w:cs="Arial" w:eastAsia="Arial" w:hAnsi="Arial"/>
                <w:sz w:val="13"/>
                <w:szCs w:val="13"/>
                <w:b w:val="1"/>
                <w:bCs w:val="1"/>
                <w:color w:val="auto"/>
              </w:rPr>
              <w:t>Expense</w:t>
            </w: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83"/>
              </w:rPr>
              <w:t>Rate</w:t>
            </w:r>
            <w:r>
              <w:rPr>
                <w:rFonts w:ascii="Arial" w:cs="Arial" w:eastAsia="Arial" w:hAnsi="Arial"/>
                <w:sz w:val="18"/>
                <w:szCs w:val="18"/>
                <w:b w:val="1"/>
                <w:bCs w:val="1"/>
                <w:color w:val="auto"/>
                <w:w w:val="83"/>
                <w:vertAlign w:val="superscript"/>
              </w:rPr>
              <w:t>(5)</w:t>
            </w:r>
          </w:p>
        </w:tc>
      </w:tr>
    </w:tbl>
    <w:p>
      <w:pPr>
        <w:spacing w:after="0" w:line="1" w:lineRule="exact"/>
        <w:rPr>
          <w:sz w:val="20"/>
          <w:szCs w:val="20"/>
          <w:color w:val="auto"/>
        </w:rPr>
      </w:pPr>
    </w:p>
    <w:p>
      <w:pPr>
        <w:sectPr>
          <w:pgSz w:w="11900" w:h="16838" w:orient="portrait"/>
          <w:cols w:equalWidth="0" w:num="2">
            <w:col w:w="5860" w:space="200"/>
            <w:col w:w="295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3"/>
          <w:szCs w:val="13"/>
          <w:b w:val="1"/>
          <w:bCs w:val="1"/>
          <w:color w:val="auto"/>
        </w:rPr>
        <w:t>Assets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Interest-bearing bank deposits and federal funds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sold</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715,899</w:t>
            </w:r>
          </w:p>
        </w:tc>
        <w:tc>
          <w:tcPr>
            <w:tcW w:w="220" w:type="dxa"/>
            <w:vAlign w:val="bottom"/>
          </w:tcPr>
          <w:p>
            <w:pPr>
              <w:spacing w:after="0"/>
              <w:rPr>
                <w:sz w:val="14"/>
                <w:szCs w:val="14"/>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213</w:t>
            </w:r>
          </w:p>
        </w:tc>
        <w:tc>
          <w:tcPr>
            <w:tcW w:w="2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0.12 %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400,587</w:t>
            </w:r>
          </w:p>
        </w:tc>
        <w:tc>
          <w:tcPr>
            <w:tcW w:w="200" w:type="dxa"/>
            <w:vAlign w:val="bottom"/>
          </w:tcPr>
          <w:p>
            <w:pPr>
              <w:spacing w:after="0"/>
              <w:rPr>
                <w:sz w:val="14"/>
                <w:szCs w:val="14"/>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2,181</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2.16 %</w:t>
            </w:r>
          </w:p>
        </w:tc>
        <w:tc>
          <w:tcPr>
            <w:tcW w:w="0" w:type="dxa"/>
            <w:vAlign w:val="bottom"/>
          </w:tcPr>
          <w:p>
            <w:pPr>
              <w:spacing w:after="0"/>
              <w:rPr>
                <w:sz w:val="1"/>
                <w:szCs w:val="1"/>
                <w:color w:val="auto"/>
              </w:rPr>
            </w:pP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 securities: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U.S. Government obligations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112,867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593</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2.09 %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278,612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1,688</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2.40 %</w:t>
            </w:r>
          </w:p>
        </w:tc>
        <w:tc>
          <w:tcPr>
            <w:tcW w:w="0" w:type="dxa"/>
            <w:vAlign w:val="bottom"/>
          </w:tcPr>
          <w:p>
            <w:pPr>
              <w:spacing w:after="0"/>
              <w:rPr>
                <w:sz w:val="1"/>
                <w:szCs w:val="1"/>
                <w:color w:val="auto"/>
              </w:rPr>
            </w:pPr>
          </w:p>
        </w:tc>
      </w:tr>
      <w:tr>
        <w:trPr>
          <w:trHeight w:val="172"/>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Obligations of states and political</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20" w:type="dxa"/>
            <w:vAlign w:val="bottom"/>
            <w:gridSpan w:val="2"/>
            <w:shd w:val="clear" w:color="auto" w:fill="CCEEFF"/>
          </w:tcPr>
          <w:p>
            <w:pPr>
              <w:ind w:left="220"/>
              <w:spacing w:after="0" w:line="179" w:lineRule="exact"/>
              <w:rPr>
                <w:sz w:val="20"/>
                <w:szCs w:val="20"/>
                <w:color w:val="auto"/>
              </w:rPr>
            </w:pPr>
            <w:r>
              <w:rPr>
                <w:rFonts w:ascii="Arial" w:cs="Arial" w:eastAsia="Arial" w:hAnsi="Arial"/>
                <w:sz w:val="13"/>
                <w:szCs w:val="13"/>
                <w:color w:val="auto"/>
              </w:rPr>
              <w:t>subdivisions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301,796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2,122</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287,659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2.92 %</w:t>
            </w:r>
          </w:p>
        </w:tc>
        <w:tc>
          <w:tcPr>
            <w:tcW w:w="0" w:type="dxa"/>
            <w:vAlign w:val="bottom"/>
          </w:tcPr>
          <w:p>
            <w:pPr>
              <w:spacing w:after="0"/>
              <w:rPr>
                <w:sz w:val="1"/>
                <w:szCs w:val="1"/>
                <w:color w:val="auto"/>
              </w:rPr>
            </w:pPr>
          </w:p>
        </w:tc>
      </w:tr>
      <w:tr>
        <w:trPr>
          <w:trHeight w:val="175"/>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Other securities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1,409,664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7,195</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2.03 %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1,213,795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7,936</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2.59 %</w:t>
            </w: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Loans held for sale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104,965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2.51 %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42,418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2.79 %</w:t>
            </w:r>
          </w:p>
        </w:tc>
        <w:tc>
          <w:tcPr>
            <w:tcW w:w="0" w:type="dxa"/>
            <w:vAlign w:val="bottom"/>
          </w:tcPr>
          <w:p>
            <w:pPr>
              <w:spacing w:after="0"/>
              <w:rPr>
                <w:sz w:val="1"/>
                <w:szCs w:val="1"/>
                <w:color w:val="auto"/>
              </w:rPr>
            </w:pPr>
          </w:p>
        </w:tc>
      </w:tr>
      <w:tr>
        <w:trPr>
          <w:trHeight w:val="176"/>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Portfolio loans</w:t>
            </w:r>
            <w:r>
              <w:rPr>
                <w:rFonts w:ascii="Arial" w:cs="Arial" w:eastAsia="Arial" w:hAnsi="Arial"/>
                <w:sz w:val="20"/>
                <w:szCs w:val="20"/>
                <w:color w:val="auto"/>
                <w:vertAlign w:val="superscript"/>
              </w:rPr>
              <w:t>(1), (2)</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7,160,757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69,481</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3.86 %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6,558,519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78,248</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4.73 %</w:t>
            </w:r>
          </w:p>
        </w:tc>
        <w:tc>
          <w:tcPr>
            <w:tcW w:w="0" w:type="dxa"/>
            <w:vAlign w:val="bottom"/>
          </w:tcPr>
          <w:p>
            <w:pPr>
              <w:spacing w:after="0"/>
              <w:rPr>
                <w:sz w:val="1"/>
                <w:szCs w:val="1"/>
                <w:color w:val="auto"/>
              </w:rPr>
            </w:pPr>
          </w:p>
        </w:tc>
      </w:tr>
      <w:tr>
        <w:trPr>
          <w:trHeight w:val="20"/>
        </w:trPr>
        <w:tc>
          <w:tcPr>
            <w:tcW w:w="302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3"/>
                <w:szCs w:val="13"/>
                <w:color w:val="auto"/>
              </w:rPr>
              <w:t>Total interest-earning assets</w:t>
            </w:r>
            <w:r>
              <w:rPr>
                <w:rFonts w:ascii="Arial" w:cs="Arial" w:eastAsia="Arial" w:hAnsi="Arial"/>
                <w:sz w:val="20"/>
                <w:szCs w:val="20"/>
                <w:color w:val="auto"/>
                <w:vertAlign w:val="superscript"/>
              </w:rPr>
              <w:t>(1), (3)</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2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9,805,948</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80,266</w:t>
            </w: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3.26 %</w:t>
            </w:r>
          </w:p>
        </w:tc>
        <w:tc>
          <w:tcPr>
            <w:tcW w:w="3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8,781,590</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92,469</w:t>
            </w: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4.18 %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and due from banks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120,198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115,378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Premises and equipment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145,948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150,714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Allowance</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(97,127)</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(52,014)</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706,028</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664,101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10,680,995</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9,659,769</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Interest-bearing transaction deposits</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2,312,804</w:t>
            </w:r>
          </w:p>
        </w:tc>
        <w:tc>
          <w:tcPr>
            <w:tcW w:w="220" w:type="dxa"/>
            <w:vAlign w:val="bottom"/>
          </w:tcPr>
          <w:p>
            <w:pPr>
              <w:spacing w:after="0"/>
              <w:rPr>
                <w:sz w:val="15"/>
                <w:szCs w:val="15"/>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774</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0.13 %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1,953,201</w:t>
            </w:r>
          </w:p>
        </w:tc>
        <w:tc>
          <w:tcPr>
            <w:tcW w:w="200" w:type="dxa"/>
            <w:vAlign w:val="bottom"/>
          </w:tcPr>
          <w:p>
            <w:pPr>
              <w:spacing w:after="0"/>
              <w:rPr>
                <w:sz w:val="15"/>
                <w:szCs w:val="15"/>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2,924</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0.59 %</w:t>
            </w: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Savings and money market deposits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2,557,732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0.14 %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2,442,620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3,828</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0.62 %</w:t>
            </w: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Time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1,298,841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4,462</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1.37 %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1,690,557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8,001</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1.88 %</w:t>
            </w:r>
          </w:p>
        </w:tc>
        <w:tc>
          <w:tcPr>
            <w:tcW w:w="0" w:type="dxa"/>
            <w:vAlign w:val="bottom"/>
          </w:tcPr>
          <w:p>
            <w:pPr>
              <w:spacing w:after="0"/>
              <w:rPr>
                <w:sz w:val="1"/>
                <w:szCs w:val="1"/>
                <w:color w:val="auto"/>
              </w:rPr>
            </w:pP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Federal funds purchased and repurchase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agreements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190,046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0.18 %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184,637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1.24 %</w:t>
            </w: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 xml:space="preserve">Borrowings </w:t>
            </w:r>
            <w:r>
              <w:rPr>
                <w:rFonts w:ascii="Arial" w:cs="Arial" w:eastAsia="Arial" w:hAnsi="Arial"/>
                <w:sz w:val="20"/>
                <w:szCs w:val="20"/>
                <w:color w:val="auto"/>
                <w:vertAlign w:val="superscript"/>
              </w:rPr>
              <w:t>(4)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263,736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2,943</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4.44 %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215,271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2,031</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3.74 %</w:t>
            </w:r>
          </w:p>
        </w:tc>
        <w:tc>
          <w:tcPr>
            <w:tcW w:w="0" w:type="dxa"/>
            <w:vAlign w:val="bottom"/>
          </w:tcPr>
          <w:p>
            <w:pPr>
              <w:spacing w:after="0"/>
              <w:rPr>
                <w:sz w:val="1"/>
                <w:szCs w:val="1"/>
                <w:color w:val="auto"/>
              </w:rPr>
            </w:pP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Junior subordinated debt issued to unconsolidated</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trusts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71,402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4.12 %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71,232</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4.75 %</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ind w:left="20"/>
              <w:spacing w:after="0"/>
              <w:rPr>
                <w:sz w:val="20"/>
                <w:szCs w:val="20"/>
                <w:color w:val="auto"/>
              </w:rPr>
            </w:pPr>
            <w:r>
              <w:rPr>
                <w:rFonts w:ascii="Arial" w:cs="Arial" w:eastAsia="Arial" w:hAnsi="Arial"/>
                <w:sz w:val="13"/>
                <w:szCs w:val="13"/>
                <w:color w:val="auto"/>
              </w:rPr>
              <w:t>Total interest-bearing liabilities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2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CCEEFF"/>
            </w:tcBorders>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6,694,561</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9,876</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3"/>
                <w:szCs w:val="13"/>
                <w:color w:val="auto"/>
              </w:rPr>
              <w:t>0.59 %</w:t>
            </w:r>
          </w:p>
        </w:tc>
        <w:tc>
          <w:tcPr>
            <w:tcW w:w="36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6,557,518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18,215</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3"/>
                <w:szCs w:val="13"/>
                <w:color w:val="auto"/>
              </w:rPr>
              <w:t>1.10 %</w:t>
            </w:r>
          </w:p>
        </w:tc>
        <w:tc>
          <w:tcPr>
            <w:tcW w:w="0" w:type="dxa"/>
            <w:vAlign w:val="bottom"/>
          </w:tcPr>
          <w:p>
            <w:pPr>
              <w:spacing w:after="0"/>
              <w:rPr>
                <w:sz w:val="1"/>
                <w:szCs w:val="1"/>
                <w:color w:val="auto"/>
              </w:rPr>
            </w:pPr>
          </w:p>
        </w:tc>
      </w:tr>
      <w:tr>
        <w:trPr>
          <w:trHeight w:val="143"/>
        </w:trPr>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02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8"/>
                <w:szCs w:val="18"/>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2.67 %</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3.08 %</w:t>
            </w:r>
          </w:p>
        </w:tc>
        <w:tc>
          <w:tcPr>
            <w:tcW w:w="0" w:type="dxa"/>
            <w:vAlign w:val="bottom"/>
          </w:tcPr>
          <w:p>
            <w:pPr>
              <w:spacing w:after="0"/>
              <w:rPr>
                <w:sz w:val="1"/>
                <w:szCs w:val="1"/>
                <w:color w:val="auto"/>
              </w:rPr>
            </w:pPr>
          </w:p>
        </w:tc>
      </w:tr>
      <w:tr>
        <w:trPr>
          <w:trHeight w:val="143"/>
        </w:trPr>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Noninterest-bearing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2,592,130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1,780,645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145,856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108,773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Stockholders’ equity</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1,248,448</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1,212,833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10,680,995</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9,659,769</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Interest income / earning assets</w:t>
            </w:r>
            <w:r>
              <w:rPr>
                <w:rFonts w:ascii="Arial" w:cs="Arial" w:eastAsia="Arial" w:hAnsi="Arial"/>
                <w:sz w:val="20"/>
                <w:szCs w:val="20"/>
                <w:color w:val="auto"/>
                <w:vertAlign w:val="superscript"/>
              </w:rPr>
              <w:t>(1), (3)</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9,805,948</w:t>
            </w:r>
          </w:p>
        </w:tc>
        <w:tc>
          <w:tcPr>
            <w:tcW w:w="220" w:type="dxa"/>
            <w:vAlign w:val="bottom"/>
          </w:tcPr>
          <w:p>
            <w:pPr>
              <w:spacing w:after="0"/>
              <w:rPr>
                <w:sz w:val="15"/>
                <w:szCs w:val="15"/>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80,266</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3.26 %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8,781,590</w:t>
            </w:r>
          </w:p>
        </w:tc>
        <w:tc>
          <w:tcPr>
            <w:tcW w:w="200" w:type="dxa"/>
            <w:vAlign w:val="bottom"/>
          </w:tcPr>
          <w:p>
            <w:pPr>
              <w:spacing w:after="0"/>
              <w:rPr>
                <w:sz w:val="15"/>
                <w:szCs w:val="15"/>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92,469</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4.18 %</w:t>
            </w:r>
          </w:p>
        </w:tc>
        <w:tc>
          <w:tcPr>
            <w:tcW w:w="0" w:type="dxa"/>
            <w:vAlign w:val="bottom"/>
          </w:tcPr>
          <w:p>
            <w:pPr>
              <w:spacing w:after="0"/>
              <w:rPr>
                <w:sz w:val="1"/>
                <w:szCs w:val="1"/>
                <w:color w:val="auto"/>
              </w:rPr>
            </w:pP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expense / earning assets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9,805,948</w:t>
            </w: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9,876</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0.40 %</w:t>
            </w: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8,781,590</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18,215</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0.83 %</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line="156"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8"/>
                <w:szCs w:val="18"/>
                <w:color w:val="auto"/>
                <w:vertAlign w:val="superscript"/>
              </w:rPr>
              <w:t>(1)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70,390</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2.86 %</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74,254</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3.35 %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0" w:lineRule="auto"/>
        <w:tabs>
          <w:tab w:leader="none" w:pos="3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and assuming an income tax rate of 21%.</w:t>
      </w:r>
    </w:p>
    <w:p>
      <w:pPr>
        <w:ind w:left="380" w:hanging="330"/>
        <w:spacing w:after="0" w:line="183" w:lineRule="auto"/>
        <w:tabs>
          <w:tab w:leader="none" w:pos="38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Non-accrual loans have been included in average portfolio loans.</w:t>
      </w:r>
    </w:p>
    <w:p>
      <w:pPr>
        <w:ind w:left="380" w:right="539" w:hanging="330"/>
        <w:spacing w:after="0" w:line="187" w:lineRule="auto"/>
        <w:tabs>
          <w:tab w:leader="none" w:pos="3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$0.6 million and $0.8 million for the three months ended September 30, 2020 and 2019, respectively.</w:t>
      </w:r>
    </w:p>
    <w:p>
      <w:pPr>
        <w:spacing w:after="0" w:line="1" w:lineRule="exact"/>
        <w:rPr>
          <w:rFonts w:ascii="Arial" w:cs="Arial" w:eastAsia="Arial" w:hAnsi="Arial"/>
          <w:sz w:val="27"/>
          <w:szCs w:val="27"/>
          <w:color w:val="auto"/>
          <w:vertAlign w:val="superscript"/>
        </w:rPr>
      </w:pPr>
    </w:p>
    <w:p>
      <w:pPr>
        <w:ind w:left="380" w:hanging="330"/>
        <w:spacing w:after="0" w:line="183" w:lineRule="auto"/>
        <w:tabs>
          <w:tab w:leader="none" w:pos="38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Includes short-term and long-term borrowings. Interest expense includes a non-usage fee on revolving loan.</w:t>
      </w:r>
    </w:p>
    <w:p>
      <w:pPr>
        <w:ind w:left="380" w:hanging="330"/>
        <w:spacing w:after="0" w:line="186" w:lineRule="auto"/>
        <w:tabs>
          <w:tab w:leader="none" w:pos="38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AVERAGE BALANCE SHEETS AND INTEREST RATES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37376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p>
      <w:pPr>
        <w:spacing w:after="0" w:line="26" w:lineRule="exact"/>
        <w:rPr>
          <w:sz w:val="20"/>
          <w:szCs w:val="20"/>
          <w:color w:val="auto"/>
        </w:rPr>
      </w:pPr>
    </w:p>
    <w:p>
      <w:pPr>
        <w:jc w:val="center"/>
        <w:ind w:left="3200"/>
        <w:spacing w:after="0"/>
        <w:rPr>
          <w:sz w:val="20"/>
          <w:szCs w:val="20"/>
          <w:color w:val="auto"/>
        </w:rPr>
      </w:pP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1783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 w:lineRule="exact"/>
        <w:rPr>
          <w:sz w:val="20"/>
          <w:szCs w:val="20"/>
          <w:color w:val="auto"/>
        </w:rPr>
      </w:pPr>
    </w:p>
    <w:p>
      <w:pPr>
        <w:ind w:left="3220"/>
        <w:spacing w:after="0"/>
        <w:tabs>
          <w:tab w:leader="none" w:pos="4180" w:val="left"/>
          <w:tab w:leader="none" w:pos="5160" w:val="left"/>
        </w:tabs>
        <w:rPr>
          <w:sz w:val="20"/>
          <w:szCs w:val="20"/>
          <w:color w:val="auto"/>
        </w:rPr>
      </w:pPr>
      <w:r>
        <w:rPr>
          <w:rFonts w:ascii="Arial" w:cs="Arial" w:eastAsia="Arial" w:hAnsi="Arial"/>
          <w:sz w:val="13"/>
          <w:szCs w:val="13"/>
          <w:b w:val="1"/>
          <w:bCs w:val="1"/>
          <w:color w:val="auto"/>
        </w:rPr>
        <w:t>Average</w:t>
      </w:r>
      <w:r>
        <w:rPr>
          <w:sz w:val="20"/>
          <w:szCs w:val="20"/>
          <w:color w:val="auto"/>
        </w:rPr>
        <w:tab/>
      </w:r>
      <w:r>
        <w:rPr>
          <w:rFonts w:ascii="Arial" w:cs="Arial" w:eastAsia="Arial" w:hAnsi="Arial"/>
          <w:sz w:val="13"/>
          <w:szCs w:val="13"/>
          <w:b w:val="1"/>
          <w:bCs w:val="1"/>
          <w:color w:val="auto"/>
        </w:rPr>
        <w:t>Income/</w:t>
      </w:r>
      <w:r>
        <w:rPr>
          <w:sz w:val="20"/>
          <w:szCs w:val="20"/>
          <w:color w:val="auto"/>
        </w:rPr>
        <w:tab/>
      </w:r>
      <w:r>
        <w:rPr>
          <w:rFonts w:ascii="Arial" w:cs="Arial" w:eastAsia="Arial" w:hAnsi="Arial"/>
          <w:sz w:val="10"/>
          <w:szCs w:val="10"/>
          <w:b w:val="1"/>
          <w:bCs w:val="1"/>
          <w:color w:val="auto"/>
        </w:rPr>
        <w:t>Yield/</w:t>
      </w:r>
    </w:p>
    <w:p>
      <w:pPr>
        <w:spacing w:after="0" w:line="14" w:lineRule="exact"/>
        <w:rPr>
          <w:sz w:val="20"/>
          <w:szCs w:val="20"/>
          <w:color w:val="auto"/>
        </w:rPr>
      </w:pPr>
    </w:p>
    <w:p>
      <w:pPr>
        <w:ind w:left="3240"/>
        <w:spacing w:after="0"/>
        <w:tabs>
          <w:tab w:leader="none" w:pos="4180" w:val="left"/>
          <w:tab w:leader="none" w:pos="5140" w:val="left"/>
        </w:tabs>
        <w:rPr>
          <w:sz w:val="20"/>
          <w:szCs w:val="20"/>
          <w:color w:val="auto"/>
        </w:rPr>
      </w:pPr>
      <w:r>
        <w:rPr>
          <w:rFonts w:ascii="Arial" w:cs="Arial" w:eastAsia="Arial" w:hAnsi="Arial"/>
          <w:sz w:val="13"/>
          <w:szCs w:val="13"/>
          <w:b w:val="1"/>
          <w:bCs w:val="1"/>
          <w:color w:val="auto"/>
        </w:rPr>
        <w:t>Balance</w:t>
      </w:r>
      <w:r>
        <w:rPr>
          <w:sz w:val="20"/>
          <w:szCs w:val="20"/>
          <w:color w:val="auto"/>
        </w:rPr>
        <w:tab/>
      </w:r>
      <w:r>
        <w:rPr>
          <w:rFonts w:ascii="Arial" w:cs="Arial" w:eastAsia="Arial" w:hAnsi="Arial"/>
          <w:sz w:val="13"/>
          <w:szCs w:val="13"/>
          <w:b w:val="1"/>
          <w:bCs w:val="1"/>
          <w:color w:val="auto"/>
        </w:rPr>
        <w:t>Expense</w:t>
      </w:r>
      <w:r>
        <w:rPr>
          <w:sz w:val="20"/>
          <w:szCs w:val="20"/>
          <w:color w:val="auto"/>
        </w:rPr>
        <w:tab/>
      </w:r>
      <w:r>
        <w:rPr>
          <w:rFonts w:ascii="Arial" w:cs="Arial" w:eastAsia="Arial" w:hAnsi="Arial"/>
          <w:sz w:val="10"/>
          <w:szCs w:val="10"/>
          <w:b w:val="1"/>
          <w:bCs w:val="1"/>
          <w:color w:val="auto"/>
        </w:rPr>
        <w:t>Rate</w:t>
      </w:r>
      <w:r>
        <w:rPr>
          <w:rFonts w:ascii="Arial" w:cs="Arial" w:eastAsia="Arial" w:hAnsi="Arial"/>
          <w:sz w:val="14"/>
          <w:szCs w:val="14"/>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wp:posOffset>
            </wp:positionV>
            <wp:extent cx="5648960"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00" w:type="dxa"/>
            <w:vAlign w:val="bottom"/>
            <w:tcBorders>
              <w:top w:val="single" w:sz="8" w:color="auto"/>
            </w:tcBorders>
          </w:tcPr>
          <w:p>
            <w:pPr>
              <w:ind w:left="180"/>
              <w:spacing w:after="0" w:line="145" w:lineRule="exact"/>
              <w:rPr>
                <w:sz w:val="20"/>
                <w:szCs w:val="20"/>
                <w:color w:val="auto"/>
              </w:rPr>
            </w:pPr>
            <w:r>
              <w:rPr>
                <w:rFonts w:ascii="Arial" w:cs="Arial" w:eastAsia="Arial" w:hAnsi="Arial"/>
                <w:sz w:val="13"/>
                <w:szCs w:val="13"/>
                <w:b w:val="1"/>
                <w:bCs w:val="1"/>
                <w:color w:val="auto"/>
              </w:rPr>
              <w:t>Average</w:t>
            </w:r>
          </w:p>
        </w:tc>
        <w:tc>
          <w:tcPr>
            <w:tcW w:w="980" w:type="dxa"/>
            <w:vAlign w:val="bottom"/>
            <w:tcBorders>
              <w:top w:val="single" w:sz="8" w:color="auto"/>
            </w:tcBorders>
          </w:tcPr>
          <w:p>
            <w:pPr>
              <w:ind w:left="280"/>
              <w:spacing w:after="0" w:line="145" w:lineRule="exact"/>
              <w:rPr>
                <w:sz w:val="20"/>
                <w:szCs w:val="20"/>
                <w:color w:val="auto"/>
              </w:rPr>
            </w:pPr>
            <w:r>
              <w:rPr>
                <w:rFonts w:ascii="Arial" w:cs="Arial" w:eastAsia="Arial" w:hAnsi="Arial"/>
                <w:sz w:val="13"/>
                <w:szCs w:val="13"/>
                <w:b w:val="1"/>
                <w:bCs w:val="1"/>
                <w:color w:val="auto"/>
              </w:rPr>
              <w:t>Income/</w:t>
            </w:r>
          </w:p>
        </w:tc>
        <w:tc>
          <w:tcPr>
            <w:tcW w:w="1000" w:type="dxa"/>
            <w:vAlign w:val="bottom"/>
            <w:tcBorders>
              <w:top w:val="single" w:sz="8" w:color="auto"/>
            </w:tcBorders>
          </w:tcPr>
          <w:p>
            <w:pPr>
              <w:jc w:val="center"/>
              <w:ind w:right="57"/>
              <w:spacing w:after="0" w:line="145" w:lineRule="exact"/>
              <w:rPr>
                <w:sz w:val="20"/>
                <w:szCs w:val="20"/>
                <w:color w:val="auto"/>
              </w:rPr>
            </w:pPr>
            <w:r>
              <w:rPr>
                <w:rFonts w:ascii="Arial" w:cs="Arial" w:eastAsia="Arial" w:hAnsi="Arial"/>
                <w:sz w:val="13"/>
                <w:szCs w:val="13"/>
                <w:b w:val="1"/>
                <w:bCs w:val="1"/>
                <w:color w:val="auto"/>
                <w:w w:val="92"/>
              </w:rPr>
              <w:t>Yield/</w:t>
            </w:r>
          </w:p>
        </w:tc>
      </w:tr>
      <w:tr>
        <w:trPr>
          <w:trHeight w:val="203"/>
        </w:trPr>
        <w:tc>
          <w:tcPr>
            <w:tcW w:w="900" w:type="dxa"/>
            <w:vAlign w:val="bottom"/>
          </w:tcPr>
          <w:p>
            <w:pPr>
              <w:ind w:left="180"/>
              <w:spacing w:after="0"/>
              <w:rPr>
                <w:sz w:val="20"/>
                <w:szCs w:val="20"/>
                <w:color w:val="auto"/>
              </w:rPr>
            </w:pPr>
            <w:r>
              <w:rPr>
                <w:rFonts w:ascii="Arial" w:cs="Arial" w:eastAsia="Arial" w:hAnsi="Arial"/>
                <w:sz w:val="13"/>
                <w:szCs w:val="13"/>
                <w:b w:val="1"/>
                <w:bCs w:val="1"/>
                <w:color w:val="auto"/>
              </w:rPr>
              <w:t>Balance</w:t>
            </w:r>
          </w:p>
        </w:tc>
        <w:tc>
          <w:tcPr>
            <w:tcW w:w="980" w:type="dxa"/>
            <w:vAlign w:val="bottom"/>
          </w:tcPr>
          <w:p>
            <w:pPr>
              <w:ind w:left="260"/>
              <w:spacing w:after="0"/>
              <w:rPr>
                <w:sz w:val="20"/>
                <w:szCs w:val="20"/>
                <w:color w:val="auto"/>
              </w:rPr>
            </w:pPr>
            <w:r>
              <w:rPr>
                <w:rFonts w:ascii="Arial" w:cs="Arial" w:eastAsia="Arial" w:hAnsi="Arial"/>
                <w:sz w:val="13"/>
                <w:szCs w:val="13"/>
                <w:b w:val="1"/>
                <w:bCs w:val="1"/>
                <w:color w:val="auto"/>
              </w:rPr>
              <w:t>Expense</w:t>
            </w:r>
          </w:p>
        </w:tc>
        <w:tc>
          <w:tcPr>
            <w:tcW w:w="1000" w:type="dxa"/>
            <w:vAlign w:val="bottom"/>
          </w:tcPr>
          <w:p>
            <w:pPr>
              <w:jc w:val="center"/>
              <w:ind w:right="57"/>
              <w:spacing w:after="0" w:line="203" w:lineRule="exact"/>
              <w:rPr>
                <w:sz w:val="20"/>
                <w:szCs w:val="20"/>
                <w:color w:val="auto"/>
              </w:rPr>
            </w:pPr>
            <w:r>
              <w:rPr>
                <w:rFonts w:ascii="Arial" w:cs="Arial" w:eastAsia="Arial" w:hAnsi="Arial"/>
                <w:sz w:val="13"/>
                <w:szCs w:val="13"/>
                <w:b w:val="1"/>
                <w:bCs w:val="1"/>
                <w:color w:val="auto"/>
                <w:w w:val="83"/>
              </w:rPr>
              <w:t>Rate</w:t>
            </w:r>
            <w:r>
              <w:rPr>
                <w:rFonts w:ascii="Arial" w:cs="Arial" w:eastAsia="Arial" w:hAnsi="Arial"/>
                <w:sz w:val="18"/>
                <w:szCs w:val="18"/>
                <w:b w:val="1"/>
                <w:bCs w:val="1"/>
                <w:color w:val="auto"/>
                <w:w w:val="83"/>
                <w:vertAlign w:val="superscript"/>
              </w:rPr>
              <w:t>(5)</w:t>
            </w:r>
          </w:p>
        </w:tc>
      </w:tr>
    </w:tbl>
    <w:p>
      <w:pPr>
        <w:spacing w:after="0" w:line="1" w:lineRule="exact"/>
        <w:rPr>
          <w:sz w:val="20"/>
          <w:szCs w:val="20"/>
          <w:color w:val="auto"/>
        </w:rPr>
      </w:pPr>
    </w:p>
    <w:p>
      <w:pPr>
        <w:sectPr>
          <w:pgSz w:w="11900" w:h="16838" w:orient="portrait"/>
          <w:cols w:equalWidth="0" w:num="2">
            <w:col w:w="5520" w:space="540"/>
            <w:col w:w="295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3"/>
          <w:szCs w:val="13"/>
          <w:b w:val="1"/>
          <w:bCs w:val="1"/>
          <w:color w:val="auto"/>
        </w:rPr>
        <w:t>Assets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Interest-bearing bank deposits and federal funds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sold</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506,235</w:t>
            </w:r>
          </w:p>
        </w:tc>
        <w:tc>
          <w:tcPr>
            <w:tcW w:w="220" w:type="dxa"/>
            <w:vAlign w:val="bottom"/>
          </w:tcPr>
          <w:p>
            <w:pPr>
              <w:spacing w:after="0"/>
              <w:rPr>
                <w:sz w:val="14"/>
                <w:szCs w:val="14"/>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1,596</w:t>
            </w:r>
          </w:p>
        </w:tc>
        <w:tc>
          <w:tcPr>
            <w:tcW w:w="20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0.42 %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279,406</w:t>
            </w:r>
          </w:p>
        </w:tc>
        <w:tc>
          <w:tcPr>
            <w:tcW w:w="200" w:type="dxa"/>
            <w:vAlign w:val="bottom"/>
          </w:tcPr>
          <w:p>
            <w:pPr>
              <w:spacing w:after="0"/>
              <w:rPr>
                <w:sz w:val="14"/>
                <w:szCs w:val="14"/>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4,496</w:t>
            </w:r>
          </w:p>
        </w:tc>
        <w:tc>
          <w:tcPr>
            <w:tcW w:w="20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2.15 %</w:t>
            </w: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 securities: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U.S. Government obligations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144,807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2,359</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2.18 %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321,814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5,905</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2.45 %</w:t>
            </w:r>
          </w:p>
        </w:tc>
      </w:tr>
      <w:tr>
        <w:trPr>
          <w:trHeight w:val="172"/>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Obligations of states and political</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9"/>
        </w:trPr>
        <w:tc>
          <w:tcPr>
            <w:tcW w:w="3020" w:type="dxa"/>
            <w:vAlign w:val="bottom"/>
            <w:gridSpan w:val="2"/>
            <w:shd w:val="clear" w:color="auto" w:fill="CCEEFF"/>
          </w:tcPr>
          <w:p>
            <w:pPr>
              <w:ind w:left="220"/>
              <w:spacing w:after="0" w:line="179" w:lineRule="exact"/>
              <w:rPr>
                <w:sz w:val="20"/>
                <w:szCs w:val="20"/>
                <w:color w:val="auto"/>
              </w:rPr>
            </w:pPr>
            <w:r>
              <w:rPr>
                <w:rFonts w:ascii="Arial" w:cs="Arial" w:eastAsia="Arial" w:hAnsi="Arial"/>
                <w:sz w:val="13"/>
                <w:szCs w:val="13"/>
                <w:color w:val="auto"/>
              </w:rPr>
              <w:t>subdivisions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286,097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6,228</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2.91 %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282,850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6,236</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2.95 %</w:t>
            </w:r>
          </w:p>
        </w:tc>
      </w:tr>
      <w:tr>
        <w:trPr>
          <w:trHeight w:val="175"/>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Other securities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1,329,557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22,597</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2.27 %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1,195,405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23,817</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2.66 %</w:t>
            </w: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Loans held for sale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91,964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2.73 %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28,326</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3.20 %</w:t>
            </w:r>
          </w:p>
        </w:tc>
      </w:tr>
      <w:tr>
        <w:trPr>
          <w:trHeight w:val="176"/>
        </w:trPr>
        <w:tc>
          <w:tcPr>
            <w:tcW w:w="3020" w:type="dxa"/>
            <w:vAlign w:val="bottom"/>
            <w:tcBorders>
              <w:bottom w:val="single" w:sz="8" w:color="CCEEFF"/>
            </w:tcBorders>
            <w:gridSpan w:val="2"/>
          </w:tcPr>
          <w:p>
            <w:pPr>
              <w:ind w:left="20"/>
              <w:spacing w:after="0" w:line="176" w:lineRule="exact"/>
              <w:rPr>
                <w:sz w:val="20"/>
                <w:szCs w:val="20"/>
                <w:color w:val="auto"/>
              </w:rPr>
            </w:pPr>
            <w:r>
              <w:rPr>
                <w:rFonts w:ascii="Arial" w:cs="Arial" w:eastAsia="Arial" w:hAnsi="Arial"/>
                <w:sz w:val="13"/>
                <w:szCs w:val="13"/>
                <w:color w:val="auto"/>
              </w:rPr>
              <w:t>Portfolio loans</w:t>
            </w:r>
            <w:r>
              <w:rPr>
                <w:rFonts w:ascii="Arial" w:cs="Arial" w:eastAsia="Arial" w:hAnsi="Arial"/>
                <w:sz w:val="20"/>
                <w:szCs w:val="20"/>
                <w:color w:val="auto"/>
                <w:vertAlign w:val="superscript"/>
              </w:rPr>
              <w:t>(1), (2)</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7,012,497</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212,721</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4.05 %</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6,406,779</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228,539</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4.77 %</w:t>
            </w:r>
          </w:p>
        </w:tc>
      </w:tr>
      <w:tr>
        <w:trPr>
          <w:trHeight w:val="155"/>
        </w:trPr>
        <w:tc>
          <w:tcPr>
            <w:tcW w:w="3020" w:type="dxa"/>
            <w:vAlign w:val="bottom"/>
            <w:tcBorders>
              <w:bottom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8"/>
                <w:szCs w:val="18"/>
                <w:color w:val="auto"/>
                <w:vertAlign w:val="superscript"/>
              </w:rPr>
              <w:t>(1), (3)</w:t>
            </w: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9,371,157</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247,381</w:t>
            </w: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3.53 %</w:t>
            </w:r>
          </w:p>
        </w:tc>
        <w:tc>
          <w:tcPr>
            <w:tcW w:w="3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8,514,580</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269,670</w:t>
            </w: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4.23 %</w:t>
            </w: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and due from banks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119,987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111,623</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Premises and equipment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148,697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146,115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Allowance for loan losses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(84,213)</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(51,498)</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693,950</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631,452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r>
      <w:tr>
        <w:trPr>
          <w:trHeight w:val="15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10,249,578</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9,352,272</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Interest-bearing transaction deposits</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2,131,608</w:t>
            </w:r>
          </w:p>
        </w:tc>
        <w:tc>
          <w:tcPr>
            <w:tcW w:w="220" w:type="dxa"/>
            <w:vAlign w:val="bottom"/>
          </w:tcPr>
          <w:p>
            <w:pPr>
              <w:spacing w:after="0"/>
              <w:rPr>
                <w:sz w:val="15"/>
                <w:szCs w:val="15"/>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4,165</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0.26 %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1,825,473</w:t>
            </w:r>
          </w:p>
        </w:tc>
        <w:tc>
          <w:tcPr>
            <w:tcW w:w="20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7,891</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0.58 %</w:t>
            </w: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Savings and money market deposits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2,558,053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5,265</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0.27 %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2,350,289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10,113</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0.58 %</w:t>
            </w: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Time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1,418,944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16,623</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1.56 %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1,709,142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23,403</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1.83 %</w:t>
            </w: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Federal funds purchased and repurchase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agreements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185,528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0.43 %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194,189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1,789</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1.23 %</w:t>
            </w:r>
          </w:p>
        </w:tc>
      </w:tr>
      <w:tr>
        <w:trPr>
          <w:trHeight w:val="175"/>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 xml:space="preserve">Borrowings </w:t>
            </w:r>
            <w:r>
              <w:rPr>
                <w:rFonts w:ascii="Arial" w:cs="Arial" w:eastAsia="Arial" w:hAnsi="Arial"/>
                <w:sz w:val="20"/>
                <w:szCs w:val="20"/>
                <w:color w:val="auto"/>
                <w:vertAlign w:val="superscript"/>
              </w:rPr>
              <w:t>(4)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213,101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6,427</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4.03 %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223,352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6,297</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3.77 %</w:t>
            </w: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Junior subordinated debt issued to unconsolidated</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trusts</w:t>
            </w: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71,353</w:t>
            </w:r>
          </w:p>
        </w:tc>
        <w:tc>
          <w:tcPr>
            <w:tcW w:w="2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2,220</w:t>
            </w:r>
          </w:p>
        </w:tc>
        <w:tc>
          <w:tcPr>
            <w:tcW w:w="2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4.16 %</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71,194</w:t>
            </w:r>
          </w:p>
        </w:tc>
        <w:tc>
          <w:tcPr>
            <w:tcW w:w="2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2,658</w:t>
            </w:r>
          </w:p>
        </w:tc>
        <w:tc>
          <w:tcPr>
            <w:tcW w:w="2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4.99 %</w:t>
            </w:r>
          </w:p>
        </w:tc>
      </w:tr>
      <w:tr>
        <w:trPr>
          <w:trHeight w:val="19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interest-bearing liabilities</w:t>
            </w:r>
          </w:p>
        </w:tc>
        <w:tc>
          <w:tcPr>
            <w:tcW w:w="120" w:type="dxa"/>
            <w:vAlign w:val="bottom"/>
            <w:tcBorders>
              <w:bottom w:val="single" w:sz="8" w:color="CCEEFF"/>
            </w:tcBorders>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6,578,587</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35,296</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color w:val="auto"/>
              </w:rPr>
              <w:t>0.72 %</w:t>
            </w:r>
          </w:p>
        </w:tc>
        <w:tc>
          <w:tcPr>
            <w:tcW w:w="36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6,373,639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52,151</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1.09 %</w:t>
            </w:r>
          </w:p>
        </w:tc>
      </w:tr>
      <w:tr>
        <w:trPr>
          <w:trHeight w:val="143"/>
        </w:trPr>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02"/>
        </w:trPr>
        <w:tc>
          <w:tcPr>
            <w:tcW w:w="302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8"/>
                <w:szCs w:val="18"/>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2.81 %</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3.14 %</w:t>
            </w:r>
          </w:p>
        </w:tc>
      </w:tr>
      <w:tr>
        <w:trPr>
          <w:trHeight w:val="143"/>
        </w:trPr>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Noninterest-bearing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2,303,538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1,715,701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134,105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89,719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Stockholders’ equity</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1,233,348</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1,173,213</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r>
      <w:tr>
        <w:trPr>
          <w:trHeight w:val="15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10,249,578</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9,352,272</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5"/>
        </w:trPr>
        <w:tc>
          <w:tcPr>
            <w:tcW w:w="2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Interest income / earning assets</w:t>
            </w:r>
            <w:r>
              <w:rPr>
                <w:rFonts w:ascii="Arial" w:cs="Arial" w:eastAsia="Arial" w:hAnsi="Arial"/>
                <w:sz w:val="20"/>
                <w:szCs w:val="20"/>
                <w:color w:val="auto"/>
                <w:vertAlign w:val="superscript"/>
              </w:rPr>
              <w:t>(1), (3)</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9,371,157</w:t>
            </w:r>
          </w:p>
        </w:tc>
        <w:tc>
          <w:tcPr>
            <w:tcW w:w="220" w:type="dxa"/>
            <w:vAlign w:val="bottom"/>
          </w:tcPr>
          <w:p>
            <w:pPr>
              <w:spacing w:after="0"/>
              <w:rPr>
                <w:sz w:val="15"/>
                <w:szCs w:val="15"/>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247,381</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3.53 %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8,514,580</w:t>
            </w:r>
          </w:p>
        </w:tc>
        <w:tc>
          <w:tcPr>
            <w:tcW w:w="20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269,670</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4.23 %</w:t>
            </w: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expense / earning assets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9,371,157</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35,296</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0.51 %</w:t>
            </w: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8,514,580</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52,151</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0.81 %</w:t>
            </w:r>
          </w:p>
        </w:tc>
      </w:tr>
      <w:tr>
        <w:trPr>
          <w:trHeight w:val="155"/>
        </w:trPr>
        <w:tc>
          <w:tcPr>
            <w:tcW w:w="3020" w:type="dxa"/>
            <w:vAlign w:val="bottom"/>
            <w:gridSpan w:val="2"/>
          </w:tcPr>
          <w:p>
            <w:pPr>
              <w:ind w:left="20"/>
              <w:spacing w:after="0" w:line="156"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8"/>
                <w:szCs w:val="18"/>
                <w:color w:val="auto"/>
                <w:vertAlign w:val="superscript"/>
              </w:rPr>
              <w:t>(1)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212,085</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3.02 %</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217,519</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3.42 %</w:t>
            </w: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r>
    </w:tbl>
    <w:p>
      <w:pPr>
        <w:ind w:left="480" w:hanging="322"/>
        <w:spacing w:after="0" w:line="220" w:lineRule="auto"/>
        <w:tabs>
          <w:tab w:leader="none" w:pos="48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and assuming an income tax rate of 21%.</w:t>
      </w:r>
    </w:p>
    <w:p>
      <w:pPr>
        <w:ind w:left="480" w:hanging="322"/>
        <w:spacing w:after="0" w:line="183" w:lineRule="auto"/>
        <w:tabs>
          <w:tab w:leader="none" w:pos="48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Non-accrual loans have been included in average portfolio loans.</w:t>
      </w:r>
    </w:p>
    <w:p>
      <w:pPr>
        <w:ind w:left="480" w:right="79" w:hanging="322"/>
        <w:spacing w:after="0" w:line="187" w:lineRule="auto"/>
        <w:tabs>
          <w:tab w:leader="none" w:pos="48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$2.1 million and $2.2 million for the nine months ended September 30, 2020 and 2019.</w:t>
      </w:r>
    </w:p>
    <w:p>
      <w:pPr>
        <w:spacing w:after="0" w:line="1" w:lineRule="exact"/>
        <w:rPr>
          <w:rFonts w:ascii="Arial" w:cs="Arial" w:eastAsia="Arial" w:hAnsi="Arial"/>
          <w:sz w:val="27"/>
          <w:szCs w:val="27"/>
          <w:color w:val="auto"/>
          <w:vertAlign w:val="superscript"/>
        </w:rPr>
      </w:pPr>
    </w:p>
    <w:p>
      <w:pPr>
        <w:ind w:left="480" w:hanging="322"/>
        <w:spacing w:after="0" w:line="183" w:lineRule="auto"/>
        <w:tabs>
          <w:tab w:leader="none" w:pos="48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Includes short-term and long-term borrowings. Interest expense includes a non-usage fee on revolving loan.</w:t>
      </w:r>
    </w:p>
    <w:p>
      <w:pPr>
        <w:ind w:left="480" w:hanging="322"/>
        <w:spacing w:after="0" w:line="186" w:lineRule="auto"/>
        <w:tabs>
          <w:tab w:leader="none" w:pos="480"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Annualized.</w:t>
      </w:r>
    </w:p>
    <w:p>
      <w:pPr>
        <w:sectPr>
          <w:pgSz w:w="11900" w:h="16838" w:orient="portrait"/>
          <w:cols w:equalWidth="0" w:num="1">
            <w:col w:w="901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6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Total average interest-earning assets increased $1.0 billion, or 11.7%, to $9.8 billion for the three months ended September 30, 2020, as compared to $8.8 billion for the same period in 2019. The average amortized cost balance of PPP loans in the third quarter of 2020 was $734.2 million. Total average interest-bearing liabilities increased $137.0 million to $6.7 billion for the three months ended September 30, 2020, as compared to the same period in 2019. Average noninterest-bearing deposits increased $811.5 million, or 45.6%, to $2.6 billion for the three months ended September 30, 2020, as compared to $1.8 billion for the same period of 2019. Total average interest-earning assets increased $856.6 million, or 10.1%, to $9.4 billion for the nine months ended September 30, 2020, as compared to $8.5 billion for the same period in 2019. Total average interest-bearing liabilities increased $204.9 million to $6.6 billion for the nine months ended September 30, 2020, as compared to $6.4 billion for the same period of 2019.</w:t>
      </w:r>
    </w:p>
    <w:p>
      <w:pPr>
        <w:spacing w:after="0" w:line="238" w:lineRule="exact"/>
        <w:rPr>
          <w:sz w:val="20"/>
          <w:szCs w:val="20"/>
          <w:color w:val="auto"/>
        </w:rPr>
      </w:pPr>
    </w:p>
    <w:p>
      <w:pPr>
        <w:ind w:left="60" w:right="579"/>
        <w:spacing w:after="0" w:line="294" w:lineRule="auto"/>
        <w:rPr>
          <w:sz w:val="20"/>
          <w:szCs w:val="20"/>
          <w:color w:val="auto"/>
        </w:rPr>
      </w:pPr>
      <w:r>
        <w:rPr>
          <w:rFonts w:ascii="Arial" w:cs="Arial" w:eastAsia="Arial" w:hAnsi="Arial"/>
          <w:sz w:val="16"/>
          <w:szCs w:val="16"/>
          <w:color w:val="auto"/>
        </w:rPr>
        <w:t>Net interest income, on a tax-equivalent basis, decreased $3.9 million to $70.4 million for the three months ended September 30, 2020 as compared to $74.3 million for the same period of 2019, and decreased $5.4 million to $212.1 million for the nine months ended September 30, 2020 as compared to $217.5 million for the same period of 2019.</w:t>
      </w:r>
    </w:p>
    <w:p>
      <w:pPr>
        <w:spacing w:after="0" w:line="174" w:lineRule="exact"/>
        <w:rPr>
          <w:sz w:val="20"/>
          <w:szCs w:val="20"/>
          <w:color w:val="auto"/>
        </w:rPr>
      </w:pPr>
    </w:p>
    <w:p>
      <w:pPr>
        <w:ind w:left="60" w:right="199"/>
        <w:spacing w:after="0" w:line="265" w:lineRule="auto"/>
        <w:rPr>
          <w:sz w:val="20"/>
          <w:szCs w:val="20"/>
          <w:color w:val="auto"/>
        </w:rPr>
      </w:pPr>
      <w:r>
        <w:rPr>
          <w:rFonts w:ascii="Arial" w:cs="Arial" w:eastAsia="Arial" w:hAnsi="Arial"/>
          <w:sz w:val="16"/>
          <w:szCs w:val="16"/>
          <w:color w:val="auto"/>
        </w:rPr>
        <w:t>Net interest margin, our net interest income expressed as a percentage of average earning assets stated on a tax-equivalent basis, decreased to 2.86% for the three months ended September 30, 2020, as compared to 3.35% for the same period of 2019 and 3.02% for the nine months ended September 30, 2020, compared to 3.42% for the same period of</w:t>
      </w:r>
    </w:p>
    <w:p>
      <w:pPr>
        <w:jc w:val="both"/>
        <w:ind w:left="60" w:right="199"/>
        <w:spacing w:after="0" w:line="213" w:lineRule="auto"/>
        <w:rPr>
          <w:sz w:val="20"/>
          <w:szCs w:val="20"/>
          <w:color w:val="auto"/>
        </w:rPr>
      </w:pPr>
      <w:r>
        <w:rPr>
          <w:rFonts w:ascii="Arial" w:cs="Arial" w:eastAsia="Arial" w:hAnsi="Arial"/>
          <w:sz w:val="18"/>
          <w:szCs w:val="18"/>
          <w:color w:val="auto"/>
        </w:rPr>
        <w:t>2019. Excluding purchase accounting accretion,</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the net interest margin for the three months ended September 30, 2020 was 2.75%, a decrease from 3.22% for the same period in 2019, and was 2.91% for the nine months ended September 30, 2020 compared to 3.27% for the same period of 2019.</w:t>
      </w:r>
    </w:p>
    <w:p>
      <w:pPr>
        <w:spacing w:after="0" w:line="202"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The Federal Open Market Committee (“FOMC”) lowered Federal Funds Target Rates for the first time in 11 years on July 31, 2019, and then again on September 18, 2019 and October 30, 2019, for a combined decrease of 75 basis points during 2019. In response to the potential economic risks posed by COVID-19, the FOMC took further action during the first quarter of 2020 by lowering the Federal Funds Target Rate by 50 basis points on March 3, 2020, followed by an additional 100 basis point reduction on March 15, 2020. These rate cuts contributed to the reported decline in net interest margin, as assets, in particular commercial loans, repriced more quickly and to a greater extent than liabilities.</w:t>
      </w:r>
    </w:p>
    <w:p>
      <w:pPr>
        <w:spacing w:after="0" w:line="1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Other factors contributing to the reported decline in net interest margin during the third quarter of 2020 include the sizeable balance of lower-yielding PPP loans, the Company’s significant liquidity position and the issuance of subordinated debt completed during the second quarter, with those impacts partially offset by the Company’s efforts to lower deposit funding costs. The quarterly net interest margins were as follows:</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280" w:type="dxa"/>
            <w:vAlign w:val="bottom"/>
            <w:gridSpan w:val="2"/>
          </w:tcPr>
          <w:p>
            <w:pPr>
              <w:ind w:left="5920"/>
              <w:spacing w:after="0"/>
              <w:rPr>
                <w:sz w:val="20"/>
                <w:szCs w:val="20"/>
                <w:color w:val="auto"/>
              </w:rPr>
            </w:pPr>
            <w:r>
              <w:rPr>
                <w:rFonts w:ascii="Arial" w:cs="Arial" w:eastAsia="Arial" w:hAnsi="Arial"/>
                <w:sz w:val="14"/>
                <w:szCs w:val="14"/>
                <w:b w:val="1"/>
                <w:bCs w:val="1"/>
                <w:color w:val="auto"/>
              </w:rPr>
              <w:t>2020</w:t>
            </w:r>
          </w:p>
        </w:tc>
        <w:tc>
          <w:tcPr>
            <w:tcW w:w="1000" w:type="dxa"/>
            <w:vAlign w:val="bottom"/>
          </w:tcPr>
          <w:p>
            <w:pPr>
              <w:spacing w:after="0"/>
              <w:rPr>
                <w:sz w:val="15"/>
                <w:szCs w:val="15"/>
                <w:color w:val="auto"/>
              </w:rPr>
            </w:pPr>
          </w:p>
        </w:tc>
        <w:tc>
          <w:tcPr>
            <w:tcW w:w="1620" w:type="dxa"/>
            <w:vAlign w:val="bottom"/>
          </w:tcPr>
          <w:p>
            <w:pPr>
              <w:jc w:val="right"/>
              <w:ind w:right="874"/>
              <w:spacing w:after="0"/>
              <w:rPr>
                <w:sz w:val="20"/>
                <w:szCs w:val="20"/>
                <w:color w:val="auto"/>
              </w:rPr>
            </w:pPr>
            <w:r>
              <w:rPr>
                <w:rFonts w:ascii="Arial" w:cs="Arial" w:eastAsia="Arial" w:hAnsi="Arial"/>
                <w:sz w:val="14"/>
                <w:szCs w:val="14"/>
                <w:b w:val="1"/>
                <w:bCs w:val="1"/>
                <w:color w:val="auto"/>
              </w:rPr>
              <w:t>2019</w:t>
            </w:r>
          </w:p>
        </w:tc>
      </w:tr>
      <w:tr>
        <w:trPr>
          <w:trHeight w:val="223"/>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3.20 %</w:t>
            </w:r>
          </w:p>
        </w:tc>
        <w:tc>
          <w:tcPr>
            <w:tcW w:w="162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3.46 %</w:t>
            </w:r>
          </w:p>
        </w:tc>
      </w:tr>
      <w:tr>
        <w:trPr>
          <w:trHeight w:val="229"/>
        </w:trPr>
        <w:tc>
          <w:tcPr>
            <w:tcW w:w="6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3.03 %</w:t>
            </w:r>
          </w:p>
        </w:tc>
        <w:tc>
          <w:tcPr>
            <w:tcW w:w="1620" w:type="dxa"/>
            <w:vAlign w:val="bottom"/>
          </w:tcPr>
          <w:p>
            <w:pPr>
              <w:jc w:val="right"/>
              <w:ind w:right="174"/>
              <w:spacing w:after="0"/>
              <w:rPr>
                <w:sz w:val="20"/>
                <w:szCs w:val="20"/>
                <w:color w:val="auto"/>
              </w:rPr>
            </w:pPr>
            <w:r>
              <w:rPr>
                <w:rFonts w:ascii="Arial" w:cs="Arial" w:eastAsia="Arial" w:hAnsi="Arial"/>
                <w:sz w:val="18"/>
                <w:szCs w:val="18"/>
                <w:color w:val="auto"/>
              </w:rPr>
              <w:t>3.43 %</w:t>
            </w:r>
          </w:p>
        </w:tc>
      </w:tr>
      <w:tr>
        <w:trPr>
          <w:trHeight w:val="23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2.86 %</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3.35 %</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620" w:type="dxa"/>
            <w:vAlign w:val="bottom"/>
          </w:tcPr>
          <w:p>
            <w:pPr>
              <w:jc w:val="right"/>
              <w:ind w:right="174"/>
              <w:spacing w:after="0"/>
              <w:rPr>
                <w:sz w:val="20"/>
                <w:szCs w:val="20"/>
                <w:color w:val="auto"/>
              </w:rPr>
            </w:pPr>
            <w:r>
              <w:rPr>
                <w:rFonts w:ascii="Arial" w:cs="Arial" w:eastAsia="Arial" w:hAnsi="Arial"/>
                <w:sz w:val="18"/>
                <w:szCs w:val="18"/>
                <w:color w:val="auto"/>
              </w:rPr>
              <w:t>3.27 %</w:t>
            </w:r>
          </w:p>
        </w:tc>
      </w:tr>
    </w:tbl>
    <w:p>
      <w:pPr>
        <w:spacing w:after="0" w:line="214"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was 2.67% for the three months ended September 30, 2020, as compared to 3.08% in the same period of 2019 and was 2.81% for the nine months ended September 30, 2020 as compared to 3.14% in the same period of 2019.</w:t>
      </w:r>
    </w:p>
    <w:p>
      <w:pPr>
        <w:spacing w:after="0" w:line="201"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Management attempts to mitigate the effects of the interest-rate environment through effective portfolio management, prudent loan underwriting and operational efficiencies. However, as a result of the reductions in the target interest rate, as well as the impact of the COVID-19 pandemic, our net interest income and margin may continue to decline in future periods. Please refer to the Notes to Consolidated Financial Statements in the Company’s 2019 Form 10-K for a description of accounting policies underlying the recognition of interest income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1" w:lineRule="exact"/>
        <w:rPr>
          <w:sz w:val="20"/>
          <w:szCs w:val="20"/>
          <w:color w:val="auto"/>
        </w:rPr>
      </w:pPr>
    </w:p>
    <w:p>
      <w:pPr>
        <w:ind w:left="380" w:right="239" w:hanging="330"/>
        <w:spacing w:after="0" w:line="200"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A non-GAAP financial measure, see “Non-GAAP Financial Information” included in this Quarterly Report on Form 10-Q.</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right"/>
              <w:ind w:right="288"/>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6"/>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8"/>
              <w:spacing w:after="0" w:line="160"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68"/>
              <w:spacing w:after="0" w:line="160"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3"/>
              </w:rPr>
              <w:t>Change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Wealth management fees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10,548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1,727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32,296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4,958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Fees for customer services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8,014</w:t>
            </w:r>
          </w:p>
        </w:tc>
        <w:tc>
          <w:tcPr>
            <w:tcW w:w="22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9,842</w:t>
            </w:r>
          </w:p>
        </w:tc>
        <w:tc>
          <w:tcPr>
            <w:tcW w:w="2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(1,828)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23,400</w:t>
            </w:r>
          </w:p>
        </w:tc>
        <w:tc>
          <w:tcPr>
            <w:tcW w:w="22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27,635</w:t>
            </w:r>
          </w:p>
        </w:tc>
        <w:tc>
          <w:tcPr>
            <w:tcW w:w="16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(4,235)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Remittance processing</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3,995</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3,780</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11,466</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11,277</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Mortgage revenue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5,793</w:t>
            </w:r>
          </w:p>
        </w:tc>
        <w:tc>
          <w:tcPr>
            <w:tcW w:w="22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3,331</w:t>
            </w:r>
          </w:p>
        </w:tc>
        <w:tc>
          <w:tcPr>
            <w:tcW w:w="2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2,462</w:t>
            </w:r>
          </w:p>
        </w:tc>
        <w:tc>
          <w:tcPr>
            <w:tcW w:w="620" w:type="dxa"/>
            <w:vAlign w:val="bottom"/>
          </w:tcPr>
          <w:p>
            <w:pPr>
              <w:jc w:val="right"/>
              <w:spacing w:after="0"/>
              <w:rPr>
                <w:sz w:val="20"/>
                <w:szCs w:val="20"/>
                <w:color w:val="auto"/>
              </w:rPr>
            </w:pPr>
            <w:r>
              <w:rPr>
                <w:rFonts w:ascii="Arial" w:cs="Arial" w:eastAsia="Arial" w:hAnsi="Arial"/>
                <w:sz w:val="14"/>
                <w:szCs w:val="14"/>
                <w:color w:val="auto"/>
              </w:rPr>
              <w:t>73.9</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9,879</w:t>
            </w:r>
          </w:p>
        </w:tc>
        <w:tc>
          <w:tcPr>
            <w:tcW w:w="22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8,127</w:t>
            </w:r>
          </w:p>
        </w:tc>
        <w:tc>
          <w:tcPr>
            <w:tcW w:w="16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1,752</w:t>
            </w:r>
          </w:p>
        </w:tc>
        <w:tc>
          <w:tcPr>
            <w:tcW w:w="640" w:type="dxa"/>
            <w:vAlign w:val="bottom"/>
          </w:tcPr>
          <w:p>
            <w:pPr>
              <w:jc w:val="right"/>
              <w:spacing w:after="0"/>
              <w:rPr>
                <w:sz w:val="20"/>
                <w:szCs w:val="20"/>
                <w:color w:val="auto"/>
              </w:rPr>
            </w:pPr>
            <w:r>
              <w:rPr>
                <w:rFonts w:ascii="Arial" w:cs="Arial" w:eastAsia="Arial" w:hAnsi="Arial"/>
                <w:sz w:val="14"/>
                <w:szCs w:val="14"/>
                <w:color w:val="auto"/>
              </w:rPr>
              <w:t>21.6</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Income on bank owned life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1,022</w:t>
            </w: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1,573</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4,361</w:t>
            </w: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4,653</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insurance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20"/>
                <w:szCs w:val="20"/>
                <w:color w:val="auto"/>
              </w:rPr>
            </w:pPr>
            <w:r>
              <w:rPr>
                <w:rFonts w:ascii="Arial" w:cs="Arial" w:eastAsia="Arial" w:hAnsi="Arial"/>
                <w:sz w:val="14"/>
                <w:szCs w:val="14"/>
                <w:color w:val="auto"/>
              </w:rPr>
              <w:t>Net gains (losses) on sales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5"/>
                <w:szCs w:val="1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296</w:t>
            </w:r>
          </w:p>
        </w:tc>
        <w:tc>
          <w:tcPr>
            <w:tcW w:w="20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(285)</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1,710</w:t>
            </w:r>
          </w:p>
        </w:tc>
        <w:tc>
          <w:tcPr>
            <w:tcW w:w="220" w:type="dxa"/>
            <w:vAlign w:val="bottom"/>
          </w:tcPr>
          <w:p>
            <w:pPr>
              <w:spacing w:after="0"/>
              <w:rPr>
                <w:sz w:val="15"/>
                <w:szCs w:val="15"/>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15"/>
                <w:szCs w:val="15"/>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1,598</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gains (losses)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(735)</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recognized on equity securities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3,339</w:t>
            </w: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3,228</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5,888</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6,370</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9"/>
        </w:trPr>
        <w:tc>
          <w:tcPr>
            <w:tcW w:w="2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 non-interest income</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1,349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87,766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84,777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2,989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Total non-interest income of $32.3 million for the third quarter of 2020 increased as compared to $30.9 million in the third quarter of 2019. Revenues from wealth management fees and remittance processing activities represented 45.0% of the Company’s non-interest income for the quarter ended September 30, 2020, providing a complement to spread-based revenue from traditional banking activities. Total non-interest income of $87.8 million for the nine months ended September 30, 2020 increased as compared to $84.8 million in the comparable period of 2019.</w:t>
      </w:r>
    </w:p>
    <w:p>
      <w:pPr>
        <w:spacing w:after="0" w:line="187"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Wealth management fees were $10.5 million for the third quarter of 2020, an increase from $8.8 million for the third quarter of 2019, and were $32.3 million for the nine months ended September 30, 2020, compared to $27.4 million for the comparable period of 2019. First Busey’s Wealth Management division ended the third quarter of 2020 with $9.5 billion in assets under care. The Wealth Management division experienced strong new account activity during the third quarter of 2020. Market volatility related to COVID-19 may impact fees in future quarters.</w:t>
      </w:r>
    </w:p>
    <w:p>
      <w:pPr>
        <w:spacing w:after="0" w:line="187"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Fees for customer services decreased 18.6% for the three months ended September 30, 2020 compared to the same period of 2019 and 15.3% for the nine months ended September 30, 2020 compared to the same period of 2019. The decrease relates to fee waivers provided in connection with the Company’s Financial Relief Program and changing customer behaviors resulting from COVID-19.</w:t>
      </w:r>
    </w:p>
    <w:p>
      <w:pPr>
        <w:spacing w:after="0" w:line="201"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Remittance processing revenue from the Company’s subsidiary, FirsTech, was $4.0 million for the third quarter of 2020, an increase from $3.8 million compared to the same period of 2019, and was $11.5 million for the nine months ended September 30, 2020 as compared to $11.3 million for the same period of 2019. Remittance processing adds important diversity to our revenue stream while widening the array of service offerings available to our larger commercial clients within our footprint and nationally.</w:t>
      </w:r>
    </w:p>
    <w:p>
      <w:pPr>
        <w:spacing w:after="0" w:line="203" w:lineRule="exact"/>
        <w:rPr>
          <w:sz w:val="20"/>
          <w:szCs w:val="20"/>
          <w:color w:val="auto"/>
        </w:rPr>
      </w:pPr>
    </w:p>
    <w:p>
      <w:pPr>
        <w:ind w:left="60" w:right="379"/>
        <w:spacing w:after="0" w:line="270" w:lineRule="auto"/>
        <w:rPr>
          <w:sz w:val="20"/>
          <w:szCs w:val="20"/>
          <w:color w:val="auto"/>
        </w:rPr>
      </w:pPr>
      <w:r>
        <w:rPr>
          <w:rFonts w:ascii="Arial" w:cs="Arial" w:eastAsia="Arial" w:hAnsi="Arial"/>
          <w:sz w:val="17"/>
          <w:szCs w:val="17"/>
          <w:color w:val="auto"/>
        </w:rPr>
        <w:t>Mortgage revenue of $5.8 million in the third quarter of 2020 increased compared to $3.3 million in the third quarter of 2019. Mortgage revenue of $9.9 million for the nine months ended September 30, 2020 increased compared to $8.1 million in the comparable period of 2019, primarily on increased volume and stronger margins.</w:t>
      </w:r>
    </w:p>
    <w:p>
      <w:pPr>
        <w:spacing w:after="0" w:line="17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Other income increased to $3.3 million for the third quarter of 2020 compared to $3.2 million in the third quarter of 2019, but decreased to $5.9 million for the nine months ended September 30, 2020 compared to $6.4 million in the same period of 2019. Other income variances are primarily driven by fluctuations in income generated from swap origination fees, data processing income and commercial loan sales gains.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gridSpan w:val="8"/>
          </w:tcPr>
          <w:p>
            <w:pPr>
              <w:jc w:val="right"/>
              <w:ind w:right="468"/>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9"/>
          </w:tcPr>
          <w:p>
            <w:pPr>
              <w:ind w:left="5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28"/>
              <w:spacing w:after="0" w:line="160"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ind w:right="308"/>
              <w:spacing w:after="0" w:line="160"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28"/>
              <w:spacing w:after="0" w:line="160"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328"/>
              <w:spacing w:after="0" w:line="160"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9"/>
              </w:rPr>
              <w:t>Change</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Salaries, wages and employee</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32,839</w:t>
            </w:r>
          </w:p>
        </w:tc>
        <w:tc>
          <w:tcPr>
            <w:tcW w:w="1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38,747</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(5,908)</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95,397</w:t>
            </w:r>
          </w:p>
        </w:tc>
        <w:tc>
          <w:tcPr>
            <w:tcW w:w="1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105,356</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(9,959)</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benefits</w:t>
            </w:r>
          </w:p>
        </w:tc>
        <w:tc>
          <w:tcPr>
            <w:tcW w:w="2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Data processing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3,937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5,032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(1,095)</w:t>
            </w:r>
          </w:p>
        </w:tc>
        <w:tc>
          <w:tcPr>
            <w:tcW w:w="780" w:type="dxa"/>
            <w:vAlign w:val="bottom"/>
          </w:tcPr>
          <w:p>
            <w:pPr>
              <w:jc w:val="right"/>
              <w:spacing w:after="0"/>
              <w:rPr>
                <w:sz w:val="20"/>
                <w:szCs w:val="20"/>
                <w:color w:val="auto"/>
              </w:rPr>
            </w:pPr>
            <w:r>
              <w:rPr>
                <w:rFonts w:ascii="Arial" w:cs="Arial" w:eastAsia="Arial" w:hAnsi="Arial"/>
                <w:sz w:val="14"/>
                <w:szCs w:val="14"/>
                <w:color w:val="auto"/>
              </w:rPr>
              <w:t>(21.8)%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12,383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15,049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(2,666)</w:t>
            </w:r>
          </w:p>
        </w:tc>
        <w:tc>
          <w:tcPr>
            <w:tcW w:w="820" w:type="dxa"/>
            <w:vAlign w:val="bottom"/>
          </w:tcPr>
          <w:p>
            <w:pPr>
              <w:jc w:val="right"/>
              <w:spacing w:after="0"/>
              <w:rPr>
                <w:sz w:val="20"/>
                <w:szCs w:val="20"/>
                <w:color w:val="auto"/>
              </w:rPr>
            </w:pPr>
            <w:r>
              <w:rPr>
                <w:rFonts w:ascii="Arial" w:cs="Arial" w:eastAsia="Arial" w:hAnsi="Arial"/>
                <w:sz w:val="14"/>
                <w:szCs w:val="14"/>
                <w:color w:val="auto"/>
              </w:rPr>
              <w:t>(17.7)%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Net occupancy expense of</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13,419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13,365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premises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Furniture and equipment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2,325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2,489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(164)</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7,311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6,936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color w:val="auto"/>
              </w:rPr>
              <w:t>375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5.4 %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Pr>
          <w:p>
            <w:pPr>
              <w:ind w:left="10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9,001</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Amortization of intangible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2,493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2,360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color w:val="auto"/>
              </w:rPr>
              <w:t>133</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5.6 %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7,569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6,866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color w:val="auto"/>
              </w:rPr>
              <w:t>703</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10.2 %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Pr>
          <w:p>
            <w:pPr>
              <w:ind w:left="10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8,994</w:t>
            </w: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12,219</w:t>
            </w: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28,537</w:t>
            </w:r>
          </w:p>
        </w:tc>
        <w:tc>
          <w:tcPr>
            <w:tcW w:w="1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36,731</w:t>
            </w: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(8,194)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non-interest expense</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56,542</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68,121</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(11,579)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170,124</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193,304</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Income taxes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9,118</w:t>
            </w:r>
          </w:p>
        </w:tc>
        <w:tc>
          <w:tcPr>
            <w:tcW w:w="1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8,052</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1,066</w:t>
            </w:r>
          </w:p>
        </w:tc>
        <w:tc>
          <w:tcPr>
            <w:tcW w:w="780" w:type="dxa"/>
            <w:vAlign w:val="bottom"/>
          </w:tcPr>
          <w:p>
            <w:pPr>
              <w:jc w:val="right"/>
              <w:spacing w:after="0"/>
              <w:rPr>
                <w:sz w:val="20"/>
                <w:szCs w:val="20"/>
                <w:color w:val="auto"/>
              </w:rPr>
            </w:pPr>
            <w:r>
              <w:rPr>
                <w:rFonts w:ascii="Arial" w:cs="Arial" w:eastAsia="Arial" w:hAnsi="Arial"/>
                <w:sz w:val="14"/>
                <w:szCs w:val="14"/>
                <w:color w:val="auto"/>
              </w:rPr>
              <w:t>13.2 %</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19,986</w:t>
            </w:r>
          </w:p>
        </w:tc>
        <w:tc>
          <w:tcPr>
            <w:tcW w:w="1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24,339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(4,353)</w:t>
            </w:r>
          </w:p>
        </w:tc>
        <w:tc>
          <w:tcPr>
            <w:tcW w:w="820" w:type="dxa"/>
            <w:vAlign w:val="bottom"/>
          </w:tcPr>
          <w:p>
            <w:pPr>
              <w:jc w:val="right"/>
              <w:spacing w:after="0"/>
              <w:rPr>
                <w:sz w:val="20"/>
                <w:szCs w:val="20"/>
                <w:color w:val="auto"/>
              </w:rPr>
            </w:pPr>
            <w:r>
              <w:rPr>
                <w:rFonts w:ascii="Arial" w:cs="Arial" w:eastAsia="Arial" w:hAnsi="Arial"/>
                <w:sz w:val="14"/>
                <w:szCs w:val="14"/>
                <w:color w:val="auto"/>
              </w:rPr>
              <w:t>(17.9)%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Effective rate on income taxes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Efficiency ratio</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restart"/>
          </w:tcPr>
          <w:p>
            <w:pPr>
              <w:spacing w:after="0"/>
              <w:rPr>
                <w:sz w:val="20"/>
                <w:szCs w:val="20"/>
                <w:color w:val="auto"/>
              </w:rPr>
            </w:pPr>
            <w:r>
              <w:rPr>
                <w:rFonts w:ascii="Arial" w:cs="Arial" w:eastAsia="Arial" w:hAnsi="Arial"/>
                <w:sz w:val="14"/>
                <w:szCs w:val="14"/>
                <w:color w:val="auto"/>
                <w:w w:val="99"/>
              </w:rPr>
              <w:t>Full-time equivalent employees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1,371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1,595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tcPr>
          <w:p>
            <w:pPr>
              <w:ind w:left="100"/>
              <w:spacing w:after="0"/>
              <w:rPr>
                <w:sz w:val="20"/>
                <w:szCs w:val="20"/>
                <w:color w:val="auto"/>
              </w:rPr>
            </w:pPr>
            <w:r>
              <w:rPr>
                <w:rFonts w:ascii="Arial" w:cs="Arial" w:eastAsia="Arial" w:hAnsi="Arial"/>
                <w:sz w:val="14"/>
                <w:szCs w:val="14"/>
                <w:color w:val="auto"/>
              </w:rPr>
              <w:t>as of period-end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Total non-interest expense of $56.5 million for the three months ended September 30, 2020 decreased as compared to $68.1 million for the same period in 2019. Total non-interest expense of $170.1 million for the nine months ended September 30, 2020 decreased as compared to $193.3 million for the same period in 2019. The Company remains focused on expense discipline and expects expense reductions as a result of its branch closures and strategic actions in response to COVID-19, and as it realizes additional expense savings from prior acquisitions.</w:t>
      </w:r>
    </w:p>
    <w:p>
      <w:pPr>
        <w:spacing w:after="0" w:line="187"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Salaries, wages and employee benefits were $32.8 million in the third quarter of 2020, a decrease from $38.7 million in the third quarter of 2019, and were $95.4 million for the nine months ended September 30, 2020 compared to $105.4 million for the comparable period of 2019. The decrease was a result of the deferral of PPP loan origination costs of $3.9 million, a decrease in non-operating acquisition and other restructuring costs of $1.8 million for the nine months ended September 30, 2020 compared to the same period of 2019 and a decrease in full-time equivalents. Total full-time equivalents at September 30, 2020 numbered 1,371 compared to 1,480 at June 30, 2020 and 1,595 at September 30, 2019, a decline of 14% year-over-year.</w:t>
      </w:r>
    </w:p>
    <w:p>
      <w:pPr>
        <w:spacing w:after="0" w:line="204" w:lineRule="exact"/>
        <w:rPr>
          <w:sz w:val="20"/>
          <w:szCs w:val="20"/>
          <w:color w:val="auto"/>
        </w:rPr>
      </w:pPr>
    </w:p>
    <w:p>
      <w:pPr>
        <w:ind w:left="60" w:right="99"/>
        <w:spacing w:after="0" w:line="294" w:lineRule="auto"/>
        <w:rPr>
          <w:sz w:val="20"/>
          <w:szCs w:val="20"/>
          <w:color w:val="auto"/>
        </w:rPr>
      </w:pPr>
      <w:r>
        <w:rPr>
          <w:rFonts w:ascii="Arial" w:cs="Arial" w:eastAsia="Arial" w:hAnsi="Arial"/>
          <w:sz w:val="16"/>
          <w:szCs w:val="16"/>
          <w:color w:val="auto"/>
        </w:rPr>
        <w:t>Data processing expense was $3.9 million in the third quarter of 2020, as compared to $5.0 million in the third quarter of 2019, and was $12.4 million in the nine months ended September 30, 2020, as compared to $15.0 million in the same period of 2019. The 2019 data processing expense included conversion expenses and data processing related to TheBANK.</w:t>
      </w:r>
    </w:p>
    <w:p>
      <w:pPr>
        <w:spacing w:after="0" w:line="161"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Combined net occupancy expense of premises and furniture and equipment expenses was $6.6 million for the three months ended September 30, 2020, as compared to $7.1 million for the three months ended September 30, 2019, and was $20.7 million for the nine months ended September 30, 2020, as compared to $20.3 million in the same period of 2019. The Company continues to evaluate its banking center network and closed 12 banking centers on October 23, 2020.</w:t>
      </w:r>
    </w:p>
    <w:p>
      <w:pPr>
        <w:spacing w:after="0" w:line="169"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Professional fees decreased 35.2% for the three months ended September 30, 2020, as compared to the same period of 2019, and decreased 38.8% for the nine months ended September 30, 2020, as compared to the same period of 2019. The decrease is primarily related to a reduction in legal and consulting fees related to acquisitions.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Amortization of intangible assets increased to $2.5 million for the three months ended September 30, 2020, as compared to $2.4 million for the three months ended September 30, 2019, and increased to $7.6 million for the nine months ended September 30, 2020, as compared to $6.9 million for the comparable period of 2019. The increase was due to increases in intangible asset balances from acquisitions in 2019.</w:t>
      </w:r>
    </w:p>
    <w:p>
      <w:pPr>
        <w:spacing w:after="0" w:line="201" w:lineRule="exact"/>
        <w:rPr>
          <w:sz w:val="20"/>
          <w:szCs w:val="20"/>
          <w:color w:val="auto"/>
        </w:rPr>
      </w:pPr>
    </w:p>
    <w:p>
      <w:pPr>
        <w:jc w:val="both"/>
        <w:ind w:left="60" w:right="99"/>
        <w:spacing w:after="0" w:line="269" w:lineRule="auto"/>
        <w:rPr>
          <w:sz w:val="20"/>
          <w:szCs w:val="20"/>
          <w:color w:val="auto"/>
        </w:rPr>
      </w:pPr>
      <w:r>
        <w:rPr>
          <w:rFonts w:ascii="Arial" w:cs="Arial" w:eastAsia="Arial" w:hAnsi="Arial"/>
          <w:sz w:val="16"/>
          <w:szCs w:val="16"/>
          <w:color w:val="auto"/>
        </w:rPr>
        <w:t>Other expense in the third quarter of 2020 was $9.0 million as compared to $12.2 million in the third quarter of 2019, and other expense of $28.5 million for the nine months ended September 30, 2020 decreased compared to $36.7 million for the comparable period of 2019. One-time pre-tax expenses relating to acquisitions and other restructuring activities included in other expense were $0.8 million and $11.3 million for the nine months ended September 30, 2020 and 2019, respectively.</w:t>
      </w:r>
    </w:p>
    <w:p>
      <w:pPr>
        <w:spacing w:after="0" w:line="1"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Provision for unfunded commitments of $0.3 million and $1.8 million for the three and nine months ended September 30, 2020 were recorded in other expense.</w:t>
      </w:r>
    </w:p>
    <w:p>
      <w:pPr>
        <w:spacing w:after="0" w:line="189" w:lineRule="exact"/>
        <w:rPr>
          <w:sz w:val="20"/>
          <w:szCs w:val="20"/>
          <w:color w:val="auto"/>
        </w:rPr>
      </w:pPr>
    </w:p>
    <w:p>
      <w:pPr>
        <w:ind w:left="60" w:right="139"/>
        <w:spacing w:after="0" w:line="230" w:lineRule="auto"/>
        <w:rPr>
          <w:sz w:val="20"/>
          <w:szCs w:val="20"/>
          <w:color w:val="auto"/>
        </w:rPr>
      </w:pPr>
      <w:r>
        <w:rPr>
          <w:rFonts w:ascii="Arial" w:cs="Arial" w:eastAsia="Arial" w:hAnsi="Arial"/>
          <w:sz w:val="16"/>
          <w:szCs w:val="16"/>
          <w:color w:val="auto"/>
        </w:rPr>
        <w:t>The efficiency ratio</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was 52.42% for the quarter ended September 30, 2020 compared to 50.97% for the quarter ended June 30, 2020 and 62.73% for the quarter ended September 30, 2019. The adjusted efficiency ratio</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was</w:t>
      </w:r>
    </w:p>
    <w:p>
      <w:pPr>
        <w:spacing w:after="0" w:line="3" w:lineRule="exact"/>
        <w:rPr>
          <w:sz w:val="20"/>
          <w:szCs w:val="20"/>
          <w:color w:val="auto"/>
        </w:rPr>
      </w:pPr>
    </w:p>
    <w:p>
      <w:pPr>
        <w:ind w:left="60" w:right="119"/>
        <w:spacing w:after="0" w:line="242" w:lineRule="auto"/>
        <w:rPr>
          <w:sz w:val="20"/>
          <w:szCs w:val="20"/>
          <w:color w:val="auto"/>
        </w:rPr>
      </w:pPr>
      <w:r>
        <w:rPr>
          <w:rFonts w:ascii="Arial" w:cs="Arial" w:eastAsia="Arial" w:hAnsi="Arial"/>
          <w:sz w:val="16"/>
          <w:szCs w:val="16"/>
          <w:color w:val="auto"/>
        </w:rPr>
        <w:t>49.97% for the quarter ended September 30, 2020, 50.48% for the quarter ended June 30, 2020, and 55.42% for the quarter ended September 30, 2019. The efficiency ratio for the nine months ended September 30, 2020 was 54.30% compared to 61.55% for the same period of 2019, and the adjusted efficiency ratio</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was 53.24% for the nine months ended September 30, 2020 compared to 56.12% for the comparable period of 2019. The Company remains focused on expense discipline.</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The effective income tax rate of 22.8% and 21.7% for the three and nine months ended September 30, 2020 was lower than the combined federal and state statutory rate of approximately 28% due to tax exempt interest income, such as municipal bond interest and bank owned life insurance income, and investments in various federal and state tax credits, including an Illinois new market tax credit. The Company continues to monitor evolving federal and state tax legislation and its potential impact on operations on an ongoing basis. At September 30, 2020, the Company was not under examination by any tax authority; however, Banc Ed, which the Company acquired on January 31, 2019, is under examination by the Illinois Department of Revenue for its 2009 to 2016 income tax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200660</wp:posOffset>
            </wp:positionV>
            <wp:extent cx="1414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89" w:lineRule="exact"/>
        <w:rPr>
          <w:sz w:val="20"/>
          <w:szCs w:val="20"/>
          <w:color w:val="auto"/>
        </w:rPr>
      </w:pPr>
    </w:p>
    <w:p>
      <w:pPr>
        <w:ind w:left="520" w:right="159" w:hanging="321"/>
        <w:spacing w:after="0" w:line="200" w:lineRule="auto"/>
        <w:tabs>
          <w:tab w:leader="none" w:pos="52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measures, see “Non-GAAP Financial Information” included in this Quarterly Report on Form 10-Q.</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 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Debt securities available for sale</w:t>
            </w:r>
          </w:p>
        </w:tc>
        <w:tc>
          <w:tcPr>
            <w:tcW w:w="46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2,080,849</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1,648,257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432,592</w:t>
            </w:r>
          </w:p>
        </w:tc>
        <w:tc>
          <w:tcPr>
            <w:tcW w:w="1020" w:type="dxa"/>
            <w:vAlign w:val="bottom"/>
          </w:tcPr>
          <w:p>
            <w:pPr>
              <w:jc w:val="right"/>
              <w:spacing w:after="0"/>
              <w:rPr>
                <w:sz w:val="20"/>
                <w:szCs w:val="20"/>
                <w:color w:val="auto"/>
              </w:rPr>
            </w:pPr>
            <w:r>
              <w:rPr>
                <w:rFonts w:ascii="Arial" w:cs="Arial" w:eastAsia="Arial" w:hAnsi="Arial"/>
                <w:sz w:val="16"/>
                <w:szCs w:val="16"/>
                <w:color w:val="auto"/>
              </w:rPr>
              <w:t>26.2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Portfolio loans, net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7,022,470</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6,633,501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388,969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9"/>
              </w:rPr>
              <w:t>10,539,628</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9,695,729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843,899</w:t>
            </w: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Deposits: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Noninterest-bearing</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2,595,075</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1,832,619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762,456</w:t>
            </w: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41.6 %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Interest-bearing</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6,047,626</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6,069,777</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(22,151)</w:t>
            </w:r>
          </w:p>
        </w:tc>
        <w:tc>
          <w:tcPr>
            <w:tcW w:w="128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Total deposits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8,642,701</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7,902,396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740,305</w:t>
            </w: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Securities sold under agreements to repurchase</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201,641</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205,491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Short-term borrowings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4,651</w:t>
            </w:r>
          </w:p>
        </w:tc>
        <w:tc>
          <w:tcPr>
            <w:tcW w:w="32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8,551</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(3,900)</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4,931</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83,600</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(78,669)</w:t>
            </w: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Senior notes, net of unamortized issuance costs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39,775</w:t>
            </w:r>
          </w:p>
        </w:tc>
        <w:tc>
          <w:tcPr>
            <w:tcW w:w="32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39,674</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w w:val="97"/>
              </w:rPr>
              <w:t>Subordinated notes, net of unamortized issuance costs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182,095</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59,248</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122,847</w:t>
            </w:r>
          </w:p>
        </w:tc>
        <w:tc>
          <w:tcPr>
            <w:tcW w:w="1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207.3 %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w w:val="96"/>
              </w:rPr>
              <w:t>Junior subordinated debt owed to unconsolidated trusts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71,427</w:t>
            </w:r>
          </w:p>
        </w:tc>
        <w:tc>
          <w:tcPr>
            <w:tcW w:w="32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71,308</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w:t>
            </w: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6"/>
                <w:szCs w:val="16"/>
                <w:color w:val="auto"/>
              </w:rPr>
              <w:t>Total liabilities</w:t>
            </w:r>
          </w:p>
        </w:tc>
        <w:tc>
          <w:tcPr>
            <w:tcW w:w="46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9,283,923</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8,475,295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808,628</w:t>
            </w:r>
          </w:p>
        </w:tc>
        <w:tc>
          <w:tcPr>
            <w:tcW w:w="1020" w:type="dxa"/>
            <w:vAlign w:val="bottom"/>
          </w:tcPr>
          <w:p>
            <w:pPr>
              <w:jc w:val="right"/>
              <w:spacing w:after="0"/>
              <w:rPr>
                <w:sz w:val="20"/>
                <w:szCs w:val="20"/>
                <w:color w:val="auto"/>
              </w:rPr>
            </w:pPr>
            <w:r>
              <w:rPr>
                <w:rFonts w:ascii="Arial" w:cs="Arial" w:eastAsia="Arial" w:hAnsi="Arial"/>
                <w:sz w:val="16"/>
                <w:szCs w:val="16"/>
                <w:color w:val="auto"/>
              </w:rPr>
              <w:t>9.5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46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1,255,705</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1,220,434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35,271</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right="279"/>
        <w:spacing w:after="0" w:line="248" w:lineRule="auto"/>
        <w:rPr>
          <w:sz w:val="20"/>
          <w:szCs w:val="20"/>
          <w:color w:val="auto"/>
        </w:rPr>
      </w:pPr>
      <w:r>
        <w:rPr>
          <w:rFonts w:ascii="Arial" w:cs="Arial" w:eastAsia="Arial" w:hAnsi="Arial"/>
          <w:sz w:val="18"/>
          <w:szCs w:val="18"/>
          <w:color w:val="auto"/>
        </w:rPr>
        <w:t>During the quarter, due to PPP loans and other factors, the Company’s total assets exceeded $10 billion. If the Company remains over $10 billion in assets at year-end, it will begin to face limitations on interchange fees and heightened supervision and regulation in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6"/>
          <w:szCs w:val="16"/>
          <w:color w:val="auto"/>
        </w:rPr>
        <w:t>The Company believes that making sound and profitable loans is a necessary and desirable means of employing funds available for investment.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loans to existing customers of Busey Bank. The Company attempts to utilize government-assisted lending programs, such as the SBA and United States Department of Agriculture lending programs, when prudent. Generally, loans are collateralized by assets, primarily real estate and guaranteed by individuals. The loans are expected to be repaid primarily from cash flows of the borrowers or from proceeds from the sale of selected assets of the borrowers.</w:t>
      </w:r>
    </w:p>
    <w:p>
      <w:pPr>
        <w:spacing w:after="0" w:line="182" w:lineRule="exact"/>
        <w:rPr>
          <w:sz w:val="20"/>
          <w:szCs w:val="20"/>
          <w:color w:val="auto"/>
        </w:rPr>
      </w:pPr>
    </w:p>
    <w:p>
      <w:pPr>
        <w:ind w:left="60" w:right="159"/>
        <w:spacing w:after="0" w:line="274" w:lineRule="auto"/>
        <w:rPr>
          <w:sz w:val="20"/>
          <w:szCs w:val="20"/>
          <w:color w:val="auto"/>
        </w:rPr>
      </w:pPr>
      <w:r>
        <w:rPr>
          <w:rFonts w:ascii="Arial" w:cs="Arial" w:eastAsia="Arial" w:hAnsi="Arial"/>
          <w:sz w:val="16"/>
          <w:szCs w:val="16"/>
          <w:color w:val="auto"/>
        </w:rPr>
        <w:t>Management reviews and approves the Company’s lending policies and procedures on a regular basis. Management routinely (at least quarterly) reviews the Company’s allowance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borrower’s financial history, the liquidity of the underlying collateral and the reliability of the valuation of the underlying collateral.</w:t>
      </w:r>
    </w:p>
    <w:p>
      <w:pPr>
        <w:spacing w:after="0" w:line="184"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As a matter of policy and practice, the Company limits the level of concentration exposure in any particular loan segment with the goal of maintaining a well-diversified loan portfolio. In anticipation of the potential risks associated with COVID-19, the Company took actions starting in early March 2020 to escalate the monitoring of susceptible industry sectors within its portfolio. The Company anticipates that organic loan growth will slow in future quarters as a result of COVID-19 and the related impact on economic conditions in the Company’s market areas.</w:t>
      </w:r>
    </w:p>
    <w:p>
      <w:pPr>
        <w:spacing w:after="0" w:line="187"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201"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201" w:lineRule="exact"/>
        <w:rPr>
          <w:sz w:val="20"/>
          <w:szCs w:val="20"/>
          <w:color w:val="auto"/>
        </w:rPr>
      </w:pPr>
    </w:p>
    <w:p>
      <w:pPr>
        <w:ind w:left="60" w:right="119"/>
        <w:spacing w:after="0" w:line="262" w:lineRule="auto"/>
        <w:rPr>
          <w:sz w:val="20"/>
          <w:szCs w:val="20"/>
          <w:color w:val="auto"/>
        </w:rPr>
      </w:pPr>
      <w:r>
        <w:rPr>
          <w:rFonts w:ascii="Arial" w:cs="Arial" w:eastAsia="Arial" w:hAnsi="Arial"/>
          <w:sz w:val="17"/>
          <w:szCs w:val="17"/>
          <w:color w:val="auto"/>
        </w:rPr>
        <w:t>The Company’s lending activities can be summarized in five primary areas: commercial loans, commercial real estate loans, real estate construction loans, retail real estate loans and retail other loans. A description of each of the lending areas can be found in the Company’s 2019 Form 10-K. The significant majority of the Company’s portfolio lending activity occurs in its Illinois and Missouri markets, with the remainder in the Indiana and Florida markets.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Geographic distributions of portfolio loans, based on originations,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2020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Illinois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Missouri</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Florida</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Indiana</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1,528,351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622,841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69,729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60,110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2,281,031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1,864,119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723,424</w:t>
            </w:r>
          </w:p>
        </w:tc>
        <w:tc>
          <w:tcPr>
            <w:tcW w:w="3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157,507</w:t>
            </w:r>
          </w:p>
        </w:tc>
        <w:tc>
          <w:tcPr>
            <w:tcW w:w="2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167,358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2,912,408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201,262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28,890</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1,003,581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327,533</w:t>
            </w:r>
          </w:p>
        </w:tc>
        <w:tc>
          <w:tcPr>
            <w:tcW w:w="3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96,149</w:t>
            </w:r>
          </w:p>
        </w:tc>
        <w:tc>
          <w:tcPr>
            <w:tcW w:w="2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53,257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1,480,520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35,358</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1,326</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40,086</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Portfolio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4,632,671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1,777,408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353,601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357,631</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7,121,311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7,022,470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December 31, 2019</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Illinois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Missouri</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Florida</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Indiana</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1,220,088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457,416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20,589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50,275</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1,748,368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1,782,442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679,217</w:t>
            </w:r>
          </w:p>
        </w:tc>
        <w:tc>
          <w:tcPr>
            <w:tcW w:w="3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150,935</w:t>
            </w:r>
          </w:p>
        </w:tc>
        <w:tc>
          <w:tcPr>
            <w:tcW w:w="2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180,823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2,793,417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168,621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20,311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1,139,173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412,811</w:t>
            </w:r>
          </w:p>
        </w:tc>
        <w:tc>
          <w:tcPr>
            <w:tcW w:w="3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99,976</w:t>
            </w:r>
          </w:p>
        </w:tc>
        <w:tc>
          <w:tcPr>
            <w:tcW w:w="2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41,809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1,693,769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44,158</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1,611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Portfolio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4,354,482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1,691,519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293,422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347,826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6,687,249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6,633,501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ind w:right="632"/>
              <w:spacing w:after="0"/>
              <w:rPr>
                <w:sz w:val="20"/>
                <w:szCs w:val="20"/>
                <w:color w:val="auto"/>
              </w:rPr>
            </w:pPr>
            <w:r>
              <w:rPr>
                <w:rFonts w:ascii="Arial" w:cs="Arial" w:eastAsia="Arial" w:hAnsi="Arial"/>
                <w:sz w:val="18"/>
                <w:szCs w:val="18"/>
                <w:color w:val="auto"/>
                <w:w w:val="89"/>
              </w:rPr>
              <w:t>56</w:t>
            </w: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Portfolio loans increased $434.1 million, or 6.5%, as of September 30, 2020 compared to December 31, 2019, as a result of PPP loans.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and Provision for Credit Losses</w:t>
      </w:r>
    </w:p>
    <w:p>
      <w:pPr>
        <w:spacing w:after="0" w:line="225"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The allowance for credit losses is a significant estimate in the Company’s unaudited Consolidated Balance Sheet, affecting both earnings and capital. Its methodology influences, and is influenced by, Busey Bank’s overall credit risk management processes. The allowance for credit losses is managed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allowance for credit losses is established through provision for credit loss expense charged to income.</w:t>
      </w:r>
    </w:p>
    <w:p>
      <w:pPr>
        <w:spacing w:after="0" w:line="17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The Company calculates the allowance for credit losses at each reporting date. The Company recognizes an allowance for the lifetime expected credit losses for the amount the Company does not expect to collect. Subsequent changes in expected credit losses are recognized immediately in earnings. The allowance for credit losses is measured on a collective pool basis when similar risk characteristics exist. Loans that do not share risk characteristics are evaluated on an individual basis.</w:t>
      </w:r>
    </w:p>
    <w:p>
      <w:pPr>
        <w:spacing w:after="0" w:line="1" w:lineRule="exact"/>
        <w:rPr>
          <w:sz w:val="20"/>
          <w:szCs w:val="20"/>
          <w:color w:val="auto"/>
        </w:rPr>
      </w:pPr>
    </w:p>
    <w:p>
      <w:pPr>
        <w:ind w:left="60" w:right="99"/>
        <w:spacing w:after="0" w:line="270" w:lineRule="auto"/>
        <w:rPr>
          <w:sz w:val="20"/>
          <w:szCs w:val="20"/>
          <w:color w:val="auto"/>
        </w:rPr>
      </w:pPr>
      <w:r>
        <w:rPr>
          <w:rFonts w:ascii="Arial" w:cs="Arial" w:eastAsia="Arial" w:hAnsi="Arial"/>
          <w:sz w:val="16"/>
          <w:szCs w:val="16"/>
          <w:color w:val="auto"/>
        </w:rPr>
        <w:t>Management estimates the allowance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from 2010-2019. As of September 30, 2020, the Company expects the markets in which it operates to experience a decline in economic conditions and an increase in the unemployment rate and level of delinquencies over the next 12 months. Management adjusted the historical loss experience for these expectations with an immediate reversion to historical loss rate beyond this forecast period.</w:t>
      </w:r>
    </w:p>
    <w:p>
      <w:pPr>
        <w:spacing w:after="0" w:line="182" w:lineRule="exact"/>
        <w:rPr>
          <w:sz w:val="20"/>
          <w:szCs w:val="20"/>
          <w:color w:val="auto"/>
        </w:rPr>
      </w:pPr>
    </w:p>
    <w:p>
      <w:pPr>
        <w:ind w:left="60" w:right="199"/>
        <w:spacing w:after="0" w:line="262" w:lineRule="auto"/>
        <w:rPr>
          <w:sz w:val="20"/>
          <w:szCs w:val="20"/>
          <w:color w:val="auto"/>
        </w:rPr>
      </w:pPr>
      <w:r>
        <w:rPr>
          <w:rFonts w:ascii="Arial" w:cs="Arial" w:eastAsia="Arial" w:hAnsi="Arial"/>
          <w:sz w:val="17"/>
          <w:szCs w:val="17"/>
          <w:color w:val="auto"/>
        </w:rPr>
        <w:t>When a determination is made by management to charge-off a loan balance, a write-off is charged against the allowance for credit losses. Net charge-offs totaled $2.8 million for the quarter ended September 30, 2020 compared to $1.2 million for the quarter ended June 30, 2020, $3.4 million for the quarter ended March 31, 2020, $1.6 million for the quarter ended December 31, 2019 and $1.8 million for the quarter ended September 30, 2019.</w:t>
      </w:r>
    </w:p>
    <w:p>
      <w:pPr>
        <w:spacing w:after="0" w:line="186" w:lineRule="exact"/>
        <w:rPr>
          <w:sz w:val="20"/>
          <w:szCs w:val="20"/>
          <w:color w:val="auto"/>
        </w:rPr>
      </w:pPr>
    </w:p>
    <w:p>
      <w:pPr>
        <w:ind w:left="60" w:right="79"/>
        <w:spacing w:after="0" w:line="291" w:lineRule="auto"/>
        <w:rPr>
          <w:sz w:val="20"/>
          <w:szCs w:val="20"/>
          <w:color w:val="auto"/>
        </w:rPr>
      </w:pPr>
      <w:r>
        <w:rPr>
          <w:rFonts w:ascii="Arial" w:cs="Arial" w:eastAsia="Arial" w:hAnsi="Arial"/>
          <w:sz w:val="17"/>
          <w:szCs w:val="17"/>
          <w:color w:val="auto"/>
        </w:rPr>
        <w:t>During the third quarter of 2020, the Company recorded provision for credit losses of $5.5 million and provision for unfunded commitments of $0.3 million primarily as a result of economic factors and uncertainty due to COVID-19.</w:t>
      </w:r>
    </w:p>
    <w:p>
      <w:pPr>
        <w:spacing w:after="0" w:line="16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With the adoption of CECL, the allowance as a percentage of portfolio loans was 1.39% at September 30, 2020, as compared to 1.33% at June 30, 2020, 1.25% at March 31, 2020, 0.80% at December 31, 2019 and 0.79% at September 30, 2019. The allowance as a percentage of portfolio loans, excluding the amortized cost of PPP loans, was 1.55% at September 30, 2020. The allowance as a percentage of non-performing loans increased to 408.82% at September 30, 2020, as compared to 378.43% at June 30, 2020, 310.10% at March 31, 2020, 182.15% at December 31, 2019 and 160.00% at September 30, 2019.</w:t>
      </w:r>
    </w:p>
    <w:p>
      <w:pPr>
        <w:spacing w:after="0" w:line="203"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The ongoing impacts of the CECL methodology will be dependent upon changes in economic conditions and forecasts, originated and acquired loan portfolio composition, credit performance trends, portfolio duration, and other factors. If economic conditions deteriorate further than current forecast factors as a result of COVID-19, the Company would expect the provision for credit losses to increase in future periods.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Non-performing Loans and Non-performing Assets</w:t>
      </w:r>
    </w:p>
    <w:p>
      <w:pPr>
        <w:spacing w:after="0" w:line="22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639"/>
        <w:spacing w:after="0" w:line="294" w:lineRule="auto"/>
        <w:rPr>
          <w:sz w:val="20"/>
          <w:szCs w:val="20"/>
          <w:color w:val="auto"/>
        </w:rPr>
      </w:pPr>
      <w:r>
        <w:rPr>
          <w:rFonts w:ascii="Arial" w:cs="Arial" w:eastAsia="Arial" w:hAnsi="Arial"/>
          <w:sz w:val="16"/>
          <w:szCs w:val="16"/>
          <w:color w:val="auto"/>
        </w:rPr>
        <w:t>Typically, loans are secured by collateral. When a loan is classified as non-accrual and determined to be collateral dependent, it is appropriately reserved or charged down through the allowance to the fair value of our interest in the underlying collateral less estimated costs to sell. Our loan portfolio is collateralized primarily by real estate.</w:t>
      </w:r>
    </w:p>
    <w:p>
      <w:pPr>
        <w:spacing w:after="0" w:line="161"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 xml:space="preserve">The following table sets forth information concerning key asset quality metrics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8"/>
              </w:rPr>
              <w:t>10,150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14,271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12,434</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23,898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25,095</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8"/>
              </w:rPr>
              <w:t>25,672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27,896</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31,827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Loans 90+ days past due and still accruing</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285</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1,540</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1,611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24,177</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25,380</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8"/>
              </w:rPr>
              <w:t>27,212</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29,507</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33,103</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OREO</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3,755</w:t>
            </w:r>
          </w:p>
        </w:tc>
        <w:tc>
          <w:tcPr>
            <w:tcW w:w="1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3,057</w:t>
            </w:r>
          </w:p>
        </w:tc>
        <w:tc>
          <w:tcPr>
            <w:tcW w:w="20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29,155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29,135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8"/>
              </w:rPr>
              <w:t>30,765</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32,564</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34,029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4,949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Allowance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98,841</w:t>
            </w:r>
          </w:p>
        </w:tc>
        <w:tc>
          <w:tcPr>
            <w:tcW w:w="10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96,046</w:t>
            </w:r>
          </w:p>
        </w:tc>
        <w:tc>
          <w:tcPr>
            <w:tcW w:w="1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w w:val="98"/>
              </w:rPr>
              <w:t>84,384</w:t>
            </w:r>
          </w:p>
        </w:tc>
        <w:tc>
          <w:tcPr>
            <w:tcW w:w="20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53,748</w:t>
            </w:r>
          </w:p>
        </w:tc>
        <w:tc>
          <w:tcPr>
            <w:tcW w:w="20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52,965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Allowance to portfolio loans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1.33 %</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0.80 %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3"/>
              </w:rPr>
              <w:t>Allowance to portfolio loans, excluding PPP loans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0.80 %</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Allowance to non-performing loans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408.82 %</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378.43 %</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310.10 %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182.15 %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0.32 %</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Non-performing loans to portfolio loans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0.34 %</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0.35 %</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0.40 %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0.44 %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to portfolio loans,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0.38 %</w:t>
            </w:r>
          </w:p>
        </w:tc>
        <w:tc>
          <w:tcPr>
            <w:tcW w:w="10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0.39 %</w:t>
            </w:r>
          </w:p>
        </w:tc>
        <w:tc>
          <w:tcPr>
            <w:tcW w:w="16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2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0.44 %</w:t>
            </w:r>
          </w:p>
        </w:tc>
        <w:tc>
          <w:tcPr>
            <w:tcW w:w="2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excluding PPP loans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Non-performing assets to portfolio loans and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0.41 %</w:t>
            </w:r>
          </w:p>
        </w:tc>
        <w:tc>
          <w:tcPr>
            <w:tcW w:w="10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0.40 %</w:t>
            </w:r>
          </w:p>
        </w:tc>
        <w:tc>
          <w:tcPr>
            <w:tcW w:w="16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0.46 %</w:t>
            </w:r>
          </w:p>
        </w:tc>
        <w:tc>
          <w:tcPr>
            <w:tcW w:w="2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0.49 %</w:t>
            </w:r>
          </w:p>
        </w:tc>
        <w:tc>
          <w:tcPr>
            <w:tcW w:w="20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0.51 %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OREO</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Total non-performing loans totaled $24.2 million at September 30, 2020, a decrease from $25.4 million as of June 30, 2020, $27.2 million as of March 31, 2020, $29.5 million as of December 31, 2019 and $33.1 million as of September 30, 2019. Continued disciplined credit management resulted in non-performing loans as a percentage of total loans of 0.34% at September 30, 2020, as compared to 0.35% at June 30, 2020, 0.40% at March 31, 2020, 0.44% at December 31, 2019 and 0.50% at September 30, 2019. Non-performing loans as a percentage of total loans, excluding the amortized cost of PPP loans, was 0.38% at September 30, 2020.</w:t>
      </w:r>
    </w:p>
    <w:p>
      <w:pPr>
        <w:spacing w:after="0" w:line="203" w:lineRule="exact"/>
        <w:rPr>
          <w:sz w:val="20"/>
          <w:szCs w:val="20"/>
          <w:color w:val="auto"/>
        </w:rPr>
      </w:pPr>
    </w:p>
    <w:p>
      <w:pPr>
        <w:ind w:left="60" w:right="339"/>
        <w:spacing w:after="0" w:line="261" w:lineRule="auto"/>
        <w:rPr>
          <w:sz w:val="20"/>
          <w:szCs w:val="20"/>
          <w:color w:val="auto"/>
        </w:rPr>
      </w:pPr>
      <w:r>
        <w:rPr>
          <w:rFonts w:ascii="Arial" w:cs="Arial" w:eastAsia="Arial" w:hAnsi="Arial"/>
          <w:sz w:val="18"/>
          <w:szCs w:val="18"/>
          <w:color w:val="auto"/>
        </w:rPr>
        <w:t>If economic conditions deteriorate further as a result of COVID-19, the Company would expect the credit quality of our loan portfolio to decline and loan defaults to increase.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left="60" w:right="319"/>
        <w:spacing w:after="0" w:line="255" w:lineRule="auto"/>
        <w:rPr>
          <w:sz w:val="20"/>
          <w:szCs w:val="20"/>
          <w:color w:val="auto"/>
        </w:rPr>
      </w:pPr>
      <w:r>
        <w:rPr>
          <w:rFonts w:ascii="Arial" w:cs="Arial" w:eastAsia="Arial" w:hAnsi="Arial"/>
          <w:sz w:val="17"/>
          <w:szCs w:val="17"/>
          <w:color w:val="auto"/>
        </w:rPr>
        <w:t>Potential problem loans are those loans which are not categorized as individually evaluated, restructured, non-accrual or 90+ days past due, but where current information indicates that the borrower may not be able to comply with loan repayment terms. Potential problem loans totaled $77.7 million at September 30, 2020, compared to $74.6 million at December 31, 2019. Management continues to monitor these credits and anticipates that restructurings, guarantees, additional collateral or other planned actions will result in full repayment of the debts. As of September 30, 2020, management identified no other loans that represent or result from trends or uncertainties which would be expected to materially impact future operating results, liquidity or capital resources.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To alleviate some of the financial hardships qualifying customers faced as a result of COVID-19, the Company offered an internal Financial Relief Program. The program included options for short-term loan payment deferrals and certain fee waivers. As of September 30, 2020, the Company had commercial loans on payment deferrals representing $426.4 million in loans, mortgage/personal loans on payment deferrals representing $82.4 million in loans and additional deferrals of $63.7 million for mortgage loans in the serviced portfolio. As these deferrals expire, the Company will continue to monitor credits for potential problem loans.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Total deposits were $8.6 billion at September 30, 2020, as compared to $7.9 billion at December 31, 2019. The increase in deposits at September 30, 2020 is attributable to retention of PPP loan funding in customer deposit accounts, other core deposit growth and the seasonality of public funds. The Company remains funded primarily through core deposits with significant market share in its primary markets.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9"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of September 30, 2020, the Company had additional capacity to borrow from the FHLB and Federal Reserve of $1.5 billion and $477.5 million, respectively.</w:t>
      </w:r>
    </w:p>
    <w:p>
      <w:pPr>
        <w:spacing w:after="0" w:line="186" w:lineRule="exact"/>
        <w:rPr>
          <w:sz w:val="20"/>
          <w:szCs w:val="20"/>
          <w:color w:val="auto"/>
        </w:rPr>
      </w:pPr>
    </w:p>
    <w:p>
      <w:pPr>
        <w:ind w:left="60" w:right="159"/>
        <w:spacing w:after="0" w:line="261" w:lineRule="auto"/>
        <w:rPr>
          <w:sz w:val="20"/>
          <w:szCs w:val="20"/>
          <w:color w:val="auto"/>
        </w:rPr>
      </w:pPr>
      <w:r>
        <w:rPr>
          <w:rFonts w:ascii="Arial" w:cs="Arial" w:eastAsia="Arial" w:hAnsi="Arial"/>
          <w:sz w:val="18"/>
          <w:szCs w:val="18"/>
          <w:color w:val="auto"/>
        </w:rPr>
        <w:t>The Company has the ability to pledge PPP loans as collateral to either the FHLB or Federal Reserve Discount Window to increase the availability to borrow against any potential short-term funding needs.</w:t>
      </w:r>
    </w:p>
    <w:p>
      <w:pPr>
        <w:spacing w:after="0" w:line="184"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As of September 30, 2020,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Bank routinely enters into commitments to extend credit and standby letters of credit in the normal course of business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meet the financing needs of its customers. As of September 30, 2020 and December 31, 2019, we had outstanding loan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commitments and standby letters of credit of $1.8 billion and $1.7 billion, respectively. The balance of commitments to</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extend credit represents future cash requirements and some of these commitments may expire without being drawn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upon. We anticipate we will have sufficient funds available to meet current loan commitments, including loan applications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received and in process prior to the issuance of firm commitments.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left="60" w:right="119"/>
        <w:spacing w:after="0" w:line="274"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 holding companies and their subsidiary banks are required to maintain, including the capital conservation buffer, a total capital to total risk-weighted asset ratio of not less than 10.50%, Tier 1 capital to total</w:t>
      </w:r>
    </w:p>
    <w:p>
      <w:pPr>
        <w:sectPr>
          <w:pgSz w:w="11900" w:h="16838" w:orient="portrait"/>
          <w:cols w:equalWidth="0" w:num="1">
            <w:col w:w="9019"/>
          </w:cols>
          <w:pgMar w:left="1440" w:top="530"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risk-weighted asset ratio of not less than 8.50%, Common Equity Tier 1 capital to total risk-weighted asset ratio of not less than 7.00% and a Tier 1 leverage ratio of not less than 4.00%. See “Note 11: Regulatory Capital” for ratios and further discussion.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left="60" w:right="119"/>
        <w:spacing w:after="0" w:line="276" w:lineRule="auto"/>
        <w:rPr>
          <w:sz w:val="20"/>
          <w:szCs w:val="20"/>
          <w:color w:val="auto"/>
        </w:rPr>
      </w:pPr>
      <w:r>
        <w:rPr>
          <w:rFonts w:ascii="Arial" w:cs="Arial" w:eastAsia="Arial" w:hAnsi="Arial"/>
          <w:sz w:val="16"/>
          <w:szCs w:val="16"/>
          <w:color w:val="auto"/>
        </w:rPr>
        <w:t>This Quarterly Report on Form 10-Q contains certain financial information determined by methods other than in accordance with GAAP. These measures include adjusted pre-provision net revenue, adjusted net income, adjusted diluted earnings per share, adjusted return on average assets, adjusted net interest margin, adjusted efficiency ratio, tangible common equity, tangible common equity to tangible assets, tangible book value per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75" w:lineRule="exact"/>
        <w:rPr>
          <w:sz w:val="20"/>
          <w:szCs w:val="20"/>
          <w:color w:val="auto"/>
        </w:rPr>
      </w:pPr>
    </w:p>
    <w:p>
      <w:pPr>
        <w:ind w:left="60" w:right="79"/>
        <w:spacing w:after="0" w:line="271" w:lineRule="auto"/>
        <w:rPr>
          <w:sz w:val="20"/>
          <w:szCs w:val="20"/>
          <w:color w:val="auto"/>
        </w:rPr>
      </w:pPr>
      <w:r>
        <w:rPr>
          <w:rFonts w:ascii="Arial" w:cs="Arial" w:eastAsia="Arial" w:hAnsi="Arial"/>
          <w:sz w:val="16"/>
          <w:szCs w:val="16"/>
          <w:color w:val="auto"/>
        </w:rPr>
        <w:t>A reconciliation to what management believes to be the most directly comparable GAAP financial measures, specifically total net interest income in the case of adjusted pre-provision net revenue, net income in the case of adjusted net income, adjusted diluted earnings per share and adjusted return on average assets, total net interest income in the case of adjusted net interest margin, total non-interest income and total non-interest expense in the case of adjusted efficiency ratio and total stockholders’ equity in the case of tangible common equity, tangible common equity to tangible assets, tangible book value per share and return on average tangible common equity appears below (dollars in thousands, except per share data). The Company believes the adjusted measures are useful for investors and management to understand the effects of certain non-recurring non-interest items and provides additional perspective on the Company’s performance over time as well as comparison to the Company’s peers.</w:t>
      </w:r>
    </w:p>
    <w:p>
      <w:pPr>
        <w:spacing w:after="0" w:line="182"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Pre-Provision Net Revenue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ind w:left="920"/>
              <w:spacing w:after="0"/>
              <w:rPr>
                <w:sz w:val="20"/>
                <w:szCs w:val="20"/>
                <w:color w:val="auto"/>
              </w:rPr>
            </w:pPr>
            <w:r>
              <w:rPr>
                <w:rFonts w:ascii="Arial" w:cs="Arial" w:eastAsia="Arial" w:hAnsi="Arial"/>
                <w:sz w:val="16"/>
                <w:szCs w:val="16"/>
                <w:b w:val="1"/>
                <w:bCs w:val="1"/>
                <w:color w:val="auto"/>
                <w:w w:val="97"/>
              </w:rPr>
              <w:t>Three Months Ended</w:t>
            </w: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w w:val="96"/>
              </w:rPr>
              <w:t>June 30,</w:t>
            </w: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69,753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70,813</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73,476</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209,999</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215,287</w:t>
            </w:r>
          </w:p>
        </w:tc>
        <w:tc>
          <w:tcPr>
            <w:tcW w:w="0" w:type="dxa"/>
            <w:vAlign w:val="bottom"/>
          </w:tcPr>
          <w:p>
            <w:pPr>
              <w:spacing w:after="0"/>
              <w:rPr>
                <w:sz w:val="1"/>
                <w:szCs w:val="1"/>
                <w:color w:val="auto"/>
              </w:rPr>
            </w:pP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16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32,285</w:t>
            </w:r>
          </w:p>
        </w:tc>
        <w:tc>
          <w:tcPr>
            <w:tcW w:w="16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27,964</w:t>
            </w:r>
          </w:p>
        </w:tc>
        <w:tc>
          <w:tcPr>
            <w:tcW w:w="2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30,936</w:t>
            </w:r>
          </w:p>
        </w:tc>
        <w:tc>
          <w:tcPr>
            <w:tcW w:w="2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87,766</w:t>
            </w:r>
          </w:p>
        </w:tc>
        <w:tc>
          <w:tcPr>
            <w:tcW w:w="260" w:type="dxa"/>
            <w:vAlign w:val="bottom"/>
          </w:tcPr>
          <w:p>
            <w:pPr>
              <w:spacing w:after="0"/>
              <w:rPr>
                <w:sz w:val="17"/>
                <w:szCs w:val="17"/>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84,777</w:t>
            </w:r>
          </w:p>
        </w:tc>
        <w:tc>
          <w:tcPr>
            <w:tcW w:w="0" w:type="dxa"/>
            <w:vAlign w:val="bottom"/>
          </w:tcPr>
          <w:p>
            <w:pPr>
              <w:spacing w:after="0"/>
              <w:rPr>
                <w:sz w:val="1"/>
                <w:szCs w:val="1"/>
                <w:color w:val="auto"/>
              </w:rPr>
            </w:pPr>
          </w:p>
        </w:tc>
      </w:tr>
      <w:tr>
        <w:trPr>
          <w:trHeight w:val="20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(gains) losses on sales of</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 and unrealized (gains)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recognized on equity</w:t>
            </w:r>
          </w:p>
        </w:tc>
        <w:tc>
          <w:tcPr>
            <w:tcW w:w="1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426</w:t>
            </w: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(315)</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(361)</w:t>
            </w:r>
          </w:p>
        </w:tc>
        <w:tc>
          <w:tcPr>
            <w:tcW w:w="2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(476)</w:t>
            </w:r>
          </w:p>
        </w:tc>
        <w:tc>
          <w:tcPr>
            <w:tcW w:w="2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199"/>
        </w:trPr>
        <w:tc>
          <w:tcPr>
            <w:tcW w:w="2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w:t>
            </w: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 expense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(56,542)</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(53,068)</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(68,121)</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(170,124)</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(193,304)</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Pre-provision net revenue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45,922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45,394</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35,930</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127,165</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107,383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and other restructuring</w:t>
            </w:r>
          </w:p>
        </w:tc>
        <w:tc>
          <w:tcPr>
            <w:tcW w:w="1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2,529</w:t>
            </w: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487</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7,670</w:t>
            </w:r>
          </w:p>
        </w:tc>
        <w:tc>
          <w:tcPr>
            <w:tcW w:w="2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3,161</w:t>
            </w:r>
          </w:p>
        </w:tc>
        <w:tc>
          <w:tcPr>
            <w:tcW w:w="2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16,442</w:t>
            </w:r>
          </w:p>
        </w:tc>
        <w:tc>
          <w:tcPr>
            <w:tcW w:w="0" w:type="dxa"/>
            <w:vAlign w:val="bottom"/>
          </w:tcPr>
          <w:p>
            <w:pPr>
              <w:spacing w:after="0"/>
              <w:rPr>
                <w:sz w:val="1"/>
                <w:szCs w:val="1"/>
                <w:color w:val="auto"/>
              </w:rPr>
            </w:pPr>
          </w:p>
        </w:tc>
      </w:tr>
      <w:tr>
        <w:trPr>
          <w:trHeight w:val="199"/>
        </w:trPr>
        <w:tc>
          <w:tcPr>
            <w:tcW w:w="2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expenses</w:t>
            </w: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Provision for unfunded commitments</w:t>
            </w:r>
          </w:p>
        </w:tc>
        <w:tc>
          <w:tcPr>
            <w:tcW w:w="16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250</w:t>
            </w:r>
          </w:p>
        </w:tc>
        <w:tc>
          <w:tcPr>
            <w:tcW w:w="16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567</w:t>
            </w:r>
          </w:p>
        </w:tc>
        <w:tc>
          <w:tcPr>
            <w:tcW w:w="2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1,834</w:t>
            </w:r>
          </w:p>
        </w:tc>
        <w:tc>
          <w:tcPr>
            <w:tcW w:w="260" w:type="dxa"/>
            <w:vAlign w:val="bottom"/>
          </w:tcPr>
          <w:p>
            <w:pPr>
              <w:spacing w:after="0"/>
              <w:rPr>
                <w:sz w:val="17"/>
                <w:szCs w:val="17"/>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Market Tax Credit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1,200</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36"/>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pre-provision net revenue</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48,701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46,448</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43,600</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133,360</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125,025</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total assets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9"/>
              </w:rPr>
              <w:t>10,680,995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2"/>
              </w:rPr>
              <w:t>10,374,820</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9,659,769</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9"/>
              </w:rPr>
              <w:t>10,249,578</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9,352,272</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Pre-provision net revenue</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color w:val="auto"/>
              </w:rPr>
              <w:t>to average assets</w:t>
            </w:r>
            <w:r>
              <w:rPr>
                <w:rFonts w:ascii="Arial" w:cs="Arial" w:eastAsia="Arial" w:hAnsi="Arial"/>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192"/>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Pre-provision net revenue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140"/>
              <w:spacing w:after="0" w:line="213" w:lineRule="exact"/>
              <w:rPr>
                <w:sz w:val="20"/>
                <w:szCs w:val="20"/>
                <w:color w:val="auto"/>
              </w:rPr>
            </w:pPr>
            <w:r>
              <w:rPr>
                <w:rFonts w:ascii="Arial" w:cs="Arial" w:eastAsia="Arial" w:hAnsi="Arial"/>
                <w:sz w:val="16"/>
                <w:szCs w:val="16"/>
                <w:color w:val="auto"/>
              </w:rPr>
              <w:t>to average assets</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1.74 %</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40" w:hanging="190"/>
        <w:spacing w:after="0" w:line="219" w:lineRule="auto"/>
        <w:tabs>
          <w:tab w:leader="none" w:pos="24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Annualized measure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Reconciliation of Non-GAAP Financial Measures — Adjusted Net Income, Adjusted Diluted Earnings Per Share 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Adjusted Return on Average Assets</w:t>
      </w:r>
    </w:p>
    <w:p>
      <w:pPr>
        <w:jc w:val="center"/>
        <w:spacing w:after="0"/>
        <w:rPr>
          <w:sz w:val="20"/>
          <w:szCs w:val="20"/>
          <w:color w:val="auto"/>
        </w:rPr>
      </w:pPr>
      <w:r>
        <w:rPr>
          <w:rFonts w:ascii="Arial" w:cs="Arial" w:eastAsia="Arial" w:hAnsi="Arial"/>
          <w:sz w:val="18"/>
          <w:szCs w:val="18"/>
          <w:i w:val="1"/>
          <w:iCs w:val="1"/>
          <w:color w:val="auto"/>
        </w:rPr>
        <w:t>(unaudited, dollars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center"/>
              <w:ind w:left="599"/>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w w:val="87"/>
              </w:rPr>
              <w:t>June 30,</w:t>
            </w: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30,829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25,806</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24,828</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71,999</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6"/>
                <w:szCs w:val="16"/>
                <w:color w:val="auto"/>
              </w:rPr>
              <w:t>Acquisition expenses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Salaries, wages, and employee benefits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3,673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ind w:left="80"/>
              <w:spacing w:after="0"/>
              <w:rPr>
                <w:sz w:val="20"/>
                <w:szCs w:val="20"/>
                <w:color w:val="auto"/>
              </w:rPr>
            </w:pPr>
            <w:r>
              <w:rPr>
                <w:rFonts w:ascii="Arial" w:cs="Arial" w:eastAsia="Arial" w:hAnsi="Arial"/>
                <w:sz w:val="16"/>
                <w:szCs w:val="16"/>
                <w:color w:val="auto"/>
              </w:rPr>
              <w:t>Data processing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172</w:t>
            </w:r>
          </w:p>
        </w:tc>
        <w:tc>
          <w:tcPr>
            <w:tcW w:w="1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Lease or fixed asset impairment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234</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ind w:left="80"/>
              <w:spacing w:after="0"/>
              <w:rPr>
                <w:sz w:val="20"/>
                <w:szCs w:val="20"/>
                <w:color w:val="auto"/>
              </w:rPr>
            </w:pPr>
            <w:r>
              <w:rPr>
                <w:rFonts w:ascii="Arial" w:cs="Arial" w:eastAsia="Arial" w:hAnsi="Arial"/>
                <w:sz w:val="16"/>
                <w:szCs w:val="16"/>
                <w:color w:val="auto"/>
              </w:rPr>
              <w:t>Other (includes professional and legal)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141</w:t>
            </w:r>
          </w:p>
        </w:tc>
        <w:tc>
          <w:tcPr>
            <w:tcW w:w="20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3,100</w:t>
            </w:r>
          </w:p>
        </w:tc>
        <w:tc>
          <w:tcPr>
            <w:tcW w:w="1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385</w:t>
            </w: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Other restructuring costs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ind w:left="80"/>
              <w:spacing w:after="0"/>
              <w:rPr>
                <w:sz w:val="20"/>
                <w:szCs w:val="20"/>
                <w:color w:val="auto"/>
              </w:rPr>
            </w:pPr>
            <w:r>
              <w:rPr>
                <w:rFonts w:ascii="Arial" w:cs="Arial" w:eastAsia="Arial" w:hAnsi="Arial"/>
                <w:sz w:val="16"/>
                <w:szCs w:val="16"/>
                <w:color w:val="auto"/>
                <w:w w:val="98"/>
              </w:rPr>
              <w:t>Salaries, wages, and employee benefits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346</w:t>
            </w:r>
          </w:p>
        </w:tc>
        <w:tc>
          <w:tcPr>
            <w:tcW w:w="20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182</w:t>
            </w:r>
          </w:p>
        </w:tc>
        <w:tc>
          <w:tcPr>
            <w:tcW w:w="1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2,357</w:t>
            </w: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Data processing</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ind w:left="80"/>
              <w:spacing w:after="0"/>
              <w:rPr>
                <w:sz w:val="20"/>
                <w:szCs w:val="20"/>
                <w:color w:val="auto"/>
              </w:rPr>
            </w:pPr>
            <w:r>
              <w:rPr>
                <w:rFonts w:ascii="Arial" w:cs="Arial" w:eastAsia="Arial" w:hAnsi="Arial"/>
                <w:sz w:val="16"/>
                <w:szCs w:val="16"/>
                <w:color w:val="auto"/>
              </w:rPr>
              <w:t>Other (includes professional and legal)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459</w:t>
            </w:r>
          </w:p>
        </w:tc>
        <w:tc>
          <w:tcPr>
            <w:tcW w:w="1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185</w:t>
            </w: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MSR valuation impairment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Related tax benefit</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(1,963)</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(687)</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net income</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32,803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26,191</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30,535</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74,473</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Dilutive average common shares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99"/>
              </w:rPr>
              <w:t>54,737,920</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54,705,273</w:t>
            </w: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94"/>
              </w:rPr>
              <w:t>55,646,104</w:t>
            </w: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99"/>
              </w:rPr>
              <w:t>54,796,354</w:t>
            </w:r>
          </w:p>
        </w:tc>
        <w:tc>
          <w:tcPr>
            <w:tcW w:w="1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99"/>
              </w:rPr>
              <w:t>55,057,518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Diluted earnings per share</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0.47</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0.45</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1.31</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Diluted earnings per share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0.48</w:t>
            </w:r>
          </w:p>
        </w:tc>
        <w:tc>
          <w:tcPr>
            <w:tcW w:w="20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0.55</w:t>
            </w:r>
          </w:p>
        </w:tc>
        <w:tc>
          <w:tcPr>
            <w:tcW w:w="1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1.36</w:t>
            </w: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6"/>
                <w:szCs w:val="16"/>
                <w:color w:val="auto"/>
              </w:rPr>
              <w:t>Average total assets</w:t>
            </w:r>
          </w:p>
        </w:tc>
        <w:tc>
          <w:tcPr>
            <w:tcW w:w="4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w w:val="99"/>
              </w:rPr>
              <w:t>10,680,995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w w:val="89"/>
              </w:rPr>
              <w:t>10,374,820</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9,659,769</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w w:val="99"/>
              </w:rPr>
              <w:t>10,249,578</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9,352,272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80" w:type="dxa"/>
            <w:vAlign w:val="bottom"/>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assets</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1.15 %</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1.00 %</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1.02 %</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0.94 %</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assets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0.97 %</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60" w:hanging="204"/>
        <w:spacing w:after="0"/>
        <w:tabs>
          <w:tab w:leader="none" w:pos="26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Annualized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-111760</wp:posOffset>
            </wp:positionV>
            <wp:extent cx="5648960" cy="111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896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w w:val="99"/>
              </w:rPr>
              <w:t>Three Months Ended</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87"/>
              </w:rPr>
              <w:t>September 30,</w:t>
            </w:r>
          </w:p>
        </w:tc>
        <w:tc>
          <w:tcPr>
            <w:tcW w:w="140" w:type="dxa"/>
            <w:vAlign w:val="bottom"/>
          </w:tcPr>
          <w:p>
            <w:pPr>
              <w:spacing w:after="0"/>
              <w:rPr>
                <w:sz w:val="16"/>
                <w:szCs w:val="16"/>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w w:val="87"/>
              </w:rPr>
              <w:t>June 30,</w:t>
            </w: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income</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5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69,753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70,813</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73,476</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209,999</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Tax-equivalent adjustment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638</w:t>
            </w:r>
          </w:p>
        </w:tc>
        <w:tc>
          <w:tcPr>
            <w:tcW w:w="14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717</w:t>
            </w:r>
          </w:p>
        </w:tc>
        <w:tc>
          <w:tcPr>
            <w:tcW w:w="28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778</w:t>
            </w:r>
          </w:p>
        </w:tc>
        <w:tc>
          <w:tcPr>
            <w:tcW w:w="26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2,085</w:t>
            </w:r>
          </w:p>
        </w:tc>
        <w:tc>
          <w:tcPr>
            <w:tcW w:w="26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Purchase accounting accretion related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(2,618)</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(2,477)</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(2,974)</w:t>
            </w:r>
          </w:p>
        </w:tc>
        <w:tc>
          <w:tcPr>
            <w:tcW w:w="2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(7,922)</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(9,439)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 business combinations</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income</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67,773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69,053</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71,280</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204,162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208,080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b w:val="1"/>
                <w:bCs w:val="1"/>
                <w:color w:val="auto"/>
              </w:rPr>
              <w:t>Average interest-earning assets</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9,805,948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w w:val="92"/>
              </w:rPr>
              <w:t>9,485,200</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8,781,590</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9,371,157</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8,514,580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margin</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2.86 %</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3.03 %</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3.02 %</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margin</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2.93 %</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3.22 %</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128905</wp:posOffset>
            </wp:positionV>
            <wp:extent cx="564896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134" w:lineRule="exact"/>
        <w:rPr>
          <w:sz w:val="20"/>
          <w:szCs w:val="20"/>
          <w:color w:val="auto"/>
        </w:rPr>
      </w:pPr>
    </w:p>
    <w:p>
      <w:pPr>
        <w:ind w:left="260" w:hanging="204"/>
        <w:spacing w:after="0"/>
        <w:tabs>
          <w:tab w:leader="none" w:pos="26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Annualized measure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6"/>
                <w:szCs w:val="16"/>
                <w:b w:val="1"/>
                <w:bCs w:val="1"/>
                <w:color w:val="auto"/>
                <w:w w:val="93"/>
              </w:rPr>
              <w:t>Three Months Ended</w:t>
            </w: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8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90"/>
              </w:rPr>
              <w:t>June 30,</w:t>
            </w: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2020</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income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69,753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70,813</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73,476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209,999</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215,287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Tax-equivalent adjustment</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717</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778</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2,085</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Tax-equivalent interest income</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70,391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98"/>
              </w:rPr>
              <w:t>71,530</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74,254</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212,084</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217,519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Non-interest income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32,285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27,964</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30,936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87,766</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84,777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Pr>
          <w:p>
            <w:pPr>
              <w:ind w:left="100"/>
              <w:spacing w:after="0"/>
              <w:rPr>
                <w:sz w:val="20"/>
                <w:szCs w:val="20"/>
                <w:color w:val="auto"/>
              </w:rPr>
            </w:pPr>
            <w:r>
              <w:rPr>
                <w:rFonts w:ascii="Arial" w:cs="Arial" w:eastAsia="Arial" w:hAnsi="Arial"/>
                <w:sz w:val="16"/>
                <w:szCs w:val="16"/>
                <w:color w:val="auto"/>
                <w:w w:val="96"/>
              </w:rPr>
              <w:t>Less net (gains) losses on sales of securities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20"/>
              <w:spacing w:after="0"/>
              <w:rPr>
                <w:sz w:val="20"/>
                <w:szCs w:val="20"/>
                <w:color w:val="auto"/>
              </w:rPr>
            </w:pPr>
            <w:r>
              <w:rPr>
                <w:rFonts w:ascii="Arial" w:cs="Arial" w:eastAsia="Arial" w:hAnsi="Arial"/>
                <w:sz w:val="16"/>
                <w:szCs w:val="16"/>
                <w:color w:val="auto"/>
                <w:w w:val="93"/>
              </w:rPr>
              <w:t>and unrealized (gains) losses recognized 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7"/>
                <w:szCs w:val="17"/>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color w:val="auto"/>
              </w:rPr>
              <w:t>(315)</w:t>
            </w:r>
          </w:p>
        </w:tc>
        <w:tc>
          <w:tcPr>
            <w:tcW w:w="320" w:type="dxa"/>
            <w:vAlign w:val="bottom"/>
          </w:tcPr>
          <w:p>
            <w:pPr>
              <w:spacing w:after="0"/>
              <w:rPr>
                <w:sz w:val="17"/>
                <w:szCs w:val="17"/>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(361)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(476)</w:t>
            </w:r>
          </w:p>
        </w:tc>
        <w:tc>
          <w:tcPr>
            <w:tcW w:w="220" w:type="dxa"/>
            <w:vAlign w:val="bottom"/>
          </w:tcPr>
          <w:p>
            <w:pPr>
              <w:spacing w:after="0"/>
              <w:rPr>
                <w:sz w:val="17"/>
                <w:szCs w:val="17"/>
                <w:color w:val="auto"/>
              </w:rPr>
            </w:pPr>
          </w:p>
        </w:tc>
        <w:tc>
          <w:tcPr>
            <w:tcW w:w="960" w:type="dxa"/>
            <w:vAlign w:val="bottom"/>
            <w:vMerge w:val="restart"/>
          </w:tcPr>
          <w:p>
            <w:pPr>
              <w:jc w:val="right"/>
              <w:ind w:right="99"/>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equity securities</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Non-interest income</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32,711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98"/>
              </w:rPr>
              <w:t>27,649</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30,575</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87,290</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85,400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Non-interest expense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56,542</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53,068</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68,121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170,124</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193,304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(2,493)</w:t>
            </w:r>
          </w:p>
        </w:tc>
        <w:tc>
          <w:tcPr>
            <w:tcW w:w="1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(2,519)</w:t>
            </w:r>
          </w:p>
        </w:tc>
        <w:tc>
          <w:tcPr>
            <w:tcW w:w="32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(2,360)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(7,569)</w:t>
            </w: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Non-operating adjustments: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auto"/>
              </w:rPr>
              <w:t>Salaries, wages, and employee benefits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32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(3,855)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(2,357)</w:t>
            </w: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Data processing</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(3,559)</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(804)</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Non-interest expense</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51,520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98"/>
              </w:rPr>
              <w:t>50,062</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58,091</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159,394</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169,996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Efficiency ratio</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52.42 %</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50.97 %</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62.73 %</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54.30 </w:t>
            </w: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61.55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Efficiency ratio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49.97 %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50.48 %</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55.42 %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xml:space="preserve">53.24 </w:t>
            </w: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xml:space="preserve">56.12 </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500" w:right="180"/>
        <w:spacing w:after="0" w:line="248" w:lineRule="auto"/>
        <w:rPr>
          <w:sz w:val="20"/>
          <w:szCs w:val="20"/>
          <w:color w:val="auto"/>
        </w:rPr>
      </w:pPr>
      <w:r>
        <w:rPr>
          <w:rFonts w:ascii="Arial" w:cs="Arial" w:eastAsia="Arial" w:hAnsi="Arial"/>
          <w:sz w:val="18"/>
          <w:szCs w:val="18"/>
          <w:u w:val="single" w:color="auto"/>
          <w:color w:val="auto"/>
        </w:rPr>
        <w:t xml:space="preserve">Reconciliation of Non-GAAP Financial Measures — Tangible Common Equity, Tangible Common Equity to Tangible Assets, Tangible Book Value per Share, and Return on Average Tangible Common Equity </w:t>
      </w:r>
      <w:r>
        <w:rPr>
          <w:rFonts w:ascii="Arial" w:cs="Arial" w:eastAsia="Arial" w:hAnsi="Arial"/>
          <w:sz w:val="18"/>
          <w:szCs w:val="18"/>
          <w:i w:val="1"/>
          <w:iCs w:val="1"/>
          <w:color w:val="auto"/>
        </w:rPr>
        <w:t>(unaudited, dollars in thousands)</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5"/>
          </w:tcPr>
          <w:p>
            <w:pPr>
              <w:jc w:val="center"/>
              <w:ind w:right="239"/>
              <w:spacing w:after="0"/>
              <w:rPr>
                <w:sz w:val="20"/>
                <w:szCs w:val="20"/>
                <w:color w:val="auto"/>
              </w:rPr>
            </w:pPr>
            <w:r>
              <w:rPr>
                <w:rFonts w:ascii="Arial" w:cs="Arial" w:eastAsia="Arial" w:hAnsi="Arial"/>
                <w:sz w:val="16"/>
                <w:szCs w:val="16"/>
                <w:b w:val="1"/>
                <w:bCs w:val="1"/>
                <w:color w:val="auto"/>
                <w:w w:val="92"/>
              </w:rPr>
              <w:t>As of and for the 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w w:val="87"/>
              </w:rPr>
              <w:t>September 30,</w:t>
            </w:r>
          </w:p>
        </w:tc>
        <w:tc>
          <w:tcPr>
            <w:tcW w:w="240" w:type="dxa"/>
            <w:vAlign w:val="bottom"/>
          </w:tcPr>
          <w:p>
            <w:pPr>
              <w:spacing w:after="0"/>
              <w:rPr>
                <w:sz w:val="16"/>
                <w:szCs w:val="16"/>
                <w:color w:val="auto"/>
              </w:rPr>
            </w:pPr>
          </w:p>
        </w:tc>
        <w:tc>
          <w:tcPr>
            <w:tcW w:w="1200" w:type="dxa"/>
            <w:vAlign w:val="bottom"/>
          </w:tcPr>
          <w:p>
            <w:pPr>
              <w:jc w:val="center"/>
              <w:ind w:right="299"/>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6"/>
                <w:szCs w:val="16"/>
                <w:color w:val="auto"/>
              </w:rPr>
            </w:pPr>
          </w:p>
        </w:tc>
        <w:tc>
          <w:tcPr>
            <w:tcW w:w="13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10,539,628</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10,835,965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9,753,760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(365,960)</w:t>
            </w:r>
          </w:p>
        </w:tc>
        <w:tc>
          <w:tcPr>
            <w:tcW w:w="24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(368,053)</w:t>
            </w:r>
          </w:p>
        </w:tc>
        <w:tc>
          <w:tcPr>
            <w:tcW w:w="120" w:type="dxa"/>
            <w:vAlign w:val="bottom"/>
          </w:tcPr>
          <w:p>
            <w:pPr>
              <w:spacing w:after="0"/>
              <w:rPr>
                <w:sz w:val="17"/>
                <w:szCs w:val="17"/>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(381,323)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Tax effect of other intangible assets, net</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15,239</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15,825</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16,415</w:t>
            </w:r>
          </w:p>
        </w:tc>
        <w:tc>
          <w:tcPr>
            <w:tcW w:w="0" w:type="dxa"/>
            <w:vAlign w:val="bottom"/>
          </w:tcPr>
          <w:p>
            <w:pPr>
              <w:spacing w:after="0"/>
              <w:rPr>
                <w:sz w:val="1"/>
                <w:szCs w:val="1"/>
                <w:color w:val="auto"/>
              </w:rPr>
            </w:pPr>
          </w:p>
        </w:tc>
      </w:tr>
      <w:tr>
        <w:trPr>
          <w:trHeight w:val="236"/>
        </w:trPr>
        <w:tc>
          <w:tcPr>
            <w:tcW w:w="4200" w:type="dxa"/>
            <w:vAlign w:val="bottom"/>
            <w:gridSpan w:val="2"/>
          </w:tcPr>
          <w:p>
            <w:pPr>
              <w:spacing w:after="0"/>
              <w:rPr>
                <w:sz w:val="20"/>
                <w:szCs w:val="20"/>
                <w:color w:val="auto"/>
              </w:rPr>
            </w:pPr>
            <w:r>
              <w:rPr>
                <w:rFonts w:ascii="Arial" w:cs="Arial" w:eastAsia="Arial" w:hAnsi="Arial"/>
                <w:sz w:val="16"/>
                <w:szCs w:val="16"/>
                <w:color w:val="auto"/>
              </w:rPr>
              <w:t>Tangible assets</w:t>
            </w:r>
          </w:p>
        </w:tc>
        <w:tc>
          <w:tcPr>
            <w:tcW w:w="4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10,188,907</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10,483,737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9,388,852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1,255,705</w:t>
            </w:r>
          </w:p>
        </w:tc>
        <w:tc>
          <w:tcPr>
            <w:tcW w:w="24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1,236,084</w:t>
            </w:r>
          </w:p>
        </w:tc>
        <w:tc>
          <w:tcPr>
            <w:tcW w:w="120" w:type="dxa"/>
            <w:vAlign w:val="bottom"/>
          </w:tcPr>
          <w:p>
            <w:pPr>
              <w:spacing w:after="0"/>
              <w:rPr>
                <w:sz w:val="17"/>
                <w:szCs w:val="17"/>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1,215,981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(365,960)</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(368,053)</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(381,323)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 effect of other intangible assets, net</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15,239</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15,825</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16,415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Tangible common equity</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904,984</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883,856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851,073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Ending number of common shares outstanding</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54,522,231</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54,516,000</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55,197,277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Tangible common equity to tangible assets</w:t>
            </w:r>
            <w:r>
              <w:rPr>
                <w:rFonts w:ascii="Arial" w:cs="Arial" w:eastAsia="Arial" w:hAnsi="Arial"/>
                <w:sz w:val="23"/>
                <w:szCs w:val="23"/>
                <w:b w:val="1"/>
                <w:bCs w:val="1"/>
                <w:color w:val="auto"/>
                <w:vertAlign w:val="superscript"/>
              </w:rPr>
              <w:t>(1)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8.88 %</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8.43 %</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b w:val="1"/>
                <w:bCs w:val="1"/>
                <w:color w:val="auto"/>
              </w:rPr>
              <w:t>Tangible book value per share</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16.32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15.92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15.12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Average stockholders’ common equity</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1,248,448</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1,233,270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1,212,833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Average goodwill and other intangible assets, net</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(367,490)</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(369,699)</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(377,601)</w:t>
            </w:r>
          </w:p>
        </w:tc>
        <w:tc>
          <w:tcPr>
            <w:tcW w:w="0" w:type="dxa"/>
            <w:vAlign w:val="bottom"/>
          </w:tcPr>
          <w:p>
            <w:pPr>
              <w:spacing w:after="0"/>
              <w:rPr>
                <w:sz w:val="1"/>
                <w:szCs w:val="1"/>
                <w:color w:val="auto"/>
              </w:rPr>
            </w:pPr>
          </w:p>
        </w:tc>
      </w:tr>
      <w:tr>
        <w:trPr>
          <w:trHeight w:val="236"/>
        </w:trPr>
        <w:tc>
          <w:tcPr>
            <w:tcW w:w="4200" w:type="dxa"/>
            <w:vAlign w:val="bottom"/>
            <w:gridSpan w:val="2"/>
          </w:tcPr>
          <w:p>
            <w:pPr>
              <w:spacing w:after="0"/>
              <w:rPr>
                <w:sz w:val="20"/>
                <w:szCs w:val="20"/>
                <w:color w:val="auto"/>
              </w:rPr>
            </w:pPr>
            <w:r>
              <w:rPr>
                <w:rFonts w:ascii="Arial" w:cs="Arial" w:eastAsia="Arial" w:hAnsi="Arial"/>
                <w:sz w:val="16"/>
                <w:szCs w:val="16"/>
                <w:color w:val="auto"/>
              </w:rPr>
              <w:t>Average tangible stockholders’ common equity</w:t>
            </w:r>
          </w:p>
        </w:tc>
        <w:tc>
          <w:tcPr>
            <w:tcW w:w="4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880,958</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863,571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835,232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r>
              <w:rPr>
                <w:rFonts w:ascii="Arial" w:cs="Arial" w:eastAsia="Arial" w:hAnsi="Arial"/>
                <w:sz w:val="23"/>
                <w:szCs w:val="23"/>
                <w:color w:val="auto"/>
                <w:vertAlign w:val="superscript"/>
              </w:rPr>
              <w:t>(2)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13.92 %</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12.02 %</w:t>
            </w:r>
          </w:p>
        </w:tc>
        <w:tc>
          <w:tcPr>
            <w:tcW w:w="1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11.79 %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w w:val="98"/>
              </w:rPr>
              <w:t>Adjusted</w:t>
            </w:r>
            <w:r>
              <w:rPr>
                <w:rFonts w:ascii="Arial" w:cs="Arial" w:eastAsia="Arial" w:hAnsi="Arial"/>
                <w:sz w:val="16"/>
                <w:szCs w:val="16"/>
                <w:color w:val="auto"/>
                <w:w w:val="98"/>
              </w:rPr>
              <w:t>: Return on average tangible common equity</w:t>
            </w:r>
            <w:r>
              <w:rPr>
                <w:rFonts w:ascii="Arial" w:cs="Arial" w:eastAsia="Arial" w:hAnsi="Arial"/>
                <w:sz w:val="23"/>
                <w:szCs w:val="23"/>
                <w:color w:val="auto"/>
                <w:w w:val="98"/>
                <w:vertAlign w:val="superscript"/>
              </w:rPr>
              <w:t>(2)(3)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14.81 %</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12.20 %</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14.50 %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Tax-effected measure, 28% estimated deferred tax rate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Annualized measure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23"/>
                <w:szCs w:val="23"/>
                <w:color w:val="auto"/>
                <w:vertAlign w:val="superscript"/>
              </w:rPr>
              <w:t>(3)</w:t>
            </w:r>
            <w:r>
              <w:rPr>
                <w:rFonts w:ascii="Arial" w:cs="Arial" w:eastAsia="Arial" w:hAnsi="Arial"/>
                <w:sz w:val="16"/>
                <w:szCs w:val="16"/>
                <w:color w:val="auto"/>
              </w:rPr>
              <w:t xml:space="preserve"> Calculated using adjusted net income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185"/>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6"/>
                <w:szCs w:val="16"/>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5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19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stockholders’ common equity</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1,233,348</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1,173,213</w:t>
            </w:r>
          </w:p>
        </w:tc>
      </w:tr>
      <w:tr>
        <w:trPr>
          <w:trHeight w:val="20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Average goodwill and other intangible assets, net</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(369,801)</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(369,104)</w:t>
            </w:r>
          </w:p>
        </w:tc>
      </w:tr>
      <w:tr>
        <w:trPr>
          <w:trHeight w:val="19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tangible stockholders’ common equity</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863,547</w:t>
            </w:r>
          </w:p>
        </w:tc>
        <w:tc>
          <w:tcPr>
            <w:tcW w:w="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804,109</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ectPr>
          <w:pgSz w:w="11900" w:h="16838" w:orient="portrait"/>
          <w:cols w:equalWidth="0" w:num="1">
            <w:col w:w="9019"/>
          </w:cols>
          <w:pgMar w:left="1440" w:top="530" w:right="1440" w:bottom="1440" w:gutter="0" w:footer="0" w:header="0"/>
        </w:sectPr>
      </w:pPr>
    </w:p>
    <w:p>
      <w:pPr>
        <w:ind w:left="60"/>
        <w:spacing w:after="0"/>
        <w:rPr>
          <w:sz w:val="20"/>
          <w:szCs w:val="20"/>
          <w:color w:val="auto"/>
        </w:rPr>
      </w:pPr>
      <w:r>
        <w:rPr>
          <w:rFonts w:ascii="Arial" w:cs="Arial" w:eastAsia="Arial" w:hAnsi="Arial"/>
          <w:sz w:val="15"/>
          <w:szCs w:val="15"/>
          <w:b w:val="1"/>
          <w:bCs w:val="1"/>
          <w:color w:val="auto"/>
        </w:rPr>
        <w:t>Reported</w:t>
      </w:r>
      <w:r>
        <w:rPr>
          <w:rFonts w:ascii="Arial" w:cs="Arial" w:eastAsia="Arial" w:hAnsi="Arial"/>
          <w:sz w:val="15"/>
          <w:szCs w:val="15"/>
          <w:color w:val="auto"/>
        </w:rPr>
        <w:t>: Return on average tangible common equity</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564896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Return on average tangible common equity</w:t>
      </w:r>
      <w:r>
        <w:rPr>
          <w:rFonts w:ascii="Arial" w:cs="Arial" w:eastAsia="Arial" w:hAnsi="Arial"/>
          <w:sz w:val="21"/>
          <w:szCs w:val="2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-26670</wp:posOffset>
            </wp:positionV>
            <wp:extent cx="564896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71" w:lineRule="exact"/>
        <w:rPr>
          <w:sz w:val="20"/>
          <w:szCs w:val="20"/>
          <w:color w:val="auto"/>
        </w:rPr>
      </w:pPr>
    </w:p>
    <w:p>
      <w:pPr>
        <w:ind w:left="240" w:hanging="190"/>
        <w:spacing w:after="0"/>
        <w:tabs>
          <w:tab w:leader="none" w:pos="24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Annualized measure</w:t>
      </w:r>
    </w:p>
    <w:p>
      <w:pPr>
        <w:spacing w:after="0" w:line="10" w:lineRule="exact"/>
        <w:rPr>
          <w:rFonts w:ascii="Arial" w:cs="Arial" w:eastAsia="Arial" w:hAnsi="Arial"/>
          <w:sz w:val="23"/>
          <w:szCs w:val="23"/>
          <w:color w:val="auto"/>
          <w:vertAlign w:val="superscript"/>
        </w:rPr>
      </w:pPr>
    </w:p>
    <w:p>
      <w:pPr>
        <w:ind w:left="240" w:hanging="190"/>
        <w:spacing w:after="0" w:line="182" w:lineRule="auto"/>
        <w:tabs>
          <w:tab w:leader="none" w:pos="240" w:val="left"/>
        </w:tabs>
        <w:numPr>
          <w:ilvl w:val="0"/>
          <w:numId w:val="20"/>
        </w:numPr>
        <w:rPr>
          <w:rFonts w:ascii="Arial" w:cs="Arial" w:eastAsia="Arial" w:hAnsi="Arial"/>
          <w:sz w:val="22"/>
          <w:szCs w:val="22"/>
          <w:color w:val="auto"/>
          <w:vertAlign w:val="superscript"/>
        </w:rPr>
      </w:pPr>
      <w:r>
        <w:rPr>
          <w:rFonts w:ascii="Arial" w:cs="Arial" w:eastAsia="Arial" w:hAnsi="Arial"/>
          <w:sz w:val="15"/>
          <w:szCs w:val="15"/>
          <w:color w:val="auto"/>
        </w:rPr>
        <w:t>Calculated using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-123825</wp:posOffset>
            </wp:positionV>
            <wp:extent cx="564896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jc w:val="right"/>
              <w:ind w:right="499"/>
              <w:spacing w:after="0"/>
              <w:rPr>
                <w:sz w:val="20"/>
                <w:szCs w:val="20"/>
                <w:color w:val="auto"/>
              </w:rPr>
            </w:pPr>
            <w:r>
              <w:rPr>
                <w:rFonts w:ascii="Arial" w:cs="Arial" w:eastAsia="Arial" w:hAnsi="Arial"/>
                <w:sz w:val="16"/>
                <w:szCs w:val="16"/>
                <w:color w:val="auto"/>
                <w:w w:val="88"/>
              </w:rPr>
              <w:t>11.14 %</w:t>
            </w:r>
          </w:p>
        </w:tc>
        <w:tc>
          <w:tcPr>
            <w:tcW w:w="1120" w:type="dxa"/>
            <w:vAlign w:val="bottom"/>
          </w:tcPr>
          <w:p>
            <w:pPr>
              <w:jc w:val="right"/>
              <w:spacing w:after="0"/>
              <w:rPr>
                <w:sz w:val="20"/>
                <w:szCs w:val="20"/>
                <w:color w:val="auto"/>
              </w:rPr>
            </w:pPr>
            <w:r>
              <w:rPr>
                <w:rFonts w:ascii="Arial" w:cs="Arial" w:eastAsia="Arial" w:hAnsi="Arial"/>
                <w:sz w:val="16"/>
                <w:szCs w:val="16"/>
                <w:color w:val="auto"/>
              </w:rPr>
              <w:t>12.37 %</w:t>
            </w:r>
          </w:p>
        </w:tc>
      </w:tr>
      <w:tr>
        <w:trPr>
          <w:trHeight w:val="206"/>
        </w:trPr>
        <w:tc>
          <w:tcPr>
            <w:tcW w:w="1120" w:type="dxa"/>
            <w:vAlign w:val="bottom"/>
          </w:tcPr>
          <w:p>
            <w:pPr>
              <w:jc w:val="right"/>
              <w:ind w:right="499"/>
              <w:spacing w:after="0"/>
              <w:rPr>
                <w:sz w:val="20"/>
                <w:szCs w:val="20"/>
                <w:color w:val="auto"/>
              </w:rPr>
            </w:pPr>
            <w:r>
              <w:rPr>
                <w:rFonts w:ascii="Arial" w:cs="Arial" w:eastAsia="Arial" w:hAnsi="Arial"/>
                <w:sz w:val="16"/>
                <w:szCs w:val="16"/>
                <w:color w:val="auto"/>
                <w:w w:val="88"/>
              </w:rPr>
              <w:t>11.52 %</w:t>
            </w:r>
          </w:p>
        </w:tc>
        <w:tc>
          <w:tcPr>
            <w:tcW w:w="1120" w:type="dxa"/>
            <w:vAlign w:val="bottom"/>
          </w:tcPr>
          <w:p>
            <w:pPr>
              <w:jc w:val="right"/>
              <w:spacing w:after="0"/>
              <w:rPr>
                <w:sz w:val="20"/>
                <w:szCs w:val="20"/>
                <w:color w:val="auto"/>
              </w:rPr>
            </w:pPr>
            <w:r>
              <w:rPr>
                <w:rFonts w:ascii="Arial" w:cs="Arial" w:eastAsia="Arial" w:hAnsi="Arial"/>
                <w:sz w:val="16"/>
                <w:szCs w:val="16"/>
                <w:color w:val="auto"/>
              </w:rPr>
              <w:t>14.41 %</w:t>
            </w:r>
          </w:p>
        </w:tc>
      </w:tr>
    </w:tbl>
    <w:p>
      <w:pPr>
        <w:spacing w:after="0" w:line="806" w:lineRule="exact"/>
        <w:rPr>
          <w:sz w:val="20"/>
          <w:szCs w:val="20"/>
          <w:color w:val="auto"/>
        </w:rPr>
      </w:pPr>
    </w:p>
    <w:p>
      <w:pPr>
        <w:sectPr>
          <w:pgSz w:w="11900" w:h="16838" w:orient="portrait"/>
          <w:cols w:equalWidth="0" w:num="2">
            <w:col w:w="5840" w:space="720"/>
            <w:col w:w="2459"/>
          </w:cols>
          <w:pgMar w:left="1440" w:top="530"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79"/>
        <w:spacing w:after="0" w:line="267" w:lineRule="auto"/>
        <w:rPr>
          <w:sz w:val="20"/>
          <w:szCs w:val="20"/>
          <w:color w:val="auto"/>
        </w:rPr>
      </w:pPr>
      <w:r>
        <w:rPr>
          <w:rFonts w:ascii="Arial" w:cs="Arial" w:eastAsia="Arial" w:hAnsi="Arial"/>
          <w:sz w:val="16"/>
          <w:szCs w:val="16"/>
          <w:color w:val="auto"/>
        </w:rPr>
        <w:t>Statements made in this document,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w:t>
      </w:r>
    </w:p>
    <w:p>
      <w:pPr>
        <w:spacing w:after="0" w:line="3" w:lineRule="exact"/>
        <w:rPr>
          <w:sz w:val="20"/>
          <w:szCs w:val="20"/>
          <w:color w:val="auto"/>
        </w:rPr>
      </w:pPr>
    </w:p>
    <w:p>
      <w:pPr>
        <w:ind w:left="60" w:right="139"/>
        <w:spacing w:after="0" w:line="264" w:lineRule="auto"/>
        <w:rPr>
          <w:sz w:val="20"/>
          <w:szCs w:val="20"/>
          <w:color w:val="auto"/>
        </w:rPr>
      </w:pPr>
      <w:r>
        <w:rPr>
          <w:rFonts w:ascii="Arial" w:cs="Arial" w:eastAsia="Arial" w:hAnsi="Arial"/>
          <w:sz w:val="16"/>
          <w:szCs w:val="16"/>
          <w:color w:val="auto"/>
        </w:rPr>
        <w:t>expressions. Additionally, all statements in this document, including forward-looking statements, speak only as of the date they are made, and the Company undertakes no obligation to update any statement in light of new information or future events. A number of factors, many of which are beyond the Company’s ability to control or predict, could cause actual results to differ materially from those in the Company’s forward-looking statements. These factors include, among others, the following: (i) the strength of the local, state, national and international economy (including the impact of the 2020 presidential election and the impact of tariffs, a U.S. withdrawal from or significant negotiation of trade agreements, trade wars and other changes in trade regulations); (ii) the economic impact of any future terrorist threats or attacks, widespread disease or pandemics (including the COVID-19 pandemic in the United States), or other adverse external events that could cause economic deterioration or instability in credit markets; (iii) changes in state and federal laws, regulations and governmental policies concerning the Company’s general business; (iv) changes in accounting policies and practices, including CECL, which changed how the Company estimates credit losses; (v) changes in interest rates and prepayment rates of the Company’s assets (including the impact of The London Inter-bank Offered Rate phase-out); (vi) increased competition in the financial services sector and the inability to attract new customers; (vii) changes in technology and the ability to develop and maintain secure and reliable electronic systems; (viii) the loss of key executives or associates;</w:t>
      </w:r>
    </w:p>
    <w:p>
      <w:pPr>
        <w:spacing w:after="0" w:line="2" w:lineRule="exact"/>
        <w:rPr>
          <w:sz w:val="20"/>
          <w:szCs w:val="20"/>
          <w:color w:val="auto"/>
        </w:rPr>
      </w:pPr>
    </w:p>
    <w:p>
      <w:pPr>
        <w:ind w:left="60" w:right="179" w:hanging="10"/>
        <w:spacing w:after="0" w:line="270" w:lineRule="auto"/>
        <w:tabs>
          <w:tab w:leader="none" w:pos="3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consumer spending; (x) unexpected results of current and/or future acquisitions, which may include failure to realize the anticipated benefits of any acquisition and the possibility that the transaction costs may be greater than anticipated; (xi) unexpected outcomes of existing or new litigation involving the Company;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Securities and Exchange Commission.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w:t>
      </w:r>
    </w:p>
    <w:p>
      <w:pPr>
        <w:spacing w:after="0" w:line="162" w:lineRule="exact"/>
        <w:rPr>
          <w:sz w:val="20"/>
          <w:szCs w:val="20"/>
          <w:color w:val="auto"/>
        </w:rPr>
      </w:pPr>
    </w:p>
    <w:p>
      <w:pPr>
        <w:jc w:val="both"/>
        <w:ind w:left="60" w:right="479"/>
        <w:spacing w:after="0" w:line="294" w:lineRule="auto"/>
        <w:rPr>
          <w:sz w:val="20"/>
          <w:szCs w:val="20"/>
          <w:color w:val="auto"/>
        </w:rPr>
      </w:pPr>
      <w:r>
        <w:rPr>
          <w:rFonts w:ascii="Arial" w:cs="Arial" w:eastAsia="Arial" w:hAnsi="Arial"/>
          <w:sz w:val="16"/>
          <w:szCs w:val="16"/>
          <w:color w:val="auto"/>
        </w:rPr>
        <w:t>Our significant accounting policies are described in Note 1 of the Company’s 2019 Form 10-K. The majority of these accounting policies do not require management to make difficult, subjective or complex judgments or estimates or the variability of the estimates is not material. However, the following policies could be deemed critical:</w:t>
      </w:r>
    </w:p>
    <w:p>
      <w:pPr>
        <w:spacing w:after="0" w:line="134"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b w:val="1"/>
          <w:bCs w:val="1"/>
          <w:i w:val="1"/>
          <w:iCs w:val="1"/>
          <w:color w:val="auto"/>
        </w:rPr>
        <w:t>Fair Value of Investment Securities</w:t>
      </w:r>
      <w:r>
        <w:rPr>
          <w:rFonts w:ascii="Arial" w:cs="Arial" w:eastAsia="Arial" w:hAnsi="Arial"/>
          <w:sz w:val="17"/>
          <w:szCs w:val="17"/>
          <w:color w:val="auto"/>
        </w:rPr>
        <w:t>. The fair values of investment securities are measurements from an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60"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allowance,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139" w:hanging="319"/>
        <w:spacing w:after="0" w:line="23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209"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allowance through provision for credit losses. Impairment related to noncredit factors is recognized in accumulated other comprehensive income, net of applicable taxes.</w:t>
      </w:r>
    </w:p>
    <w:p>
      <w:pPr>
        <w:spacing w:after="0" w:line="174" w:lineRule="exact"/>
        <w:rPr>
          <w:sz w:val="20"/>
          <w:szCs w:val="20"/>
          <w:color w:val="auto"/>
        </w:rPr>
      </w:pPr>
    </w:p>
    <w:p>
      <w:pPr>
        <w:ind w:left="60" w:right="79"/>
        <w:spacing w:after="0" w:line="279" w:lineRule="auto"/>
        <w:rPr>
          <w:sz w:val="20"/>
          <w:szCs w:val="20"/>
          <w:color w:val="auto"/>
        </w:rPr>
      </w:pPr>
      <w:r>
        <w:rPr>
          <w:rFonts w:ascii="Arial" w:cs="Arial" w:eastAsia="Arial" w:hAnsi="Arial"/>
          <w:sz w:val="16"/>
          <w:szCs w:val="16"/>
          <w:b w:val="1"/>
          <w:bCs w:val="1"/>
          <w:i w:val="1"/>
          <w:iCs w:val="1"/>
          <w:color w:val="auto"/>
        </w:rPr>
        <w:t>Fair Value of Assets Acquired and Liabilities Assumed in Business Combinations</w:t>
      </w:r>
      <w:r>
        <w:rPr>
          <w:rFonts w:ascii="Arial" w:cs="Arial" w:eastAsia="Arial" w:hAnsi="Arial"/>
          <w:sz w:val="16"/>
          <w:szCs w:val="16"/>
          <w:color w:val="auto"/>
        </w:rPr>
        <w:t>. Business combinations are accounted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using the acquisition method of accounting. Under the acquisition method of accounting, assets acquired and liabilities assumed are recorded at their estimated fair value on the date of acquisition. Fair values are determined based on the definition of “fair value” defined in FASB ASC Topic 820 —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 “the price that would be received to sell an asset or paid to transfer a liability in an orderly transaction between market participants at the measurement date.”</w:t>
      </w:r>
    </w:p>
    <w:p>
      <w:pPr>
        <w:spacing w:after="0" w:line="146" w:lineRule="exact"/>
        <w:rPr>
          <w:sz w:val="20"/>
          <w:szCs w:val="20"/>
          <w:color w:val="auto"/>
        </w:rPr>
      </w:pPr>
    </w:p>
    <w:p>
      <w:pPr>
        <w:ind w:left="60" w:right="179"/>
        <w:spacing w:after="0" w:line="276"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Acquired loans are in the scope of the CECL methodology. However, the offset to record the allowance at the date of acquisition on acquired loans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48" w:lineRule="exact"/>
        <w:rPr>
          <w:sz w:val="20"/>
          <w:szCs w:val="20"/>
          <w:color w:val="auto"/>
        </w:rPr>
      </w:pPr>
    </w:p>
    <w:p>
      <w:pPr>
        <w:ind w:left="60" w:right="119"/>
        <w:spacing w:after="0"/>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purchase price over the fair value of net assets acquired using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 The Company will continue to monitor events around COVID-19 and its potential impact on goodwill.</w:t>
      </w:r>
    </w:p>
    <w:p>
      <w:pPr>
        <w:spacing w:after="0" w:line="176" w:lineRule="exact"/>
        <w:rPr>
          <w:sz w:val="20"/>
          <w:szCs w:val="20"/>
          <w:color w:val="auto"/>
        </w:rPr>
      </w:pPr>
    </w:p>
    <w:p>
      <w:pPr>
        <w:ind w:left="60" w:right="59"/>
        <w:spacing w:after="0" w:line="27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estimates income tax expense based on amounts expected to be owed to federal and state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859"/>
        <w:spacing w:after="0" w:line="261" w:lineRule="auto"/>
        <w:rPr>
          <w:sz w:val="20"/>
          <w:szCs w:val="20"/>
          <w:color w:val="auto"/>
        </w:rPr>
      </w:pPr>
      <w:r>
        <w:rPr>
          <w:rFonts w:ascii="Arial" w:cs="Arial" w:eastAsia="Arial" w:hAnsi="Arial"/>
          <w:sz w:val="18"/>
          <w:szCs w:val="18"/>
          <w:color w:val="auto"/>
        </w:rPr>
        <w:t>related statutes, regulations and other relevant factors. Because of the complexity of tax laws and interpretations, interpretation is subject to judgment.</w:t>
      </w:r>
    </w:p>
    <w:p>
      <w:pPr>
        <w:spacing w:after="0" w:line="184"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b w:val="1"/>
          <w:bCs w:val="1"/>
          <w:i w:val="1"/>
          <w:iCs w:val="1"/>
          <w:color w:val="auto"/>
        </w:rPr>
        <w:t xml:space="preserve">Allowance for Credit Losses. </w:t>
      </w:r>
      <w:r>
        <w:rPr>
          <w:rFonts w:ascii="Arial" w:cs="Arial" w:eastAsia="Arial" w:hAnsi="Arial"/>
          <w:sz w:val="16"/>
          <w:szCs w:val="16"/>
          <w:color w:val="auto"/>
        </w:rPr>
        <w:t>The Company calculates the allowance for credit losses at each reporting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recognizes an allowance for the lifetime expected credit losses for the amount the Company does not expect to collect. The measurement of expected credit losses is based on relevant information about past events, including historical experience, current conditions and reasonable and supportable forecasts that affect the collectability of the reported book value. The calculation also contemplates that the Company may not be able to make or obtain such forecasts for the entire life of the financial assets and requires a reversion to historical credit loss information.</w:t>
      </w:r>
    </w:p>
    <w:p>
      <w:pPr>
        <w:spacing w:after="0" w:line="175"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In determining the allowance, management relies predominantly on a disciplined credit review and approval process that extends to the full range of the Company’s credit exposure. The allowance for credit losses must be determined on a collective (pool) basis when similar risk characteristics exists. On a case-by-case basis, the Company may conclude a loan should be evaluated on an individual basis based on the disparate risk characteristics.</w:t>
      </w:r>
    </w:p>
    <w:p>
      <w:pPr>
        <w:spacing w:after="0" w:line="18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Loans deemed uncollectible are charged against and reduce the allowance. A provision for credit losses is charged to current expense and acts to replenish the allowance for credit losses in order to maintain the allowance at a level that management deems adequate. Determining the allowance involves significant judgments and assumptions by management. Because of the nature of the judgments and assumptions made by management, actual results may differ from these judgments and assumptions.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69"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95" w:lineRule="exact"/>
        <w:rPr>
          <w:sz w:val="20"/>
          <w:szCs w:val="20"/>
          <w:color w:val="auto"/>
        </w:rPr>
      </w:pPr>
    </w:p>
    <w:p>
      <w:pPr>
        <w:ind w:left="60" w:right="79"/>
        <w:spacing w:after="0" w:line="27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current low interest rate environment, a downward adjustment in federal fund rates was not meaningful at September 30, 2020.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measurement date; variable-rate assets and liabilities are repriced based on repricing frequency; and prepayment speeds on loans are projected for both declining and rising rate environments.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99"/>
        <w:spacing w:after="0" w:line="301" w:lineRule="auto"/>
        <w:rPr>
          <w:sz w:val="20"/>
          <w:szCs w:val="20"/>
          <w:color w:val="auto"/>
        </w:rPr>
      </w:pPr>
      <w:r>
        <w:rPr>
          <w:rFonts w:ascii="Arial" w:cs="Arial" w:eastAsia="Arial" w:hAnsi="Arial"/>
          <w:sz w:val="15"/>
          <w:szCs w:val="15"/>
          <w:color w:val="auto"/>
        </w:rPr>
        <w:t>The interest rate risk of First Busey as a result of immediate and sustained changes in interest rates, expressed as a change in net interest income as a percentage of the net interest income calculated in the constant base model, was as follows:</w:t>
      </w: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Year-One: Basis Point Changes</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gridSpan w:val="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- 100</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900" w:type="dxa"/>
            <w:vAlign w:val="bottom"/>
          </w:tcPr>
          <w:p>
            <w:pPr>
              <w:spacing w:after="0"/>
              <w:rPr>
                <w:sz w:val="14"/>
                <w:szCs w:val="14"/>
                <w:color w:val="auto"/>
              </w:rPr>
            </w:pPr>
          </w:p>
        </w:tc>
        <w:tc>
          <w:tcPr>
            <w:tcW w:w="1560" w:type="dxa"/>
            <w:vAlign w:val="bottom"/>
          </w:tcPr>
          <w:p>
            <w:pPr>
              <w:jc w:val="right"/>
              <w:ind w:right="856"/>
              <w:spacing w:after="0"/>
              <w:rPr>
                <w:sz w:val="20"/>
                <w:szCs w:val="20"/>
                <w:color w:val="auto"/>
              </w:rPr>
            </w:pPr>
            <w:r>
              <w:rPr>
                <w:rFonts w:ascii="Arial" w:cs="Arial" w:eastAsia="Arial" w:hAnsi="Arial"/>
                <w:sz w:val="14"/>
                <w:szCs w:val="14"/>
                <w:b w:val="1"/>
                <w:bCs w:val="1"/>
                <w:color w:val="auto"/>
              </w:rPr>
              <w:t>+200</w:t>
            </w:r>
          </w:p>
        </w:tc>
        <w:tc>
          <w:tcPr>
            <w:tcW w:w="1420" w:type="dxa"/>
            <w:vAlign w:val="bottom"/>
          </w:tcPr>
          <w:p>
            <w:pPr>
              <w:jc w:val="right"/>
              <w:ind w:right="716"/>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7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rPr>
              <w:t>NM</w:t>
            </w:r>
          </w:p>
        </w:tc>
        <w:tc>
          <w:tcPr>
            <w:tcW w:w="9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6"/>
              </w:rPr>
              <w:t>7.19 %</w:t>
            </w:r>
          </w:p>
        </w:tc>
        <w:tc>
          <w:tcPr>
            <w:tcW w:w="156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13.24 %</w:t>
            </w:r>
          </w:p>
        </w:tc>
        <w:tc>
          <w:tcPr>
            <w:tcW w:w="14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18.38 %</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5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1"/>
              </w:rPr>
              <w:t>(5.94)%</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6"/>
              </w:rPr>
              <w:t>5.39 %</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10.24 %</w:t>
            </w:r>
          </w:p>
        </w:tc>
        <w:tc>
          <w:tcPr>
            <w:tcW w:w="14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15.01 %</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Year-Two: Basis Point Changes</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80" w:type="dxa"/>
            <w:vAlign w:val="bottom"/>
            <w:gridSpan w:val="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- 100</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900" w:type="dxa"/>
            <w:vAlign w:val="bottom"/>
          </w:tcPr>
          <w:p>
            <w:pPr>
              <w:spacing w:after="0"/>
              <w:rPr>
                <w:sz w:val="14"/>
                <w:szCs w:val="14"/>
                <w:color w:val="auto"/>
              </w:rPr>
            </w:pPr>
          </w:p>
        </w:tc>
        <w:tc>
          <w:tcPr>
            <w:tcW w:w="1560" w:type="dxa"/>
            <w:vAlign w:val="bottom"/>
          </w:tcPr>
          <w:p>
            <w:pPr>
              <w:jc w:val="right"/>
              <w:ind w:right="856"/>
              <w:spacing w:after="0"/>
              <w:rPr>
                <w:sz w:val="20"/>
                <w:szCs w:val="20"/>
                <w:color w:val="auto"/>
              </w:rPr>
            </w:pPr>
            <w:r>
              <w:rPr>
                <w:rFonts w:ascii="Arial" w:cs="Arial" w:eastAsia="Arial" w:hAnsi="Arial"/>
                <w:sz w:val="14"/>
                <w:szCs w:val="14"/>
                <w:b w:val="1"/>
                <w:bCs w:val="1"/>
                <w:color w:val="auto"/>
              </w:rPr>
              <w:t>+200</w:t>
            </w:r>
          </w:p>
        </w:tc>
        <w:tc>
          <w:tcPr>
            <w:tcW w:w="1420" w:type="dxa"/>
            <w:vAlign w:val="bottom"/>
          </w:tcPr>
          <w:p>
            <w:pPr>
              <w:jc w:val="right"/>
              <w:ind w:right="716"/>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7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rPr>
              <w:t>NM</w:t>
            </w:r>
          </w:p>
        </w:tc>
        <w:tc>
          <w:tcPr>
            <w:tcW w:w="9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6"/>
              </w:rPr>
              <w:t>9.62 %</w:t>
            </w:r>
          </w:p>
        </w:tc>
        <w:tc>
          <w:tcPr>
            <w:tcW w:w="156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17.28 %</w:t>
            </w:r>
          </w:p>
        </w:tc>
        <w:tc>
          <w:tcPr>
            <w:tcW w:w="14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23.70 %</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420" w:type="dxa"/>
            <w:vAlign w:val="bottom"/>
            <w:gridSpan w:val="2"/>
          </w:tcPr>
          <w:p>
            <w:pPr>
              <w:spacing w:after="0"/>
              <w:rPr>
                <w:sz w:val="19"/>
                <w:szCs w:val="19"/>
                <w:color w:val="auto"/>
              </w:rPr>
            </w:pPr>
          </w:p>
        </w:tc>
        <w:tc>
          <w:tcPr>
            <w:tcW w:w="1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5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1"/>
              </w:rPr>
              <w:t>(8.19)%</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6"/>
              </w:rPr>
              <w:t>6.96 %</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13.16 %</w:t>
            </w:r>
          </w:p>
        </w:tc>
        <w:tc>
          <w:tcPr>
            <w:tcW w:w="14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19.28 %</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right="239"/>
        <w:spacing w:after="0" w:line="262" w:lineRule="auto"/>
        <w:rPr>
          <w:sz w:val="20"/>
          <w:szCs w:val="20"/>
          <w:color w:val="auto"/>
        </w:rPr>
      </w:pPr>
      <w:r>
        <w:rPr>
          <w:rFonts w:ascii="Arial" w:cs="Arial" w:eastAsia="Arial" w:hAnsi="Arial"/>
          <w:sz w:val="17"/>
          <w:szCs w:val="17"/>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8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An evaluation of our disclosure controls and procedures (as defined in Rule 13a-15(e) under the Exchange Act) was carried out as of September 30, 2020, under the supervision and with the participation of our Chief Executive Officer, Chief Financial Officer and several other members of our senior management. Based on this evaluation, our Chief Executive Officer and Chief Financial Officer concluded that, as of September 30, 2020,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During the quarter ended September 30, 2020, First Busey did not make any changes in its internal control over financial reporting or other factors that have materially affected, or are reasonably likely to materially affect, its internal control over financial reporting.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84"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679"/>
        <w:spacing w:after="0" w:line="261" w:lineRule="auto"/>
        <w:rPr>
          <w:sz w:val="20"/>
          <w:szCs w:val="20"/>
          <w:color w:val="auto"/>
        </w:rPr>
      </w:pPr>
      <w:r>
        <w:rPr>
          <w:rFonts w:ascii="Arial" w:cs="Arial" w:eastAsia="Arial" w:hAnsi="Arial"/>
          <w:sz w:val="18"/>
          <w:szCs w:val="18"/>
          <w:color w:val="auto"/>
        </w:rPr>
        <w:t>In addition to the risk factors set forth under Part I, Item 1A “Risk Factors” in the Company’s 2019 Form 10-K, the following risk factors apply to First Busey:</w:t>
      </w:r>
    </w:p>
    <w:p>
      <w:pPr>
        <w:spacing w:after="0" w:line="184"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Our business, financial condition, liquidity and results of operations have been, and will likely continue to be, adversely affected by the COVID-19 pandemic.</w:t>
      </w:r>
    </w:p>
    <w:p>
      <w:pPr>
        <w:spacing w:after="0" w:line="184" w:lineRule="exact"/>
        <w:rPr>
          <w:sz w:val="20"/>
          <w:szCs w:val="20"/>
          <w:color w:val="auto"/>
        </w:rPr>
      </w:pPr>
    </w:p>
    <w:p>
      <w:pPr>
        <w:ind w:left="60" w:right="139"/>
        <w:spacing w:after="0" w:line="272" w:lineRule="auto"/>
        <w:rPr>
          <w:sz w:val="20"/>
          <w:szCs w:val="20"/>
          <w:color w:val="auto"/>
        </w:rPr>
      </w:pPr>
      <w:r>
        <w:rPr>
          <w:rFonts w:ascii="Arial" w:cs="Arial" w:eastAsia="Arial" w:hAnsi="Arial"/>
          <w:sz w:val="16"/>
          <w:szCs w:val="16"/>
          <w:color w:val="auto"/>
        </w:rPr>
        <w:t>The COVID-19 pandemic has created an economic recession and has caused severe financial disruptions that have adversely affected, and are likely to continue to adversely affect, our business, financial condition, liquidity and results of operations. The extent to which COVID-19 will continue to negatively affect our business, financial condition, liquidity and results of operations will depend on future developments, which are highly uncertain and cannot be predicted, including the scope and duration of the pandemic, the continued effectiveness of our business continuity plan (including work-from-home arrangements and staffing in operational facilities), the direct and indirect impact of the pandemic on our employees, customers, clients, counterparties and service providers, as well as other market participants, and actions taken by governmental authorities and other third parties in response to the pandemic.</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COVID-19 pandemic has or could contribute to:</w:t>
      </w:r>
    </w:p>
    <w:p>
      <w:pPr>
        <w:spacing w:after="0" w:line="12" w:lineRule="exact"/>
        <w:rPr>
          <w:sz w:val="20"/>
          <w:szCs w:val="20"/>
          <w:color w:val="auto"/>
        </w:rPr>
      </w:pPr>
    </w:p>
    <w:p>
      <w:pPr>
        <w:ind w:left="720" w:right="11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unemployment and decreased consumer confidence and business generally, leading to an increased risk of delinquencies, defaults and foreclosures.</w:t>
      </w:r>
    </w:p>
    <w:p>
      <w:pPr>
        <w:spacing w:after="0" w:line="1" w:lineRule="exact"/>
        <w:rPr>
          <w:rFonts w:ascii="Arial" w:cs="Arial" w:eastAsia="Arial" w:hAnsi="Arial"/>
          <w:sz w:val="18"/>
          <w:szCs w:val="18"/>
          <w:color w:val="auto"/>
        </w:rPr>
      </w:pPr>
    </w:p>
    <w:p>
      <w:pPr>
        <w:ind w:left="720" w:right="41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Ratings downgrades, credit deterioration and defaults in many industries, including hotel, restaurant, transportation, long-term healthcare, retail and commercial real estate, which may lead to increased provision expense.</w:t>
      </w:r>
    </w:p>
    <w:p>
      <w:pPr>
        <w:spacing w:after="0" w:line="2" w:lineRule="exact"/>
        <w:rPr>
          <w:rFonts w:ascii="Arial" w:cs="Arial" w:eastAsia="Arial" w:hAnsi="Arial"/>
          <w:sz w:val="18"/>
          <w:szCs w:val="18"/>
          <w:color w:val="auto"/>
        </w:rPr>
      </w:pPr>
    </w:p>
    <w:p>
      <w:pPr>
        <w:ind w:left="720" w:right="25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sudden and significant reduction in the valuation of the equity, fixed-income and commodity markets and the significant increase in the volatility of those markets.</w:t>
      </w:r>
    </w:p>
    <w:p>
      <w:pPr>
        <w:spacing w:after="0" w:line="1" w:lineRule="exact"/>
        <w:rPr>
          <w:rFonts w:ascii="Arial" w:cs="Arial" w:eastAsia="Arial" w:hAnsi="Arial"/>
          <w:sz w:val="18"/>
          <w:szCs w:val="18"/>
          <w:color w:val="auto"/>
        </w:rPr>
      </w:pPr>
    </w:p>
    <w:p>
      <w:pPr>
        <w:jc w:val="both"/>
        <w:ind w:left="720" w:right="23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 result of the decline in the Federal Reserve’s target federal funds rate to near 0% (or possibly below 0% in the future), the yield on our assets may decline to a greater extent than the decline in our cost of interest-bearing liabilities, reducing our net interest margin and reducing net income.</w:t>
      </w:r>
    </w:p>
    <w:p>
      <w:pPr>
        <w:spacing w:after="0" w:line="2"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draws on credit lines, as customers and clients seek to increase liquidity.</w:t>
      </w:r>
    </w:p>
    <w:p>
      <w:pPr>
        <w:ind w:left="720"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fees for customer services.</w:t>
      </w:r>
    </w:p>
    <w:p>
      <w:pPr>
        <w:ind w:left="720"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demands on capital and liquidity.</w:t>
      </w:r>
    </w:p>
    <w:p>
      <w:pPr>
        <w:ind w:left="720" w:right="99" w:hanging="319"/>
        <w:spacing w:after="0" w:line="264"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sustained decline in our stock price or the occurrence of what management would deem to be a triggering event that could, under certain circumstances, cause management to perform impairment testing on our goodwill and other intangible assets that could result in an impairment charge being recorded for that period, which would adversely impact our results of operations and the ability of Busey Bank to pay dividends to the Company.</w:t>
      </w:r>
    </w:p>
    <w:p>
      <w:pPr>
        <w:ind w:left="720" w:right="21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reduction in the value of the assets that the Company manages or otherwise administers or services for others, affecting related fee income and demand for the Company’s services.</w:t>
      </w:r>
    </w:p>
    <w:p>
      <w:pPr>
        <w:spacing w:after="0" w:line="1" w:lineRule="exact"/>
        <w:rPr>
          <w:rFonts w:ascii="Arial" w:cs="Arial" w:eastAsia="Arial" w:hAnsi="Arial"/>
          <w:sz w:val="18"/>
          <w:szCs w:val="18"/>
          <w:color w:val="auto"/>
        </w:rPr>
      </w:pPr>
    </w:p>
    <w:p>
      <w:pPr>
        <w:ind w:left="720" w:right="111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Heightened cybersecurity, information security and operational risks as a result of work-from-home arrangements.</w:t>
      </w:r>
    </w:p>
    <w:p>
      <w:pPr>
        <w:spacing w:after="0" w:line="1" w:lineRule="exact"/>
        <w:rPr>
          <w:rFonts w:ascii="Arial" w:cs="Arial" w:eastAsia="Arial" w:hAnsi="Arial"/>
          <w:sz w:val="18"/>
          <w:szCs w:val="18"/>
          <w:color w:val="auto"/>
        </w:rPr>
      </w:pPr>
    </w:p>
    <w:p>
      <w:pPr>
        <w:ind w:left="720" w:right="27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and state taxes may increase, as a result of the effects of the pandemic on governmental budgets, which could reduce our net income.</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FDIC premiums could increase if the agency experiences additional resolution costs.</w:t>
      </w:r>
    </w:p>
    <w:p>
      <w:pPr>
        <w:spacing w:after="0" w:line="209"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The outbreak of COVID-19 has resulted in a decline in our clients’ businesses, a decrease in consumer confidence, an increase in unemployment and disruptions in the services provided by our vendors. Continued disruptions to our clients’ businesses could result in increased risk of delinquencies, defaults, foreclosures and losses on our loans, declines in assets under management and wealth management revenues, negatively impact regional economic conditions, result in declines in local loan demand, liquidity of loan guarantors, loan collateral (particularly in real estate), loan originations and deposit availability and negatively impact the implementation of our growth strategy. Although governmental authorities have introduced a number of programs designed to soften the impact of COVID-19 on small businesses, once these programs expire, our borrowers may not be able to satisfy their financial obligations to 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In general, the success of the unprecedented measures taken by governmental authorities to provide economic assistance to individual households and businesses, stabilize the markets and support economic growth is unknown and they may not be sufficient to fully mitigate the negative impact of the COVID-19 pandemic. Additionally, some measures, such as a suspension of mortgage and other loan payments and foreclosures, may have a negative impact on our business, financial condition, liquidity and results of operations. We also face an increased risk of litigation and governmental and regulatory scrutiny as a result of the effects of COVID-19 on market and economic conditions and actions governmental authorities take in response to those conditions.</w:t>
      </w:r>
    </w:p>
    <w:p>
      <w:pPr>
        <w:spacing w:after="0" w:line="193"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The length of the pandemic and the efficacy of the extraordinary measures being put in place to address it are unknown. Until the pandemic subsides, we expect draws on lines of credit, reduced revenues in our businesses and increased customer and client defaults. Even after the pandemic subsides, the U.S. economy may continue to experience a recession, and we anticipate our businesses would be materially and adversely affected by a prolonged recession. To the extent the pandemic adversely affects our business, financial condition, liquidity or results of operations, it may also have the effect of heightening many of the other risks described in the section entitled “Risk Factors” in our 2019 Annual Report on Form 10-K and any subsequent Quarterly Reports on Form 10-Q.</w:t>
      </w:r>
    </w:p>
    <w:p>
      <w:pPr>
        <w:spacing w:after="0" w:line="207" w:lineRule="exact"/>
        <w:rPr>
          <w:sz w:val="20"/>
          <w:szCs w:val="20"/>
          <w:color w:val="auto"/>
        </w:rPr>
      </w:pPr>
    </w:p>
    <w:p>
      <w:pPr>
        <w:jc w:val="both"/>
        <w:ind w:left="60" w:right="219"/>
        <w:spacing w:after="0" w:line="279" w:lineRule="auto"/>
        <w:rPr>
          <w:sz w:val="20"/>
          <w:szCs w:val="20"/>
          <w:color w:val="auto"/>
        </w:rPr>
      </w:pPr>
      <w:r>
        <w:rPr>
          <w:rFonts w:ascii="Arial" w:cs="Arial" w:eastAsia="Arial" w:hAnsi="Arial"/>
          <w:sz w:val="18"/>
          <w:szCs w:val="18"/>
          <w:b w:val="1"/>
          <w:bCs w:val="1"/>
          <w:i w:val="1"/>
          <w:iCs w:val="1"/>
          <w:color w:val="auto"/>
        </w:rPr>
        <w:t>The U.S. government and banking regulators, including the Federal Reserve, have taken a number of unprecedented actions in response to the COVID-19 pandemic, which could ultimately have a material adverse effect on our business and results of operations.</w:t>
      </w:r>
    </w:p>
    <w:p>
      <w:pPr>
        <w:spacing w:after="0" w:line="61" w:lineRule="exact"/>
        <w:rPr>
          <w:sz w:val="20"/>
          <w:szCs w:val="20"/>
          <w:color w:val="auto"/>
        </w:rPr>
      </w:pPr>
    </w:p>
    <w:p>
      <w:pPr>
        <w:ind w:left="60" w:right="99"/>
        <w:spacing w:after="0" w:line="279" w:lineRule="auto"/>
        <w:rPr>
          <w:sz w:val="20"/>
          <w:szCs w:val="20"/>
          <w:color w:val="auto"/>
        </w:rPr>
      </w:pPr>
      <w:r>
        <w:rPr>
          <w:rFonts w:ascii="Arial" w:cs="Arial" w:eastAsia="Arial" w:hAnsi="Arial"/>
          <w:sz w:val="16"/>
          <w:szCs w:val="16"/>
          <w:color w:val="auto"/>
        </w:rPr>
        <w:t>The CARES Act established a $2.0 trillion economic stimulus package, including cash payments to individuals, supplemental unemployment insurance benefits and a $349 billion loan program administered through the SBA, referred to as the PPP. In addition to implementing the programs contemplated by the CARES Act, the federal bank regulatory agencies have issued a steady stream of guidance in response to the COVID-19 pandemic and have taken a number of unprecedented steps to help banks navigate the pandemic and mitigate its impact. These include, without limitation:</w:t>
      </w:r>
    </w:p>
    <w:p>
      <w:pPr>
        <w:spacing w:after="0" w:line="173" w:lineRule="exact"/>
        <w:rPr>
          <w:sz w:val="20"/>
          <w:szCs w:val="20"/>
          <w:color w:val="auto"/>
        </w:rPr>
      </w:pPr>
    </w:p>
    <w:p>
      <w:pPr>
        <w:ind w:left="1380" w:hanging="331"/>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banks to focus on business continuity and pandemic planning;</w:t>
      </w:r>
    </w:p>
    <w:p>
      <w:pPr>
        <w:spacing w:after="0" w:line="11" w:lineRule="exact"/>
        <w:rPr>
          <w:rFonts w:ascii="Arial" w:cs="Arial" w:eastAsia="Arial" w:hAnsi="Arial"/>
          <w:sz w:val="18"/>
          <w:szCs w:val="18"/>
          <w:color w:val="auto"/>
        </w:rPr>
      </w:pPr>
    </w:p>
    <w:p>
      <w:pPr>
        <w:ind w:left="1380" w:hanging="331"/>
        <w:spacing w:after="0" w:line="234"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adding pandemic scenarios to stress testing;</w:t>
      </w:r>
    </w:p>
    <w:p>
      <w:pPr>
        <w:ind w:left="1380" w:hanging="331"/>
        <w:spacing w:after="0" w:line="234"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encouraging bank use of capital buffers and reserves in lending programs;</w:t>
      </w:r>
    </w:p>
    <w:p>
      <w:pPr>
        <w:ind w:left="1380" w:hanging="331"/>
        <w:spacing w:after="0" w:line="234"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permitting certain regulatory reporting extensions;</w:t>
      </w:r>
    </w:p>
    <w:p>
      <w:pPr>
        <w:ind w:left="1380" w:hanging="331"/>
        <w:spacing w:after="0" w:line="234"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margin requirements on swaps;</w:t>
      </w:r>
    </w:p>
    <w:p>
      <w:pPr>
        <w:ind w:left="1380" w:hanging="331"/>
        <w:spacing w:after="0" w:line="234"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permitting certain otherwise prohibited investments in investment funds;</w:t>
      </w:r>
    </w:p>
    <w:p>
      <w:pPr>
        <w:ind w:left="1380" w:right="319" w:hanging="331"/>
        <w:spacing w:after="0" w:line="234"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issuing guidance to encourage banks to work with customers affected by the pandemic and encourage loan workouts; and</w:t>
      </w:r>
    </w:p>
    <w:p>
      <w:pPr>
        <w:spacing w:after="0" w:line="1" w:lineRule="exact"/>
        <w:rPr>
          <w:rFonts w:ascii="Arial" w:cs="Arial" w:eastAsia="Arial" w:hAnsi="Arial"/>
          <w:sz w:val="18"/>
          <w:szCs w:val="18"/>
          <w:color w:val="auto"/>
        </w:rPr>
      </w:pPr>
    </w:p>
    <w:p>
      <w:pPr>
        <w:ind w:left="1380" w:right="979" w:hanging="331"/>
        <w:spacing w:after="0" w:line="243"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credit under the Community Reinvestment Act for certain pandemic-related loans, investments and public service.</w:t>
      </w:r>
    </w:p>
    <w:p>
      <w:pPr>
        <w:spacing w:after="0" w:line="199" w:lineRule="exact"/>
        <w:rPr>
          <w:sz w:val="20"/>
          <w:szCs w:val="20"/>
          <w:color w:val="auto"/>
        </w:rPr>
      </w:pPr>
    </w:p>
    <w:p>
      <w:pPr>
        <w:ind w:left="60" w:right="79"/>
        <w:spacing w:after="0" w:line="271" w:lineRule="auto"/>
        <w:rPr>
          <w:sz w:val="20"/>
          <w:szCs w:val="20"/>
          <w:color w:val="auto"/>
        </w:rPr>
      </w:pPr>
      <w:r>
        <w:rPr>
          <w:rFonts w:ascii="Arial" w:cs="Arial" w:eastAsia="Arial" w:hAnsi="Arial"/>
          <w:sz w:val="16"/>
          <w:szCs w:val="16"/>
          <w:color w:val="auto"/>
        </w:rPr>
        <w:t>The COVID-19 pandemic has significantly affected the financial markets, and the Federal Reserve has taken a number of actions in response. In March 2020, the Federal Reserve dramatically reduced the target federal funds rate and announced a $700 billion quantitative easing program in response to the expected economic downturn caused by the COVID-19 pandemic. In addition, the Federal Reserve reduced the interest that it pays on excess reserves. We expect that these reductions in interest rates, especially if prolonged, could adversely affect our net interest income and margins and our profitability. The Federal Reserve also launched the Main Street Lending Program, which will offer deferred interest on four-year loans to small and mid-sized businesses. The full impact of the COVID-19 pandemic on our business activities as a result of new government and regulatory laws, policies, programs and guidelines, as well as market reactions to such activities, remains uncertain but may ultimately have a material adverse effect on our business and results of operations.</w:t>
      </w:r>
    </w:p>
    <w:p>
      <w:pPr>
        <w:spacing w:after="0" w:line="182"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b w:val="1"/>
          <w:bCs w:val="1"/>
          <w:i w:val="1"/>
          <w:iCs w:val="1"/>
          <w:color w:val="auto"/>
        </w:rPr>
        <w:t>COVID-19 has disrupted banking and other financial activities in the areas in which we operate and could potentially create widespread business continuity issues for us.</w:t>
      </w:r>
    </w:p>
    <w:p>
      <w:pPr>
        <w:spacing w:after="0" w:line="184" w:lineRule="exact"/>
        <w:rPr>
          <w:sz w:val="20"/>
          <w:szCs w:val="20"/>
          <w:color w:val="auto"/>
        </w:rPr>
      </w:pPr>
    </w:p>
    <w:p>
      <w:pPr>
        <w:ind w:left="60" w:right="159"/>
        <w:spacing w:after="0" w:line="294" w:lineRule="auto"/>
        <w:rPr>
          <w:sz w:val="20"/>
          <w:szCs w:val="20"/>
          <w:color w:val="auto"/>
        </w:rPr>
      </w:pPr>
      <w:r>
        <w:rPr>
          <w:rFonts w:ascii="Arial" w:cs="Arial" w:eastAsia="Arial" w:hAnsi="Arial"/>
          <w:sz w:val="16"/>
          <w:szCs w:val="16"/>
          <w:color w:val="auto"/>
        </w:rPr>
        <w:t>The COVID-19 pandemic has negatively impacted the ability of our employees and clients to engage in banking and other financial transactions in the geographic area in which we operate and could create widespread business continuity issues for us. We also could be adversely affected if key personnel or a significant number of employees were to become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unavailable due to the effects and restrictions of an outbreak or escalation of the COVID-19 pandemic in our market area, including because of illness, quarantines, government actions or other restrictions in connection with the COVID-19 pandemic. Although we have business continuity plans and other safeguards in place, there is no assurance that such plans and safeguards will be effective. Further, we rely upon our third-party vendors to conduct business and to process, record, and monitor transactions. If any of these vendors are unable to continue to provide us with these services, it could negatively impact our ability to serve our clients.</w:t>
      </w:r>
    </w:p>
    <w:p>
      <w:pPr>
        <w:spacing w:after="0" w:line="203"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b w:val="1"/>
          <w:bCs w:val="1"/>
          <w:i w:val="1"/>
          <w:iCs w:val="1"/>
          <w:color w:val="auto"/>
        </w:rPr>
        <w:t>As a participating lender in the PPP, the Company is subject to additional risks of litigation from its customers or other parties regarding the processing of loans for the PPP and risks that the SBA may not fund some or all PPP loan guaranties.</w:t>
      </w:r>
    </w:p>
    <w:p>
      <w:pPr>
        <w:spacing w:after="0" w:line="195"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On March 27, 2020, President Trump signed the CARES Act, which included a $349 billion loan program administered through the SBA referred to as the PPP. Under the PPP, small businesses and other entities and individuals could apply for loans from existing SBA lenders and other approved regulated lenders that enroll in the program, subject to numerous limitations and eligibility criteria. The PPP opened on April 3, 2020; however, because of the short timeframe between the passing of the CARES Act and the opening of the PPP, there was some ambiguity in the laws, rules and guidance regarding the operation of the PPP, which exposes the Company to risks relating to noncompliance with the PPP. On or about April 16, 2020, the SBA notified lenders that the $349 billion earmarked for the PPP was exhausted. Congress then authorized an additional $310 billion funding for PPP loans.</w:t>
      </w:r>
    </w:p>
    <w:p>
      <w:pPr>
        <w:spacing w:after="0" w:line="194"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Since the opening of the PPP, several other larger banks have been subject to litigation regarding the process and procedures that such banks used in processing applications for the PPP and claims related to agent fees. The Company may be exposed to the risk of similar litigation, from both customers and non-customers that approached the banks regarding PPP loans, regarding their process and procedures used in processing applications for the PPP. If any such litigation is filed against us and is not resolved in a manner favorable to us, it may result in significant financial liability or adversely affect our reputation. In addition, litigation can be costly, regardless of outcome. Any financial liability, litigation costs or reputational damage caused by PPP related litigation could have a material adverse impact on our business, financial condition and results of operations.</w:t>
      </w:r>
    </w:p>
    <w:p>
      <w:pPr>
        <w:spacing w:after="0" w:line="194" w:lineRule="exact"/>
        <w:rPr>
          <w:sz w:val="20"/>
          <w:szCs w:val="20"/>
          <w:color w:val="auto"/>
        </w:rPr>
      </w:pPr>
    </w:p>
    <w:p>
      <w:pPr>
        <w:ind w:left="60" w:right="239"/>
        <w:spacing w:after="0" w:line="255" w:lineRule="auto"/>
        <w:rPr>
          <w:sz w:val="20"/>
          <w:szCs w:val="20"/>
          <w:color w:val="auto"/>
        </w:rPr>
      </w:pPr>
      <w:r>
        <w:rPr>
          <w:rFonts w:ascii="Arial" w:cs="Arial" w:eastAsia="Arial" w:hAnsi="Arial"/>
          <w:sz w:val="17"/>
          <w:szCs w:val="17"/>
          <w:color w:val="auto"/>
        </w:rPr>
        <w:t>We also have credit risk on PPP loans if a determination is made by the SBA that there is a deficiency in the manner in which the loan was originated, funded, or serviced by the Company,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right="99"/>
        <w:spacing w:after="0" w:line="267" w:lineRule="auto"/>
        <w:rPr>
          <w:sz w:val="20"/>
          <w:szCs w:val="20"/>
          <w:color w:val="auto"/>
        </w:rPr>
      </w:pPr>
      <w:r>
        <w:rPr>
          <w:rFonts w:ascii="Arial" w:cs="Arial" w:eastAsia="Arial" w:hAnsi="Arial"/>
          <w:sz w:val="16"/>
          <w:szCs w:val="16"/>
          <w:color w:val="auto"/>
        </w:rPr>
        <w:t>On February 3, 2015, First Busey’s board of directors authorized the Company to repurchase up to an aggregate of 666,667 shares of its common stock. The repurchase plan has no expiration date and replaced the prior repurchase plan originally approved in 2008. On May 22, 2019, First Busey’s board of directors approved an amendment to increase the authorized shares under the repurchase program by 1,000,000 shares. Further, on February 5, 2020, First Busey’s board of directors approved an amendment to increase the authorized shares under the repurchase program by 2,000,000 shares. On March 16, 2020, due to uncertainties related to COVID-19, the Company suspended share repurchases under the plan and it is uncertain when the Company will resume the repurchase of shares as part of this program in the future.</w:t>
      </w:r>
    </w:p>
    <w:p>
      <w:pPr>
        <w:spacing w:after="0" w:line="1" w:lineRule="exact"/>
        <w:rPr>
          <w:sz w:val="20"/>
          <w:szCs w:val="20"/>
          <w:color w:val="auto"/>
        </w:rPr>
      </w:pPr>
    </w:p>
    <w:p>
      <w:pPr>
        <w:ind w:left="60" w:right="399"/>
        <w:spacing w:after="0" w:line="239" w:lineRule="auto"/>
        <w:rPr>
          <w:sz w:val="20"/>
          <w:szCs w:val="20"/>
          <w:color w:val="auto"/>
        </w:rPr>
      </w:pPr>
      <w:r>
        <w:rPr>
          <w:rFonts w:ascii="Arial" w:cs="Arial" w:eastAsia="Arial" w:hAnsi="Arial"/>
          <w:sz w:val="18"/>
          <w:szCs w:val="18"/>
          <w:color w:val="auto"/>
        </w:rPr>
        <w:t>There were no purchases made by or on behalf of First Busey of its common stock shares during the quarter ended September 30, 2020. At September 30, 2020, the Company had 1,982,088 shares that may still be purchased under the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020" w:type="dxa"/>
            <w:vAlign w:val="bottom"/>
            <w:gridSpan w:val="6"/>
          </w:tcPr>
          <w:p>
            <w:pPr>
              <w:ind w:left="2780"/>
              <w:spacing w:after="0"/>
              <w:rPr>
                <w:sz w:val="20"/>
                <w:szCs w:val="20"/>
                <w:color w:val="auto"/>
              </w:rPr>
            </w:pPr>
            <w:r>
              <w:rPr>
                <w:rFonts w:ascii="Arial" w:cs="Arial" w:eastAsia="Arial" w:hAnsi="Arial"/>
                <w:sz w:val="18"/>
                <w:szCs w:val="18"/>
                <w:b w:val="1"/>
                <w:bCs w:val="1"/>
                <w:color w:val="auto"/>
              </w:rPr>
              <w:t>ITEM 6. EXHIBITS</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8020" w:type="dxa"/>
            <w:vAlign w:val="bottom"/>
            <w:gridSpan w:val="6"/>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Form of Performance-Based Restricted Stock Unit Agreement (filed as Exhibit 10.1 to the Company’s Form 8-</w:t>
              </w:r>
            </w:hyperlink>
          </w:p>
        </w:tc>
      </w:tr>
      <w:tr>
        <w:trPr>
          <w:trHeight w:val="183"/>
        </w:trPr>
        <w:tc>
          <w:tcPr>
            <w:tcW w:w="900" w:type="dxa"/>
            <w:vAlign w:val="bottom"/>
          </w:tcPr>
          <w:p>
            <w:pPr>
              <w:spacing w:after="0"/>
              <w:rPr>
                <w:sz w:val="15"/>
                <w:szCs w:val="15"/>
                <w:color w:val="auto"/>
              </w:rPr>
            </w:pPr>
          </w:p>
        </w:tc>
        <w:tc>
          <w:tcPr>
            <w:tcW w:w="80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K, filed with the SEC on July 9, 2020, and incorporated herein by reference).</w:t>
              </w:r>
            </w:hyperlink>
          </w:p>
        </w:tc>
        <w:tc>
          <w:tcPr>
            <w:tcW w:w="2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53"/>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8020" w:type="dxa"/>
            <w:vAlign w:val="bottom"/>
            <w:gridSpan w:val="6"/>
          </w:tcPr>
          <w:p>
            <w:pPr>
              <w:spacing w:after="0"/>
              <w:rPr>
                <w:rFonts w:ascii="Arial" w:cs="Arial" w:eastAsia="Arial" w:hAnsi="Arial"/>
                <w:sz w:val="18"/>
                <w:szCs w:val="18"/>
                <w:color w:val="0000EE"/>
              </w:rPr>
            </w:pPr>
            <w:hyperlink w:anchor="page74">
              <w:r>
                <w:rPr>
                  <w:rFonts w:ascii="Arial" w:cs="Arial" w:eastAsia="Arial" w:hAnsi="Arial"/>
                  <w:sz w:val="18"/>
                  <w:szCs w:val="18"/>
                  <w:u w:val="single" w:color="auto"/>
                  <w:color w:val="0000EE"/>
                </w:rPr>
                <w:t>Certification of Principal Executive Officer, pursuant to Rule 13a-14(a) and Rule 15d-14(a)</w:t>
              </w:r>
              <w:r>
                <w:rPr>
                  <w:rFonts w:ascii="Arial" w:cs="Arial" w:eastAsia="Arial" w:hAnsi="Arial"/>
                  <w:sz w:val="18"/>
                  <w:szCs w:val="18"/>
                  <w:color w:val="0000EE"/>
                </w:rPr>
                <w:t>.</w:t>
              </w:r>
            </w:hyperlink>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8020" w:type="dxa"/>
            <w:vAlign w:val="bottom"/>
            <w:gridSpan w:val="6"/>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Certification of Principal Financial Officer, pursuant to Rule 13a-14(a) and Rule 15d-14(a).</w:t>
              </w:r>
            </w:hyperlink>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8020" w:type="dxa"/>
            <w:vAlign w:val="bottom"/>
            <w:gridSpan w:val="6"/>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Certification pursuant to 18 U.S.C. Section 1350, as adopted pursuant to Section 906 of the Sarbanes-Oxley</w:t>
              </w:r>
            </w:hyperlink>
          </w:p>
        </w:tc>
      </w:tr>
      <w:tr>
        <w:trPr>
          <w:trHeight w:val="183"/>
        </w:trPr>
        <w:tc>
          <w:tcPr>
            <w:tcW w:w="900" w:type="dxa"/>
            <w:vAlign w:val="bottom"/>
          </w:tcPr>
          <w:p>
            <w:pPr>
              <w:spacing w:after="0"/>
              <w:rPr>
                <w:sz w:val="15"/>
                <w:szCs w:val="15"/>
                <w:color w:val="auto"/>
              </w:rPr>
            </w:pPr>
          </w:p>
        </w:tc>
        <w:tc>
          <w:tcPr>
            <w:tcW w:w="42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Act of 2002, from the Company’s Chief Executive Officer.</w:t>
              </w:r>
            </w:hyperlink>
          </w:p>
        </w:tc>
        <w:tc>
          <w:tcPr>
            <w:tcW w:w="3520" w:type="dxa"/>
            <w:vAlign w:val="bottom"/>
            <w:tcBorders>
              <w:top w:val="single" w:sz="8" w:color="0000EE"/>
            </w:tcBorders>
            <w:gridSpan w:val="2"/>
          </w:tcPr>
          <w:p>
            <w:pPr>
              <w:spacing w:after="0"/>
              <w:rPr>
                <w:sz w:val="15"/>
                <w:szCs w:val="15"/>
                <w:color w:val="auto"/>
              </w:rPr>
            </w:pPr>
          </w:p>
        </w:tc>
        <w:tc>
          <w:tcPr>
            <w:tcW w:w="260" w:type="dxa"/>
            <w:vAlign w:val="bottom"/>
            <w:gridSpan w:val="2"/>
          </w:tcPr>
          <w:p>
            <w:pPr>
              <w:spacing w:after="0"/>
              <w:rPr>
                <w:sz w:val="15"/>
                <w:szCs w:val="15"/>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8020" w:type="dxa"/>
            <w:vAlign w:val="bottom"/>
            <w:gridSpan w:val="6"/>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Certification pursuant to 18 U.S.C. Section 1350, as adopted pursuant to Section 906 of the Sarbanes-Oxley</w:t>
              </w:r>
            </w:hyperlink>
          </w:p>
        </w:tc>
      </w:tr>
      <w:tr>
        <w:trPr>
          <w:trHeight w:val="183"/>
        </w:trPr>
        <w:tc>
          <w:tcPr>
            <w:tcW w:w="900" w:type="dxa"/>
            <w:vAlign w:val="bottom"/>
          </w:tcPr>
          <w:p>
            <w:pPr>
              <w:spacing w:after="0"/>
              <w:rPr>
                <w:sz w:val="15"/>
                <w:szCs w:val="15"/>
                <w:color w:val="auto"/>
              </w:rPr>
            </w:pPr>
          </w:p>
        </w:tc>
        <w:tc>
          <w:tcPr>
            <w:tcW w:w="776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Act of 2002, from the Company’s Chief Financial Officer.</w:t>
              </w:r>
            </w:hyperlink>
          </w:p>
        </w:tc>
        <w:tc>
          <w:tcPr>
            <w:tcW w:w="260" w:type="dxa"/>
            <w:vAlign w:val="bottom"/>
            <w:gridSpan w:val="2"/>
          </w:tcPr>
          <w:p>
            <w:pPr>
              <w:spacing w:after="0"/>
              <w:rPr>
                <w:sz w:val="15"/>
                <w:szCs w:val="15"/>
                <w:color w:val="auto"/>
              </w:rPr>
            </w:pPr>
          </w:p>
        </w:tc>
      </w:tr>
      <w:tr>
        <w:trPr>
          <w:trHeight w:val="453"/>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1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iXBRL Instance Document</w:t>
            </w:r>
          </w:p>
        </w:tc>
        <w:tc>
          <w:tcPr>
            <w:tcW w:w="3840" w:type="dxa"/>
            <w:vAlign w:val="bottom"/>
            <w:gridSpan w:val="5"/>
          </w:tcPr>
          <w:p>
            <w:pPr>
              <w:spacing w:after="0"/>
              <w:rPr>
                <w:sz w:val="24"/>
                <w:szCs w:val="24"/>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8020" w:type="dxa"/>
            <w:vAlign w:val="bottom"/>
            <w:gridSpan w:val="6"/>
          </w:tcPr>
          <w:p>
            <w:pPr>
              <w:spacing w:after="0"/>
              <w:rPr>
                <w:sz w:val="20"/>
                <w:szCs w:val="20"/>
                <w:color w:val="auto"/>
              </w:rPr>
            </w:pPr>
            <w:r>
              <w:rPr>
                <w:rFonts w:ascii="Arial" w:cs="Arial" w:eastAsia="Arial" w:hAnsi="Arial"/>
                <w:sz w:val="18"/>
                <w:szCs w:val="18"/>
                <w:color w:val="auto"/>
              </w:rPr>
              <w:t>iXBRL Taxonomy Extension Schema</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8020" w:type="dxa"/>
            <w:vAlign w:val="bottom"/>
            <w:gridSpan w:val="6"/>
          </w:tcPr>
          <w:p>
            <w:pPr>
              <w:spacing w:after="0"/>
              <w:rPr>
                <w:sz w:val="20"/>
                <w:szCs w:val="20"/>
                <w:color w:val="auto"/>
              </w:rPr>
            </w:pPr>
            <w:r>
              <w:rPr>
                <w:rFonts w:ascii="Arial" w:cs="Arial" w:eastAsia="Arial" w:hAnsi="Arial"/>
                <w:sz w:val="18"/>
                <w:szCs w:val="18"/>
                <w:color w:val="auto"/>
              </w:rPr>
              <w:t>iXBRL Taxonomy Extension Calculation Linkbase</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8020" w:type="dxa"/>
            <w:vAlign w:val="bottom"/>
            <w:gridSpan w:val="6"/>
          </w:tcPr>
          <w:p>
            <w:pPr>
              <w:spacing w:after="0"/>
              <w:rPr>
                <w:sz w:val="20"/>
                <w:szCs w:val="20"/>
                <w:color w:val="auto"/>
              </w:rPr>
            </w:pPr>
            <w:r>
              <w:rPr>
                <w:rFonts w:ascii="Arial" w:cs="Arial" w:eastAsia="Arial" w:hAnsi="Arial"/>
                <w:sz w:val="18"/>
                <w:szCs w:val="18"/>
                <w:color w:val="auto"/>
              </w:rPr>
              <w:t>iXBRL Taxonomy Extension Label Linkbase</w:t>
            </w:r>
          </w:p>
        </w:tc>
      </w:tr>
      <w:tr>
        <w:trPr>
          <w:trHeight w:val="513"/>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8020" w:type="dxa"/>
            <w:vAlign w:val="bottom"/>
            <w:gridSpan w:val="6"/>
          </w:tcPr>
          <w:p>
            <w:pPr>
              <w:spacing w:after="0"/>
              <w:rPr>
                <w:sz w:val="20"/>
                <w:szCs w:val="20"/>
                <w:color w:val="auto"/>
              </w:rPr>
            </w:pPr>
            <w:r>
              <w:rPr>
                <w:rFonts w:ascii="Arial" w:cs="Arial" w:eastAsia="Arial" w:hAnsi="Arial"/>
                <w:sz w:val="18"/>
                <w:szCs w:val="18"/>
                <w:color w:val="auto"/>
              </w:rPr>
              <w:t>iXBRL Taxonomy Extension Presentation Linkbase</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8020" w:type="dxa"/>
            <w:vAlign w:val="bottom"/>
            <w:gridSpan w:val="6"/>
          </w:tcPr>
          <w:p>
            <w:pPr>
              <w:spacing w:after="0"/>
              <w:rPr>
                <w:sz w:val="20"/>
                <w:szCs w:val="20"/>
                <w:color w:val="auto"/>
              </w:rPr>
            </w:pPr>
            <w:r>
              <w:rPr>
                <w:rFonts w:ascii="Arial" w:cs="Arial" w:eastAsia="Arial" w:hAnsi="Arial"/>
                <w:sz w:val="18"/>
                <w:szCs w:val="18"/>
                <w:color w:val="auto"/>
              </w:rPr>
              <w:t>iXBRL Taxonomy Extension Definition Linkbase</w:t>
            </w:r>
          </w:p>
        </w:tc>
      </w:tr>
    </w:tbl>
    <w:p>
      <w:pPr>
        <w:spacing w:after="0" w:line="229" w:lineRule="exact"/>
        <w:rPr>
          <w:sz w:val="20"/>
          <w:szCs w:val="20"/>
          <w:color w:val="auto"/>
        </w:rPr>
      </w:pPr>
    </w:p>
    <w:p>
      <w:pPr>
        <w:ind w:left="920" w:right="219" w:hanging="893"/>
        <w:spacing w:after="0" w:line="261"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1" w:lineRule="exact"/>
        <w:rPr>
          <w:sz w:val="20"/>
          <w:szCs w:val="20"/>
          <w:color w:val="auto"/>
        </w:rPr>
      </w:pP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pacing w:after="0" w:line="2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VAN A. DUKEMAN</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Chairman, President and Chief Executive Officer</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JEFFREY D. JONES</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9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ind w:left="4860"/>
        <w:spacing w:after="0"/>
        <w:rPr>
          <w:sz w:val="20"/>
          <w:szCs w:val="20"/>
          <w:color w:val="auto"/>
        </w:rPr>
      </w:pPr>
      <w:r>
        <w:rPr>
          <w:rFonts w:ascii="Arial" w:cs="Arial" w:eastAsia="Arial" w:hAnsi="Arial"/>
          <w:sz w:val="18"/>
          <w:szCs w:val="18"/>
          <w:color w:val="auto"/>
        </w:rPr>
        <w:t>(Principal Financial Officer)</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LYNETTE M. STRODE</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Lynette M. Strode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971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40" w:hanging="332"/>
        <w:spacing w:after="0" w:line="263" w:lineRule="auto"/>
        <w:tabs>
          <w:tab w:leader="none" w:pos="3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20" w:right="100" w:hanging="331"/>
        <w:spacing w:after="0" w:line="311" w:lineRule="auto"/>
        <w:tabs>
          <w:tab w:leader="none" w:pos="661"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20" w:right="220" w:hanging="331"/>
        <w:spacing w:after="0" w:line="286" w:lineRule="auto"/>
        <w:tabs>
          <w:tab w:leader="none" w:pos="671"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400" w:hanging="331"/>
        <w:spacing w:after="0" w:line="263" w:lineRule="auto"/>
        <w:tabs>
          <w:tab w:leader="none" w:pos="661"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20" w:right="20" w:hanging="331"/>
        <w:spacing w:after="0" w:line="311" w:lineRule="auto"/>
        <w:tabs>
          <w:tab w:leader="none" w:pos="671"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56" w:val="left"/>
        </w:tabs>
        <w:numPr>
          <w:ilvl w:val="2"/>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6"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40" w:hanging="332"/>
        <w:spacing w:after="0" w:line="263" w:lineRule="auto"/>
        <w:tabs>
          <w:tab w:leader="none" w:pos="3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56" w:val="left"/>
        </w:tabs>
        <w:numPr>
          <w:ilvl w:val="2"/>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20" w:right="220" w:hanging="331"/>
        <w:spacing w:after="0" w:line="286" w:lineRule="auto"/>
        <w:tabs>
          <w:tab w:leader="none" w:pos="671"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400" w:hanging="331"/>
        <w:spacing w:after="0" w:line="263" w:lineRule="auto"/>
        <w:tabs>
          <w:tab w:leader="none" w:pos="661"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20" w:right="20" w:hanging="331"/>
        <w:spacing w:after="0" w:line="311" w:lineRule="auto"/>
        <w:tabs>
          <w:tab w:leader="none" w:pos="6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56" w:val="left"/>
        </w:tabs>
        <w:numPr>
          <w:ilvl w:val="2"/>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6"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ind w:left="88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2020,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ind w:left="88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2020,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upperLetter"/>
      <w:start w:val="68"/>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Roman"/>
      <w:start w:val="9"/>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07" Type="http://schemas.openxmlformats.org/officeDocument/2006/relationships/hyperlink" Target="https://www.sec.gov/Archives/edgar/data/314489/000031448920000025/exhibit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2020-11-05T17:28:14Z</dcterms:created>
  <dcterms:modified xsi:type="dcterms:W3CDTF">2020-11-05T17:28:14Z</dcterms:modified>
</cp:coreProperties>
</file>