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Verdana" w:cs="Verdana" w:eastAsia="Verdana" w:hAnsi="Verdana"/>
          <w:sz w:val="25"/>
          <w:szCs w:val="25"/>
          <w:b w:val="1"/>
          <w:bCs w:val="1"/>
          <w:color w:val="auto"/>
        </w:rPr>
        <w:t>UNITED STATES SECURITIES AND EXCHANGE COMMISSION</w:t>
      </w:r>
    </w:p>
    <w:p>
      <w:pPr>
        <w:jc w:val="center"/>
        <w:spacing w:after="0"/>
        <w:rPr>
          <w:sz w:val="20"/>
          <w:szCs w:val="20"/>
          <w:color w:val="auto"/>
        </w:rPr>
      </w:pPr>
      <w:r>
        <w:rPr>
          <w:rFonts w:ascii="Verdana" w:cs="Verdana" w:eastAsia="Verdana" w:hAnsi="Verdana"/>
          <w:sz w:val="14"/>
          <w:szCs w:val="14"/>
          <w:b w:val="1"/>
          <w:bCs w:val="1"/>
          <w:color w:val="auto"/>
        </w:rPr>
        <w:t>WASHINGTON, DC 20549</w:t>
      </w:r>
    </w:p>
    <w:p>
      <w:pPr>
        <w:spacing w:after="0" w:line="124" w:lineRule="exact"/>
        <w:rPr>
          <w:sz w:val="24"/>
          <w:szCs w:val="24"/>
          <w:color w:val="auto"/>
        </w:rPr>
      </w:pPr>
    </w:p>
    <w:p>
      <w:pPr>
        <w:jc w:val="center"/>
        <w:spacing w:after="0"/>
        <w:rPr>
          <w:sz w:val="20"/>
          <w:szCs w:val="20"/>
          <w:color w:val="auto"/>
        </w:rPr>
      </w:pPr>
      <w:r>
        <w:rPr>
          <w:rFonts w:ascii="Verdana" w:cs="Verdana" w:eastAsia="Verdana" w:hAnsi="Verdana"/>
          <w:sz w:val="25"/>
          <w:szCs w:val="25"/>
          <w:b w:val="1"/>
          <w:bCs w:val="1"/>
          <w:color w:val="auto"/>
        </w:rPr>
        <w:t>FORM 10-Q</w:t>
      </w:r>
    </w:p>
    <w:p>
      <w:pPr>
        <w:ind w:left="580" w:hanging="376"/>
        <w:spacing w:after="0" w:line="211" w:lineRule="auto"/>
        <w:tabs>
          <w:tab w:leader="none" w:pos="580" w:val="left"/>
        </w:tabs>
        <w:numPr>
          <w:ilvl w:val="0"/>
          <w:numId w:val="1"/>
        </w:numPr>
        <w:rPr>
          <w:rFonts w:ascii="MS PGothic" w:cs="MS PGothic" w:eastAsia="MS PGothic" w:hAnsi="MS PGothic"/>
          <w:sz w:val="36"/>
          <w:szCs w:val="36"/>
          <w:color w:val="auto"/>
          <w:highlight w:val="black"/>
          <w:vertAlign w:val="subscript"/>
        </w:rPr>
      </w:pPr>
      <w:r>
        <w:rPr>
          <w:rFonts w:ascii="Verdana" w:cs="Verdana" w:eastAsia="Verdana" w:hAnsi="Verdana"/>
          <w:sz w:val="14"/>
          <w:szCs w:val="14"/>
          <w:b w:val="1"/>
          <w:bCs w:val="1"/>
          <w:color w:val="auto"/>
        </w:rPr>
        <w:t>Quarterly Report Pursuant to Section 13 or 15(d) of the Securities Exchange Act of 1934</w:t>
      </w:r>
    </w:p>
    <w:p>
      <w:pPr>
        <w:spacing w:after="0" w:line="341" w:lineRule="exact"/>
        <w:rPr>
          <w:sz w:val="24"/>
          <w:szCs w:val="24"/>
          <w:color w:val="auto"/>
        </w:rPr>
      </w:pPr>
    </w:p>
    <w:p>
      <w:pPr>
        <w:jc w:val="center"/>
        <w:spacing w:after="0"/>
        <w:rPr>
          <w:sz w:val="20"/>
          <w:szCs w:val="20"/>
          <w:color w:val="auto"/>
        </w:rPr>
      </w:pPr>
      <w:r>
        <w:rPr>
          <w:rFonts w:ascii="Verdana" w:cs="Verdana" w:eastAsia="Verdana" w:hAnsi="Verdana"/>
          <w:sz w:val="14"/>
          <w:szCs w:val="14"/>
          <w:b w:val="1"/>
          <w:bCs w:val="1"/>
          <w:color w:val="auto"/>
        </w:rPr>
        <w:t>For the Quarterly Period Ended September 30, 2024</w:t>
      </w:r>
    </w:p>
    <w:p>
      <w:pPr>
        <w:spacing w:after="0" w:line="8" w:lineRule="exact"/>
        <w:rPr>
          <w:sz w:val="24"/>
          <w:szCs w:val="24"/>
          <w:color w:val="auto"/>
        </w:rPr>
      </w:pPr>
    </w:p>
    <w:p>
      <w:pPr>
        <w:ind w:left="580" w:hanging="375"/>
        <w:spacing w:after="0"/>
        <w:tabs>
          <w:tab w:leader="none" w:pos="580" w:val="left"/>
        </w:tabs>
        <w:numPr>
          <w:ilvl w:val="0"/>
          <w:numId w:val="2"/>
        </w:numPr>
        <w:rPr>
          <w:rFonts w:ascii="Wingdings" w:cs="Wingdings" w:eastAsia="Wingdings" w:hAnsi="Wingdings"/>
          <w:sz w:val="36"/>
          <w:szCs w:val="36"/>
          <w:b w:val="1"/>
          <w:bCs w:val="1"/>
          <w:color w:val="auto"/>
          <w:highlight w:val="black"/>
          <w:vertAlign w:val="subscript"/>
        </w:rPr>
      </w:pPr>
      <w:r>
        <w:rPr>
          <w:rFonts w:ascii="Verdana" w:cs="Verdana" w:eastAsia="Verdana" w:hAnsi="Verdana"/>
          <w:sz w:val="14"/>
          <w:szCs w:val="14"/>
          <w:b w:val="1"/>
          <w:bCs w:val="1"/>
          <w:color w:val="auto"/>
        </w:rPr>
        <w:t>Transition Report Pursuant to Section 13 or 15(d) of the Securities Exchange Act of 1934</w:t>
      </w:r>
    </w:p>
    <w:p>
      <w:pPr>
        <w:spacing w:after="0" w:line="326" w:lineRule="exact"/>
        <w:rPr>
          <w:sz w:val="24"/>
          <w:szCs w:val="24"/>
          <w:color w:val="auto"/>
        </w:rPr>
      </w:pPr>
    </w:p>
    <w:p>
      <w:pPr>
        <w:jc w:val="center"/>
        <w:spacing w:after="0"/>
        <w:rPr>
          <w:sz w:val="20"/>
          <w:szCs w:val="20"/>
          <w:color w:val="auto"/>
        </w:rPr>
      </w:pPr>
      <w:r>
        <w:rPr>
          <w:rFonts w:ascii="Verdana" w:cs="Verdana" w:eastAsia="Verdana" w:hAnsi="Verdana"/>
          <w:sz w:val="14"/>
          <w:szCs w:val="14"/>
          <w:color w:val="auto"/>
        </w:rPr>
        <w:t>Commission File No. 0-15950</w:t>
      </w:r>
    </w:p>
    <w:p>
      <w:pPr>
        <w:spacing w:after="0" w:line="165" w:lineRule="exact"/>
        <w:rPr>
          <w:sz w:val="24"/>
          <w:szCs w:val="24"/>
          <w:color w:val="auto"/>
        </w:rPr>
      </w:pPr>
    </w:p>
    <w:p>
      <w:pPr>
        <w:jc w:val="center"/>
        <w:spacing w:after="0"/>
        <w:rPr>
          <w:sz w:val="20"/>
          <w:szCs w:val="20"/>
          <w:color w:val="auto"/>
        </w:rPr>
      </w:pPr>
      <w:r>
        <w:rPr>
          <w:rFonts w:ascii="Verdana" w:cs="Verdana" w:eastAsia="Verdana" w:hAnsi="Verdana"/>
          <w:sz w:val="25"/>
          <w:szCs w:val="25"/>
          <w:b w:val="1"/>
          <w:bCs w:val="1"/>
          <w:color w:val="auto"/>
        </w:rPr>
        <w:t>FIRST BUSEY CORPORATION</w:t>
      </w:r>
    </w:p>
    <w:p>
      <w:pPr>
        <w:spacing w:after="0" w:line="9" w:lineRule="exact"/>
        <w:rPr>
          <w:sz w:val="24"/>
          <w:szCs w:val="24"/>
          <w:color w:val="auto"/>
        </w:rPr>
      </w:pPr>
    </w:p>
    <w:p>
      <w:pPr>
        <w:jc w:val="center"/>
        <w:spacing w:after="0"/>
        <w:rPr>
          <w:sz w:val="20"/>
          <w:szCs w:val="20"/>
          <w:color w:val="auto"/>
        </w:rPr>
      </w:pPr>
      <w:r>
        <w:rPr>
          <w:rFonts w:ascii="Verdana" w:cs="Verdana" w:eastAsia="Verdana" w:hAnsi="Verdana"/>
          <w:sz w:val="14"/>
          <w:szCs w:val="14"/>
          <w:color w:val="auto"/>
        </w:rPr>
        <w:t>(Exact name of registrant as specified in its charter)</w:t>
      </w:r>
    </w:p>
    <w:p>
      <w:pPr>
        <w:spacing w:after="0" w:line="221" w:lineRule="exact"/>
        <w:rPr>
          <w:sz w:val="24"/>
          <w:szCs w:val="24"/>
          <w:color w:val="auto"/>
        </w:rPr>
      </w:pPr>
    </w:p>
    <w:tbl>
      <w:tblPr>
        <w:tblLayout w:type="fixed"/>
        <w:tblInd w:w="660" w:type="dxa"/>
        <w:tblCellMar>
          <w:top w:w="0" w:type="dxa"/>
          <w:left w:w="0" w:type="dxa"/>
          <w:bottom w:w="0" w:type="dxa"/>
          <w:right w:w="0" w:type="dxa"/>
        </w:tblCellMar>
      </w:tblPr>
      <w:tr>
        <w:trPr>
          <w:trHeight w:val="187"/>
        </w:trPr>
        <w:tc>
          <w:tcPr>
            <w:tcW w:w="5400" w:type="dxa"/>
            <w:vAlign w:val="bottom"/>
          </w:tcPr>
          <w:p>
            <w:pPr>
              <w:jc w:val="center"/>
              <w:ind w:right="1008"/>
              <w:spacing w:after="0"/>
              <w:rPr>
                <w:sz w:val="20"/>
                <w:szCs w:val="20"/>
                <w:color w:val="auto"/>
              </w:rPr>
            </w:pPr>
            <w:r>
              <w:rPr>
                <w:rFonts w:ascii="Verdana" w:cs="Verdana" w:eastAsia="Verdana" w:hAnsi="Verdana"/>
                <w:sz w:val="14"/>
                <w:szCs w:val="14"/>
                <w:b w:val="1"/>
                <w:bCs w:val="1"/>
                <w:color w:val="auto"/>
              </w:rPr>
              <w:t>Nevada</w:t>
            </w:r>
          </w:p>
        </w:tc>
        <w:tc>
          <w:tcPr>
            <w:tcW w:w="3660" w:type="dxa"/>
            <w:vAlign w:val="bottom"/>
          </w:tcPr>
          <w:p>
            <w:pPr>
              <w:jc w:val="right"/>
              <w:ind w:right="728"/>
              <w:spacing w:after="0"/>
              <w:rPr>
                <w:sz w:val="20"/>
                <w:szCs w:val="20"/>
                <w:color w:val="auto"/>
              </w:rPr>
            </w:pPr>
            <w:r>
              <w:rPr>
                <w:rFonts w:ascii="Verdana" w:cs="Verdana" w:eastAsia="Verdana" w:hAnsi="Verdana"/>
                <w:sz w:val="14"/>
                <w:szCs w:val="14"/>
                <w:b w:val="1"/>
                <w:bCs w:val="1"/>
                <w:color w:val="auto"/>
              </w:rPr>
              <w:t>37-1078406</w:t>
            </w:r>
          </w:p>
        </w:tc>
        <w:tc>
          <w:tcPr>
            <w:tcW w:w="0" w:type="dxa"/>
            <w:vAlign w:val="bottom"/>
          </w:tcPr>
          <w:p>
            <w:pPr>
              <w:spacing w:after="0"/>
              <w:rPr>
                <w:sz w:val="1"/>
                <w:szCs w:val="1"/>
                <w:color w:val="auto"/>
              </w:rPr>
            </w:pPr>
          </w:p>
        </w:tc>
      </w:tr>
      <w:tr>
        <w:trPr>
          <w:trHeight w:val="189"/>
        </w:trPr>
        <w:tc>
          <w:tcPr>
            <w:tcW w:w="5400" w:type="dxa"/>
            <w:vAlign w:val="bottom"/>
          </w:tcPr>
          <w:p>
            <w:pPr>
              <w:jc w:val="center"/>
              <w:ind w:right="1008"/>
              <w:spacing w:after="0"/>
              <w:rPr>
                <w:sz w:val="20"/>
                <w:szCs w:val="20"/>
                <w:color w:val="auto"/>
              </w:rPr>
            </w:pPr>
            <w:r>
              <w:rPr>
                <w:rFonts w:ascii="Verdana" w:cs="Verdana" w:eastAsia="Verdana" w:hAnsi="Verdana"/>
                <w:sz w:val="14"/>
                <w:szCs w:val="14"/>
                <w:color w:val="auto"/>
              </w:rPr>
              <w:t>(State or other jurisdiction of incorporation or organization)</w:t>
            </w:r>
          </w:p>
        </w:tc>
        <w:tc>
          <w:tcPr>
            <w:tcW w:w="3660" w:type="dxa"/>
            <w:vAlign w:val="bottom"/>
          </w:tcPr>
          <w:p>
            <w:pPr>
              <w:jc w:val="center"/>
              <w:ind w:left="1008"/>
              <w:spacing w:after="0"/>
              <w:rPr>
                <w:sz w:val="20"/>
                <w:szCs w:val="20"/>
                <w:color w:val="auto"/>
              </w:rPr>
            </w:pPr>
            <w:r>
              <w:rPr>
                <w:rFonts w:ascii="Verdana" w:cs="Verdana" w:eastAsia="Verdana" w:hAnsi="Verdana"/>
                <w:sz w:val="14"/>
                <w:szCs w:val="14"/>
                <w:color w:val="auto"/>
              </w:rPr>
              <w:t>(I.R.S. Employer Identification No.)</w:t>
            </w:r>
          </w:p>
        </w:tc>
        <w:tc>
          <w:tcPr>
            <w:tcW w:w="0" w:type="dxa"/>
            <w:vAlign w:val="bottom"/>
          </w:tcPr>
          <w:p>
            <w:pPr>
              <w:spacing w:after="0"/>
              <w:rPr>
                <w:sz w:val="1"/>
                <w:szCs w:val="1"/>
                <w:color w:val="auto"/>
              </w:rPr>
            </w:pPr>
          </w:p>
        </w:tc>
      </w:tr>
      <w:tr>
        <w:trPr>
          <w:trHeight w:val="147"/>
        </w:trPr>
        <w:tc>
          <w:tcPr>
            <w:tcW w:w="5400" w:type="dxa"/>
            <w:vAlign w:val="bottom"/>
          </w:tcPr>
          <w:p>
            <w:pPr>
              <w:jc w:val="center"/>
              <w:ind w:right="1008"/>
              <w:spacing w:after="0" w:line="147" w:lineRule="exact"/>
              <w:rPr>
                <w:sz w:val="20"/>
                <w:szCs w:val="20"/>
                <w:color w:val="auto"/>
              </w:rPr>
            </w:pPr>
            <w:r>
              <w:rPr>
                <w:rFonts w:ascii="Verdana" w:cs="Verdana" w:eastAsia="Verdana" w:hAnsi="Verdana"/>
                <w:sz w:val="14"/>
                <w:szCs w:val="14"/>
                <w:color w:val="auto"/>
              </w:rPr>
              <w:t>100 W. University Ave.</w:t>
            </w:r>
          </w:p>
        </w:tc>
        <w:tc>
          <w:tcPr>
            <w:tcW w:w="3660" w:type="dxa"/>
            <w:vAlign w:val="bottom"/>
            <w:vMerge w:val="restart"/>
          </w:tcPr>
          <w:p>
            <w:pPr>
              <w:jc w:val="right"/>
              <w:ind w:right="988"/>
              <w:spacing w:after="0"/>
              <w:rPr>
                <w:sz w:val="20"/>
                <w:szCs w:val="20"/>
                <w:color w:val="auto"/>
              </w:rPr>
            </w:pPr>
            <w:r>
              <w:rPr>
                <w:rFonts w:ascii="Verdana" w:cs="Verdana" w:eastAsia="Verdana" w:hAnsi="Verdana"/>
                <w:sz w:val="14"/>
                <w:szCs w:val="14"/>
                <w:color w:val="auto"/>
              </w:rPr>
              <w:t>61820</w:t>
            </w:r>
          </w:p>
        </w:tc>
        <w:tc>
          <w:tcPr>
            <w:tcW w:w="0" w:type="dxa"/>
            <w:vAlign w:val="bottom"/>
          </w:tcPr>
          <w:p>
            <w:pPr>
              <w:spacing w:after="0"/>
              <w:rPr>
                <w:sz w:val="1"/>
                <w:szCs w:val="1"/>
                <w:color w:val="auto"/>
              </w:rPr>
            </w:pPr>
          </w:p>
        </w:tc>
      </w:tr>
      <w:tr>
        <w:trPr>
          <w:trHeight w:val="179"/>
        </w:trPr>
        <w:tc>
          <w:tcPr>
            <w:tcW w:w="5400" w:type="dxa"/>
            <w:vAlign w:val="bottom"/>
          </w:tcPr>
          <w:p>
            <w:pPr>
              <w:jc w:val="center"/>
              <w:ind w:right="1008"/>
              <w:spacing w:after="0"/>
              <w:rPr>
                <w:sz w:val="20"/>
                <w:szCs w:val="20"/>
                <w:color w:val="auto"/>
              </w:rPr>
            </w:pPr>
            <w:r>
              <w:rPr>
                <w:rFonts w:ascii="Verdana" w:cs="Verdana" w:eastAsia="Verdana" w:hAnsi="Verdana"/>
                <w:sz w:val="14"/>
                <w:szCs w:val="14"/>
                <w:color w:val="auto"/>
              </w:rPr>
              <w:t>Champaign, Illinois</w:t>
            </w:r>
          </w:p>
        </w:tc>
        <w:tc>
          <w:tcPr>
            <w:tcW w:w="3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400" w:type="dxa"/>
            <w:vAlign w:val="bottom"/>
          </w:tcPr>
          <w:p>
            <w:pPr>
              <w:jc w:val="center"/>
              <w:ind w:right="1008"/>
              <w:spacing w:after="0"/>
              <w:rPr>
                <w:sz w:val="20"/>
                <w:szCs w:val="20"/>
                <w:color w:val="auto"/>
              </w:rPr>
            </w:pPr>
            <w:r>
              <w:rPr>
                <w:rFonts w:ascii="Verdana" w:cs="Verdana" w:eastAsia="Verdana" w:hAnsi="Verdana"/>
                <w:sz w:val="14"/>
                <w:szCs w:val="14"/>
                <w:color w:val="auto"/>
              </w:rPr>
              <w:t>(Address of principal executive offices)</w:t>
            </w:r>
          </w:p>
        </w:tc>
        <w:tc>
          <w:tcPr>
            <w:tcW w:w="3660" w:type="dxa"/>
            <w:vAlign w:val="bottom"/>
          </w:tcPr>
          <w:p>
            <w:pPr>
              <w:jc w:val="center"/>
              <w:ind w:left="1008"/>
              <w:spacing w:after="0"/>
              <w:rPr>
                <w:sz w:val="20"/>
                <w:szCs w:val="20"/>
                <w:color w:val="auto"/>
              </w:rPr>
            </w:pPr>
            <w:r>
              <w:rPr>
                <w:rFonts w:ascii="Verdana" w:cs="Verdana" w:eastAsia="Verdana" w:hAnsi="Verdana"/>
                <w:sz w:val="14"/>
                <w:szCs w:val="14"/>
                <w:color w:val="auto"/>
              </w:rPr>
              <w:t>(Zip code)</w:t>
            </w:r>
          </w:p>
        </w:tc>
        <w:tc>
          <w:tcPr>
            <w:tcW w:w="0" w:type="dxa"/>
            <w:vAlign w:val="bottom"/>
          </w:tcPr>
          <w:p>
            <w:pPr>
              <w:spacing w:after="0"/>
              <w:rPr>
                <w:sz w:val="1"/>
                <w:szCs w:val="1"/>
                <w:color w:val="auto"/>
              </w:rPr>
            </w:pPr>
          </w:p>
        </w:tc>
      </w:tr>
    </w:tbl>
    <w:p>
      <w:pPr>
        <w:spacing w:after="0" w:line="205" w:lineRule="exact"/>
        <w:rPr>
          <w:sz w:val="24"/>
          <w:szCs w:val="24"/>
          <w:color w:val="auto"/>
        </w:rPr>
      </w:pPr>
    </w:p>
    <w:p>
      <w:pPr>
        <w:ind w:left="3060"/>
        <w:spacing w:after="0"/>
        <w:rPr>
          <w:sz w:val="20"/>
          <w:szCs w:val="20"/>
          <w:color w:val="auto"/>
        </w:rPr>
      </w:pPr>
      <w:r>
        <w:rPr>
          <w:rFonts w:ascii="Verdana" w:cs="Verdana" w:eastAsia="Verdana" w:hAnsi="Verdana"/>
          <w:sz w:val="14"/>
          <w:szCs w:val="14"/>
          <w:color w:val="auto"/>
        </w:rPr>
        <w:t xml:space="preserve">Registrant’s telephone number, including area code: </w:t>
      </w:r>
      <w:r>
        <w:rPr>
          <w:rFonts w:ascii="Verdana" w:cs="Verdana" w:eastAsia="Verdana" w:hAnsi="Verdana"/>
          <w:sz w:val="14"/>
          <w:szCs w:val="14"/>
          <w:b w:val="1"/>
          <w:bCs w:val="1"/>
          <w:color w:val="auto"/>
        </w:rPr>
        <w:t>(217) 365-4544</w:t>
      </w:r>
    </w:p>
    <w:p>
      <w:pPr>
        <w:spacing w:after="0" w:line="92" w:lineRule="exact"/>
        <w:rPr>
          <w:sz w:val="24"/>
          <w:szCs w:val="24"/>
          <w:color w:val="auto"/>
        </w:rPr>
      </w:pPr>
    </w:p>
    <w:p>
      <w:pPr>
        <w:ind w:left="5480"/>
        <w:spacing w:after="0"/>
        <w:rPr>
          <w:sz w:val="20"/>
          <w:szCs w:val="20"/>
          <w:color w:val="auto"/>
        </w:rPr>
      </w:pPr>
      <w:r>
        <w:rPr>
          <w:rFonts w:ascii="Verdana" w:cs="Verdana" w:eastAsia="Verdana" w:hAnsi="Verdana"/>
          <w:sz w:val="14"/>
          <w:szCs w:val="14"/>
          <w:color w:val="auto"/>
        </w:rPr>
        <w:t>N/A</w:t>
      </w:r>
    </w:p>
    <w:p>
      <w:pPr>
        <w:jc w:val="center"/>
        <w:spacing w:after="0"/>
        <w:rPr>
          <w:sz w:val="20"/>
          <w:szCs w:val="20"/>
          <w:color w:val="auto"/>
        </w:rPr>
      </w:pPr>
      <w:r>
        <w:rPr>
          <w:rFonts w:ascii="Verdana" w:cs="Verdana" w:eastAsia="Verdana" w:hAnsi="Verdana"/>
          <w:sz w:val="14"/>
          <w:szCs w:val="14"/>
          <w:color w:val="auto"/>
        </w:rPr>
        <w:t>(Former name, former address, and former fiscal year, if changed since last report)</w:t>
      </w:r>
    </w:p>
    <w:p>
      <w:pPr>
        <w:spacing w:after="0" w:line="200" w:lineRule="exact"/>
        <w:rPr>
          <w:sz w:val="24"/>
          <w:szCs w:val="24"/>
          <w:color w:val="auto"/>
        </w:rPr>
      </w:pPr>
    </w:p>
    <w:p>
      <w:pPr>
        <w:spacing w:after="0" w:line="305"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4700" w:type="dxa"/>
            <w:vAlign w:val="bottom"/>
            <w:gridSpan w:val="3"/>
          </w:tcPr>
          <w:p>
            <w:pPr>
              <w:ind w:left="340"/>
              <w:spacing w:after="0"/>
              <w:rPr>
                <w:sz w:val="20"/>
                <w:szCs w:val="20"/>
                <w:color w:val="auto"/>
              </w:rPr>
            </w:pPr>
            <w:r>
              <w:rPr>
                <w:rFonts w:ascii="Verdana" w:cs="Verdana" w:eastAsia="Verdana" w:hAnsi="Verdana"/>
                <w:sz w:val="14"/>
                <w:szCs w:val="14"/>
                <w:color w:val="auto"/>
              </w:rPr>
              <w:t>Securities registered pursuant to Section 12(b) of the Act:</w:t>
            </w: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0" w:type="dxa"/>
            <w:vAlign w:val="bottom"/>
          </w:tcPr>
          <w:p>
            <w:pPr>
              <w:spacing w:after="0"/>
              <w:rPr>
                <w:sz w:val="16"/>
                <w:szCs w:val="16"/>
                <w:color w:val="auto"/>
              </w:rPr>
            </w:pPr>
          </w:p>
        </w:tc>
      </w:tr>
      <w:tr>
        <w:trPr>
          <w:trHeight w:val="336"/>
        </w:trPr>
        <w:tc>
          <w:tcPr>
            <w:tcW w:w="4380" w:type="dxa"/>
            <w:vAlign w:val="bottom"/>
            <w:tcBorders>
              <w:bottom w:val="single" w:sz="8" w:color="auto"/>
            </w:tcBorders>
          </w:tcPr>
          <w:p>
            <w:pPr>
              <w:jc w:val="center"/>
              <w:spacing w:after="0"/>
              <w:rPr>
                <w:sz w:val="20"/>
                <w:szCs w:val="20"/>
                <w:color w:val="auto"/>
              </w:rPr>
            </w:pPr>
            <w:r>
              <w:rPr>
                <w:rFonts w:ascii="Verdana" w:cs="Verdana" w:eastAsia="Verdana" w:hAnsi="Verdana"/>
                <w:sz w:val="14"/>
                <w:szCs w:val="14"/>
                <w:b w:val="1"/>
                <w:bCs w:val="1"/>
                <w:color w:val="auto"/>
              </w:rPr>
              <w:t>Title of each class</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center"/>
              <w:ind w:right="148"/>
              <w:spacing w:after="0"/>
              <w:rPr>
                <w:sz w:val="20"/>
                <w:szCs w:val="20"/>
                <w:color w:val="auto"/>
              </w:rPr>
            </w:pPr>
            <w:r>
              <w:rPr>
                <w:rFonts w:ascii="Verdana" w:cs="Verdana" w:eastAsia="Verdana" w:hAnsi="Verdana"/>
                <w:sz w:val="14"/>
                <w:szCs w:val="14"/>
                <w:b w:val="1"/>
                <w:bCs w:val="1"/>
                <w:color w:val="auto"/>
              </w:rPr>
              <w:t>Trading Symbol (s)</w:t>
            </w:r>
          </w:p>
        </w:tc>
        <w:tc>
          <w:tcPr>
            <w:tcW w:w="100" w:type="dxa"/>
            <w:vAlign w:val="bottom"/>
          </w:tcPr>
          <w:p>
            <w:pPr>
              <w:spacing w:after="0"/>
              <w:rPr>
                <w:sz w:val="24"/>
                <w:szCs w:val="24"/>
                <w:color w:val="auto"/>
              </w:rPr>
            </w:pPr>
          </w:p>
        </w:tc>
        <w:tc>
          <w:tcPr>
            <w:tcW w:w="4400" w:type="dxa"/>
            <w:vAlign w:val="bottom"/>
            <w:tcBorders>
              <w:bottom w:val="single" w:sz="8" w:color="auto"/>
            </w:tcBorders>
          </w:tcPr>
          <w:p>
            <w:pPr>
              <w:jc w:val="center"/>
              <w:spacing w:after="0"/>
              <w:rPr>
                <w:sz w:val="20"/>
                <w:szCs w:val="20"/>
                <w:color w:val="auto"/>
              </w:rPr>
            </w:pPr>
            <w:r>
              <w:rPr>
                <w:rFonts w:ascii="Verdana" w:cs="Verdana" w:eastAsia="Verdana" w:hAnsi="Verdana"/>
                <w:sz w:val="14"/>
                <w:szCs w:val="14"/>
                <w:b w:val="1"/>
                <w:bCs w:val="1"/>
                <w:color w:val="auto"/>
              </w:rPr>
              <w:t>Name of each exchange on which registered</w:t>
            </w:r>
          </w:p>
        </w:tc>
      </w:tr>
      <w:tr>
        <w:trPr>
          <w:trHeight w:val="184"/>
        </w:trPr>
        <w:tc>
          <w:tcPr>
            <w:tcW w:w="4700" w:type="dxa"/>
            <w:vAlign w:val="bottom"/>
            <w:gridSpan w:val="3"/>
          </w:tcPr>
          <w:p>
            <w:pPr>
              <w:jc w:val="center"/>
              <w:ind w:right="320"/>
              <w:spacing w:after="0"/>
              <w:rPr>
                <w:sz w:val="20"/>
                <w:szCs w:val="20"/>
                <w:color w:val="auto"/>
              </w:rPr>
            </w:pPr>
            <w:r>
              <w:rPr>
                <w:rFonts w:ascii="Verdana" w:cs="Verdana" w:eastAsia="Verdana" w:hAnsi="Verdana"/>
                <w:sz w:val="14"/>
                <w:szCs w:val="14"/>
                <w:color w:val="auto"/>
              </w:rPr>
              <w:t>Common Stock, $.001 par value</w:t>
            </w:r>
          </w:p>
        </w:tc>
        <w:tc>
          <w:tcPr>
            <w:tcW w:w="2140" w:type="dxa"/>
            <w:vAlign w:val="bottom"/>
            <w:gridSpan w:val="2"/>
          </w:tcPr>
          <w:p>
            <w:pPr>
              <w:jc w:val="center"/>
              <w:ind w:right="320"/>
              <w:spacing w:after="0"/>
              <w:rPr>
                <w:sz w:val="20"/>
                <w:szCs w:val="20"/>
                <w:color w:val="auto"/>
              </w:rPr>
            </w:pPr>
            <w:r>
              <w:rPr>
                <w:rFonts w:ascii="Verdana" w:cs="Verdana" w:eastAsia="Verdana" w:hAnsi="Verdana"/>
                <w:sz w:val="14"/>
                <w:szCs w:val="14"/>
                <w:color w:val="auto"/>
                <w:w w:val="98"/>
              </w:rPr>
              <w:t>BUSE</w:t>
            </w:r>
          </w:p>
        </w:tc>
        <w:tc>
          <w:tcPr>
            <w:tcW w:w="4400" w:type="dxa"/>
            <w:vAlign w:val="bottom"/>
          </w:tcPr>
          <w:p>
            <w:pPr>
              <w:jc w:val="center"/>
              <w:spacing w:after="0"/>
              <w:rPr>
                <w:sz w:val="20"/>
                <w:szCs w:val="20"/>
                <w:color w:val="auto"/>
              </w:rPr>
            </w:pPr>
            <w:r>
              <w:rPr>
                <w:rFonts w:ascii="Verdana" w:cs="Verdana" w:eastAsia="Verdana" w:hAnsi="Verdana"/>
                <w:sz w:val="14"/>
                <w:szCs w:val="14"/>
                <w:color w:val="auto"/>
              </w:rPr>
              <w:t>The Nasdaq Stock Market LLC</w:t>
            </w:r>
          </w:p>
        </w:tc>
      </w:tr>
    </w:tbl>
    <w:p>
      <w:pPr>
        <w:spacing w:after="0" w:line="245" w:lineRule="exact"/>
        <w:rPr>
          <w:sz w:val="24"/>
          <w:szCs w:val="24"/>
          <w:color w:val="auto"/>
        </w:rPr>
      </w:pPr>
    </w:p>
    <w:p>
      <w:pPr>
        <w:jc w:val="both"/>
        <w:spacing w:after="0" w:line="212" w:lineRule="auto"/>
        <w:rPr>
          <w:sz w:val="20"/>
          <w:szCs w:val="20"/>
          <w:color w:val="auto"/>
        </w:rPr>
      </w:pPr>
      <w:r>
        <w:rPr>
          <w:rFonts w:ascii="Verdana" w:cs="Verdana" w:eastAsia="Verdana" w:hAnsi="Verdana"/>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rPr>
          <w:sz w:val="20"/>
          <w:szCs w:val="20"/>
          <w:color w:val="auto"/>
        </w:rPr>
      </w:pPr>
      <w:r>
        <w:rPr>
          <w:rFonts w:ascii="Verdana" w:cs="Verdana" w:eastAsia="Verdana" w:hAnsi="Verdana"/>
          <w:sz w:val="14"/>
          <w:szCs w:val="14"/>
          <w:color w:val="auto"/>
        </w:rPr>
        <w:t xml:space="preserve">requirements for the past 90 days. Yes </w:t>
      </w:r>
      <w:r>
        <w:rPr>
          <w:rFonts w:ascii="MS PGothic" w:cs="MS PGothic" w:eastAsia="MS PGothic" w:hAnsi="MS PGothic"/>
          <w:sz w:val="17"/>
          <w:szCs w:val="17"/>
          <w:color w:val="auto"/>
        </w:rPr>
        <w:t>☑</w:t>
      </w:r>
      <w:r>
        <w:rPr>
          <w:rFonts w:ascii="Verdana" w:cs="Verdana" w:eastAsia="Verdana" w:hAnsi="Verdana"/>
          <w:sz w:val="14"/>
          <w:szCs w:val="14"/>
          <w:color w:val="auto"/>
        </w:rPr>
        <w:t xml:space="preserve"> No </w:t>
      </w:r>
      <w:r>
        <w:rPr>
          <w:rFonts w:ascii="Wingdings" w:cs="Wingdings" w:eastAsia="Wingdings" w:hAnsi="Wingdings"/>
          <w:sz w:val="17"/>
          <w:szCs w:val="17"/>
          <w:b w:val="1"/>
          <w:bCs w:val="1"/>
          <w:color w:val="auto"/>
        </w:rPr>
        <w:t>o</w:t>
      </w:r>
    </w:p>
    <w:p>
      <w:pPr>
        <w:spacing w:after="0" w:line="113" w:lineRule="exact"/>
        <w:rPr>
          <w:sz w:val="24"/>
          <w:szCs w:val="24"/>
          <w:color w:val="auto"/>
        </w:rPr>
      </w:pPr>
    </w:p>
    <w:p>
      <w:pPr>
        <w:jc w:val="both"/>
        <w:ind w:right="20"/>
        <w:spacing w:after="0" w:line="203" w:lineRule="auto"/>
        <w:rPr>
          <w:sz w:val="20"/>
          <w:szCs w:val="20"/>
          <w:color w:val="auto"/>
        </w:rPr>
      </w:pPr>
      <w:r>
        <w:rPr>
          <w:rFonts w:ascii="Verdana" w:cs="Verdana" w:eastAsia="Verdana" w:hAnsi="Verdana"/>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207" w:lineRule="exact"/>
        <w:rPr>
          <w:sz w:val="20"/>
          <w:szCs w:val="20"/>
          <w:color w:val="auto"/>
        </w:rPr>
      </w:pPr>
      <w:r>
        <w:rPr>
          <w:rFonts w:ascii="Verdana" w:cs="Verdana" w:eastAsia="Verdana" w:hAnsi="Verdana"/>
          <w:sz w:val="14"/>
          <w:szCs w:val="14"/>
          <w:color w:val="auto"/>
        </w:rPr>
        <w:t xml:space="preserve">files). Yes </w:t>
      </w:r>
      <w:r>
        <w:rPr>
          <w:rFonts w:ascii="MS PGothic" w:cs="MS PGothic" w:eastAsia="MS PGothic" w:hAnsi="MS PGothic"/>
          <w:sz w:val="17"/>
          <w:szCs w:val="17"/>
          <w:color w:val="auto"/>
        </w:rPr>
        <w:t>☑</w:t>
      </w:r>
      <w:r>
        <w:rPr>
          <w:rFonts w:ascii="Verdana" w:cs="Verdana" w:eastAsia="Verdana" w:hAnsi="Verdana"/>
          <w:sz w:val="14"/>
          <w:szCs w:val="14"/>
          <w:color w:val="auto"/>
        </w:rPr>
        <w:t xml:space="preserve"> No </w:t>
      </w:r>
      <w:r>
        <w:rPr>
          <w:rFonts w:ascii="Wingdings" w:cs="Wingdings" w:eastAsia="Wingdings" w:hAnsi="Wingdings"/>
          <w:sz w:val="17"/>
          <w:szCs w:val="17"/>
          <w:b w:val="1"/>
          <w:bCs w:val="1"/>
          <w:color w:val="auto"/>
        </w:rPr>
        <w:t>o</w:t>
      </w:r>
    </w:p>
    <w:p>
      <w:pPr>
        <w:spacing w:after="0" w:line="113" w:lineRule="exact"/>
        <w:rPr>
          <w:sz w:val="24"/>
          <w:szCs w:val="24"/>
          <w:color w:val="auto"/>
        </w:rPr>
      </w:pPr>
    </w:p>
    <w:p>
      <w:pPr>
        <w:jc w:val="both"/>
        <w:spacing w:after="0" w:line="221" w:lineRule="auto"/>
        <w:rPr>
          <w:sz w:val="20"/>
          <w:szCs w:val="20"/>
          <w:color w:val="auto"/>
        </w:rPr>
      </w:pPr>
      <w:r>
        <w:rPr>
          <w:rFonts w:ascii="Verdana" w:cs="Verdana" w:eastAsia="Verdana" w:hAnsi="Verdana"/>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310" w:right="339" w:bottom="1440" w:gutter="0" w:footer="0" w:header="0"/>
        </w:sectPr>
      </w:pPr>
    </w:p>
    <w:p>
      <w:pPr>
        <w:spacing w:after="0" w:line="250" w:lineRule="exact"/>
        <w:rPr>
          <w:sz w:val="24"/>
          <w:szCs w:val="24"/>
          <w:color w:val="auto"/>
        </w:rPr>
      </w:pPr>
    </w:p>
    <w:p>
      <w:pPr>
        <w:ind w:left="360"/>
        <w:spacing w:after="0" w:line="207" w:lineRule="exact"/>
        <w:rPr>
          <w:sz w:val="20"/>
          <w:szCs w:val="20"/>
          <w:color w:val="auto"/>
        </w:rPr>
      </w:pPr>
      <w:r>
        <w:rPr>
          <w:rFonts w:ascii="Verdana" w:cs="Verdana" w:eastAsia="Verdana" w:hAnsi="Verdana"/>
          <w:sz w:val="14"/>
          <w:szCs w:val="14"/>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rPr>
          <w:sz w:val="20"/>
          <w:szCs w:val="20"/>
          <w:color w:val="auto"/>
        </w:rPr>
      </w:pPr>
      <w:r>
        <w:rPr>
          <w:rFonts w:ascii="Verdana" w:cs="Verdana" w:eastAsia="Verdana" w:hAnsi="Verdana"/>
          <w:sz w:val="14"/>
          <w:szCs w:val="14"/>
          <w:color w:val="auto"/>
        </w:rPr>
        <w:t xml:space="preserve">Accelerated filer </w:t>
      </w: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rPr>
          <w:sz w:val="20"/>
          <w:szCs w:val="20"/>
          <w:color w:val="auto"/>
        </w:rPr>
      </w:pPr>
      <w:r>
        <w:rPr>
          <w:rFonts w:ascii="Verdana" w:cs="Verdana" w:eastAsia="Verdana" w:hAnsi="Verdana"/>
          <w:sz w:val="14"/>
          <w:szCs w:val="14"/>
          <w:color w:val="auto"/>
        </w:rPr>
        <w:t xml:space="preserve">Non-accelerated filer </w:t>
      </w:r>
      <w:r>
        <w:rPr>
          <w:rFonts w:ascii="Wingdings" w:cs="Wingdings" w:eastAsia="Wingdings" w:hAnsi="Wingdings"/>
          <w:sz w:val="17"/>
          <w:szCs w:val="17"/>
          <w:b w:val="1"/>
          <w:bCs w:val="1"/>
          <w:color w:val="auto"/>
        </w:rPr>
        <w:t>o</w:t>
      </w:r>
    </w:p>
    <w:p>
      <w:pPr>
        <w:spacing w:after="0" w:line="200" w:lineRule="exact"/>
        <w:rPr>
          <w:sz w:val="24"/>
          <w:szCs w:val="24"/>
          <w:color w:val="auto"/>
        </w:rPr>
      </w:pPr>
    </w:p>
    <w:p>
      <w:pPr>
        <w:sectPr>
          <w:pgSz w:w="11900" w:h="16838" w:orient="portrait"/>
          <w:cols w:equalWidth="0" w:num="3">
            <w:col w:w="3240" w:space="720"/>
            <w:col w:w="2940" w:space="720"/>
            <w:col w:w="3620"/>
          </w:cols>
          <w:pgMar w:left="320" w:top="310" w:right="339" w:bottom="1440" w:gutter="0" w:footer="0" w:header="0"/>
          <w:type w:val="continuous"/>
        </w:sectPr>
      </w:pPr>
    </w:p>
    <w:p>
      <w:pPr>
        <w:spacing w:after="0" w:line="64" w:lineRule="exact"/>
        <w:rPr>
          <w:sz w:val="24"/>
          <w:szCs w:val="24"/>
          <w:color w:val="auto"/>
        </w:rPr>
      </w:pPr>
    </w:p>
    <w:p>
      <w:pPr>
        <w:ind w:left="360"/>
        <w:spacing w:after="0" w:line="207" w:lineRule="exact"/>
        <w:rPr>
          <w:sz w:val="20"/>
          <w:szCs w:val="20"/>
          <w:color w:val="auto"/>
        </w:rPr>
      </w:pPr>
      <w:r>
        <w:rPr>
          <w:rFonts w:ascii="Verdana" w:cs="Verdana" w:eastAsia="Verdana" w:hAnsi="Verdana"/>
          <w:sz w:val="14"/>
          <w:szCs w:val="14"/>
          <w:color w:val="auto"/>
        </w:rPr>
        <w:t xml:space="preserve">Smaller reporting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207" w:lineRule="exact"/>
        <w:rPr>
          <w:sz w:val="20"/>
          <w:szCs w:val="20"/>
          <w:color w:val="auto"/>
        </w:rPr>
      </w:pPr>
      <w:r>
        <w:rPr>
          <w:rFonts w:ascii="Verdana" w:cs="Verdana" w:eastAsia="Verdana" w:hAnsi="Verdana"/>
          <w:sz w:val="14"/>
          <w:szCs w:val="14"/>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3240" w:space="720"/>
            <w:col w:w="7280"/>
          </w:cols>
          <w:pgMar w:left="320" w:top="310" w:right="339" w:bottom="1440" w:gutter="0" w:footer="0" w:header="0"/>
          <w:type w:val="continuous"/>
        </w:sectPr>
      </w:pPr>
    </w:p>
    <w:p>
      <w:pPr>
        <w:spacing w:after="0" w:line="237" w:lineRule="exact"/>
        <w:rPr>
          <w:sz w:val="24"/>
          <w:szCs w:val="24"/>
          <w:color w:val="auto"/>
        </w:rPr>
      </w:pPr>
    </w:p>
    <w:p>
      <w:pPr>
        <w:spacing w:after="0" w:line="230" w:lineRule="auto"/>
        <w:rPr>
          <w:sz w:val="20"/>
          <w:szCs w:val="20"/>
          <w:color w:val="auto"/>
        </w:rPr>
      </w:pPr>
      <w:r>
        <w:rPr>
          <w:rFonts w:ascii="Verdana" w:cs="Verdana" w:eastAsia="Verdana" w:hAnsi="Verdana"/>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62" w:lineRule="exact"/>
        <w:rPr>
          <w:sz w:val="24"/>
          <w:szCs w:val="24"/>
          <w:color w:val="auto"/>
        </w:rPr>
      </w:pPr>
    </w:p>
    <w:p>
      <w:pPr>
        <w:ind w:right="1920"/>
        <w:spacing w:after="0" w:line="280" w:lineRule="exact"/>
        <w:rPr>
          <w:sz w:val="20"/>
          <w:szCs w:val="20"/>
          <w:color w:val="auto"/>
        </w:rPr>
      </w:pPr>
      <w:r>
        <w:rPr>
          <w:rFonts w:ascii="Verdana" w:cs="Verdana" w:eastAsia="Verdana" w:hAnsi="Verdana"/>
          <w:sz w:val="14"/>
          <w:szCs w:val="14"/>
          <w:color w:val="auto"/>
        </w:rPr>
        <w:t xml:space="preserve">Indicate by check mark whether the registrant is a shell company (as defined in Rule 12b-2 of the Exchange Act). Yes </w:t>
      </w:r>
      <w:r>
        <w:rPr>
          <w:rFonts w:ascii="Wingdings" w:cs="Wingdings" w:eastAsia="Wingdings" w:hAnsi="Wingdings"/>
          <w:sz w:val="17"/>
          <w:szCs w:val="17"/>
          <w:b w:val="1"/>
          <w:bCs w:val="1"/>
          <w:color w:val="auto"/>
        </w:rPr>
        <w:t>o</w:t>
      </w:r>
      <w:r>
        <w:rPr>
          <w:rFonts w:ascii="Verdana" w:cs="Verdana" w:eastAsia="Verdana" w:hAnsi="Verdana"/>
          <w:sz w:val="14"/>
          <w:szCs w:val="14"/>
          <w:color w:val="auto"/>
        </w:rPr>
        <w:t xml:space="preserve"> No </w:t>
      </w:r>
      <w:r>
        <w:rPr>
          <w:rFonts w:ascii="MS PGothic" w:cs="MS PGothic" w:eastAsia="MS PGothic" w:hAnsi="MS PGothic"/>
          <w:sz w:val="17"/>
          <w:szCs w:val="17"/>
          <w:color w:val="auto"/>
        </w:rPr>
        <w:t>☑</w:t>
      </w:r>
      <w:r>
        <w:rPr>
          <w:rFonts w:ascii="Verdana" w:cs="Verdana" w:eastAsia="Verdana" w:hAnsi="Verdana"/>
          <w:sz w:val="14"/>
          <w:szCs w:val="14"/>
          <w:color w:val="auto"/>
        </w:rPr>
        <w:t xml:space="preserve"> Indicate the number of shares outstanding of each of the issuer’s classes of common stock, as of the latest practicable date.</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60" w:type="dxa"/>
            <w:vAlign w:val="bottom"/>
            <w:tcBorders>
              <w:bottom w:val="single" w:sz="8" w:color="auto"/>
            </w:tcBorders>
          </w:tcPr>
          <w:p>
            <w:pPr>
              <w:jc w:val="center"/>
              <w:spacing w:after="0"/>
              <w:rPr>
                <w:sz w:val="20"/>
                <w:szCs w:val="20"/>
                <w:color w:val="auto"/>
              </w:rPr>
            </w:pPr>
            <w:r>
              <w:rPr>
                <w:rFonts w:ascii="Verdana" w:cs="Verdana" w:eastAsia="Verdana" w:hAnsi="Verdana"/>
                <w:sz w:val="14"/>
                <w:szCs w:val="14"/>
                <w:b w:val="1"/>
                <w:bCs w:val="1"/>
                <w:color w:val="auto"/>
              </w:rPr>
              <w:t>Class</w:t>
            </w:r>
          </w:p>
        </w:tc>
        <w:tc>
          <w:tcPr>
            <w:tcW w:w="100" w:type="dxa"/>
            <w:vAlign w:val="bottom"/>
          </w:tcPr>
          <w:p>
            <w:pPr>
              <w:spacing w:after="0"/>
              <w:rPr>
                <w:sz w:val="16"/>
                <w:szCs w:val="16"/>
                <w:color w:val="auto"/>
              </w:rPr>
            </w:pPr>
          </w:p>
        </w:tc>
        <w:tc>
          <w:tcPr>
            <w:tcW w:w="4680" w:type="dxa"/>
            <w:vAlign w:val="bottom"/>
            <w:tcBorders>
              <w:bottom w:val="single" w:sz="8" w:color="auto"/>
            </w:tcBorders>
          </w:tcPr>
          <w:p>
            <w:pPr>
              <w:jc w:val="center"/>
              <w:spacing w:after="0"/>
              <w:rPr>
                <w:sz w:val="20"/>
                <w:szCs w:val="20"/>
                <w:color w:val="auto"/>
              </w:rPr>
            </w:pPr>
            <w:r>
              <w:rPr>
                <w:rFonts w:ascii="Verdana" w:cs="Verdana" w:eastAsia="Verdana" w:hAnsi="Verdana"/>
                <w:sz w:val="14"/>
                <w:szCs w:val="14"/>
                <w:b w:val="1"/>
                <w:bCs w:val="1"/>
                <w:color w:val="auto"/>
              </w:rPr>
              <w:t>Outstanding at November 5, 2024</w:t>
            </w:r>
          </w:p>
        </w:tc>
        <w:tc>
          <w:tcPr>
            <w:tcW w:w="900" w:type="dxa"/>
            <w:vAlign w:val="bottom"/>
            <w:gridSpan w:val="2"/>
          </w:tcPr>
          <w:p>
            <w:pPr>
              <w:spacing w:after="0"/>
              <w:rPr>
                <w:sz w:val="16"/>
                <w:szCs w:val="16"/>
                <w:color w:val="auto"/>
              </w:rPr>
            </w:pPr>
          </w:p>
        </w:tc>
      </w:tr>
      <w:tr>
        <w:trPr>
          <w:trHeight w:val="198"/>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760" w:type="dxa"/>
            <w:vAlign w:val="bottom"/>
            <w:gridSpan w:val="2"/>
          </w:tcPr>
          <w:p>
            <w:pPr>
              <w:jc w:val="center"/>
              <w:ind w:right="100"/>
              <w:spacing w:after="0"/>
              <w:rPr>
                <w:sz w:val="20"/>
                <w:szCs w:val="20"/>
                <w:color w:val="auto"/>
              </w:rPr>
            </w:pPr>
            <w:r>
              <w:rPr>
                <w:rFonts w:ascii="Verdana" w:cs="Verdana" w:eastAsia="Verdana" w:hAnsi="Verdana"/>
                <w:sz w:val="14"/>
                <w:szCs w:val="14"/>
                <w:color w:val="auto"/>
              </w:rPr>
              <w:t>Common Stock, $.001 par value</w:t>
            </w:r>
          </w:p>
        </w:tc>
        <w:tc>
          <w:tcPr>
            <w:tcW w:w="4680" w:type="dxa"/>
            <w:vAlign w:val="bottom"/>
          </w:tcPr>
          <w:p>
            <w:pPr>
              <w:jc w:val="right"/>
              <w:ind w:right="1848"/>
              <w:spacing w:after="0"/>
              <w:rPr>
                <w:sz w:val="20"/>
                <w:szCs w:val="20"/>
                <w:color w:val="auto"/>
              </w:rPr>
            </w:pPr>
            <w:r>
              <w:rPr>
                <w:rFonts w:ascii="Verdana" w:cs="Verdana" w:eastAsia="Verdana" w:hAnsi="Verdana"/>
                <w:sz w:val="14"/>
                <w:szCs w:val="14"/>
                <w:color w:val="auto"/>
              </w:rPr>
              <w:t>56,877,956</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23"/>
        </w:trPr>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29"/>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bookmarkStart w:id="1" w:name="page2"/>
    <w:bookmarkEnd w:id="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line="236" w:lineRule="auto"/>
        <w:rPr>
          <w:sz w:val="20"/>
          <w:szCs w:val="20"/>
          <w:color w:val="auto"/>
        </w:rPr>
      </w:pPr>
      <w:r>
        <w:rPr>
          <w:rFonts w:ascii="Verdana" w:cs="Verdana" w:eastAsia="Verdana" w:hAnsi="Verdana"/>
          <w:sz w:val="18"/>
          <w:szCs w:val="18"/>
          <w:b w:val="1"/>
          <w:bCs w:val="1"/>
          <w:color w:val="auto"/>
        </w:rPr>
        <w:t>FORM 10-Q</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September 30, 2024</w:t>
      </w:r>
    </w:p>
    <w:p>
      <w:pPr>
        <w:spacing w:after="0" w:line="5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Table of Contents</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1360" w:type="dxa"/>
            <w:vAlign w:val="bottom"/>
            <w:gridSpan w:val="8"/>
          </w:tcPr>
          <w:p>
            <w:pPr>
              <w:spacing w:after="0"/>
              <w:rPr>
                <w:sz w:val="20"/>
                <w:szCs w:val="20"/>
                <w:color w:val="auto"/>
              </w:rPr>
            </w:pPr>
            <w:r>
              <w:rPr>
                <w:rFonts w:ascii="Verdana" w:cs="Verdana" w:eastAsia="Verdana" w:hAnsi="Verdana"/>
                <w:sz w:val="18"/>
                <w:szCs w:val="18"/>
                <w:color w:val="0000FF"/>
              </w:rPr>
              <w:t>GLOSSARY</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3</w:t>
            </w:r>
          </w:p>
        </w:tc>
      </w:tr>
      <w:tr>
        <w:trPr>
          <w:trHeight w:val="412"/>
        </w:trPr>
        <w:tc>
          <w:tcPr>
            <w:tcW w:w="680" w:type="dxa"/>
            <w:vAlign w:val="bottom"/>
            <w:tcBorders>
              <w:top w:val="single" w:sz="8" w:color="0000FF"/>
            </w:tcBorders>
            <w:gridSpan w:val="3"/>
          </w:tcPr>
          <w:p>
            <w:pPr>
              <w:spacing w:after="0"/>
              <w:rPr>
                <w:sz w:val="20"/>
                <w:szCs w:val="20"/>
                <w:color w:val="auto"/>
              </w:rPr>
            </w:pPr>
            <w:r>
              <w:rPr>
                <w:rFonts w:ascii="Verdana" w:cs="Verdana" w:eastAsia="Verdana" w:hAnsi="Verdana"/>
                <w:sz w:val="18"/>
                <w:szCs w:val="18"/>
                <w:color w:val="0000FF"/>
              </w:rPr>
              <w:t>PART I</w:t>
            </w: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20" w:type="dxa"/>
            <w:vAlign w:val="bottom"/>
            <w:gridSpan w:val="33"/>
          </w:tcPr>
          <w:p>
            <w:pPr>
              <w:spacing w:after="0"/>
              <w:rPr>
                <w:sz w:val="20"/>
                <w:szCs w:val="20"/>
                <w:color w:val="auto"/>
              </w:rPr>
            </w:pPr>
            <w:r>
              <w:rPr>
                <w:rFonts w:ascii="Verdana" w:cs="Verdana" w:eastAsia="Verdana" w:hAnsi="Verdana"/>
                <w:sz w:val="18"/>
                <w:szCs w:val="18"/>
                <w:color w:val="0000FF"/>
              </w:rPr>
              <w:t>FINANCIAL INFORMATION</w:t>
            </w:r>
          </w:p>
        </w:tc>
        <w:tc>
          <w:tcPr>
            <w:tcW w:w="500" w:type="dxa"/>
            <w:vAlign w:val="bottom"/>
            <w:gridSpan w:val="3"/>
          </w:tcPr>
          <w:p>
            <w:pPr>
              <w:spacing w:after="0"/>
              <w:rPr>
                <w:sz w:val="24"/>
                <w:szCs w:val="24"/>
                <w:color w:val="auto"/>
              </w:rPr>
            </w:pPr>
          </w:p>
        </w:tc>
        <w:tc>
          <w:tcPr>
            <w:tcW w:w="120" w:type="dxa"/>
            <w:vAlign w:val="bottom"/>
            <w:tcBorders>
              <w:top w:val="single" w:sz="8" w:color="0000FF"/>
            </w:tcBorders>
          </w:tcPr>
          <w:p>
            <w:pPr>
              <w:jc w:val="right"/>
              <w:spacing w:after="0"/>
              <w:rPr>
                <w:sz w:val="20"/>
                <w:szCs w:val="20"/>
                <w:color w:val="auto"/>
              </w:rPr>
            </w:pPr>
            <w:r>
              <w:rPr>
                <w:rFonts w:ascii="Verdana" w:cs="Verdana" w:eastAsia="Verdana" w:hAnsi="Verdana"/>
                <w:sz w:val="18"/>
                <w:szCs w:val="18"/>
                <w:color w:val="0000FF"/>
                <w:w w:val="86"/>
              </w:rPr>
              <w:t>5</w:t>
            </w:r>
          </w:p>
        </w:tc>
      </w:tr>
      <w:tr>
        <w:trPr>
          <w:trHeight w:val="412"/>
        </w:trPr>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0"/>
                <w:szCs w:val="20"/>
                <w:color w:val="auto"/>
              </w:rPr>
            </w:pPr>
            <w:r>
              <w:rPr>
                <w:rFonts w:ascii="Verdana" w:cs="Verdana" w:eastAsia="Verdana" w:hAnsi="Verdana"/>
                <w:sz w:val="18"/>
                <w:szCs w:val="18"/>
                <w:color w:val="0000FF"/>
                <w:w w:val="97"/>
              </w:rPr>
              <w:t>Item</w:t>
            </w:r>
          </w:p>
        </w:tc>
        <w:tc>
          <w:tcPr>
            <w:tcW w:w="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Verdana" w:cs="Verdana" w:eastAsia="Verdana" w:hAnsi="Verdana"/>
                <w:sz w:val="18"/>
                <w:szCs w:val="18"/>
                <w:color w:val="0000FF"/>
                <w:w w:val="77"/>
              </w:rPr>
              <w:t>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tcBorders>
              <w:top w:val="single" w:sz="8" w:color="0000FF"/>
            </w:tcBorders>
            <w:gridSpan w:val="11"/>
          </w:tcPr>
          <w:p>
            <w:pPr>
              <w:spacing w:after="0"/>
              <w:rPr>
                <w:sz w:val="20"/>
                <w:szCs w:val="20"/>
                <w:color w:val="auto"/>
              </w:rPr>
            </w:pPr>
            <w:r>
              <w:rPr>
                <w:rFonts w:ascii="Verdana" w:cs="Verdana" w:eastAsia="Verdana" w:hAnsi="Verdana"/>
                <w:sz w:val="18"/>
                <w:szCs w:val="18"/>
                <w:color w:val="0000FF"/>
              </w:rPr>
              <w:t>FINANCIAL STATEMENTS</w:t>
            </w:r>
          </w:p>
        </w:tc>
        <w:tc>
          <w:tcPr>
            <w:tcW w:w="6860" w:type="dxa"/>
            <w:vAlign w:val="bottom"/>
            <w:gridSpan w:val="22"/>
          </w:tcPr>
          <w:p>
            <w:pPr>
              <w:spacing w:after="0"/>
              <w:rPr>
                <w:sz w:val="24"/>
                <w:szCs w:val="24"/>
                <w:color w:val="auto"/>
              </w:rPr>
            </w:pPr>
          </w:p>
        </w:tc>
        <w:tc>
          <w:tcPr>
            <w:tcW w:w="500" w:type="dxa"/>
            <w:vAlign w:val="bottom"/>
            <w:gridSpan w:val="3"/>
          </w:tcPr>
          <w:p>
            <w:pPr>
              <w:spacing w:after="0"/>
              <w:rPr>
                <w:sz w:val="24"/>
                <w:szCs w:val="24"/>
                <w:color w:val="auto"/>
              </w:rPr>
            </w:pPr>
          </w:p>
        </w:tc>
        <w:tc>
          <w:tcPr>
            <w:tcW w:w="120" w:type="dxa"/>
            <w:vAlign w:val="bottom"/>
            <w:tcBorders>
              <w:top w:val="single" w:sz="8" w:color="0000FF"/>
            </w:tcBorders>
          </w:tcPr>
          <w:p>
            <w:pPr>
              <w:jc w:val="right"/>
              <w:spacing w:after="0"/>
              <w:rPr>
                <w:sz w:val="20"/>
                <w:szCs w:val="20"/>
                <w:color w:val="auto"/>
              </w:rPr>
            </w:pPr>
            <w:r>
              <w:rPr>
                <w:rFonts w:ascii="Verdana" w:cs="Verdana" w:eastAsia="Verdana" w:hAnsi="Verdana"/>
                <w:sz w:val="18"/>
                <w:szCs w:val="18"/>
                <w:color w:val="0000FF"/>
                <w:w w:val="86"/>
              </w:rPr>
              <w:t>5</w:t>
            </w:r>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60" w:type="dxa"/>
            <w:vAlign w:val="bottom"/>
            <w:gridSpan w:val="32"/>
          </w:tcPr>
          <w:p>
            <w:pPr>
              <w:spacing w:after="0"/>
              <w:rPr>
                <w:sz w:val="20"/>
                <w:szCs w:val="20"/>
                <w:color w:val="auto"/>
              </w:rPr>
            </w:pPr>
            <w:r>
              <w:rPr>
                <w:rFonts w:ascii="Verdana" w:cs="Verdana" w:eastAsia="Verdana" w:hAnsi="Verdana"/>
                <w:sz w:val="18"/>
                <w:szCs w:val="18"/>
                <w:color w:val="0000FF"/>
              </w:rPr>
              <w:t>CONSOLIDATED BALANCE SHEETS (Unaudited)</w:t>
            </w: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6</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980" w:type="dxa"/>
            <w:vAlign w:val="bottom"/>
            <w:tcBorders>
              <w:bottom w:val="single" w:sz="8" w:color="0000FF"/>
            </w:tcBorders>
            <w:gridSpan w:val="22"/>
          </w:tcPr>
          <w:p>
            <w:pPr>
              <w:spacing w:after="0"/>
              <w:rPr>
                <w:sz w:val="20"/>
                <w:szCs w:val="20"/>
                <w:color w:val="auto"/>
              </w:rPr>
            </w:pPr>
            <w:r>
              <w:rPr>
                <w:rFonts w:ascii="Verdana" w:cs="Verdana" w:eastAsia="Verdana" w:hAnsi="Verdana"/>
                <w:sz w:val="18"/>
                <w:szCs w:val="18"/>
                <w:color w:val="0000FF"/>
                <w:w w:val="99"/>
              </w:rPr>
              <w:t>CONSOLIDATED STATEMENTS OF INCOME (Unaudited)</w:t>
            </w:r>
          </w:p>
        </w:tc>
        <w:tc>
          <w:tcPr>
            <w:tcW w:w="4080" w:type="dxa"/>
            <w:vAlign w:val="bottom"/>
            <w:gridSpan w:val="10"/>
          </w:tcPr>
          <w:p>
            <w:pPr>
              <w:spacing w:after="0"/>
              <w:rPr>
                <w:sz w:val="21"/>
                <w:szCs w:val="21"/>
                <w:color w:val="auto"/>
              </w:rPr>
            </w:pPr>
          </w:p>
        </w:tc>
        <w:tc>
          <w:tcPr>
            <w:tcW w:w="500" w:type="dxa"/>
            <w:vAlign w:val="bottom"/>
            <w:gridSpan w:val="3"/>
          </w:tcPr>
          <w:p>
            <w:pPr>
              <w:spacing w:after="0"/>
              <w:rPr>
                <w:sz w:val="21"/>
                <w:szCs w:val="21"/>
                <w:color w:val="auto"/>
              </w:rPr>
            </w:pPr>
          </w:p>
        </w:tc>
        <w:tc>
          <w:tcPr>
            <w:tcW w:w="120" w:type="dxa"/>
            <w:vAlign w:val="bottom"/>
            <w:tcBorders>
              <w:bottom w:val="single" w:sz="8" w:color="0000FF"/>
            </w:tcBorders>
          </w:tcPr>
          <w:p>
            <w:pPr>
              <w:jc w:val="right"/>
              <w:spacing w:after="0"/>
              <w:rPr>
                <w:sz w:val="20"/>
                <w:szCs w:val="20"/>
                <w:color w:val="auto"/>
              </w:rPr>
            </w:pPr>
            <w:r>
              <w:rPr>
                <w:rFonts w:ascii="Verdana" w:cs="Verdana" w:eastAsia="Verdana" w:hAnsi="Verdana"/>
                <w:sz w:val="18"/>
                <w:szCs w:val="18"/>
                <w:color w:val="0000FF"/>
                <w:w w:val="86"/>
              </w:rPr>
              <w:t>7</w:t>
            </w: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60" w:type="dxa"/>
            <w:vAlign w:val="bottom"/>
            <w:gridSpan w:val="32"/>
          </w:tcPr>
          <w:p>
            <w:pPr>
              <w:spacing w:after="0"/>
              <w:rPr>
                <w:sz w:val="20"/>
                <w:szCs w:val="20"/>
                <w:color w:val="auto"/>
              </w:rPr>
            </w:pPr>
            <w:r>
              <w:rPr>
                <w:rFonts w:ascii="Verdana" w:cs="Verdana" w:eastAsia="Verdana" w:hAnsi="Verdana"/>
                <w:sz w:val="18"/>
                <w:szCs w:val="18"/>
                <w:color w:val="0000FF"/>
              </w:rPr>
              <w:t>CONSOLIDATED STATEMENTS OF COMPREHENSIVE INCOME (Unaudited)</w:t>
            </w: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8</w:t>
            </w: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20" w:type="dxa"/>
            <w:vAlign w:val="bottom"/>
            <w:tcBorders>
              <w:top w:val="single" w:sz="8" w:color="0000FF"/>
            </w:tcBorders>
            <w:gridSpan w:val="29"/>
          </w:tcPr>
          <w:p>
            <w:pPr>
              <w:spacing w:after="0"/>
              <w:rPr>
                <w:sz w:val="20"/>
                <w:szCs w:val="20"/>
                <w:color w:val="auto"/>
              </w:rPr>
            </w:pPr>
            <w:r>
              <w:rPr>
                <w:rFonts w:ascii="Verdana" w:cs="Verdana" w:eastAsia="Verdana" w:hAnsi="Verdana"/>
                <w:sz w:val="18"/>
                <w:szCs w:val="18"/>
                <w:color w:val="0000FF"/>
              </w:rPr>
              <w:t>CONSOLIDATED STATEMENTS OF STOCKHOLDERS’ EQUITY (Unaudited)</w:t>
            </w:r>
          </w:p>
        </w:tc>
        <w:tc>
          <w:tcPr>
            <w:tcW w:w="2440" w:type="dxa"/>
            <w:vAlign w:val="bottom"/>
            <w:gridSpan w:val="3"/>
          </w:tcPr>
          <w:p>
            <w:pPr>
              <w:spacing w:after="0"/>
              <w:rPr>
                <w:sz w:val="21"/>
                <w:szCs w:val="21"/>
                <w:color w:val="auto"/>
              </w:rPr>
            </w:pPr>
          </w:p>
        </w:tc>
        <w:tc>
          <w:tcPr>
            <w:tcW w:w="500" w:type="dxa"/>
            <w:vAlign w:val="bottom"/>
            <w:gridSpan w:val="3"/>
          </w:tcPr>
          <w:p>
            <w:pPr>
              <w:spacing w:after="0"/>
              <w:rPr>
                <w:sz w:val="21"/>
                <w:szCs w:val="21"/>
                <w:color w:val="auto"/>
              </w:rPr>
            </w:pPr>
          </w:p>
        </w:tc>
        <w:tc>
          <w:tcPr>
            <w:tcW w:w="120" w:type="dxa"/>
            <w:vAlign w:val="bottom"/>
            <w:tcBorders>
              <w:top w:val="single" w:sz="8" w:color="0000FF"/>
            </w:tcBorders>
          </w:tcPr>
          <w:p>
            <w:pPr>
              <w:jc w:val="right"/>
              <w:spacing w:after="0"/>
              <w:rPr>
                <w:sz w:val="20"/>
                <w:szCs w:val="20"/>
                <w:color w:val="auto"/>
              </w:rPr>
            </w:pPr>
            <w:r>
              <w:rPr>
                <w:rFonts w:ascii="Verdana" w:cs="Verdana" w:eastAsia="Verdana" w:hAnsi="Verdana"/>
                <w:sz w:val="18"/>
                <w:szCs w:val="18"/>
                <w:color w:val="0000FF"/>
                <w:w w:val="86"/>
              </w:rPr>
              <w:t>9</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520" w:type="dxa"/>
            <w:vAlign w:val="bottom"/>
            <w:gridSpan w:val="28"/>
          </w:tcPr>
          <w:p>
            <w:pPr>
              <w:spacing w:after="0"/>
              <w:rPr>
                <w:sz w:val="20"/>
                <w:szCs w:val="20"/>
                <w:color w:val="auto"/>
              </w:rPr>
            </w:pPr>
            <w:r>
              <w:rPr>
                <w:rFonts w:ascii="Verdana" w:cs="Verdana" w:eastAsia="Verdana" w:hAnsi="Verdana"/>
                <w:sz w:val="18"/>
                <w:szCs w:val="18"/>
                <w:color w:val="0000FF"/>
              </w:rPr>
              <w:t>CONSOLIDATED STATEMENTS OF CASH FLOWS (Unaudited)</w:t>
            </w:r>
          </w:p>
        </w:tc>
        <w:tc>
          <w:tcPr>
            <w:tcW w:w="2540" w:type="dxa"/>
            <w:vAlign w:val="bottom"/>
            <w:gridSpan w:val="4"/>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11</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20" w:type="dxa"/>
            <w:vAlign w:val="bottom"/>
            <w:gridSpan w:val="33"/>
          </w:tcPr>
          <w:p>
            <w:pPr>
              <w:spacing w:after="0"/>
              <w:rPr>
                <w:sz w:val="20"/>
                <w:szCs w:val="20"/>
                <w:color w:val="auto"/>
              </w:rPr>
            </w:pPr>
            <w:r>
              <w:rPr>
                <w:rFonts w:ascii="Verdana" w:cs="Verdana" w:eastAsia="Verdana" w:hAnsi="Verdana"/>
                <w:sz w:val="18"/>
                <w:szCs w:val="18"/>
                <w:color w:val="0000FF"/>
              </w:rPr>
              <w:t>NOTES TO CONSOLIDATED FINANCIAL STATEMENTS (Unaudited)</w:t>
            </w: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13</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40" w:type="dxa"/>
            <w:vAlign w:val="bottom"/>
            <w:gridSpan w:val="19"/>
          </w:tcPr>
          <w:p>
            <w:pPr>
              <w:spacing w:after="0"/>
              <w:rPr>
                <w:sz w:val="20"/>
                <w:szCs w:val="20"/>
                <w:color w:val="auto"/>
              </w:rPr>
            </w:pPr>
            <w:r>
              <w:rPr>
                <w:rFonts w:ascii="Verdana" w:cs="Verdana" w:eastAsia="Verdana" w:hAnsi="Verdana"/>
                <w:sz w:val="18"/>
                <w:szCs w:val="18"/>
                <w:color w:val="0000FF"/>
              </w:rPr>
              <w:t>Note 1.   Significant Accounting Policies</w:t>
            </w:r>
          </w:p>
        </w:tc>
        <w:tc>
          <w:tcPr>
            <w:tcW w:w="2040" w:type="dxa"/>
            <w:vAlign w:val="bottom"/>
            <w:gridSpan w:val="7"/>
          </w:tcPr>
          <w:p>
            <w:pPr>
              <w:spacing w:after="0"/>
              <w:rPr>
                <w:sz w:val="21"/>
                <w:szCs w:val="21"/>
                <w:color w:val="auto"/>
              </w:rPr>
            </w:pPr>
          </w:p>
        </w:tc>
        <w:tc>
          <w:tcPr>
            <w:tcW w:w="3380" w:type="dxa"/>
            <w:vAlign w:val="bottom"/>
            <w:gridSpan w:val="6"/>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13</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80" w:type="dxa"/>
            <w:vAlign w:val="bottom"/>
            <w:gridSpan w:val="15"/>
          </w:tcPr>
          <w:p>
            <w:pPr>
              <w:spacing w:after="0"/>
              <w:rPr>
                <w:sz w:val="20"/>
                <w:szCs w:val="20"/>
                <w:color w:val="auto"/>
              </w:rPr>
            </w:pPr>
            <w:r>
              <w:rPr>
                <w:rFonts w:ascii="Verdana" w:cs="Verdana" w:eastAsia="Verdana" w:hAnsi="Verdana"/>
                <w:sz w:val="18"/>
                <w:szCs w:val="18"/>
                <w:color w:val="0000FF"/>
              </w:rPr>
              <w:t>Note 2.   Mergers and Acquisitions</w:t>
            </w:r>
          </w:p>
        </w:tc>
        <w:tc>
          <w:tcPr>
            <w:tcW w:w="460" w:type="dxa"/>
            <w:vAlign w:val="bottom"/>
            <w:gridSpan w:val="4"/>
          </w:tcPr>
          <w:p>
            <w:pPr>
              <w:spacing w:after="0"/>
              <w:rPr>
                <w:sz w:val="21"/>
                <w:szCs w:val="21"/>
                <w:color w:val="auto"/>
              </w:rPr>
            </w:pPr>
          </w:p>
        </w:tc>
        <w:tc>
          <w:tcPr>
            <w:tcW w:w="5420" w:type="dxa"/>
            <w:vAlign w:val="bottom"/>
            <w:gridSpan w:val="13"/>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15</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Verdana" w:cs="Verdana" w:eastAsia="Verdana" w:hAnsi="Verdana"/>
                <w:sz w:val="18"/>
                <w:szCs w:val="18"/>
                <w:color w:val="0000FF"/>
              </w:rPr>
              <w:t>Note 3.</w:t>
            </w:r>
          </w:p>
        </w:tc>
        <w:tc>
          <w:tcPr>
            <w:tcW w:w="1400" w:type="dxa"/>
            <w:vAlign w:val="bottom"/>
            <w:gridSpan w:val="9"/>
          </w:tcPr>
          <w:p>
            <w:pPr>
              <w:ind w:left="80"/>
              <w:spacing w:after="0"/>
              <w:rPr>
                <w:sz w:val="20"/>
                <w:szCs w:val="20"/>
                <w:color w:val="auto"/>
              </w:rPr>
            </w:pPr>
            <w:r>
              <w:rPr>
                <w:rFonts w:ascii="Verdana" w:cs="Verdana" w:eastAsia="Verdana" w:hAnsi="Verdana"/>
                <w:sz w:val="18"/>
                <w:szCs w:val="18"/>
                <w:color w:val="0000FF"/>
                <w:w w:val="92"/>
              </w:rPr>
              <w:t>Debt Securities</w:t>
            </w:r>
          </w:p>
        </w:tc>
        <w:tc>
          <w:tcPr>
            <w:tcW w:w="940" w:type="dxa"/>
            <w:vAlign w:val="bottom"/>
            <w:gridSpan w:val="4"/>
          </w:tcPr>
          <w:p>
            <w:pPr>
              <w:spacing w:after="0"/>
              <w:rPr>
                <w:sz w:val="21"/>
                <w:szCs w:val="21"/>
                <w:color w:val="auto"/>
              </w:rPr>
            </w:pPr>
          </w:p>
        </w:tc>
        <w:tc>
          <w:tcPr>
            <w:tcW w:w="5880" w:type="dxa"/>
            <w:vAlign w:val="bottom"/>
            <w:gridSpan w:val="17"/>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19</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Verdana" w:cs="Verdana" w:eastAsia="Verdana" w:hAnsi="Verdana"/>
                <w:sz w:val="18"/>
                <w:szCs w:val="18"/>
                <w:color w:val="0000FF"/>
              </w:rPr>
              <w:t>Note 4.</w:t>
            </w:r>
          </w:p>
        </w:tc>
        <w:tc>
          <w:tcPr>
            <w:tcW w:w="1400" w:type="dxa"/>
            <w:vAlign w:val="bottom"/>
            <w:gridSpan w:val="9"/>
          </w:tcPr>
          <w:p>
            <w:pPr>
              <w:ind w:left="80"/>
              <w:spacing w:after="0"/>
              <w:rPr>
                <w:sz w:val="20"/>
                <w:szCs w:val="20"/>
                <w:color w:val="auto"/>
              </w:rPr>
            </w:pPr>
            <w:r>
              <w:rPr>
                <w:rFonts w:ascii="Verdana" w:cs="Verdana" w:eastAsia="Verdana" w:hAnsi="Verdana"/>
                <w:sz w:val="18"/>
                <w:szCs w:val="18"/>
                <w:color w:val="0000FF"/>
                <w:w w:val="95"/>
              </w:rPr>
              <w:t>Portfolio Loans</w:t>
            </w:r>
          </w:p>
        </w:tc>
        <w:tc>
          <w:tcPr>
            <w:tcW w:w="6820" w:type="dxa"/>
            <w:vAlign w:val="bottom"/>
            <w:gridSpan w:val="21"/>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25</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Verdana" w:cs="Verdana" w:eastAsia="Verdana" w:hAnsi="Verdana"/>
                <w:sz w:val="18"/>
                <w:szCs w:val="18"/>
                <w:color w:val="0000FF"/>
              </w:rPr>
              <w:t>Note 5.</w:t>
            </w:r>
          </w:p>
        </w:tc>
        <w:tc>
          <w:tcPr>
            <w:tcW w:w="1400" w:type="dxa"/>
            <w:vAlign w:val="bottom"/>
            <w:gridSpan w:val="9"/>
          </w:tcPr>
          <w:p>
            <w:pPr>
              <w:ind w:left="80"/>
              <w:spacing w:after="0"/>
              <w:rPr>
                <w:sz w:val="20"/>
                <w:szCs w:val="20"/>
                <w:color w:val="auto"/>
              </w:rPr>
            </w:pPr>
            <w:r>
              <w:rPr>
                <w:rFonts w:ascii="Verdana" w:cs="Verdana" w:eastAsia="Verdana" w:hAnsi="Verdana"/>
                <w:sz w:val="18"/>
                <w:szCs w:val="18"/>
                <w:color w:val="0000FF"/>
              </w:rPr>
              <w:t>Leases</w:t>
            </w:r>
          </w:p>
        </w:tc>
        <w:tc>
          <w:tcPr>
            <w:tcW w:w="6820" w:type="dxa"/>
            <w:vAlign w:val="bottom"/>
            <w:gridSpan w:val="21"/>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38</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Verdana" w:cs="Verdana" w:eastAsia="Verdana" w:hAnsi="Verdana"/>
                <w:sz w:val="18"/>
                <w:szCs w:val="18"/>
                <w:color w:val="0000FF"/>
              </w:rPr>
              <w:t>Note 6.</w:t>
            </w:r>
          </w:p>
        </w:tc>
        <w:tc>
          <w:tcPr>
            <w:tcW w:w="860" w:type="dxa"/>
            <w:vAlign w:val="bottom"/>
            <w:gridSpan w:val="4"/>
          </w:tcPr>
          <w:p>
            <w:pPr>
              <w:ind w:left="80"/>
              <w:spacing w:after="0"/>
              <w:rPr>
                <w:sz w:val="20"/>
                <w:szCs w:val="20"/>
                <w:color w:val="auto"/>
              </w:rPr>
            </w:pPr>
            <w:r>
              <w:rPr>
                <w:rFonts w:ascii="Verdana" w:cs="Verdana" w:eastAsia="Verdana" w:hAnsi="Verdana"/>
                <w:sz w:val="18"/>
                <w:szCs w:val="18"/>
                <w:color w:val="0000FF"/>
                <w:w w:val="97"/>
              </w:rPr>
              <w:t>Deposits</w:t>
            </w:r>
          </w:p>
        </w:tc>
        <w:tc>
          <w:tcPr>
            <w:tcW w:w="7360" w:type="dxa"/>
            <w:vAlign w:val="bottom"/>
            <w:gridSpan w:val="26"/>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40</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Verdana" w:cs="Verdana" w:eastAsia="Verdana" w:hAnsi="Verdana"/>
                <w:sz w:val="18"/>
                <w:szCs w:val="18"/>
                <w:color w:val="0000FF"/>
              </w:rPr>
              <w:t>Note 7.</w:t>
            </w:r>
          </w:p>
        </w:tc>
        <w:tc>
          <w:tcPr>
            <w:tcW w:w="8220" w:type="dxa"/>
            <w:vAlign w:val="bottom"/>
            <w:gridSpan w:val="30"/>
          </w:tcPr>
          <w:p>
            <w:pPr>
              <w:ind w:left="80"/>
              <w:spacing w:after="0"/>
              <w:rPr>
                <w:sz w:val="20"/>
                <w:szCs w:val="20"/>
                <w:color w:val="auto"/>
              </w:rPr>
            </w:pPr>
            <w:r>
              <w:rPr>
                <w:rFonts w:ascii="Verdana" w:cs="Verdana" w:eastAsia="Verdana" w:hAnsi="Verdana"/>
                <w:sz w:val="18"/>
                <w:szCs w:val="18"/>
                <w:color w:val="0000FF"/>
              </w:rPr>
              <w:t>Borrowings</w:t>
            </w: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41</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Verdana" w:cs="Verdana" w:eastAsia="Verdana" w:hAnsi="Verdana"/>
                <w:sz w:val="18"/>
                <w:szCs w:val="18"/>
                <w:color w:val="0000FF"/>
              </w:rPr>
              <w:t>Note 8.</w:t>
            </w:r>
          </w:p>
        </w:tc>
        <w:tc>
          <w:tcPr>
            <w:tcW w:w="1740" w:type="dxa"/>
            <w:vAlign w:val="bottom"/>
            <w:gridSpan w:val="11"/>
          </w:tcPr>
          <w:p>
            <w:pPr>
              <w:ind w:left="80"/>
              <w:spacing w:after="0"/>
              <w:rPr>
                <w:sz w:val="20"/>
                <w:szCs w:val="20"/>
                <w:color w:val="auto"/>
              </w:rPr>
            </w:pPr>
            <w:r>
              <w:rPr>
                <w:rFonts w:ascii="Verdana" w:cs="Verdana" w:eastAsia="Verdana" w:hAnsi="Verdana"/>
                <w:sz w:val="18"/>
                <w:szCs w:val="18"/>
                <w:color w:val="0000FF"/>
                <w:w w:val="98"/>
              </w:rPr>
              <w:t>Regulatory Capital</w:t>
            </w:r>
          </w:p>
        </w:tc>
        <w:tc>
          <w:tcPr>
            <w:tcW w:w="6480" w:type="dxa"/>
            <w:vAlign w:val="bottom"/>
            <w:gridSpan w:val="19"/>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43</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60" w:type="dxa"/>
            <w:vAlign w:val="bottom"/>
            <w:gridSpan w:val="32"/>
          </w:tcPr>
          <w:p>
            <w:pPr>
              <w:spacing w:after="0"/>
              <w:rPr>
                <w:sz w:val="20"/>
                <w:szCs w:val="20"/>
                <w:color w:val="auto"/>
              </w:rPr>
            </w:pPr>
            <w:r>
              <w:rPr>
                <w:rFonts w:ascii="Verdana" w:cs="Verdana" w:eastAsia="Verdana" w:hAnsi="Verdana"/>
                <w:sz w:val="18"/>
                <w:szCs w:val="18"/>
                <w:color w:val="0000FF"/>
              </w:rPr>
              <w:t>Note 9.   Tax Credit and Other Investments in Unconsolidated Entities</w:t>
            </w: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46</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tcBorders>
              <w:left w:val="single" w:sz="8" w:color="0000FF"/>
            </w:tcBorders>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Verdana" w:cs="Verdana" w:eastAsia="Verdana" w:hAnsi="Verdana"/>
                <w:sz w:val="18"/>
                <w:szCs w:val="18"/>
                <w:color w:val="0000FF"/>
              </w:rPr>
              <w:t>Note 10.</w:t>
            </w:r>
          </w:p>
        </w:tc>
        <w:tc>
          <w:tcPr>
            <w:tcW w:w="2540" w:type="dxa"/>
            <w:vAlign w:val="bottom"/>
            <w:gridSpan w:val="15"/>
          </w:tcPr>
          <w:p>
            <w:pPr>
              <w:ind w:left="60"/>
              <w:spacing w:after="0"/>
              <w:rPr>
                <w:sz w:val="20"/>
                <w:szCs w:val="20"/>
                <w:color w:val="auto"/>
              </w:rPr>
            </w:pPr>
            <w:r>
              <w:rPr>
                <w:rFonts w:ascii="Verdana" w:cs="Verdana" w:eastAsia="Verdana" w:hAnsi="Verdana"/>
                <w:sz w:val="18"/>
                <w:szCs w:val="18"/>
                <w:color w:val="0000FF"/>
                <w:w w:val="99"/>
              </w:rPr>
              <w:t>Stock-Based Compensation</w:t>
            </w:r>
          </w:p>
        </w:tc>
        <w:tc>
          <w:tcPr>
            <w:tcW w:w="2940" w:type="dxa"/>
            <w:vAlign w:val="bottom"/>
            <w:gridSpan w:val="10"/>
          </w:tcPr>
          <w:p>
            <w:pPr>
              <w:spacing w:after="0"/>
              <w:rPr>
                <w:sz w:val="21"/>
                <w:szCs w:val="21"/>
                <w:color w:val="auto"/>
              </w:rPr>
            </w:pPr>
          </w:p>
        </w:tc>
        <w:tc>
          <w:tcPr>
            <w:tcW w:w="2740" w:type="dxa"/>
            <w:vAlign w:val="bottom"/>
            <w:gridSpan w:val="5"/>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47</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Verdana" w:cs="Verdana" w:eastAsia="Verdana" w:hAnsi="Verdana"/>
                <w:sz w:val="18"/>
                <w:szCs w:val="18"/>
                <w:color w:val="0000FF"/>
              </w:rPr>
              <w:t>Note 11.</w:t>
            </w:r>
          </w:p>
        </w:tc>
        <w:tc>
          <w:tcPr>
            <w:tcW w:w="8220" w:type="dxa"/>
            <w:vAlign w:val="bottom"/>
            <w:gridSpan w:val="30"/>
          </w:tcPr>
          <w:p>
            <w:pPr>
              <w:ind w:left="60"/>
              <w:spacing w:after="0"/>
              <w:rPr>
                <w:sz w:val="20"/>
                <w:szCs w:val="20"/>
                <w:color w:val="auto"/>
              </w:rPr>
            </w:pPr>
            <w:r>
              <w:rPr>
                <w:rFonts w:ascii="Verdana" w:cs="Verdana" w:eastAsia="Verdana" w:hAnsi="Verdana"/>
                <w:sz w:val="18"/>
                <w:szCs w:val="18"/>
                <w:color w:val="0000FF"/>
              </w:rPr>
              <w:t>Outstanding Commitments and Contingent Liabilities</w:t>
            </w: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51</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Verdana" w:cs="Verdana" w:eastAsia="Verdana" w:hAnsi="Verdana"/>
                <w:sz w:val="18"/>
                <w:szCs w:val="18"/>
                <w:color w:val="0000FF"/>
              </w:rPr>
              <w:t>Note 12.</w:t>
            </w:r>
          </w:p>
        </w:tc>
        <w:tc>
          <w:tcPr>
            <w:tcW w:w="4840" w:type="dxa"/>
            <w:vAlign w:val="bottom"/>
            <w:gridSpan w:val="24"/>
          </w:tcPr>
          <w:p>
            <w:pPr>
              <w:ind w:left="60"/>
              <w:spacing w:after="0"/>
              <w:rPr>
                <w:sz w:val="20"/>
                <w:szCs w:val="20"/>
                <w:color w:val="auto"/>
              </w:rPr>
            </w:pPr>
            <w:r>
              <w:rPr>
                <w:rFonts w:ascii="Verdana" w:cs="Verdana" w:eastAsia="Verdana" w:hAnsi="Verdana"/>
                <w:sz w:val="18"/>
                <w:szCs w:val="18"/>
                <w:color w:val="0000FF"/>
              </w:rPr>
              <w:t>Derivative Financial Instruments</w:t>
            </w:r>
          </w:p>
        </w:tc>
        <w:tc>
          <w:tcPr>
            <w:tcW w:w="3380" w:type="dxa"/>
            <w:vAlign w:val="bottom"/>
            <w:gridSpan w:val="6"/>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52</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Verdana" w:cs="Verdana" w:eastAsia="Verdana" w:hAnsi="Verdana"/>
                <w:sz w:val="18"/>
                <w:szCs w:val="18"/>
                <w:color w:val="0000FF"/>
              </w:rPr>
              <w:t>Note 13.</w:t>
            </w:r>
          </w:p>
        </w:tc>
        <w:tc>
          <w:tcPr>
            <w:tcW w:w="2340" w:type="dxa"/>
            <w:vAlign w:val="bottom"/>
            <w:gridSpan w:val="13"/>
          </w:tcPr>
          <w:p>
            <w:pPr>
              <w:ind w:left="60"/>
              <w:spacing w:after="0"/>
              <w:rPr>
                <w:sz w:val="20"/>
                <w:szCs w:val="20"/>
                <w:color w:val="auto"/>
              </w:rPr>
            </w:pPr>
            <w:r>
              <w:rPr>
                <w:rFonts w:ascii="Verdana" w:cs="Verdana" w:eastAsia="Verdana" w:hAnsi="Verdana"/>
                <w:sz w:val="18"/>
                <w:szCs w:val="18"/>
                <w:color w:val="0000FF"/>
                <w:w w:val="97"/>
              </w:rPr>
              <w:t>Fair Value Measurements</w:t>
            </w:r>
          </w:p>
        </w:tc>
        <w:tc>
          <w:tcPr>
            <w:tcW w:w="660" w:type="dxa"/>
            <w:vAlign w:val="bottom"/>
            <w:gridSpan w:val="5"/>
          </w:tcPr>
          <w:p>
            <w:pPr>
              <w:spacing w:after="0"/>
              <w:rPr>
                <w:sz w:val="21"/>
                <w:szCs w:val="21"/>
                <w:color w:val="auto"/>
              </w:rPr>
            </w:pPr>
          </w:p>
        </w:tc>
        <w:tc>
          <w:tcPr>
            <w:tcW w:w="5220" w:type="dxa"/>
            <w:vAlign w:val="bottom"/>
            <w:gridSpan w:val="12"/>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58</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Verdana" w:cs="Verdana" w:eastAsia="Verdana" w:hAnsi="Verdana"/>
                <w:sz w:val="18"/>
                <w:szCs w:val="18"/>
                <w:color w:val="0000FF"/>
              </w:rPr>
              <w:t>Note 14.</w:t>
            </w:r>
          </w:p>
        </w:tc>
        <w:tc>
          <w:tcPr>
            <w:tcW w:w="8220" w:type="dxa"/>
            <w:vAlign w:val="bottom"/>
            <w:gridSpan w:val="30"/>
          </w:tcPr>
          <w:p>
            <w:pPr>
              <w:ind w:left="60"/>
              <w:spacing w:after="0"/>
              <w:rPr>
                <w:sz w:val="20"/>
                <w:szCs w:val="20"/>
                <w:color w:val="auto"/>
              </w:rPr>
            </w:pPr>
            <w:r>
              <w:rPr>
                <w:rFonts w:ascii="Verdana" w:cs="Verdana" w:eastAsia="Verdana" w:hAnsi="Verdana"/>
                <w:sz w:val="18"/>
                <w:szCs w:val="18"/>
                <w:color w:val="0000FF"/>
              </w:rPr>
              <w:t>Earnings Per Common Share</w:t>
            </w: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64</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Verdana" w:cs="Verdana" w:eastAsia="Verdana" w:hAnsi="Verdana"/>
                <w:sz w:val="18"/>
                <w:szCs w:val="18"/>
                <w:color w:val="0000FF"/>
              </w:rPr>
              <w:t>Note 15.</w:t>
            </w:r>
          </w:p>
        </w:tc>
        <w:tc>
          <w:tcPr>
            <w:tcW w:w="4620" w:type="dxa"/>
            <w:vAlign w:val="bottom"/>
            <w:gridSpan w:val="23"/>
          </w:tcPr>
          <w:p>
            <w:pPr>
              <w:ind w:left="60"/>
              <w:spacing w:after="0"/>
              <w:rPr>
                <w:sz w:val="20"/>
                <w:szCs w:val="20"/>
                <w:color w:val="auto"/>
              </w:rPr>
            </w:pPr>
            <w:r>
              <w:rPr>
                <w:rFonts w:ascii="Verdana" w:cs="Verdana" w:eastAsia="Verdana" w:hAnsi="Verdana"/>
                <w:sz w:val="18"/>
                <w:szCs w:val="18"/>
                <w:color w:val="0000FF"/>
                <w:w w:val="99"/>
              </w:rPr>
              <w:t>Accumulated Other Comprehensive Income (Loss)</w:t>
            </w:r>
          </w:p>
        </w:tc>
        <w:tc>
          <w:tcPr>
            <w:tcW w:w="3600" w:type="dxa"/>
            <w:vAlign w:val="bottom"/>
            <w:gridSpan w:val="7"/>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65</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720" w:type="dxa"/>
            <w:vAlign w:val="bottom"/>
            <w:gridSpan w:val="7"/>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Verdana" w:cs="Verdana" w:eastAsia="Verdana" w:hAnsi="Verdana"/>
                <w:sz w:val="18"/>
                <w:szCs w:val="18"/>
                <w:color w:val="0000FF"/>
              </w:rPr>
              <w:t>Note 16.</w:t>
            </w:r>
          </w:p>
        </w:tc>
        <w:tc>
          <w:tcPr>
            <w:tcW w:w="4620" w:type="dxa"/>
            <w:vAlign w:val="bottom"/>
            <w:gridSpan w:val="23"/>
          </w:tcPr>
          <w:p>
            <w:pPr>
              <w:ind w:left="60"/>
              <w:spacing w:after="0"/>
              <w:rPr>
                <w:sz w:val="20"/>
                <w:szCs w:val="20"/>
                <w:color w:val="auto"/>
              </w:rPr>
            </w:pPr>
            <w:r>
              <w:rPr>
                <w:rFonts w:ascii="Verdana" w:cs="Verdana" w:eastAsia="Verdana" w:hAnsi="Verdana"/>
                <w:sz w:val="18"/>
                <w:szCs w:val="18"/>
                <w:color w:val="0000FF"/>
              </w:rPr>
              <w:t>Operating Segments and Related Information</w:t>
            </w:r>
          </w:p>
        </w:tc>
        <w:tc>
          <w:tcPr>
            <w:tcW w:w="3600" w:type="dxa"/>
            <w:vAlign w:val="bottom"/>
            <w:gridSpan w:val="7"/>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67</w:t>
            </w:r>
          </w:p>
        </w:tc>
      </w:tr>
      <w:tr>
        <w:trPr>
          <w:trHeight w:val="20"/>
        </w:trPr>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720" w:type="dxa"/>
            <w:vAlign w:val="bottom"/>
            <w:gridSpan w:val="7"/>
            <w:shd w:val="clear" w:color="auto" w:fill="0000FF"/>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520" w:type="dxa"/>
            <w:vAlign w:val="bottom"/>
            <w:tcBorders>
              <w:bottom w:val="single" w:sz="8" w:color="0000FF"/>
            </w:tcBorders>
            <w:gridSpan w:val="2"/>
          </w:tcPr>
          <w:p>
            <w:pPr>
              <w:spacing w:after="0"/>
              <w:rPr>
                <w:sz w:val="20"/>
                <w:szCs w:val="20"/>
                <w:color w:val="auto"/>
              </w:rPr>
            </w:pPr>
            <w:r>
              <w:rPr>
                <w:rFonts w:ascii="Verdana" w:cs="Verdana" w:eastAsia="Verdana" w:hAnsi="Verdana"/>
                <w:sz w:val="18"/>
                <w:szCs w:val="18"/>
                <w:color w:val="0000FF"/>
              </w:rPr>
              <w:t>Item</w:t>
            </w:r>
          </w:p>
        </w:tc>
        <w:tc>
          <w:tcPr>
            <w:tcW w:w="160" w:type="dxa"/>
            <w:vAlign w:val="bottom"/>
            <w:tcBorders>
              <w:bottom w:val="single" w:sz="8" w:color="0000FF"/>
            </w:tcBorders>
          </w:tcPr>
          <w:p>
            <w:pPr>
              <w:spacing w:after="0"/>
              <w:rPr>
                <w:sz w:val="20"/>
                <w:szCs w:val="20"/>
                <w:color w:val="auto"/>
              </w:rPr>
            </w:pPr>
            <w:r>
              <w:rPr>
                <w:rFonts w:ascii="Verdana" w:cs="Verdana" w:eastAsia="Verdana" w:hAnsi="Verdana"/>
                <w:sz w:val="18"/>
                <w:szCs w:val="18"/>
                <w:color w:val="0000FF"/>
                <w:w w:val="77"/>
              </w:rPr>
              <w:t>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300" w:type="dxa"/>
            <w:vAlign w:val="bottom"/>
            <w:tcBorders>
              <w:bottom w:val="single" w:sz="8" w:color="0000FF"/>
            </w:tcBorders>
            <w:gridSpan w:val="31"/>
          </w:tcPr>
          <w:p>
            <w:pPr>
              <w:spacing w:after="0"/>
              <w:rPr>
                <w:sz w:val="20"/>
                <w:szCs w:val="20"/>
                <w:color w:val="auto"/>
              </w:rPr>
            </w:pPr>
            <w:r>
              <w:rPr>
                <w:rFonts w:ascii="Verdana" w:cs="Verdana" w:eastAsia="Verdana" w:hAnsi="Verdana"/>
                <w:sz w:val="18"/>
                <w:szCs w:val="18"/>
                <w:color w:val="0000FF"/>
                <w:w w:val="99"/>
              </w:rPr>
              <w:t>MANAGEMENT’S DISCUSSION AND ANALYSIS OF FINANCIAL CONDITION AND RESULTS OF</w:t>
            </w:r>
          </w:p>
        </w:tc>
        <w:tc>
          <w:tcPr>
            <w:tcW w:w="92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196"/>
        </w:trPr>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20" w:type="dxa"/>
            <w:vAlign w:val="bottom"/>
            <w:gridSpan w:val="33"/>
          </w:tcPr>
          <w:p>
            <w:pPr>
              <w:spacing w:after="0" w:line="196" w:lineRule="exact"/>
              <w:rPr>
                <w:sz w:val="20"/>
                <w:szCs w:val="20"/>
                <w:color w:val="auto"/>
              </w:rPr>
            </w:pPr>
            <w:r>
              <w:rPr>
                <w:rFonts w:ascii="Verdana" w:cs="Verdana" w:eastAsia="Verdana" w:hAnsi="Verdana"/>
                <w:sz w:val="18"/>
                <w:szCs w:val="18"/>
                <w:color w:val="0000FF"/>
              </w:rPr>
              <w:t>OPERATIONS</w:t>
            </w:r>
          </w:p>
        </w:tc>
        <w:tc>
          <w:tcPr>
            <w:tcW w:w="620" w:type="dxa"/>
            <w:vAlign w:val="bottom"/>
            <w:gridSpan w:val="4"/>
          </w:tcPr>
          <w:p>
            <w:pPr>
              <w:jc w:val="right"/>
              <w:spacing w:after="0" w:line="196" w:lineRule="exact"/>
              <w:rPr>
                <w:sz w:val="20"/>
                <w:szCs w:val="20"/>
                <w:color w:val="auto"/>
              </w:rPr>
            </w:pPr>
            <w:r>
              <w:rPr>
                <w:rFonts w:ascii="Verdana" w:cs="Verdana" w:eastAsia="Verdana" w:hAnsi="Verdana"/>
                <w:sz w:val="18"/>
                <w:szCs w:val="18"/>
                <w:color w:val="0000FF"/>
              </w:rPr>
              <w:t>70</w:t>
            </w:r>
          </w:p>
        </w:tc>
      </w:tr>
      <w:tr>
        <w:trPr>
          <w:trHeight w:val="20"/>
        </w:trPr>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20" w:type="dxa"/>
            <w:vAlign w:val="bottom"/>
            <w:gridSpan w:val="11"/>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520" w:type="dxa"/>
            <w:vAlign w:val="bottom"/>
            <w:gridSpan w:val="2"/>
          </w:tcPr>
          <w:p>
            <w:pPr>
              <w:spacing w:after="0"/>
              <w:rPr>
                <w:sz w:val="20"/>
                <w:szCs w:val="20"/>
                <w:color w:val="auto"/>
              </w:rPr>
            </w:pPr>
            <w:r>
              <w:rPr>
                <w:rFonts w:ascii="Verdana" w:cs="Verdana" w:eastAsia="Verdana" w:hAnsi="Verdana"/>
                <w:sz w:val="18"/>
                <w:szCs w:val="18"/>
                <w:color w:val="0000FF"/>
              </w:rPr>
              <w:t>Item</w:t>
            </w:r>
          </w:p>
        </w:tc>
        <w:tc>
          <w:tcPr>
            <w:tcW w:w="180" w:type="dxa"/>
            <w:vAlign w:val="bottom"/>
            <w:gridSpan w:val="2"/>
          </w:tcPr>
          <w:p>
            <w:pPr>
              <w:spacing w:after="0"/>
              <w:rPr>
                <w:sz w:val="20"/>
                <w:szCs w:val="20"/>
                <w:color w:val="auto"/>
              </w:rPr>
            </w:pPr>
            <w:r>
              <w:rPr>
                <w:rFonts w:ascii="Verdana" w:cs="Verdana" w:eastAsia="Verdana" w:hAnsi="Verdana"/>
                <w:sz w:val="18"/>
                <w:szCs w:val="18"/>
                <w:color w:val="0000FF"/>
                <w:w w:val="77"/>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80" w:type="dxa"/>
            <w:vAlign w:val="bottom"/>
            <w:gridSpan w:val="28"/>
          </w:tcPr>
          <w:p>
            <w:pPr>
              <w:spacing w:after="0"/>
              <w:rPr>
                <w:sz w:val="20"/>
                <w:szCs w:val="20"/>
                <w:color w:val="auto"/>
              </w:rPr>
            </w:pPr>
            <w:r>
              <w:rPr>
                <w:rFonts w:ascii="Verdana" w:cs="Verdana" w:eastAsia="Verdana" w:hAnsi="Verdana"/>
                <w:sz w:val="18"/>
                <w:szCs w:val="18"/>
                <w:color w:val="0000FF"/>
                <w:w w:val="98"/>
              </w:rPr>
              <w:t>QUANTITATIVE AND QUALITATIVE DISCLOSURES ABOUT MARKET RISK</w:t>
            </w:r>
          </w:p>
        </w:tc>
        <w:tc>
          <w:tcPr>
            <w:tcW w:w="2740" w:type="dxa"/>
            <w:vAlign w:val="bottom"/>
            <w:gridSpan w:val="5"/>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107</w:t>
            </w:r>
          </w:p>
        </w:tc>
      </w:tr>
      <w:tr>
        <w:trPr>
          <w:trHeight w:val="20"/>
        </w:trPr>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20" w:type="dxa"/>
            <w:vAlign w:val="bottom"/>
            <w:gridSpan w:val="11"/>
            <w:shd w:val="clear" w:color="auto" w:fill="0000FF"/>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520" w:type="dxa"/>
            <w:vAlign w:val="bottom"/>
            <w:gridSpan w:val="2"/>
          </w:tcPr>
          <w:p>
            <w:pPr>
              <w:spacing w:after="0"/>
              <w:rPr>
                <w:sz w:val="20"/>
                <w:szCs w:val="20"/>
                <w:color w:val="auto"/>
              </w:rPr>
            </w:pPr>
            <w:r>
              <w:rPr>
                <w:rFonts w:ascii="Verdana" w:cs="Verdana" w:eastAsia="Verdana" w:hAnsi="Verdana"/>
                <w:sz w:val="18"/>
                <w:szCs w:val="18"/>
                <w:color w:val="0000FF"/>
              </w:rPr>
              <w:t>Item</w:t>
            </w:r>
          </w:p>
        </w:tc>
        <w:tc>
          <w:tcPr>
            <w:tcW w:w="160" w:type="dxa"/>
            <w:vAlign w:val="bottom"/>
          </w:tcPr>
          <w:p>
            <w:pPr>
              <w:spacing w:after="0"/>
              <w:rPr>
                <w:sz w:val="20"/>
                <w:szCs w:val="20"/>
                <w:color w:val="auto"/>
              </w:rPr>
            </w:pPr>
            <w:r>
              <w:rPr>
                <w:rFonts w:ascii="Verdana" w:cs="Verdana" w:eastAsia="Verdana" w:hAnsi="Verdana"/>
                <w:sz w:val="18"/>
                <w:szCs w:val="18"/>
                <w:color w:val="0000FF"/>
                <w:w w:val="77"/>
              </w:rPr>
              <w:t>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80" w:type="dxa"/>
            <w:vAlign w:val="bottom"/>
            <w:gridSpan w:val="28"/>
          </w:tcPr>
          <w:p>
            <w:pPr>
              <w:spacing w:after="0"/>
              <w:rPr>
                <w:sz w:val="20"/>
                <w:szCs w:val="20"/>
                <w:color w:val="auto"/>
              </w:rPr>
            </w:pPr>
            <w:r>
              <w:rPr>
                <w:rFonts w:ascii="Verdana" w:cs="Verdana" w:eastAsia="Verdana" w:hAnsi="Verdana"/>
                <w:sz w:val="18"/>
                <w:szCs w:val="18"/>
                <w:color w:val="0000FF"/>
              </w:rPr>
              <w:t>CONTROLS AND PROCEDURES</w:t>
            </w:r>
          </w:p>
        </w:tc>
        <w:tc>
          <w:tcPr>
            <w:tcW w:w="2740" w:type="dxa"/>
            <w:vAlign w:val="bottom"/>
            <w:gridSpan w:val="5"/>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108</w:t>
            </w:r>
          </w:p>
        </w:tc>
      </w:tr>
      <w:tr>
        <w:trPr>
          <w:trHeight w:val="20"/>
        </w:trPr>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80" w:type="dxa"/>
            <w:vAlign w:val="bottom"/>
            <w:gridSpan w:val="1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r>
      <w:tr>
        <w:trPr>
          <w:trHeight w:val="412"/>
        </w:trPr>
        <w:tc>
          <w:tcPr>
            <w:tcW w:w="680" w:type="dxa"/>
            <w:vAlign w:val="bottom"/>
            <w:gridSpan w:val="3"/>
          </w:tcPr>
          <w:p>
            <w:pPr>
              <w:spacing w:after="0"/>
              <w:rPr>
                <w:sz w:val="20"/>
                <w:szCs w:val="20"/>
                <w:color w:val="auto"/>
              </w:rPr>
            </w:pPr>
            <w:r>
              <w:rPr>
                <w:rFonts w:ascii="Verdana" w:cs="Verdana" w:eastAsia="Verdana" w:hAnsi="Verdana"/>
                <w:sz w:val="18"/>
                <w:szCs w:val="18"/>
                <w:color w:val="0000FF"/>
                <w:w w:val="93"/>
              </w:rPr>
              <w:t>PART II</w:t>
            </w:r>
          </w:p>
        </w:tc>
        <w:tc>
          <w:tcPr>
            <w:tcW w:w="680" w:type="dxa"/>
            <w:vAlign w:val="bottom"/>
            <w:gridSpan w:val="5"/>
          </w:tcPr>
          <w:p>
            <w:pPr>
              <w:spacing w:after="0"/>
              <w:rPr>
                <w:sz w:val="24"/>
                <w:szCs w:val="24"/>
                <w:color w:val="auto"/>
              </w:rPr>
            </w:pPr>
          </w:p>
        </w:tc>
        <w:tc>
          <w:tcPr>
            <w:tcW w:w="1980" w:type="dxa"/>
            <w:vAlign w:val="bottom"/>
            <w:gridSpan w:val="8"/>
          </w:tcPr>
          <w:p>
            <w:pPr>
              <w:spacing w:after="0"/>
              <w:rPr>
                <w:sz w:val="20"/>
                <w:szCs w:val="20"/>
                <w:color w:val="auto"/>
              </w:rPr>
            </w:pPr>
            <w:r>
              <w:rPr>
                <w:rFonts w:ascii="Verdana" w:cs="Verdana" w:eastAsia="Verdana" w:hAnsi="Verdana"/>
                <w:sz w:val="18"/>
                <w:szCs w:val="18"/>
                <w:color w:val="0000FF"/>
                <w:w w:val="96"/>
              </w:rPr>
              <w:t>OTHER INFORMATION</w:t>
            </w:r>
          </w:p>
        </w:tc>
        <w:tc>
          <w:tcPr>
            <w:tcW w:w="7240" w:type="dxa"/>
            <w:vAlign w:val="bottom"/>
            <w:gridSpan w:val="25"/>
          </w:tcPr>
          <w:p>
            <w:pPr>
              <w:spacing w:after="0"/>
              <w:rPr>
                <w:sz w:val="24"/>
                <w:szCs w:val="24"/>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108</w:t>
            </w:r>
          </w:p>
        </w:tc>
      </w:tr>
      <w:tr>
        <w:trPr>
          <w:trHeight w:val="20"/>
        </w:trPr>
        <w:tc>
          <w:tcPr>
            <w:tcW w:w="1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5"/>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5480" w:type="dxa"/>
            <w:vAlign w:val="bottom"/>
            <w:gridSpan w:val="1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Verdana" w:cs="Verdana" w:eastAsia="Verdana" w:hAnsi="Verdana"/>
                <w:sz w:val="18"/>
                <w:szCs w:val="18"/>
                <w:color w:val="0000FF"/>
              </w:rPr>
              <w:t>Item</w:t>
            </w:r>
          </w:p>
        </w:tc>
        <w:tc>
          <w:tcPr>
            <w:tcW w:w="180" w:type="dxa"/>
            <w:vAlign w:val="bottom"/>
            <w:gridSpan w:val="2"/>
          </w:tcPr>
          <w:p>
            <w:pPr>
              <w:spacing w:after="0"/>
              <w:rPr>
                <w:sz w:val="20"/>
                <w:szCs w:val="20"/>
                <w:color w:val="auto"/>
              </w:rPr>
            </w:pPr>
            <w:r>
              <w:rPr>
                <w:rFonts w:ascii="Verdana" w:cs="Verdana" w:eastAsia="Verdana" w:hAnsi="Verdana"/>
                <w:sz w:val="18"/>
                <w:szCs w:val="18"/>
                <w:color w:val="0000FF"/>
                <w:w w:val="77"/>
              </w:rPr>
              <w:t>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gridSpan w:val="8"/>
          </w:tcPr>
          <w:p>
            <w:pPr>
              <w:spacing w:after="0"/>
              <w:rPr>
                <w:sz w:val="20"/>
                <w:szCs w:val="20"/>
                <w:color w:val="auto"/>
              </w:rPr>
            </w:pPr>
            <w:r>
              <w:rPr>
                <w:rFonts w:ascii="Verdana" w:cs="Verdana" w:eastAsia="Verdana" w:hAnsi="Verdana"/>
                <w:sz w:val="18"/>
                <w:szCs w:val="18"/>
                <w:color w:val="0000FF"/>
                <w:w w:val="97"/>
              </w:rPr>
              <w:t>LEGAL PROCEEDINGS</w:t>
            </w:r>
          </w:p>
        </w:tc>
        <w:tc>
          <w:tcPr>
            <w:tcW w:w="7240" w:type="dxa"/>
            <w:vAlign w:val="bottom"/>
            <w:gridSpan w:val="25"/>
          </w:tcPr>
          <w:p>
            <w:pPr>
              <w:spacing w:after="0"/>
              <w:rPr>
                <w:sz w:val="24"/>
                <w:szCs w:val="24"/>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108</w:t>
            </w:r>
          </w:p>
        </w:tc>
      </w:tr>
      <w:tr>
        <w:trPr>
          <w:trHeight w:val="20"/>
        </w:trPr>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5480" w:type="dxa"/>
            <w:vAlign w:val="bottom"/>
            <w:gridSpan w:val="1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520" w:type="dxa"/>
            <w:vAlign w:val="bottom"/>
            <w:gridSpan w:val="2"/>
          </w:tcPr>
          <w:p>
            <w:pPr>
              <w:spacing w:after="0"/>
              <w:rPr>
                <w:sz w:val="20"/>
                <w:szCs w:val="20"/>
                <w:color w:val="auto"/>
              </w:rPr>
            </w:pPr>
            <w:r>
              <w:rPr>
                <w:rFonts w:ascii="Verdana" w:cs="Verdana" w:eastAsia="Verdana" w:hAnsi="Verdana"/>
                <w:sz w:val="18"/>
                <w:szCs w:val="18"/>
                <w:color w:val="0000FF"/>
              </w:rPr>
              <w:t>Item</w:t>
            </w:r>
          </w:p>
        </w:tc>
        <w:tc>
          <w:tcPr>
            <w:tcW w:w="680" w:type="dxa"/>
            <w:vAlign w:val="bottom"/>
            <w:gridSpan w:val="5"/>
          </w:tcPr>
          <w:p>
            <w:pPr>
              <w:spacing w:after="0"/>
              <w:rPr>
                <w:sz w:val="20"/>
                <w:szCs w:val="20"/>
                <w:color w:val="auto"/>
              </w:rPr>
            </w:pPr>
            <w:r>
              <w:rPr>
                <w:rFonts w:ascii="Verdana" w:cs="Verdana" w:eastAsia="Verdana" w:hAnsi="Verdana"/>
                <w:sz w:val="18"/>
                <w:szCs w:val="18"/>
                <w:color w:val="0000FF"/>
              </w:rPr>
              <w:t>1A</w:t>
            </w:r>
            <w:r>
              <w:rPr>
                <w:rFonts w:ascii="Verdana" w:cs="Verdana" w:eastAsia="Verdana" w:hAnsi="Verdana"/>
                <w:sz w:val="18"/>
                <w:szCs w:val="18"/>
                <w:color w:val="000000"/>
              </w:rPr>
              <w:t>.</w:t>
            </w:r>
          </w:p>
        </w:tc>
        <w:tc>
          <w:tcPr>
            <w:tcW w:w="9220" w:type="dxa"/>
            <w:vAlign w:val="bottom"/>
            <w:gridSpan w:val="33"/>
          </w:tcPr>
          <w:p>
            <w:pPr>
              <w:spacing w:after="0"/>
              <w:rPr>
                <w:sz w:val="20"/>
                <w:szCs w:val="20"/>
                <w:color w:val="auto"/>
              </w:rPr>
            </w:pPr>
            <w:r>
              <w:rPr>
                <w:rFonts w:ascii="Verdana" w:cs="Verdana" w:eastAsia="Verdana" w:hAnsi="Verdana"/>
                <w:sz w:val="18"/>
                <w:szCs w:val="18"/>
                <w:color w:val="0000FF"/>
              </w:rPr>
              <w:t>RISK FACTORS</w:t>
            </w: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108</w:t>
            </w:r>
          </w:p>
        </w:tc>
      </w:tr>
      <w:tr>
        <w:trPr>
          <w:trHeight w:val="20"/>
        </w:trPr>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5480" w:type="dxa"/>
            <w:vAlign w:val="bottom"/>
            <w:gridSpan w:val="1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520" w:type="dxa"/>
            <w:vAlign w:val="bottom"/>
            <w:tcBorders>
              <w:bottom w:val="single" w:sz="8" w:color="0000FF"/>
            </w:tcBorders>
            <w:gridSpan w:val="2"/>
          </w:tcPr>
          <w:p>
            <w:pPr>
              <w:spacing w:after="0"/>
              <w:rPr>
                <w:sz w:val="20"/>
                <w:szCs w:val="20"/>
                <w:color w:val="auto"/>
              </w:rPr>
            </w:pPr>
            <w:r>
              <w:rPr>
                <w:rFonts w:ascii="Verdana" w:cs="Verdana" w:eastAsia="Verdana" w:hAnsi="Verdana"/>
                <w:sz w:val="18"/>
                <w:szCs w:val="18"/>
                <w:color w:val="0000FF"/>
              </w:rPr>
              <w:t>Item</w:t>
            </w:r>
          </w:p>
        </w:tc>
        <w:tc>
          <w:tcPr>
            <w:tcW w:w="160" w:type="dxa"/>
            <w:vAlign w:val="bottom"/>
            <w:tcBorders>
              <w:bottom w:val="single" w:sz="8" w:color="0000FF"/>
            </w:tcBorders>
          </w:tcPr>
          <w:p>
            <w:pPr>
              <w:spacing w:after="0"/>
              <w:rPr>
                <w:sz w:val="20"/>
                <w:szCs w:val="20"/>
                <w:color w:val="auto"/>
              </w:rPr>
            </w:pPr>
            <w:r>
              <w:rPr>
                <w:rFonts w:ascii="Verdana" w:cs="Verdana" w:eastAsia="Verdana" w:hAnsi="Verdana"/>
                <w:sz w:val="18"/>
                <w:szCs w:val="18"/>
                <w:color w:val="0000FF"/>
                <w:w w:val="77"/>
              </w:rPr>
              <w:t>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940" w:type="dxa"/>
            <w:vAlign w:val="bottom"/>
            <w:tcBorders>
              <w:bottom w:val="single" w:sz="8" w:color="0000FF"/>
            </w:tcBorders>
            <w:gridSpan w:val="32"/>
          </w:tcPr>
          <w:p>
            <w:pPr>
              <w:spacing w:after="0"/>
              <w:rPr>
                <w:sz w:val="20"/>
                <w:szCs w:val="20"/>
                <w:color w:val="auto"/>
              </w:rPr>
            </w:pPr>
            <w:r>
              <w:rPr>
                <w:rFonts w:ascii="Verdana" w:cs="Verdana" w:eastAsia="Verdana" w:hAnsi="Verdana"/>
                <w:sz w:val="18"/>
                <w:szCs w:val="18"/>
                <w:color w:val="0000FF"/>
                <w:w w:val="99"/>
              </w:rPr>
              <w:t>UNREGISTERED SALES OF EQUITY SECURITIES, USE OF PROCEEDS, AND ISSUER PURCHASES OF</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196"/>
        </w:trPr>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20" w:type="dxa"/>
            <w:vAlign w:val="bottom"/>
            <w:gridSpan w:val="33"/>
          </w:tcPr>
          <w:p>
            <w:pPr>
              <w:spacing w:after="0" w:line="196" w:lineRule="exact"/>
              <w:rPr>
                <w:sz w:val="20"/>
                <w:szCs w:val="20"/>
                <w:color w:val="auto"/>
              </w:rPr>
            </w:pPr>
            <w:r>
              <w:rPr>
                <w:rFonts w:ascii="Verdana" w:cs="Verdana" w:eastAsia="Verdana" w:hAnsi="Verdana"/>
                <w:sz w:val="18"/>
                <w:szCs w:val="18"/>
                <w:color w:val="0000FF"/>
              </w:rPr>
              <w:t>EQUITY SECURITIES</w:t>
            </w:r>
          </w:p>
        </w:tc>
        <w:tc>
          <w:tcPr>
            <w:tcW w:w="620" w:type="dxa"/>
            <w:vAlign w:val="bottom"/>
            <w:gridSpan w:val="4"/>
          </w:tcPr>
          <w:p>
            <w:pPr>
              <w:jc w:val="right"/>
              <w:spacing w:after="0" w:line="196" w:lineRule="exact"/>
              <w:rPr>
                <w:sz w:val="20"/>
                <w:szCs w:val="20"/>
                <w:color w:val="auto"/>
              </w:rPr>
            </w:pPr>
            <w:r>
              <w:rPr>
                <w:rFonts w:ascii="Verdana" w:cs="Verdana" w:eastAsia="Verdana" w:hAnsi="Verdana"/>
                <w:sz w:val="18"/>
                <w:szCs w:val="18"/>
                <w:color w:val="0000FF"/>
              </w:rPr>
              <w:t>114</w:t>
            </w:r>
          </w:p>
        </w:tc>
      </w:tr>
      <w:tr>
        <w:trPr>
          <w:trHeight w:val="20"/>
        </w:trPr>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980" w:type="dxa"/>
            <w:vAlign w:val="bottom"/>
            <w:gridSpan w:val="5"/>
            <w:shd w:val="clear" w:color="auto" w:fill="0000FF"/>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5760" w:type="dxa"/>
            <w:vAlign w:val="bottom"/>
            <w:gridSpan w:val="1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520" w:type="dxa"/>
            <w:vAlign w:val="bottom"/>
            <w:gridSpan w:val="2"/>
          </w:tcPr>
          <w:p>
            <w:pPr>
              <w:spacing w:after="0"/>
              <w:rPr>
                <w:sz w:val="20"/>
                <w:szCs w:val="20"/>
                <w:color w:val="auto"/>
              </w:rPr>
            </w:pPr>
            <w:r>
              <w:rPr>
                <w:rFonts w:ascii="Verdana" w:cs="Verdana" w:eastAsia="Verdana" w:hAnsi="Verdana"/>
                <w:sz w:val="18"/>
                <w:szCs w:val="18"/>
                <w:color w:val="0000FF"/>
              </w:rPr>
              <w:t>Item</w:t>
            </w:r>
          </w:p>
        </w:tc>
        <w:tc>
          <w:tcPr>
            <w:tcW w:w="180" w:type="dxa"/>
            <w:vAlign w:val="bottom"/>
            <w:gridSpan w:val="2"/>
          </w:tcPr>
          <w:p>
            <w:pPr>
              <w:spacing w:after="0"/>
              <w:rPr>
                <w:sz w:val="20"/>
                <w:szCs w:val="20"/>
                <w:color w:val="auto"/>
              </w:rPr>
            </w:pPr>
            <w:r>
              <w:rPr>
                <w:rFonts w:ascii="Verdana" w:cs="Verdana" w:eastAsia="Verdana" w:hAnsi="Verdana"/>
                <w:sz w:val="18"/>
                <w:szCs w:val="18"/>
                <w:color w:val="0000FF"/>
                <w:w w:val="77"/>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60" w:type="dxa"/>
            <w:vAlign w:val="bottom"/>
            <w:gridSpan w:val="17"/>
          </w:tcPr>
          <w:p>
            <w:pPr>
              <w:spacing w:after="0"/>
              <w:rPr>
                <w:sz w:val="20"/>
                <w:szCs w:val="20"/>
                <w:color w:val="auto"/>
              </w:rPr>
            </w:pPr>
            <w:r>
              <w:rPr>
                <w:rFonts w:ascii="Verdana" w:cs="Verdana" w:eastAsia="Verdana" w:hAnsi="Verdana"/>
                <w:sz w:val="18"/>
                <w:szCs w:val="18"/>
                <w:color w:val="0000FF"/>
                <w:w w:val="98"/>
              </w:rPr>
              <w:t>DEFAULTS UPON SENIOR SECURITIES</w:t>
            </w:r>
          </w:p>
        </w:tc>
        <w:tc>
          <w:tcPr>
            <w:tcW w:w="5760" w:type="dxa"/>
            <w:vAlign w:val="bottom"/>
            <w:gridSpan w:val="16"/>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114</w:t>
            </w:r>
          </w:p>
        </w:tc>
      </w:tr>
      <w:tr>
        <w:trPr>
          <w:trHeight w:val="20"/>
        </w:trPr>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720" w:type="dxa"/>
            <w:vAlign w:val="bottom"/>
            <w:gridSpan w:val="11"/>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5760" w:type="dxa"/>
            <w:vAlign w:val="bottom"/>
            <w:gridSpan w:val="1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520" w:type="dxa"/>
            <w:vAlign w:val="bottom"/>
            <w:gridSpan w:val="2"/>
          </w:tcPr>
          <w:p>
            <w:pPr>
              <w:spacing w:after="0"/>
              <w:rPr>
                <w:sz w:val="20"/>
                <w:szCs w:val="20"/>
                <w:color w:val="auto"/>
              </w:rPr>
            </w:pPr>
            <w:r>
              <w:rPr>
                <w:rFonts w:ascii="Verdana" w:cs="Verdana" w:eastAsia="Verdana" w:hAnsi="Verdana"/>
                <w:sz w:val="18"/>
                <w:szCs w:val="18"/>
                <w:color w:val="0000FF"/>
              </w:rPr>
              <w:t>Item</w:t>
            </w:r>
          </w:p>
        </w:tc>
        <w:tc>
          <w:tcPr>
            <w:tcW w:w="180" w:type="dxa"/>
            <w:vAlign w:val="bottom"/>
            <w:gridSpan w:val="2"/>
          </w:tcPr>
          <w:p>
            <w:pPr>
              <w:spacing w:after="0"/>
              <w:rPr>
                <w:sz w:val="20"/>
                <w:szCs w:val="20"/>
                <w:color w:val="auto"/>
              </w:rPr>
            </w:pPr>
            <w:r>
              <w:rPr>
                <w:rFonts w:ascii="Verdana" w:cs="Verdana" w:eastAsia="Verdana" w:hAnsi="Verdana"/>
                <w:sz w:val="18"/>
                <w:szCs w:val="18"/>
                <w:color w:val="0000FF"/>
                <w:w w:val="77"/>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60" w:type="dxa"/>
            <w:vAlign w:val="bottom"/>
            <w:gridSpan w:val="17"/>
          </w:tcPr>
          <w:p>
            <w:pPr>
              <w:spacing w:after="0"/>
              <w:rPr>
                <w:sz w:val="20"/>
                <w:szCs w:val="20"/>
                <w:color w:val="auto"/>
              </w:rPr>
            </w:pPr>
            <w:r>
              <w:rPr>
                <w:rFonts w:ascii="Verdana" w:cs="Verdana" w:eastAsia="Verdana" w:hAnsi="Verdana"/>
                <w:sz w:val="18"/>
                <w:szCs w:val="18"/>
                <w:color w:val="0000FF"/>
              </w:rPr>
              <w:t>MINE SAFETY DISCLOSURES</w:t>
            </w:r>
          </w:p>
        </w:tc>
        <w:tc>
          <w:tcPr>
            <w:tcW w:w="5760" w:type="dxa"/>
            <w:vAlign w:val="bottom"/>
            <w:gridSpan w:val="16"/>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114</w:t>
            </w:r>
          </w:p>
        </w:tc>
      </w:tr>
      <w:tr>
        <w:trPr>
          <w:trHeight w:val="20"/>
        </w:trPr>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720" w:type="dxa"/>
            <w:vAlign w:val="bottom"/>
            <w:gridSpan w:val="11"/>
            <w:shd w:val="clear" w:color="auto" w:fill="0000FF"/>
          </w:tcPr>
          <w:p>
            <w:pPr>
              <w:spacing w:after="0" w:line="20" w:lineRule="exact"/>
              <w:rPr>
                <w:sz w:val="1"/>
                <w:szCs w:val="1"/>
                <w:color w:val="auto"/>
              </w:rPr>
            </w:pPr>
          </w:p>
        </w:tc>
        <w:tc>
          <w:tcPr>
            <w:tcW w:w="6620" w:type="dxa"/>
            <w:vAlign w:val="bottom"/>
            <w:gridSpan w:val="2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520" w:type="dxa"/>
            <w:vAlign w:val="bottom"/>
            <w:gridSpan w:val="2"/>
          </w:tcPr>
          <w:p>
            <w:pPr>
              <w:spacing w:after="0"/>
              <w:rPr>
                <w:sz w:val="20"/>
                <w:szCs w:val="20"/>
                <w:color w:val="auto"/>
              </w:rPr>
            </w:pPr>
            <w:r>
              <w:rPr>
                <w:rFonts w:ascii="Verdana" w:cs="Verdana" w:eastAsia="Verdana" w:hAnsi="Verdana"/>
                <w:sz w:val="18"/>
                <w:szCs w:val="18"/>
                <w:color w:val="0000FF"/>
              </w:rPr>
              <w:t>Item</w:t>
            </w:r>
          </w:p>
        </w:tc>
        <w:tc>
          <w:tcPr>
            <w:tcW w:w="180" w:type="dxa"/>
            <w:vAlign w:val="bottom"/>
            <w:gridSpan w:val="2"/>
          </w:tcPr>
          <w:p>
            <w:pPr>
              <w:spacing w:after="0"/>
              <w:rPr>
                <w:sz w:val="20"/>
                <w:szCs w:val="20"/>
                <w:color w:val="auto"/>
              </w:rPr>
            </w:pPr>
            <w:r>
              <w:rPr>
                <w:rFonts w:ascii="Verdana" w:cs="Verdana" w:eastAsia="Verdana" w:hAnsi="Verdana"/>
                <w:sz w:val="18"/>
                <w:szCs w:val="18"/>
                <w:color w:val="0000FF"/>
                <w:w w:val="77"/>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80" w:type="dxa"/>
            <w:vAlign w:val="bottom"/>
            <w:gridSpan w:val="8"/>
          </w:tcPr>
          <w:p>
            <w:pPr>
              <w:spacing w:after="0"/>
              <w:rPr>
                <w:sz w:val="20"/>
                <w:szCs w:val="20"/>
                <w:color w:val="auto"/>
              </w:rPr>
            </w:pPr>
            <w:r>
              <w:rPr>
                <w:rFonts w:ascii="Verdana" w:cs="Verdana" w:eastAsia="Verdana" w:hAnsi="Verdana"/>
                <w:sz w:val="18"/>
                <w:szCs w:val="18"/>
                <w:color w:val="0000FF"/>
                <w:w w:val="96"/>
              </w:rPr>
              <w:t>OTHER INFORMATION</w:t>
            </w:r>
          </w:p>
        </w:tc>
        <w:tc>
          <w:tcPr>
            <w:tcW w:w="620" w:type="dxa"/>
            <w:vAlign w:val="bottom"/>
            <w:gridSpan w:val="5"/>
          </w:tcPr>
          <w:p>
            <w:pPr>
              <w:spacing w:after="0"/>
              <w:rPr>
                <w:sz w:val="21"/>
                <w:szCs w:val="21"/>
                <w:color w:val="auto"/>
              </w:rPr>
            </w:pPr>
          </w:p>
        </w:tc>
        <w:tc>
          <w:tcPr>
            <w:tcW w:w="6620" w:type="dxa"/>
            <w:vAlign w:val="bottom"/>
            <w:gridSpan w:val="20"/>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114</w:t>
            </w:r>
          </w:p>
        </w:tc>
      </w:tr>
      <w:tr>
        <w:trPr>
          <w:trHeight w:val="20"/>
        </w:trPr>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520" w:type="dxa"/>
            <w:vAlign w:val="bottom"/>
            <w:gridSpan w:val="2"/>
          </w:tcPr>
          <w:p>
            <w:pPr>
              <w:spacing w:after="0"/>
              <w:rPr>
                <w:sz w:val="20"/>
                <w:szCs w:val="20"/>
                <w:color w:val="auto"/>
              </w:rPr>
            </w:pPr>
            <w:r>
              <w:rPr>
                <w:rFonts w:ascii="Verdana" w:cs="Verdana" w:eastAsia="Verdana" w:hAnsi="Verdana"/>
                <w:sz w:val="18"/>
                <w:szCs w:val="18"/>
                <w:color w:val="0000FF"/>
              </w:rPr>
              <w:t>Item</w:t>
            </w:r>
          </w:p>
        </w:tc>
        <w:tc>
          <w:tcPr>
            <w:tcW w:w="180" w:type="dxa"/>
            <w:vAlign w:val="bottom"/>
            <w:gridSpan w:val="2"/>
          </w:tcPr>
          <w:p>
            <w:pPr>
              <w:spacing w:after="0"/>
              <w:rPr>
                <w:sz w:val="20"/>
                <w:szCs w:val="20"/>
                <w:color w:val="auto"/>
              </w:rPr>
            </w:pPr>
            <w:r>
              <w:rPr>
                <w:rFonts w:ascii="Verdana" w:cs="Verdana" w:eastAsia="Verdana" w:hAnsi="Verdana"/>
                <w:sz w:val="18"/>
                <w:szCs w:val="18"/>
                <w:color w:val="0000FF"/>
                <w:w w:val="77"/>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spacing w:after="0"/>
              <w:rPr>
                <w:sz w:val="20"/>
                <w:szCs w:val="20"/>
                <w:color w:val="auto"/>
              </w:rPr>
            </w:pPr>
            <w:r>
              <w:rPr>
                <w:rFonts w:ascii="Verdana" w:cs="Verdana" w:eastAsia="Verdana" w:hAnsi="Verdana"/>
                <w:sz w:val="18"/>
                <w:szCs w:val="18"/>
                <w:color w:val="0000FF"/>
                <w:w w:val="97"/>
              </w:rPr>
              <w:t>EXHIBITS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115</w:t>
            </w:r>
          </w:p>
        </w:tc>
      </w:tr>
      <w:tr>
        <w:trPr>
          <w:trHeight w:val="20"/>
        </w:trPr>
        <w:tc>
          <w:tcPr>
            <w:tcW w:w="160" w:type="dxa"/>
            <w:vAlign w:val="bottom"/>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r>
      <w:tr>
        <w:trPr>
          <w:trHeight w:val="412"/>
        </w:trPr>
        <w:tc>
          <w:tcPr>
            <w:tcW w:w="1200" w:type="dxa"/>
            <w:vAlign w:val="bottom"/>
            <w:gridSpan w:val="7"/>
          </w:tcPr>
          <w:p>
            <w:pPr>
              <w:spacing w:after="0"/>
              <w:rPr>
                <w:sz w:val="20"/>
                <w:szCs w:val="20"/>
                <w:color w:val="auto"/>
              </w:rPr>
            </w:pPr>
            <w:r>
              <w:rPr>
                <w:rFonts w:ascii="Verdana" w:cs="Verdana" w:eastAsia="Verdana" w:hAnsi="Verdana"/>
                <w:sz w:val="18"/>
                <w:szCs w:val="18"/>
                <w:color w:val="0000FF"/>
                <w:w w:val="98"/>
              </w:rPr>
              <w:t>SIGNATURES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117</w:t>
            </w:r>
          </w:p>
        </w:tc>
      </w:tr>
      <w:tr>
        <w:trPr>
          <w:trHeight w:val="20"/>
        </w:trPr>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10" w:right="339" w:bottom="1440" w:gutter="0" w:footer="0" w:header="0"/>
        </w:sectPr>
      </w:pPr>
    </w:p>
    <w:p>
      <w:pPr>
        <w:spacing w:after="0" w:line="335" w:lineRule="exact"/>
        <w:rPr>
          <w:sz w:val="20"/>
          <w:szCs w:val="20"/>
          <w:color w:val="auto"/>
        </w:rPr>
      </w:pPr>
    </w:p>
    <w:p>
      <w:pPr>
        <w:ind w:left="8060"/>
        <w:spacing w:after="0"/>
        <w:rPr>
          <w:sz w:val="20"/>
          <w:szCs w:val="20"/>
          <w:color w:val="auto"/>
        </w:rPr>
      </w:pPr>
      <w:r>
        <w:rPr>
          <w:rFonts w:ascii="Verdana" w:cs="Verdana" w:eastAsia="Verdana" w:hAnsi="Verdana"/>
          <w:sz w:val="17"/>
          <w:szCs w:val="17"/>
          <w:color w:val="808285"/>
        </w:rPr>
        <w:t xml:space="preserve">First Busey Corporation (BUSE) | </w:t>
      </w:r>
      <w:r>
        <w:rPr>
          <w:rFonts w:ascii="Verdana" w:cs="Verdana" w:eastAsia="Verdana" w:hAnsi="Verdana"/>
          <w:sz w:val="17"/>
          <w:szCs w:val="17"/>
          <w:b w:val="1"/>
          <w:bCs w:val="1"/>
          <w:color w:val="376484"/>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bookmarkStart w:id="2" w:name="page3"/>
    <w:bookmarkEnd w:id="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080"/>
        <w:spacing w:after="0"/>
        <w:rPr>
          <w:sz w:val="20"/>
          <w:szCs w:val="20"/>
          <w:color w:val="auto"/>
        </w:rPr>
      </w:pPr>
      <w:r>
        <w:rPr>
          <w:rFonts w:ascii="Verdana" w:cs="Verdana" w:eastAsia="Verdana" w:hAnsi="Verdana"/>
          <w:sz w:val="18"/>
          <w:szCs w:val="18"/>
          <w:b w:val="1"/>
          <w:bCs w:val="1"/>
          <w:color w:val="auto"/>
        </w:rPr>
        <w:t>GLOSSARY</w:t>
      </w:r>
    </w:p>
    <w:p>
      <w:pPr>
        <w:spacing w:after="0" w:line="213" w:lineRule="exact"/>
        <w:rPr>
          <w:sz w:val="20"/>
          <w:szCs w:val="20"/>
          <w:color w:val="auto"/>
        </w:rPr>
      </w:pPr>
    </w:p>
    <w:p>
      <w:pPr>
        <w:spacing w:after="0"/>
        <w:rPr>
          <w:sz w:val="20"/>
          <w:szCs w:val="20"/>
          <w:color w:val="auto"/>
        </w:rPr>
      </w:pPr>
      <w:r>
        <w:rPr>
          <w:rFonts w:ascii="Verdana" w:cs="Verdana" w:eastAsia="Verdana" w:hAnsi="Verdana"/>
          <w:sz w:val="18"/>
          <w:szCs w:val="18"/>
          <w:color w:val="auto"/>
        </w:rPr>
        <w:t>We use acronyms, abbreviations, and other terms throughout this Quarterly Report, as defined in the glossary below:</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Term</w:t>
            </w:r>
          </w:p>
        </w:tc>
        <w:tc>
          <w:tcPr>
            <w:tcW w:w="8880" w:type="dxa"/>
            <w:vAlign w:val="bottom"/>
          </w:tcPr>
          <w:p>
            <w:pPr>
              <w:ind w:left="20"/>
              <w:spacing w:after="0"/>
              <w:rPr>
                <w:sz w:val="20"/>
                <w:szCs w:val="20"/>
                <w:color w:val="auto"/>
              </w:rPr>
            </w:pPr>
            <w:r>
              <w:rPr>
                <w:rFonts w:ascii="Arial" w:cs="Arial" w:eastAsia="Arial" w:hAnsi="Arial"/>
                <w:sz w:val="18"/>
                <w:szCs w:val="18"/>
                <w:color w:val="auto"/>
              </w:rPr>
              <w:t>Definition</w:t>
            </w:r>
          </w:p>
        </w:tc>
      </w:tr>
      <w:tr>
        <w:trPr>
          <w:trHeight w:val="23"/>
        </w:trPr>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63"/>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2020 Equity Plan</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First Busey Corporation Amended 2020 Equity Incentive Plan</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ACL</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Allowance for credit losses</w:t>
            </w:r>
          </w:p>
        </w:tc>
      </w:tr>
      <w:tr>
        <w:trPr>
          <w:trHeight w:val="244"/>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Annual Report</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Annual report filed with the SEC on Form 10-K pursuant to Section 13 or 15(d) of the Exchange</w:t>
            </w:r>
          </w:p>
        </w:tc>
      </w:tr>
      <w:tr>
        <w:trPr>
          <w:trHeight w:val="248"/>
        </w:trPr>
        <w:tc>
          <w:tcPr>
            <w:tcW w:w="2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Act</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AOCI</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Accumulated other comprehensive income (loss)</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ASC</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Accounting Standards Codification</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ASU</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Accounting Standards Update</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Basel III</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2010 capital accord adopted by the international Basel Committee on Banking Supervision</w:t>
            </w:r>
          </w:p>
        </w:tc>
      </w:tr>
      <w:tr>
        <w:trPr>
          <w:trHeight w:val="238"/>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Basel III Rule</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Regulations promulgated by U.S. federal banking agencies – the Office of the Comptroller of the</w:t>
            </w:r>
          </w:p>
        </w:tc>
      </w:tr>
      <w:tr>
        <w:trPr>
          <w:trHeight w:val="216"/>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80" w:type="dxa"/>
            <w:vAlign w:val="bottom"/>
          </w:tcPr>
          <w:p>
            <w:pPr>
              <w:ind w:left="20"/>
              <w:spacing w:after="0" w:line="216" w:lineRule="exact"/>
              <w:rPr>
                <w:sz w:val="20"/>
                <w:szCs w:val="20"/>
                <w:color w:val="auto"/>
              </w:rPr>
            </w:pPr>
            <w:r>
              <w:rPr>
                <w:rFonts w:ascii="Verdana" w:cs="Verdana" w:eastAsia="Verdana" w:hAnsi="Verdana"/>
                <w:sz w:val="18"/>
                <w:szCs w:val="18"/>
                <w:color w:val="auto"/>
                <w:w w:val="99"/>
              </w:rPr>
              <w:t>Currency, the Federal Reserve, and the FDIC – to both enforce implementation of certain aspects</w:t>
            </w:r>
          </w:p>
        </w:tc>
      </w:tr>
      <w:tr>
        <w:trPr>
          <w:trHeight w:val="216"/>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80" w:type="dxa"/>
            <w:vAlign w:val="bottom"/>
          </w:tcPr>
          <w:p>
            <w:pPr>
              <w:ind w:left="20"/>
              <w:spacing w:after="0" w:line="216" w:lineRule="exact"/>
              <w:rPr>
                <w:sz w:val="20"/>
                <w:szCs w:val="20"/>
                <w:color w:val="auto"/>
              </w:rPr>
            </w:pPr>
            <w:r>
              <w:rPr>
                <w:rFonts w:ascii="Verdana" w:cs="Verdana" w:eastAsia="Verdana" w:hAnsi="Verdana"/>
                <w:sz w:val="18"/>
                <w:szCs w:val="18"/>
                <w:color w:val="auto"/>
              </w:rPr>
              <w:t>of the Basel III capital reforms and effect certain changes required by the Dodd-Frank Wall</w:t>
            </w:r>
          </w:p>
        </w:tc>
      </w:tr>
      <w:tr>
        <w:trPr>
          <w:trHeight w:val="242"/>
        </w:trPr>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80" w:type="dxa"/>
            <w:vAlign w:val="bottom"/>
          </w:tcPr>
          <w:p>
            <w:pPr>
              <w:ind w:left="20"/>
              <w:spacing w:after="0"/>
              <w:rPr>
                <w:sz w:val="20"/>
                <w:szCs w:val="20"/>
                <w:color w:val="auto"/>
              </w:rPr>
            </w:pPr>
            <w:r>
              <w:rPr>
                <w:rFonts w:ascii="Verdana" w:cs="Verdana" w:eastAsia="Verdana" w:hAnsi="Verdana"/>
                <w:sz w:val="18"/>
                <w:szCs w:val="18"/>
                <w:color w:val="auto"/>
              </w:rPr>
              <w:t>Street Reform and Consumer Protection Act</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bps</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basis points</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C&amp;I</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Commercial and industrial loans</w:t>
            </w:r>
          </w:p>
        </w:tc>
      </w:tr>
      <w:tr>
        <w:trPr>
          <w:trHeight w:val="244"/>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CECL</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ASC Topic 326 “Financial Instruments-Credit Losses,” which established the Current Expected</w:t>
            </w:r>
          </w:p>
        </w:tc>
      </w:tr>
      <w:tr>
        <w:trPr>
          <w:trHeight w:val="248"/>
        </w:trPr>
        <w:tc>
          <w:tcPr>
            <w:tcW w:w="2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Credit Losses methodology for measuring credit losses on financial instruments</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CrossFirst</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CrossFirst Bankshares, Inc.</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DFPR</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Illinois Department of Financial and Professional Regulation</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DSU</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Deferred stock unit</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ESPP</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First Busey Corporation Employee Stock Purchase Plan</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Exchange Act</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Securities Exchange Act of 1934, as amended</w:t>
            </w:r>
          </w:p>
        </w:tc>
      </w:tr>
      <w:tr>
        <w:trPr>
          <w:trHeight w:val="244"/>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Fair value</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The price that would be received to sell an asset, or paid to transfer a liability, in an orderly</w:t>
            </w:r>
          </w:p>
        </w:tc>
      </w:tr>
      <w:tr>
        <w:trPr>
          <w:trHeight w:val="216"/>
        </w:trPr>
        <w:tc>
          <w:tcPr>
            <w:tcW w:w="226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8880" w:type="dxa"/>
            <w:vAlign w:val="bottom"/>
            <w:shd w:val="clear" w:color="auto" w:fill="E0E7ED"/>
          </w:tcPr>
          <w:p>
            <w:pPr>
              <w:ind w:left="20"/>
              <w:spacing w:after="0" w:line="216" w:lineRule="exact"/>
              <w:rPr>
                <w:sz w:val="20"/>
                <w:szCs w:val="20"/>
                <w:color w:val="auto"/>
              </w:rPr>
            </w:pPr>
            <w:r>
              <w:rPr>
                <w:rFonts w:ascii="Verdana" w:cs="Verdana" w:eastAsia="Verdana" w:hAnsi="Verdana"/>
                <w:sz w:val="18"/>
                <w:szCs w:val="18"/>
                <w:color w:val="auto"/>
              </w:rPr>
              <w:t>transaction between market participants at the measurement date, as defined in ASC Topic 820</w:t>
            </w:r>
          </w:p>
        </w:tc>
      </w:tr>
      <w:tr>
        <w:trPr>
          <w:trHeight w:val="248"/>
        </w:trPr>
        <w:tc>
          <w:tcPr>
            <w:tcW w:w="2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“Fair Value Measurement”</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FASB</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Financial Accounting Standards Board</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FDIC</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Federal Deposit Insurance Corporation</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Federal Reserve</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Board of Governors of the Federal Reserve System</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FHLB</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Federal Home Loan Bank</w:t>
            </w:r>
          </w:p>
        </w:tc>
      </w:tr>
      <w:tr>
        <w:trPr>
          <w:trHeight w:val="238"/>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First Busey</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First Busey Corporation, together with its wholly-owned consolidated subsidiaries; also, “Busey,”</w:t>
            </w:r>
          </w:p>
        </w:tc>
      </w:tr>
      <w:tr>
        <w:trPr>
          <w:trHeight w:val="242"/>
        </w:trPr>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80" w:type="dxa"/>
            <w:vAlign w:val="bottom"/>
          </w:tcPr>
          <w:p>
            <w:pPr>
              <w:ind w:left="20"/>
              <w:spacing w:after="0"/>
              <w:rPr>
                <w:sz w:val="20"/>
                <w:szCs w:val="20"/>
                <w:color w:val="auto"/>
              </w:rPr>
            </w:pPr>
            <w:r>
              <w:rPr>
                <w:rFonts w:ascii="Verdana" w:cs="Verdana" w:eastAsia="Verdana" w:hAnsi="Verdana"/>
                <w:sz w:val="18"/>
                <w:szCs w:val="18"/>
                <w:color w:val="auto"/>
              </w:rPr>
              <w:t>the “Company,” “we,” “us,” and “our”</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FirsTech</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FirsTech, Inc.</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FOMC</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Federal Open Market Committee</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GAAP</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U.S. Generally Accepted Accounting Principles</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LIBOR</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London Interbank Offered Rate</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M&amp;M</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Merchants and Manufacturers Bank Corporation</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M&amp;M Bank</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Merchants and Manufacturers Bank</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Nasdaq</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National Association of Securities Dealers Automated Quotations</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NM</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Not meaningful</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NMTC</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New Markets Tax Credit</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OCI</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Other comprehensive income (loss)</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OREO</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Other real estate owned</w:t>
            </w:r>
          </w:p>
        </w:tc>
      </w:tr>
    </w:tbl>
    <w:p>
      <w:pPr>
        <w:spacing w:after="0" w:line="200" w:lineRule="exact"/>
        <w:rPr>
          <w:sz w:val="20"/>
          <w:szCs w:val="20"/>
          <w:color w:val="auto"/>
        </w:rPr>
      </w:pPr>
    </w:p>
    <w:p>
      <w:pPr>
        <w:sectPr>
          <w:pgSz w:w="11900" w:h="16838" w:orient="portrait"/>
          <w:cols w:equalWidth="0" w:num="1">
            <w:col w:w="11240"/>
          </w:cols>
          <w:pgMar w:left="320" w:top="310"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8060"/>
        <w:spacing w:after="0"/>
        <w:rPr>
          <w:sz w:val="20"/>
          <w:szCs w:val="20"/>
          <w:color w:val="auto"/>
        </w:rPr>
      </w:pPr>
      <w:r>
        <w:rPr>
          <w:rFonts w:ascii="Verdana" w:cs="Verdana" w:eastAsia="Verdana" w:hAnsi="Verdana"/>
          <w:sz w:val="17"/>
          <w:szCs w:val="17"/>
          <w:color w:val="808285"/>
        </w:rPr>
        <w:t xml:space="preserve">First Busey Corporation (BUSE) | </w:t>
      </w:r>
      <w:r>
        <w:rPr>
          <w:rFonts w:ascii="Verdana" w:cs="Verdana" w:eastAsia="Verdana" w:hAnsi="Verdana"/>
          <w:sz w:val="17"/>
          <w:szCs w:val="17"/>
          <w:b w:val="1"/>
          <w:bCs w:val="1"/>
          <w:color w:val="376484"/>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19"/>
        </w:trPr>
        <w:tc>
          <w:tcPr>
            <w:tcW w:w="1580" w:type="dxa"/>
            <w:vAlign w:val="bottom"/>
            <w:tcBorders>
              <w:bottom w:val="single" w:sz="8" w:color="0000FF"/>
            </w:tcBorders>
          </w:tcPr>
          <w:p>
            <w:pPr>
              <w:spacing w:after="0"/>
              <w:rPr>
                <w:sz w:val="20"/>
                <w:szCs w:val="20"/>
                <w:color w:val="auto"/>
              </w:rPr>
            </w:pPr>
            <w:r>
              <w:rPr>
                <w:rFonts w:ascii="Verdana" w:cs="Verdana" w:eastAsia="Verdana" w:hAnsi="Verdana"/>
                <w:sz w:val="18"/>
                <w:szCs w:val="18"/>
                <w:color w:val="0000FF"/>
                <w:w w:val="97"/>
              </w:rPr>
              <w:t>Table of Contents</w:t>
            </w:r>
          </w:p>
        </w:tc>
        <w:tc>
          <w:tcPr>
            <w:tcW w:w="780" w:type="dxa"/>
            <w:vAlign w:val="bottom"/>
            <w:gridSpan w:val="2"/>
          </w:tcPr>
          <w:p>
            <w:pPr>
              <w:spacing w:after="0"/>
              <w:rPr>
                <w:sz w:val="19"/>
                <w:szCs w:val="19"/>
                <w:color w:val="auto"/>
              </w:rPr>
            </w:pPr>
          </w:p>
        </w:tc>
        <w:tc>
          <w:tcPr>
            <w:tcW w:w="8880" w:type="dxa"/>
            <w:vAlign w:val="bottom"/>
          </w:tcPr>
          <w:p>
            <w:pPr>
              <w:spacing w:after="0"/>
              <w:rPr>
                <w:sz w:val="19"/>
                <w:szCs w:val="19"/>
                <w:color w:val="auto"/>
              </w:rPr>
            </w:pPr>
          </w:p>
        </w:tc>
      </w:tr>
      <w:tr>
        <w:trPr>
          <w:trHeight w:val="1091"/>
        </w:trPr>
        <w:tc>
          <w:tcPr>
            <w:tcW w:w="2360" w:type="dxa"/>
            <w:vAlign w:val="bottom"/>
            <w:gridSpan w:val="3"/>
          </w:tcPr>
          <w:p>
            <w:pPr>
              <w:ind w:left="20"/>
              <w:spacing w:after="0"/>
              <w:rPr>
                <w:sz w:val="20"/>
                <w:szCs w:val="20"/>
                <w:color w:val="auto"/>
              </w:rPr>
            </w:pPr>
            <w:r>
              <w:rPr>
                <w:rFonts w:ascii="Arial" w:cs="Arial" w:eastAsia="Arial" w:hAnsi="Arial"/>
                <w:sz w:val="18"/>
                <w:szCs w:val="18"/>
                <w:color w:val="auto"/>
              </w:rPr>
              <w:t>Term</w:t>
            </w:r>
          </w:p>
        </w:tc>
        <w:tc>
          <w:tcPr>
            <w:tcW w:w="8880" w:type="dxa"/>
            <w:vAlign w:val="bottom"/>
          </w:tcPr>
          <w:p>
            <w:pPr>
              <w:ind w:left="20"/>
              <w:spacing w:after="0"/>
              <w:rPr>
                <w:sz w:val="20"/>
                <w:szCs w:val="20"/>
                <w:color w:val="auto"/>
              </w:rPr>
            </w:pPr>
            <w:r>
              <w:rPr>
                <w:rFonts w:ascii="Arial" w:cs="Arial" w:eastAsia="Arial" w:hAnsi="Arial"/>
                <w:sz w:val="18"/>
                <w:szCs w:val="18"/>
                <w:color w:val="auto"/>
              </w:rPr>
              <w:t>Definition</w:t>
            </w:r>
          </w:p>
        </w:tc>
      </w:tr>
      <w:tr>
        <w:trPr>
          <w:trHeight w:val="23"/>
        </w:trPr>
        <w:tc>
          <w:tcPr>
            <w:tcW w:w="2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57"/>
        </w:trPr>
        <w:tc>
          <w:tcPr>
            <w:tcW w:w="2360" w:type="dxa"/>
            <w:vAlign w:val="bottom"/>
            <w:gridSpan w:val="3"/>
          </w:tcPr>
          <w:p>
            <w:pPr>
              <w:ind w:left="20"/>
              <w:spacing w:after="0"/>
              <w:rPr>
                <w:sz w:val="20"/>
                <w:szCs w:val="20"/>
                <w:color w:val="auto"/>
              </w:rPr>
            </w:pPr>
            <w:r>
              <w:rPr>
                <w:rFonts w:ascii="Verdana" w:cs="Verdana" w:eastAsia="Verdana" w:hAnsi="Verdana"/>
                <w:sz w:val="18"/>
                <w:szCs w:val="18"/>
                <w:color w:val="auto"/>
              </w:rPr>
              <w:t>PCD</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Purchased credit deteriorated</w:t>
            </w:r>
          </w:p>
        </w:tc>
      </w:tr>
      <w:tr>
        <w:trPr>
          <w:trHeight w:val="277"/>
        </w:trPr>
        <w:tc>
          <w:tcPr>
            <w:tcW w:w="2360" w:type="dxa"/>
            <w:vAlign w:val="bottom"/>
            <w:gridSpan w:val="3"/>
            <w:shd w:val="clear" w:color="auto" w:fill="E0E7ED"/>
          </w:tcPr>
          <w:p>
            <w:pPr>
              <w:ind w:left="20"/>
              <w:spacing w:after="0"/>
              <w:rPr>
                <w:sz w:val="20"/>
                <w:szCs w:val="20"/>
                <w:color w:val="auto"/>
              </w:rPr>
            </w:pPr>
            <w:r>
              <w:rPr>
                <w:rFonts w:ascii="Verdana" w:cs="Verdana" w:eastAsia="Verdana" w:hAnsi="Verdana"/>
                <w:sz w:val="18"/>
                <w:szCs w:val="18"/>
                <w:color w:val="auto"/>
              </w:rPr>
              <w:t>PSU</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Performance stock unit</w:t>
            </w:r>
          </w:p>
        </w:tc>
      </w:tr>
      <w:tr>
        <w:trPr>
          <w:trHeight w:val="238"/>
        </w:trPr>
        <w:tc>
          <w:tcPr>
            <w:tcW w:w="2360" w:type="dxa"/>
            <w:vAlign w:val="bottom"/>
            <w:gridSpan w:val="3"/>
          </w:tcPr>
          <w:p>
            <w:pPr>
              <w:ind w:left="20"/>
              <w:spacing w:after="0"/>
              <w:rPr>
                <w:sz w:val="20"/>
                <w:szCs w:val="20"/>
                <w:color w:val="auto"/>
              </w:rPr>
            </w:pPr>
            <w:r>
              <w:rPr>
                <w:rFonts w:ascii="Verdana" w:cs="Verdana" w:eastAsia="Verdana" w:hAnsi="Verdana"/>
                <w:sz w:val="18"/>
                <w:szCs w:val="18"/>
                <w:color w:val="auto"/>
              </w:rPr>
              <w:t>Quarterly Report</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Quarterly report filed with the SEC on Form 10-Q pursuant to Section 13 or 15(d) of the</w:t>
            </w:r>
          </w:p>
        </w:tc>
      </w:tr>
      <w:tr>
        <w:trPr>
          <w:trHeight w:val="242"/>
        </w:trPr>
        <w:tc>
          <w:tcPr>
            <w:tcW w:w="1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80" w:type="dxa"/>
            <w:vAlign w:val="bottom"/>
          </w:tcPr>
          <w:p>
            <w:pPr>
              <w:ind w:left="20"/>
              <w:spacing w:after="0"/>
              <w:rPr>
                <w:sz w:val="20"/>
                <w:szCs w:val="20"/>
                <w:color w:val="auto"/>
              </w:rPr>
            </w:pPr>
            <w:r>
              <w:rPr>
                <w:rFonts w:ascii="Verdana" w:cs="Verdana" w:eastAsia="Verdana" w:hAnsi="Verdana"/>
                <w:sz w:val="18"/>
                <w:szCs w:val="18"/>
                <w:color w:val="auto"/>
              </w:rPr>
              <w:t>Exchange Act</w:t>
            </w:r>
          </w:p>
        </w:tc>
      </w:tr>
      <w:tr>
        <w:trPr>
          <w:trHeight w:val="277"/>
        </w:trPr>
        <w:tc>
          <w:tcPr>
            <w:tcW w:w="2360" w:type="dxa"/>
            <w:vAlign w:val="bottom"/>
            <w:gridSpan w:val="3"/>
            <w:shd w:val="clear" w:color="auto" w:fill="E0E7ED"/>
          </w:tcPr>
          <w:p>
            <w:pPr>
              <w:ind w:left="20"/>
              <w:spacing w:after="0"/>
              <w:rPr>
                <w:sz w:val="20"/>
                <w:szCs w:val="20"/>
                <w:color w:val="auto"/>
              </w:rPr>
            </w:pPr>
            <w:r>
              <w:rPr>
                <w:rFonts w:ascii="Verdana" w:cs="Verdana" w:eastAsia="Verdana" w:hAnsi="Verdana"/>
                <w:sz w:val="18"/>
                <w:szCs w:val="18"/>
                <w:color w:val="auto"/>
              </w:rPr>
              <w:t>RSU</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Restricted stock unit</w:t>
            </w:r>
          </w:p>
        </w:tc>
      </w:tr>
      <w:tr>
        <w:trPr>
          <w:trHeight w:val="263"/>
        </w:trPr>
        <w:tc>
          <w:tcPr>
            <w:tcW w:w="2360" w:type="dxa"/>
            <w:vAlign w:val="bottom"/>
            <w:gridSpan w:val="3"/>
          </w:tcPr>
          <w:p>
            <w:pPr>
              <w:ind w:left="20"/>
              <w:spacing w:after="0"/>
              <w:rPr>
                <w:sz w:val="20"/>
                <w:szCs w:val="20"/>
                <w:color w:val="auto"/>
              </w:rPr>
            </w:pPr>
            <w:r>
              <w:rPr>
                <w:rFonts w:ascii="Verdana" w:cs="Verdana" w:eastAsia="Verdana" w:hAnsi="Verdana"/>
                <w:sz w:val="18"/>
                <w:szCs w:val="18"/>
                <w:color w:val="auto"/>
              </w:rPr>
              <w:t>SBA</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U.S. Small Business Administration</w:t>
            </w:r>
          </w:p>
        </w:tc>
      </w:tr>
      <w:tr>
        <w:trPr>
          <w:trHeight w:val="277"/>
        </w:trPr>
        <w:tc>
          <w:tcPr>
            <w:tcW w:w="2360" w:type="dxa"/>
            <w:vAlign w:val="bottom"/>
            <w:gridSpan w:val="3"/>
            <w:shd w:val="clear" w:color="auto" w:fill="E0E7ED"/>
          </w:tcPr>
          <w:p>
            <w:pPr>
              <w:ind w:left="20"/>
              <w:spacing w:after="0"/>
              <w:rPr>
                <w:sz w:val="20"/>
                <w:szCs w:val="20"/>
                <w:color w:val="auto"/>
              </w:rPr>
            </w:pPr>
            <w:r>
              <w:rPr>
                <w:rFonts w:ascii="Verdana" w:cs="Verdana" w:eastAsia="Verdana" w:hAnsi="Verdana"/>
                <w:sz w:val="18"/>
                <w:szCs w:val="18"/>
                <w:color w:val="auto"/>
              </w:rPr>
              <w:t>SEC</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U.S. Securities and Exchange Commission</w:t>
            </w:r>
          </w:p>
        </w:tc>
      </w:tr>
      <w:tr>
        <w:trPr>
          <w:trHeight w:val="263"/>
        </w:trPr>
        <w:tc>
          <w:tcPr>
            <w:tcW w:w="2360" w:type="dxa"/>
            <w:vAlign w:val="bottom"/>
            <w:gridSpan w:val="3"/>
          </w:tcPr>
          <w:p>
            <w:pPr>
              <w:ind w:left="20"/>
              <w:spacing w:after="0"/>
              <w:rPr>
                <w:sz w:val="20"/>
                <w:szCs w:val="20"/>
                <w:color w:val="auto"/>
              </w:rPr>
            </w:pPr>
            <w:r>
              <w:rPr>
                <w:rFonts w:ascii="Verdana" w:cs="Verdana" w:eastAsia="Verdana" w:hAnsi="Verdana"/>
                <w:sz w:val="18"/>
                <w:szCs w:val="18"/>
                <w:color w:val="auto"/>
              </w:rPr>
              <w:t>SOFR</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Secured Overnight Financing Rate published by the Federal Reserve</w:t>
            </w:r>
          </w:p>
        </w:tc>
      </w:tr>
      <w:tr>
        <w:trPr>
          <w:trHeight w:val="244"/>
        </w:trPr>
        <w:tc>
          <w:tcPr>
            <w:tcW w:w="2360" w:type="dxa"/>
            <w:vAlign w:val="bottom"/>
            <w:gridSpan w:val="3"/>
            <w:shd w:val="clear" w:color="auto" w:fill="E0E7ED"/>
          </w:tcPr>
          <w:p>
            <w:pPr>
              <w:ind w:left="20"/>
              <w:spacing w:after="0"/>
              <w:rPr>
                <w:sz w:val="20"/>
                <w:szCs w:val="20"/>
                <w:color w:val="auto"/>
              </w:rPr>
            </w:pPr>
            <w:r>
              <w:rPr>
                <w:rFonts w:ascii="Verdana" w:cs="Verdana" w:eastAsia="Verdana" w:hAnsi="Verdana"/>
                <w:sz w:val="18"/>
                <w:szCs w:val="18"/>
                <w:color w:val="auto"/>
              </w:rPr>
              <w:t>Stock Repurchase Plan</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Stock repurchase program approved by First Busey Corporation's board of directors on February</w:t>
            </w:r>
          </w:p>
        </w:tc>
      </w:tr>
      <w:tr>
        <w:trPr>
          <w:trHeight w:val="248"/>
        </w:trPr>
        <w:tc>
          <w:tcPr>
            <w:tcW w:w="1580" w:type="dxa"/>
            <w:vAlign w:val="bottom"/>
            <w:shd w:val="clear" w:color="auto" w:fill="E0E7ED"/>
          </w:tcPr>
          <w:p>
            <w:pPr>
              <w:spacing w:after="0"/>
              <w:rPr>
                <w:sz w:val="21"/>
                <w:szCs w:val="21"/>
                <w:color w:val="auto"/>
              </w:rPr>
            </w:pPr>
          </w:p>
        </w:tc>
        <w:tc>
          <w:tcPr>
            <w:tcW w:w="6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3, 2015</w:t>
            </w:r>
          </w:p>
        </w:tc>
      </w:tr>
      <w:tr>
        <w:trPr>
          <w:trHeight w:val="238"/>
        </w:trPr>
        <w:tc>
          <w:tcPr>
            <w:tcW w:w="2360" w:type="dxa"/>
            <w:vAlign w:val="bottom"/>
            <w:gridSpan w:val="3"/>
          </w:tcPr>
          <w:p>
            <w:pPr>
              <w:ind w:left="20"/>
              <w:spacing w:after="0"/>
              <w:rPr>
                <w:sz w:val="20"/>
                <w:szCs w:val="20"/>
                <w:color w:val="auto"/>
              </w:rPr>
            </w:pPr>
            <w:r>
              <w:rPr>
                <w:rFonts w:ascii="Verdana" w:cs="Verdana" w:eastAsia="Verdana" w:hAnsi="Verdana"/>
                <w:sz w:val="18"/>
                <w:szCs w:val="18"/>
                <w:color w:val="auto"/>
              </w:rPr>
              <w:t>Term Loan</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$60 million term loan provided for in the Second Amended and Restated Credit Agreement,</w:t>
            </w:r>
          </w:p>
        </w:tc>
      </w:tr>
      <w:tr>
        <w:trPr>
          <w:trHeight w:val="242"/>
        </w:trPr>
        <w:tc>
          <w:tcPr>
            <w:tcW w:w="1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80" w:type="dxa"/>
            <w:vAlign w:val="bottom"/>
          </w:tcPr>
          <w:p>
            <w:pPr>
              <w:ind w:left="20"/>
              <w:spacing w:after="0"/>
              <w:rPr>
                <w:sz w:val="20"/>
                <w:szCs w:val="20"/>
                <w:color w:val="auto"/>
              </w:rPr>
            </w:pPr>
            <w:r>
              <w:rPr>
                <w:rFonts w:ascii="Verdana" w:cs="Verdana" w:eastAsia="Verdana" w:hAnsi="Verdana"/>
                <w:sz w:val="18"/>
                <w:szCs w:val="18"/>
                <w:color w:val="auto"/>
              </w:rPr>
              <w:t>dated May 28, 2021. This term loan was paid off in the first quarter of 2024.</w:t>
            </w:r>
          </w:p>
        </w:tc>
      </w:tr>
      <w:tr>
        <w:trPr>
          <w:trHeight w:val="277"/>
        </w:trPr>
        <w:tc>
          <w:tcPr>
            <w:tcW w:w="2360" w:type="dxa"/>
            <w:vAlign w:val="bottom"/>
            <w:gridSpan w:val="3"/>
            <w:shd w:val="clear" w:color="auto" w:fill="E0E7ED"/>
          </w:tcPr>
          <w:p>
            <w:pPr>
              <w:ind w:left="20"/>
              <w:spacing w:after="0"/>
              <w:rPr>
                <w:sz w:val="20"/>
                <w:szCs w:val="20"/>
                <w:color w:val="auto"/>
              </w:rPr>
            </w:pPr>
            <w:r>
              <w:rPr>
                <w:rFonts w:ascii="Verdana" w:cs="Verdana" w:eastAsia="Verdana" w:hAnsi="Verdana"/>
                <w:sz w:val="18"/>
                <w:szCs w:val="18"/>
                <w:color w:val="auto"/>
              </w:rPr>
              <w:t>U.S.</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United States of America</w:t>
            </w:r>
          </w:p>
        </w:tc>
      </w:tr>
      <w:tr>
        <w:trPr>
          <w:trHeight w:val="257"/>
        </w:trPr>
        <w:tc>
          <w:tcPr>
            <w:tcW w:w="2360" w:type="dxa"/>
            <w:vAlign w:val="bottom"/>
            <w:gridSpan w:val="3"/>
          </w:tcPr>
          <w:p>
            <w:pPr>
              <w:ind w:left="20"/>
              <w:spacing w:after="0"/>
              <w:rPr>
                <w:sz w:val="20"/>
                <w:szCs w:val="20"/>
                <w:color w:val="auto"/>
              </w:rPr>
            </w:pPr>
            <w:r>
              <w:rPr>
                <w:rFonts w:ascii="Verdana" w:cs="Verdana" w:eastAsia="Verdana" w:hAnsi="Verdana"/>
                <w:sz w:val="18"/>
                <w:szCs w:val="18"/>
                <w:color w:val="auto"/>
              </w:rPr>
              <w:t>U.S. Treasury</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U.S. Department of the Treasury</w:t>
            </w:r>
          </w:p>
        </w:tc>
      </w:tr>
      <w:tr>
        <w:trPr>
          <w:trHeight w:val="932"/>
        </w:trPr>
        <w:tc>
          <w:tcPr>
            <w:tcW w:w="1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80" w:type="dxa"/>
            <w:vAlign w:val="bottom"/>
          </w:tcPr>
          <w:p>
            <w:pPr>
              <w:ind w:left="5700"/>
              <w:spacing w:after="0"/>
              <w:rPr>
                <w:sz w:val="20"/>
                <w:szCs w:val="20"/>
                <w:color w:val="auto"/>
              </w:rPr>
            </w:pPr>
            <w:r>
              <w:rPr>
                <w:rFonts w:ascii="Verdana" w:cs="Verdana" w:eastAsia="Verdana" w:hAnsi="Verdana"/>
                <w:sz w:val="18"/>
                <w:szCs w:val="18"/>
                <w:color w:val="808285"/>
                <w:w w:val="99"/>
              </w:rPr>
              <w:t xml:space="preserve">First Busey Corporation (BUSE) | </w:t>
            </w:r>
            <w:r>
              <w:rPr>
                <w:rFonts w:ascii="Verdana" w:cs="Verdana" w:eastAsia="Verdana" w:hAnsi="Verdana"/>
                <w:sz w:val="18"/>
                <w:szCs w:val="18"/>
                <w:b w:val="1"/>
                <w:bCs w:val="1"/>
                <w:color w:val="376484"/>
                <w:w w:val="99"/>
              </w:rPr>
              <w:t>4</w:t>
            </w:r>
          </w:p>
        </w:tc>
      </w:tr>
      <w:tr>
        <w:trPr>
          <w:trHeight w:val="277"/>
        </w:trPr>
        <w:tc>
          <w:tcPr>
            <w:tcW w:w="15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4" w:name="page5"/>
    <w:bookmarkEnd w:id="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PART I—FINANCIAL INFORMATION</w:t>
      </w:r>
    </w:p>
    <w:p>
      <w:pPr>
        <w:spacing w:after="0" w:line="17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ITEM 1. FINANCIAL STATEMENTS</w:t>
      </w: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5" w:name="page6"/>
    <w:bookmarkEnd w:id="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102"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line="236" w:lineRule="auto"/>
        <w:rPr>
          <w:sz w:val="20"/>
          <w:szCs w:val="20"/>
          <w:color w:val="auto"/>
        </w:rPr>
      </w:pPr>
      <w:r>
        <w:rPr>
          <w:rFonts w:ascii="Verdana" w:cs="Verdana" w:eastAsia="Verdana" w:hAnsi="Verdana"/>
          <w:sz w:val="18"/>
          <w:szCs w:val="18"/>
          <w:b w:val="1"/>
          <w:bCs w:val="1"/>
          <w:color w:val="auto"/>
        </w:rPr>
        <w:t>CONSOLIDATED BALANCE SHEETS (Unaudited)</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4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280" w:type="dxa"/>
            <w:vAlign w:val="bottom"/>
            <w:tcBorders>
              <w:bottom w:val="single" w:sz="8" w:color="auto"/>
            </w:tcBorders>
          </w:tcPr>
          <w:p>
            <w:pPr>
              <w:spacing w:after="0"/>
              <w:rPr>
                <w:sz w:val="15"/>
                <w:szCs w:val="15"/>
                <w:color w:val="auto"/>
              </w:rPr>
            </w:pPr>
          </w:p>
        </w:tc>
      </w:tr>
      <w:tr>
        <w:trPr>
          <w:trHeight w:val="122"/>
        </w:trPr>
        <w:tc>
          <w:tcPr>
            <w:tcW w:w="4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tcPr>
          <w:p>
            <w:pPr>
              <w:ind w:left="60"/>
              <w:spacing w:after="0" w:line="122" w:lineRule="exact"/>
              <w:rPr>
                <w:sz w:val="20"/>
                <w:szCs w:val="20"/>
                <w:color w:val="auto"/>
              </w:rPr>
            </w:pPr>
            <w:r>
              <w:rPr>
                <w:rFonts w:ascii="Verdana" w:cs="Verdana" w:eastAsia="Verdana" w:hAnsi="Verdana"/>
                <w:sz w:val="13"/>
                <w:szCs w:val="13"/>
                <w:b w:val="1"/>
                <w:bCs w:val="1"/>
                <w:color w:val="auto"/>
              </w:rPr>
              <w:t>September 30,</w:t>
            </w:r>
          </w:p>
        </w:tc>
        <w:tc>
          <w:tcPr>
            <w:tcW w:w="200" w:type="dxa"/>
            <w:vAlign w:val="bottom"/>
          </w:tcPr>
          <w:p>
            <w:pPr>
              <w:spacing w:after="0"/>
              <w:rPr>
                <w:sz w:val="10"/>
                <w:szCs w:val="10"/>
                <w:color w:val="auto"/>
              </w:rPr>
            </w:pPr>
          </w:p>
        </w:tc>
        <w:tc>
          <w:tcPr>
            <w:tcW w:w="1280" w:type="dxa"/>
            <w:vAlign w:val="bottom"/>
          </w:tcPr>
          <w:p>
            <w:pPr>
              <w:jc w:val="right"/>
              <w:ind w:right="177"/>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4220" w:type="dxa"/>
            <w:vAlign w:val="bottom"/>
            <w:tcBorders>
              <w:bottom w:val="single" w:sz="8" w:color="E0E7ED"/>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320" w:type="dxa"/>
            <w:vAlign w:val="bottom"/>
            <w:tcBorders>
              <w:bottom w:val="single" w:sz="8" w:color="E0E7ED"/>
            </w:tcBorders>
          </w:tcPr>
          <w:p>
            <w:pPr>
              <w:spacing w:after="0"/>
              <w:rPr>
                <w:sz w:val="14"/>
                <w:szCs w:val="14"/>
                <w:color w:val="auto"/>
              </w:rPr>
            </w:pPr>
          </w:p>
        </w:tc>
        <w:tc>
          <w:tcPr>
            <w:tcW w:w="160" w:type="dxa"/>
            <w:vAlign w:val="bottom"/>
            <w:tcBorders>
              <w:bottom w:val="single" w:sz="8" w:color="E0E7ED"/>
            </w:tcBorders>
          </w:tcPr>
          <w:p>
            <w:pPr>
              <w:spacing w:after="0"/>
              <w:rPr>
                <w:sz w:val="14"/>
                <w:szCs w:val="14"/>
                <w:color w:val="auto"/>
              </w:rPr>
            </w:pPr>
          </w:p>
        </w:tc>
        <w:tc>
          <w:tcPr>
            <w:tcW w:w="3360" w:type="dxa"/>
            <w:vAlign w:val="bottom"/>
            <w:tcBorders>
              <w:bottom w:val="single" w:sz="8" w:color="E0E7ED"/>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2023</w:t>
            </w:r>
          </w:p>
        </w:tc>
      </w:tr>
      <w:tr>
        <w:trPr>
          <w:trHeight w:val="161"/>
        </w:trPr>
        <w:tc>
          <w:tcPr>
            <w:tcW w:w="8140" w:type="dxa"/>
            <w:vAlign w:val="bottom"/>
            <w:gridSpan w:val="5"/>
            <w:shd w:val="clear" w:color="auto" w:fill="E0E7ED"/>
          </w:tcPr>
          <w:p>
            <w:pPr>
              <w:ind w:left="20"/>
              <w:spacing w:after="0" w:line="150" w:lineRule="exact"/>
              <w:rPr>
                <w:sz w:val="20"/>
                <w:szCs w:val="20"/>
                <w:color w:val="auto"/>
              </w:rPr>
            </w:pPr>
            <w:r>
              <w:rPr>
                <w:rFonts w:ascii="Verdana" w:cs="Verdana" w:eastAsia="Verdana" w:hAnsi="Verdana"/>
                <w:sz w:val="13"/>
                <w:szCs w:val="13"/>
                <w:b w:val="1"/>
                <w:bCs w:val="1"/>
                <w:color w:val="auto"/>
              </w:rPr>
              <w:t>Assets</w:t>
            </w:r>
          </w:p>
        </w:tc>
        <w:tc>
          <w:tcPr>
            <w:tcW w:w="160" w:type="dxa"/>
            <w:vAlign w:val="bottom"/>
            <w:shd w:val="clear" w:color="auto" w:fill="E0E7ED"/>
          </w:tcPr>
          <w:p>
            <w:pPr>
              <w:spacing w:after="0"/>
              <w:rPr>
                <w:sz w:val="13"/>
                <w:szCs w:val="13"/>
                <w:color w:val="auto"/>
              </w:rPr>
            </w:pPr>
          </w:p>
        </w:tc>
        <w:tc>
          <w:tcPr>
            <w:tcW w:w="132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200" w:type="dxa"/>
            <w:vAlign w:val="bottom"/>
            <w:shd w:val="clear" w:color="auto" w:fill="E0E7ED"/>
          </w:tcPr>
          <w:p>
            <w:pPr>
              <w:spacing w:after="0"/>
              <w:rPr>
                <w:sz w:val="13"/>
                <w:szCs w:val="13"/>
                <w:color w:val="auto"/>
              </w:rPr>
            </w:pPr>
          </w:p>
        </w:tc>
        <w:tc>
          <w:tcPr>
            <w:tcW w:w="1280" w:type="dxa"/>
            <w:vAlign w:val="bottom"/>
            <w:shd w:val="clear" w:color="auto" w:fill="E0E7ED"/>
          </w:tcPr>
          <w:p>
            <w:pPr>
              <w:spacing w:after="0"/>
              <w:rPr>
                <w:sz w:val="13"/>
                <w:szCs w:val="13"/>
                <w:color w:val="auto"/>
              </w:rPr>
            </w:pPr>
          </w:p>
        </w:tc>
      </w:tr>
      <w:tr>
        <w:trPr>
          <w:trHeight w:val="170"/>
        </w:trPr>
        <w:tc>
          <w:tcPr>
            <w:tcW w:w="8140" w:type="dxa"/>
            <w:vAlign w:val="bottom"/>
            <w:gridSpan w:val="5"/>
          </w:tcPr>
          <w:p>
            <w:pPr>
              <w:ind w:left="180"/>
              <w:spacing w:after="0"/>
              <w:rPr>
                <w:sz w:val="20"/>
                <w:szCs w:val="20"/>
                <w:color w:val="auto"/>
              </w:rPr>
            </w:pPr>
            <w:r>
              <w:rPr>
                <w:rFonts w:ascii="Verdana" w:cs="Verdana" w:eastAsia="Verdana" w:hAnsi="Verdana"/>
                <w:sz w:val="13"/>
                <w:szCs w:val="13"/>
                <w:color w:val="auto"/>
              </w:rPr>
              <w:t>Cash and cash equivalents:</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1"/>
        </w:trPr>
        <w:tc>
          <w:tcPr>
            <w:tcW w:w="8140" w:type="dxa"/>
            <w:vAlign w:val="bottom"/>
            <w:gridSpan w:val="5"/>
            <w:shd w:val="clear" w:color="auto" w:fill="E0E7ED"/>
          </w:tcPr>
          <w:p>
            <w:pPr>
              <w:ind w:left="340"/>
              <w:spacing w:after="0"/>
              <w:rPr>
                <w:sz w:val="20"/>
                <w:szCs w:val="20"/>
                <w:color w:val="auto"/>
              </w:rPr>
            </w:pPr>
            <w:r>
              <w:rPr>
                <w:rFonts w:ascii="Verdana" w:cs="Verdana" w:eastAsia="Verdana" w:hAnsi="Verdana"/>
                <w:sz w:val="13"/>
                <w:szCs w:val="13"/>
                <w:color w:val="auto"/>
              </w:rPr>
              <w:t>Cash and due from banks</w:t>
            </w:r>
          </w:p>
        </w:tc>
        <w:tc>
          <w:tcPr>
            <w:tcW w:w="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13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149,845</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134,680</w:t>
            </w:r>
          </w:p>
        </w:tc>
      </w:tr>
      <w:tr>
        <w:trPr>
          <w:trHeight w:val="170"/>
        </w:trPr>
        <w:tc>
          <w:tcPr>
            <w:tcW w:w="8140" w:type="dxa"/>
            <w:vAlign w:val="bottom"/>
            <w:tcBorders>
              <w:bottom w:val="single" w:sz="8" w:color="E0E7ED"/>
            </w:tcBorders>
            <w:gridSpan w:val="5"/>
          </w:tcPr>
          <w:p>
            <w:pPr>
              <w:ind w:left="340"/>
              <w:spacing w:after="0"/>
              <w:rPr>
                <w:sz w:val="20"/>
                <w:szCs w:val="20"/>
                <w:color w:val="auto"/>
              </w:rPr>
            </w:pPr>
            <w:r>
              <w:rPr>
                <w:rFonts w:ascii="Verdana" w:cs="Verdana" w:eastAsia="Verdana" w:hAnsi="Verdana"/>
                <w:sz w:val="13"/>
                <w:szCs w:val="13"/>
                <w:color w:val="auto"/>
              </w:rPr>
              <w:t>Interest-bearing deposits</w:t>
            </w: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403,864</w:t>
            </w:r>
          </w:p>
        </w:tc>
        <w:tc>
          <w:tcPr>
            <w:tcW w:w="10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584,901</w:t>
            </w:r>
          </w:p>
        </w:tc>
      </w:tr>
      <w:tr>
        <w:trPr>
          <w:trHeight w:val="174"/>
        </w:trPr>
        <w:tc>
          <w:tcPr>
            <w:tcW w:w="8140" w:type="dxa"/>
            <w:vAlign w:val="bottom"/>
            <w:gridSpan w:val="5"/>
            <w:shd w:val="clear" w:color="auto" w:fill="E0E7ED"/>
          </w:tcPr>
          <w:p>
            <w:pPr>
              <w:ind w:left="180"/>
              <w:spacing w:after="0"/>
              <w:rPr>
                <w:sz w:val="20"/>
                <w:szCs w:val="20"/>
                <w:color w:val="auto"/>
              </w:rPr>
            </w:pPr>
            <w:r>
              <w:rPr>
                <w:rFonts w:ascii="Verdana" w:cs="Verdana" w:eastAsia="Verdana" w:hAnsi="Verdana"/>
                <w:sz w:val="13"/>
                <w:szCs w:val="13"/>
                <w:color w:val="auto"/>
              </w:rPr>
              <w:t>Total cash and cash equivalents</w:t>
            </w:r>
          </w:p>
        </w:tc>
        <w:tc>
          <w:tcPr>
            <w:tcW w:w="160" w:type="dxa"/>
            <w:vAlign w:val="bottom"/>
            <w:shd w:val="clear" w:color="auto" w:fill="E0E7ED"/>
          </w:tcPr>
          <w:p>
            <w:pPr>
              <w:spacing w:after="0"/>
              <w:rPr>
                <w:sz w:val="15"/>
                <w:szCs w:val="15"/>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553,709</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719,581</w:t>
            </w:r>
          </w:p>
        </w:tc>
      </w:tr>
      <w:tr>
        <w:trPr>
          <w:trHeight w:val="203"/>
        </w:trPr>
        <w:tc>
          <w:tcPr>
            <w:tcW w:w="4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76"/>
        </w:trPr>
        <w:tc>
          <w:tcPr>
            <w:tcW w:w="8140" w:type="dxa"/>
            <w:vAlign w:val="bottom"/>
            <w:gridSpan w:val="5"/>
            <w:shd w:val="clear" w:color="auto" w:fill="E0E7ED"/>
          </w:tcPr>
          <w:p>
            <w:pPr>
              <w:ind w:left="180"/>
              <w:spacing w:after="0"/>
              <w:rPr>
                <w:sz w:val="20"/>
                <w:szCs w:val="20"/>
                <w:color w:val="auto"/>
              </w:rPr>
            </w:pPr>
            <w:r>
              <w:rPr>
                <w:rFonts w:ascii="Verdana" w:cs="Verdana" w:eastAsia="Verdana" w:hAnsi="Verdana"/>
                <w:sz w:val="13"/>
                <w:szCs w:val="13"/>
                <w:color w:val="auto"/>
              </w:rPr>
              <w:t>Debt securities available for sale</w:t>
            </w:r>
          </w:p>
        </w:tc>
        <w:tc>
          <w:tcPr>
            <w:tcW w:w="160" w:type="dxa"/>
            <w:vAlign w:val="bottom"/>
            <w:shd w:val="clear" w:color="auto" w:fill="E0E7ED"/>
          </w:tcPr>
          <w:p>
            <w:pPr>
              <w:spacing w:after="0"/>
              <w:rPr>
                <w:sz w:val="15"/>
                <w:szCs w:val="15"/>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1,818,117</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2,087,571</w:t>
            </w:r>
          </w:p>
        </w:tc>
      </w:tr>
      <w:tr>
        <w:trPr>
          <w:trHeight w:val="170"/>
        </w:trPr>
        <w:tc>
          <w:tcPr>
            <w:tcW w:w="8140" w:type="dxa"/>
            <w:vAlign w:val="bottom"/>
            <w:gridSpan w:val="5"/>
          </w:tcPr>
          <w:p>
            <w:pPr>
              <w:ind w:left="180"/>
              <w:spacing w:after="0"/>
              <w:rPr>
                <w:sz w:val="20"/>
                <w:szCs w:val="20"/>
                <w:color w:val="auto"/>
              </w:rPr>
            </w:pPr>
            <w:r>
              <w:rPr>
                <w:rFonts w:ascii="Verdana" w:cs="Verdana" w:eastAsia="Verdana" w:hAnsi="Verdana"/>
                <w:sz w:val="13"/>
                <w:szCs w:val="13"/>
                <w:color w:val="auto"/>
              </w:rPr>
              <w:t>Debt securities held to maturity</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Verdana" w:cs="Verdana" w:eastAsia="Verdana" w:hAnsi="Verdana"/>
                <w:sz w:val="13"/>
                <w:szCs w:val="13"/>
                <w:color w:val="auto"/>
              </w:rPr>
              <w:t>838,883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Verdana" w:cs="Verdana" w:eastAsia="Verdana" w:hAnsi="Verdana"/>
                <w:sz w:val="13"/>
                <w:szCs w:val="13"/>
                <w:color w:val="auto"/>
              </w:rPr>
              <w:t>872,628</w:t>
            </w:r>
          </w:p>
        </w:tc>
      </w:tr>
      <w:tr>
        <w:trPr>
          <w:trHeight w:val="181"/>
        </w:trPr>
        <w:tc>
          <w:tcPr>
            <w:tcW w:w="8140" w:type="dxa"/>
            <w:vAlign w:val="bottom"/>
            <w:gridSpan w:val="5"/>
            <w:shd w:val="clear" w:color="auto" w:fill="E0E7ED"/>
          </w:tcPr>
          <w:p>
            <w:pPr>
              <w:ind w:left="180"/>
              <w:spacing w:after="0"/>
              <w:rPr>
                <w:sz w:val="20"/>
                <w:szCs w:val="20"/>
                <w:color w:val="auto"/>
              </w:rPr>
            </w:pPr>
            <w:r>
              <w:rPr>
                <w:rFonts w:ascii="Verdana" w:cs="Verdana" w:eastAsia="Verdana" w:hAnsi="Verdana"/>
                <w:sz w:val="13"/>
                <w:szCs w:val="13"/>
                <w:color w:val="auto"/>
              </w:rPr>
              <w:t>Equity securities</w:t>
            </w:r>
          </w:p>
        </w:tc>
        <w:tc>
          <w:tcPr>
            <w:tcW w:w="160" w:type="dxa"/>
            <w:vAlign w:val="bottom"/>
            <w:shd w:val="clear" w:color="auto" w:fill="E0E7ED"/>
          </w:tcPr>
          <w:p>
            <w:pPr>
              <w:spacing w:after="0"/>
              <w:rPr>
                <w:sz w:val="15"/>
                <w:szCs w:val="15"/>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10,315</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9,812</w:t>
            </w:r>
          </w:p>
        </w:tc>
      </w:tr>
      <w:tr>
        <w:trPr>
          <w:trHeight w:val="170"/>
        </w:trPr>
        <w:tc>
          <w:tcPr>
            <w:tcW w:w="8140" w:type="dxa"/>
            <w:vAlign w:val="bottom"/>
            <w:gridSpan w:val="5"/>
          </w:tcPr>
          <w:p>
            <w:pPr>
              <w:ind w:left="180"/>
              <w:spacing w:after="0"/>
              <w:rPr>
                <w:sz w:val="20"/>
                <w:szCs w:val="20"/>
                <w:color w:val="auto"/>
              </w:rPr>
            </w:pPr>
            <w:r>
              <w:rPr>
                <w:rFonts w:ascii="Verdana" w:cs="Verdana" w:eastAsia="Verdana" w:hAnsi="Verdana"/>
                <w:sz w:val="13"/>
                <w:szCs w:val="13"/>
                <w:color w:val="auto"/>
              </w:rPr>
              <w:t>Loans held for sale</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Verdana" w:cs="Verdana" w:eastAsia="Verdana" w:hAnsi="Verdana"/>
                <w:sz w:val="13"/>
                <w:szCs w:val="13"/>
                <w:color w:val="auto"/>
              </w:rPr>
              <w:t>11,523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Verdana" w:cs="Verdana" w:eastAsia="Verdana" w:hAnsi="Verdana"/>
                <w:sz w:val="13"/>
                <w:szCs w:val="13"/>
                <w:color w:val="auto"/>
              </w:rPr>
              <w:t>2,379</w:t>
            </w:r>
          </w:p>
        </w:tc>
      </w:tr>
      <w:tr>
        <w:trPr>
          <w:trHeight w:val="181"/>
        </w:trPr>
        <w:tc>
          <w:tcPr>
            <w:tcW w:w="8140" w:type="dxa"/>
            <w:vAlign w:val="bottom"/>
            <w:gridSpan w:val="5"/>
            <w:shd w:val="clear" w:color="auto" w:fill="E0E7ED"/>
          </w:tcPr>
          <w:p>
            <w:pPr>
              <w:ind w:left="180"/>
              <w:spacing w:after="0"/>
              <w:rPr>
                <w:sz w:val="20"/>
                <w:szCs w:val="20"/>
                <w:color w:val="auto"/>
              </w:rPr>
            </w:pPr>
            <w:r>
              <w:rPr>
                <w:rFonts w:ascii="Verdana" w:cs="Verdana" w:eastAsia="Verdana" w:hAnsi="Verdana"/>
                <w:sz w:val="13"/>
                <w:szCs w:val="13"/>
                <w:color w:val="auto"/>
              </w:rPr>
              <w:t>Portfolio loans (net of ACL of $84,981 at September 30, 2024, and $91,740 at December 31, 2023)</w:t>
            </w:r>
          </w:p>
        </w:tc>
        <w:tc>
          <w:tcPr>
            <w:tcW w:w="160" w:type="dxa"/>
            <w:vAlign w:val="bottom"/>
            <w:shd w:val="clear" w:color="auto" w:fill="E0E7ED"/>
          </w:tcPr>
          <w:p>
            <w:pPr>
              <w:spacing w:after="0"/>
              <w:rPr>
                <w:sz w:val="15"/>
                <w:szCs w:val="15"/>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7,724,116</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7,559,294</w:t>
            </w:r>
          </w:p>
        </w:tc>
      </w:tr>
      <w:tr>
        <w:trPr>
          <w:trHeight w:val="170"/>
        </w:trPr>
        <w:tc>
          <w:tcPr>
            <w:tcW w:w="8140" w:type="dxa"/>
            <w:vAlign w:val="bottom"/>
            <w:gridSpan w:val="5"/>
          </w:tcPr>
          <w:p>
            <w:pPr>
              <w:ind w:left="180"/>
              <w:spacing w:after="0"/>
              <w:rPr>
                <w:sz w:val="20"/>
                <w:szCs w:val="20"/>
                <w:color w:val="auto"/>
              </w:rPr>
            </w:pPr>
            <w:r>
              <w:rPr>
                <w:rFonts w:ascii="Verdana" w:cs="Verdana" w:eastAsia="Verdana" w:hAnsi="Verdana"/>
                <w:sz w:val="13"/>
                <w:szCs w:val="13"/>
                <w:color w:val="auto"/>
              </w:rPr>
              <w:t>Premises and equipment, net</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Verdana" w:cs="Verdana" w:eastAsia="Verdana" w:hAnsi="Verdana"/>
                <w:sz w:val="13"/>
                <w:szCs w:val="13"/>
                <w:color w:val="auto"/>
              </w:rPr>
              <w:t>120,279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Verdana" w:cs="Verdana" w:eastAsia="Verdana" w:hAnsi="Verdana"/>
                <w:sz w:val="13"/>
                <w:szCs w:val="13"/>
                <w:color w:val="auto"/>
              </w:rPr>
              <w:t>122,594</w:t>
            </w:r>
          </w:p>
        </w:tc>
      </w:tr>
      <w:tr>
        <w:trPr>
          <w:trHeight w:val="181"/>
        </w:trPr>
        <w:tc>
          <w:tcPr>
            <w:tcW w:w="8140" w:type="dxa"/>
            <w:vAlign w:val="bottom"/>
            <w:gridSpan w:val="5"/>
            <w:shd w:val="clear" w:color="auto" w:fill="E0E7ED"/>
          </w:tcPr>
          <w:p>
            <w:pPr>
              <w:ind w:left="180"/>
              <w:spacing w:after="0"/>
              <w:rPr>
                <w:sz w:val="20"/>
                <w:szCs w:val="20"/>
                <w:color w:val="auto"/>
              </w:rPr>
            </w:pPr>
            <w:r>
              <w:rPr>
                <w:rFonts w:ascii="Verdana" w:cs="Verdana" w:eastAsia="Verdana" w:hAnsi="Verdana"/>
                <w:sz w:val="13"/>
                <w:szCs w:val="13"/>
                <w:color w:val="auto"/>
              </w:rPr>
              <w:t>Right of use assets</w:t>
            </w:r>
          </w:p>
        </w:tc>
        <w:tc>
          <w:tcPr>
            <w:tcW w:w="160" w:type="dxa"/>
            <w:vAlign w:val="bottom"/>
            <w:shd w:val="clear" w:color="auto" w:fill="E0E7ED"/>
          </w:tcPr>
          <w:p>
            <w:pPr>
              <w:spacing w:after="0"/>
              <w:rPr>
                <w:sz w:val="15"/>
                <w:szCs w:val="15"/>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11,100</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11,027</w:t>
            </w:r>
          </w:p>
        </w:tc>
      </w:tr>
      <w:tr>
        <w:trPr>
          <w:trHeight w:val="170"/>
        </w:trPr>
        <w:tc>
          <w:tcPr>
            <w:tcW w:w="8140" w:type="dxa"/>
            <w:vAlign w:val="bottom"/>
            <w:gridSpan w:val="5"/>
          </w:tcPr>
          <w:p>
            <w:pPr>
              <w:ind w:left="180"/>
              <w:spacing w:after="0"/>
              <w:rPr>
                <w:sz w:val="20"/>
                <w:szCs w:val="20"/>
                <w:color w:val="auto"/>
              </w:rPr>
            </w:pPr>
            <w:r>
              <w:rPr>
                <w:rFonts w:ascii="Verdana" w:cs="Verdana" w:eastAsia="Verdana" w:hAnsi="Verdana"/>
                <w:sz w:val="13"/>
                <w:szCs w:val="13"/>
                <w:color w:val="auto"/>
              </w:rPr>
              <w:t>Goodwill</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Verdana" w:cs="Verdana" w:eastAsia="Verdana" w:hAnsi="Verdana"/>
                <w:sz w:val="13"/>
                <w:szCs w:val="13"/>
                <w:color w:val="auto"/>
              </w:rPr>
              <w:t>333,498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Verdana" w:cs="Verdana" w:eastAsia="Verdana" w:hAnsi="Verdana"/>
                <w:sz w:val="13"/>
                <w:szCs w:val="13"/>
                <w:color w:val="auto"/>
              </w:rPr>
              <w:t>317,873</w:t>
            </w:r>
          </w:p>
        </w:tc>
      </w:tr>
      <w:tr>
        <w:trPr>
          <w:trHeight w:val="181"/>
        </w:trPr>
        <w:tc>
          <w:tcPr>
            <w:tcW w:w="8140" w:type="dxa"/>
            <w:vAlign w:val="bottom"/>
            <w:gridSpan w:val="5"/>
            <w:shd w:val="clear" w:color="auto" w:fill="E0E7ED"/>
          </w:tcPr>
          <w:p>
            <w:pPr>
              <w:ind w:left="180"/>
              <w:spacing w:after="0"/>
              <w:rPr>
                <w:sz w:val="20"/>
                <w:szCs w:val="20"/>
                <w:color w:val="auto"/>
              </w:rPr>
            </w:pPr>
            <w:r>
              <w:rPr>
                <w:rFonts w:ascii="Verdana" w:cs="Verdana" w:eastAsia="Verdana" w:hAnsi="Verdana"/>
                <w:sz w:val="13"/>
                <w:szCs w:val="13"/>
                <w:color w:val="auto"/>
              </w:rPr>
              <w:t>Other intangible assets, net</w:t>
            </w:r>
          </w:p>
        </w:tc>
        <w:tc>
          <w:tcPr>
            <w:tcW w:w="160" w:type="dxa"/>
            <w:vAlign w:val="bottom"/>
            <w:shd w:val="clear" w:color="auto" w:fill="E0E7ED"/>
          </w:tcPr>
          <w:p>
            <w:pPr>
              <w:spacing w:after="0"/>
              <w:rPr>
                <w:sz w:val="15"/>
                <w:szCs w:val="15"/>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34,751</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35,991</w:t>
            </w:r>
          </w:p>
        </w:tc>
      </w:tr>
      <w:tr>
        <w:trPr>
          <w:trHeight w:val="170"/>
        </w:trPr>
        <w:tc>
          <w:tcPr>
            <w:tcW w:w="8140" w:type="dxa"/>
            <w:vAlign w:val="bottom"/>
            <w:gridSpan w:val="5"/>
          </w:tcPr>
          <w:p>
            <w:pPr>
              <w:ind w:left="180"/>
              <w:spacing w:after="0"/>
              <w:rPr>
                <w:sz w:val="20"/>
                <w:szCs w:val="20"/>
                <w:color w:val="auto"/>
              </w:rPr>
            </w:pPr>
            <w:r>
              <w:rPr>
                <w:rFonts w:ascii="Verdana" w:cs="Verdana" w:eastAsia="Verdana" w:hAnsi="Verdana"/>
                <w:sz w:val="13"/>
                <w:szCs w:val="13"/>
                <w:color w:val="auto"/>
              </w:rPr>
              <w:t>Cash surrender value of bank owned life insurance</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Verdana" w:cs="Verdana" w:eastAsia="Verdana" w:hAnsi="Verdana"/>
                <w:sz w:val="13"/>
                <w:szCs w:val="13"/>
                <w:color w:val="auto"/>
              </w:rPr>
              <w:t>184,007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Verdana" w:cs="Verdana" w:eastAsia="Verdana" w:hAnsi="Verdana"/>
                <w:sz w:val="13"/>
                <w:szCs w:val="13"/>
                <w:color w:val="auto"/>
              </w:rPr>
              <w:t>182,975</w:t>
            </w:r>
          </w:p>
        </w:tc>
      </w:tr>
      <w:tr>
        <w:trPr>
          <w:trHeight w:val="175"/>
        </w:trPr>
        <w:tc>
          <w:tcPr>
            <w:tcW w:w="8140" w:type="dxa"/>
            <w:vAlign w:val="bottom"/>
            <w:gridSpan w:val="5"/>
            <w:shd w:val="clear" w:color="auto" w:fill="E0E7ED"/>
          </w:tcPr>
          <w:p>
            <w:pPr>
              <w:ind w:left="180"/>
              <w:spacing w:after="0"/>
              <w:rPr>
                <w:sz w:val="20"/>
                <w:szCs w:val="20"/>
                <w:color w:val="auto"/>
              </w:rPr>
            </w:pPr>
            <w:r>
              <w:rPr>
                <w:rFonts w:ascii="Verdana" w:cs="Verdana" w:eastAsia="Verdana" w:hAnsi="Verdana"/>
                <w:sz w:val="13"/>
                <w:szCs w:val="13"/>
                <w:color w:val="auto"/>
              </w:rPr>
              <w:t>Other assets</w:t>
            </w:r>
          </w:p>
        </w:tc>
        <w:tc>
          <w:tcPr>
            <w:tcW w:w="160" w:type="dxa"/>
            <w:vAlign w:val="bottom"/>
            <w:tcBorders>
              <w:bottom w:val="single" w:sz="8" w:color="auto"/>
            </w:tcBorders>
            <w:shd w:val="clear" w:color="auto" w:fill="E0E7ED"/>
          </w:tcPr>
          <w:p>
            <w:pPr>
              <w:spacing w:after="0"/>
              <w:rPr>
                <w:sz w:val="15"/>
                <w:szCs w:val="15"/>
                <w:color w:val="auto"/>
              </w:rPr>
            </w:pP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346,541</w:t>
            </w:r>
          </w:p>
        </w:tc>
        <w:tc>
          <w:tcPr>
            <w:tcW w:w="100" w:type="dxa"/>
            <w:vAlign w:val="bottom"/>
            <w:shd w:val="clear" w:color="auto" w:fill="E0E7ED"/>
          </w:tcPr>
          <w:p>
            <w:pPr>
              <w:spacing w:after="0"/>
              <w:rPr>
                <w:sz w:val="15"/>
                <w:szCs w:val="15"/>
                <w:color w:val="auto"/>
              </w:rPr>
            </w:pPr>
          </w:p>
        </w:tc>
        <w:tc>
          <w:tcPr>
            <w:tcW w:w="200" w:type="dxa"/>
            <w:vAlign w:val="bottom"/>
            <w:tcBorders>
              <w:bottom w:val="single" w:sz="8" w:color="auto"/>
            </w:tcBorders>
            <w:shd w:val="clear" w:color="auto" w:fill="E0E7ED"/>
          </w:tcPr>
          <w:p>
            <w:pPr>
              <w:spacing w:after="0"/>
              <w:rPr>
                <w:sz w:val="15"/>
                <w:szCs w:val="15"/>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361,690</w:t>
            </w:r>
          </w:p>
        </w:tc>
      </w:tr>
      <w:tr>
        <w:trPr>
          <w:trHeight w:val="174"/>
        </w:trPr>
        <w:tc>
          <w:tcPr>
            <w:tcW w:w="8140" w:type="dxa"/>
            <w:vAlign w:val="bottom"/>
            <w:gridSpan w:val="5"/>
          </w:tcPr>
          <w:p>
            <w:pPr>
              <w:ind w:left="20"/>
              <w:spacing w:after="0"/>
              <w:rPr>
                <w:sz w:val="20"/>
                <w:szCs w:val="20"/>
                <w:color w:val="auto"/>
              </w:rPr>
            </w:pPr>
            <w:r>
              <w:rPr>
                <w:rFonts w:ascii="Verdana" w:cs="Verdana" w:eastAsia="Verdana" w:hAnsi="Verdana"/>
                <w:sz w:val="13"/>
                <w:szCs w:val="13"/>
                <w:color w:val="auto"/>
              </w:rPr>
              <w:t>Total assets</w:t>
            </w:r>
          </w:p>
        </w:tc>
        <w:tc>
          <w:tcPr>
            <w:tcW w:w="16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w w:val="95"/>
              </w:rPr>
              <w:t>$</w:t>
            </w: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11,986,839</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37"/>
              <w:spacing w:after="0"/>
              <w:rPr>
                <w:sz w:val="20"/>
                <w:szCs w:val="20"/>
                <w:color w:val="auto"/>
              </w:rPr>
            </w:pPr>
            <w:r>
              <w:rPr>
                <w:rFonts w:ascii="Verdana" w:cs="Verdana" w:eastAsia="Verdana" w:hAnsi="Verdana"/>
                <w:sz w:val="13"/>
                <w:szCs w:val="13"/>
                <w:color w:val="auto"/>
                <w:w w:val="95"/>
              </w:rPr>
              <w:t>$</w:t>
            </w: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12,283,415</w:t>
            </w:r>
          </w:p>
        </w:tc>
      </w:tr>
      <w:tr>
        <w:trPr>
          <w:trHeight w:val="20"/>
        </w:trPr>
        <w:tc>
          <w:tcPr>
            <w:tcW w:w="422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E0E7ED"/>
            </w:tcBorders>
          </w:tcPr>
          <w:p>
            <w:pPr>
              <w:spacing w:after="0" w:line="20" w:lineRule="exact"/>
              <w:rPr>
                <w:sz w:val="1"/>
                <w:szCs w:val="1"/>
                <w:color w:val="auto"/>
              </w:rPr>
            </w:pPr>
          </w:p>
        </w:tc>
        <w:tc>
          <w:tcPr>
            <w:tcW w:w="160" w:type="dxa"/>
            <w:vAlign w:val="bottom"/>
            <w:tcBorders>
              <w:bottom w:val="single" w:sz="8" w:color="E0E7ED"/>
            </w:tcBorders>
          </w:tcPr>
          <w:p>
            <w:pPr>
              <w:spacing w:after="0" w:line="20" w:lineRule="exact"/>
              <w:rPr>
                <w:sz w:val="1"/>
                <w:szCs w:val="1"/>
                <w:color w:val="auto"/>
              </w:rPr>
            </w:pPr>
          </w:p>
        </w:tc>
        <w:tc>
          <w:tcPr>
            <w:tcW w:w="3360" w:type="dxa"/>
            <w:vAlign w:val="bottom"/>
            <w:tcBorders>
              <w:bottom w:val="single" w:sz="8" w:color="E0E7ED"/>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69"/>
        </w:trPr>
        <w:tc>
          <w:tcPr>
            <w:tcW w:w="422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320" w:type="dxa"/>
            <w:vAlign w:val="bottom"/>
            <w:shd w:val="clear" w:color="auto" w:fill="E0E7ED"/>
          </w:tcPr>
          <w:p>
            <w:pPr>
              <w:spacing w:after="0"/>
              <w:rPr>
                <w:sz w:val="14"/>
                <w:szCs w:val="14"/>
                <w:color w:val="auto"/>
              </w:rPr>
            </w:pPr>
          </w:p>
        </w:tc>
        <w:tc>
          <w:tcPr>
            <w:tcW w:w="160" w:type="dxa"/>
            <w:vAlign w:val="bottom"/>
            <w:shd w:val="clear" w:color="auto" w:fill="E0E7ED"/>
          </w:tcPr>
          <w:p>
            <w:pPr>
              <w:spacing w:after="0"/>
              <w:rPr>
                <w:sz w:val="14"/>
                <w:szCs w:val="14"/>
                <w:color w:val="auto"/>
              </w:rPr>
            </w:pPr>
          </w:p>
        </w:tc>
        <w:tc>
          <w:tcPr>
            <w:tcW w:w="3360" w:type="dxa"/>
            <w:vAlign w:val="bottom"/>
            <w:shd w:val="clear" w:color="auto" w:fill="E0E7ED"/>
          </w:tcPr>
          <w:p>
            <w:pPr>
              <w:spacing w:after="0"/>
              <w:rPr>
                <w:sz w:val="14"/>
                <w:szCs w:val="14"/>
                <w:color w:val="auto"/>
              </w:rPr>
            </w:pPr>
          </w:p>
        </w:tc>
        <w:tc>
          <w:tcPr>
            <w:tcW w:w="160" w:type="dxa"/>
            <w:vAlign w:val="bottom"/>
            <w:shd w:val="clear" w:color="auto" w:fill="E0E7ED"/>
          </w:tcPr>
          <w:p>
            <w:pPr>
              <w:spacing w:after="0"/>
              <w:rPr>
                <w:sz w:val="14"/>
                <w:szCs w:val="14"/>
                <w:color w:val="auto"/>
              </w:rPr>
            </w:pPr>
          </w:p>
        </w:tc>
        <w:tc>
          <w:tcPr>
            <w:tcW w:w="132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200" w:type="dxa"/>
            <w:vAlign w:val="bottom"/>
            <w:shd w:val="clear" w:color="auto" w:fill="E0E7ED"/>
          </w:tcPr>
          <w:p>
            <w:pPr>
              <w:spacing w:after="0"/>
              <w:rPr>
                <w:sz w:val="14"/>
                <w:szCs w:val="14"/>
                <w:color w:val="auto"/>
              </w:rPr>
            </w:pPr>
          </w:p>
        </w:tc>
        <w:tc>
          <w:tcPr>
            <w:tcW w:w="1280" w:type="dxa"/>
            <w:vAlign w:val="bottom"/>
            <w:shd w:val="clear" w:color="auto" w:fill="E0E7ED"/>
          </w:tcPr>
          <w:p>
            <w:pPr>
              <w:spacing w:after="0"/>
              <w:rPr>
                <w:sz w:val="14"/>
                <w:szCs w:val="14"/>
                <w:color w:val="auto"/>
              </w:rPr>
            </w:pPr>
          </w:p>
        </w:tc>
      </w:tr>
      <w:tr>
        <w:trPr>
          <w:trHeight w:val="170"/>
        </w:trPr>
        <w:tc>
          <w:tcPr>
            <w:tcW w:w="8140" w:type="dxa"/>
            <w:vAlign w:val="bottom"/>
            <w:gridSpan w:val="5"/>
          </w:tcPr>
          <w:p>
            <w:pPr>
              <w:ind w:left="20"/>
              <w:spacing w:after="0"/>
              <w:rPr>
                <w:sz w:val="20"/>
                <w:szCs w:val="20"/>
                <w:color w:val="auto"/>
              </w:rPr>
            </w:pPr>
            <w:r>
              <w:rPr>
                <w:rFonts w:ascii="Verdana" w:cs="Verdana" w:eastAsia="Verdana" w:hAnsi="Verdana"/>
                <w:sz w:val="13"/>
                <w:szCs w:val="13"/>
                <w:b w:val="1"/>
                <w:bCs w:val="1"/>
                <w:color w:val="auto"/>
              </w:rPr>
              <w:t>Liabilities and stockholders’ equity</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1"/>
        </w:trPr>
        <w:tc>
          <w:tcPr>
            <w:tcW w:w="8140" w:type="dxa"/>
            <w:vAlign w:val="bottom"/>
            <w:gridSpan w:val="5"/>
            <w:shd w:val="clear" w:color="auto" w:fill="E0E7ED"/>
          </w:tcPr>
          <w:p>
            <w:pPr>
              <w:ind w:left="180"/>
              <w:spacing w:after="0"/>
              <w:rPr>
                <w:sz w:val="20"/>
                <w:szCs w:val="20"/>
                <w:color w:val="auto"/>
              </w:rPr>
            </w:pPr>
            <w:r>
              <w:rPr>
                <w:rFonts w:ascii="Verdana" w:cs="Verdana" w:eastAsia="Verdana" w:hAnsi="Verdana"/>
                <w:sz w:val="13"/>
                <w:szCs w:val="13"/>
                <w:b w:val="1"/>
                <w:bCs w:val="1"/>
                <w:color w:val="auto"/>
              </w:rPr>
              <w:t>Liabilities</w:t>
            </w:r>
          </w:p>
        </w:tc>
        <w:tc>
          <w:tcPr>
            <w:tcW w:w="160" w:type="dxa"/>
            <w:vAlign w:val="bottom"/>
            <w:shd w:val="clear" w:color="auto" w:fill="E0E7ED"/>
          </w:tcPr>
          <w:p>
            <w:pPr>
              <w:spacing w:after="0"/>
              <w:rPr>
                <w:sz w:val="15"/>
                <w:szCs w:val="15"/>
                <w:color w:val="auto"/>
              </w:rPr>
            </w:pPr>
          </w:p>
        </w:tc>
        <w:tc>
          <w:tcPr>
            <w:tcW w:w="13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spacing w:after="0"/>
              <w:rPr>
                <w:sz w:val="15"/>
                <w:szCs w:val="15"/>
                <w:color w:val="auto"/>
              </w:rPr>
            </w:pPr>
          </w:p>
        </w:tc>
      </w:tr>
      <w:tr>
        <w:trPr>
          <w:trHeight w:val="170"/>
        </w:trPr>
        <w:tc>
          <w:tcPr>
            <w:tcW w:w="8140" w:type="dxa"/>
            <w:vAlign w:val="bottom"/>
            <w:gridSpan w:val="5"/>
          </w:tcPr>
          <w:p>
            <w:pPr>
              <w:ind w:left="340"/>
              <w:spacing w:after="0"/>
              <w:rPr>
                <w:sz w:val="20"/>
                <w:szCs w:val="20"/>
                <w:color w:val="auto"/>
              </w:rPr>
            </w:pPr>
            <w:r>
              <w:rPr>
                <w:rFonts w:ascii="Verdana" w:cs="Verdana" w:eastAsia="Verdana" w:hAnsi="Verdana"/>
                <w:sz w:val="13"/>
                <w:szCs w:val="13"/>
                <w:color w:val="auto"/>
              </w:rPr>
              <w:t>Deposits:</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1"/>
        </w:trPr>
        <w:tc>
          <w:tcPr>
            <w:tcW w:w="8140" w:type="dxa"/>
            <w:vAlign w:val="bottom"/>
            <w:gridSpan w:val="5"/>
            <w:shd w:val="clear" w:color="auto" w:fill="E0E7ED"/>
          </w:tcPr>
          <w:p>
            <w:pPr>
              <w:ind w:left="500"/>
              <w:spacing w:after="0"/>
              <w:rPr>
                <w:sz w:val="20"/>
                <w:szCs w:val="20"/>
                <w:color w:val="auto"/>
              </w:rPr>
            </w:pPr>
            <w:r>
              <w:rPr>
                <w:rFonts w:ascii="Verdana" w:cs="Verdana" w:eastAsia="Verdana" w:hAnsi="Verdana"/>
                <w:sz w:val="13"/>
                <w:szCs w:val="13"/>
                <w:color w:val="auto"/>
              </w:rPr>
              <w:t>Noninterest-bearing</w:t>
            </w:r>
          </w:p>
        </w:tc>
        <w:tc>
          <w:tcPr>
            <w:tcW w:w="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13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2,683,543</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2,834,655</w:t>
            </w:r>
          </w:p>
        </w:tc>
      </w:tr>
      <w:tr>
        <w:trPr>
          <w:trHeight w:val="170"/>
        </w:trPr>
        <w:tc>
          <w:tcPr>
            <w:tcW w:w="8140" w:type="dxa"/>
            <w:vAlign w:val="bottom"/>
            <w:tcBorders>
              <w:bottom w:val="single" w:sz="8" w:color="E0E7ED"/>
            </w:tcBorders>
            <w:gridSpan w:val="5"/>
          </w:tcPr>
          <w:p>
            <w:pPr>
              <w:ind w:left="500"/>
              <w:spacing w:after="0"/>
              <w:rPr>
                <w:sz w:val="20"/>
                <w:szCs w:val="20"/>
                <w:color w:val="auto"/>
              </w:rPr>
            </w:pPr>
            <w:r>
              <w:rPr>
                <w:rFonts w:ascii="Verdana" w:cs="Verdana" w:eastAsia="Verdana" w:hAnsi="Verdana"/>
                <w:sz w:val="13"/>
                <w:szCs w:val="13"/>
                <w:color w:val="auto"/>
              </w:rPr>
              <w:t>Interest-bearing</w:t>
            </w: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7,259,698</w:t>
            </w:r>
          </w:p>
        </w:tc>
        <w:tc>
          <w:tcPr>
            <w:tcW w:w="10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7,456,501</w:t>
            </w:r>
          </w:p>
        </w:tc>
      </w:tr>
      <w:tr>
        <w:trPr>
          <w:trHeight w:val="174"/>
        </w:trPr>
        <w:tc>
          <w:tcPr>
            <w:tcW w:w="8140" w:type="dxa"/>
            <w:vAlign w:val="bottom"/>
            <w:gridSpan w:val="5"/>
            <w:shd w:val="clear" w:color="auto" w:fill="E0E7ED"/>
          </w:tcPr>
          <w:p>
            <w:pPr>
              <w:ind w:left="340"/>
              <w:spacing w:after="0"/>
              <w:rPr>
                <w:sz w:val="20"/>
                <w:szCs w:val="20"/>
                <w:color w:val="auto"/>
              </w:rPr>
            </w:pPr>
            <w:r>
              <w:rPr>
                <w:rFonts w:ascii="Verdana" w:cs="Verdana" w:eastAsia="Verdana" w:hAnsi="Verdana"/>
                <w:sz w:val="13"/>
                <w:szCs w:val="13"/>
                <w:color w:val="auto"/>
              </w:rPr>
              <w:t>Total deposits</w:t>
            </w:r>
          </w:p>
        </w:tc>
        <w:tc>
          <w:tcPr>
            <w:tcW w:w="160" w:type="dxa"/>
            <w:vAlign w:val="bottom"/>
            <w:shd w:val="clear" w:color="auto" w:fill="E0E7ED"/>
          </w:tcPr>
          <w:p>
            <w:pPr>
              <w:spacing w:after="0"/>
              <w:rPr>
                <w:sz w:val="15"/>
                <w:szCs w:val="15"/>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9,943,241</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10,291,156</w:t>
            </w:r>
          </w:p>
        </w:tc>
      </w:tr>
      <w:tr>
        <w:trPr>
          <w:trHeight w:val="203"/>
        </w:trPr>
        <w:tc>
          <w:tcPr>
            <w:tcW w:w="4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75"/>
        </w:trPr>
        <w:tc>
          <w:tcPr>
            <w:tcW w:w="8140" w:type="dxa"/>
            <w:vAlign w:val="bottom"/>
            <w:gridSpan w:val="5"/>
            <w:shd w:val="clear" w:color="auto" w:fill="E0E7ED"/>
          </w:tcPr>
          <w:p>
            <w:pPr>
              <w:ind w:left="340"/>
              <w:spacing w:after="0"/>
              <w:rPr>
                <w:sz w:val="20"/>
                <w:szCs w:val="20"/>
                <w:color w:val="auto"/>
              </w:rPr>
            </w:pPr>
            <w:r>
              <w:rPr>
                <w:rFonts w:ascii="Verdana" w:cs="Verdana" w:eastAsia="Verdana" w:hAnsi="Verdana"/>
                <w:sz w:val="13"/>
                <w:szCs w:val="13"/>
                <w:color w:val="auto"/>
              </w:rPr>
              <w:t>Securities sold under agreements to repurchase</w:t>
            </w:r>
          </w:p>
        </w:tc>
        <w:tc>
          <w:tcPr>
            <w:tcW w:w="160" w:type="dxa"/>
            <w:vAlign w:val="bottom"/>
            <w:shd w:val="clear" w:color="auto" w:fill="E0E7ED"/>
          </w:tcPr>
          <w:p>
            <w:pPr>
              <w:spacing w:after="0"/>
              <w:rPr>
                <w:sz w:val="15"/>
                <w:szCs w:val="15"/>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128,429</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187,396</w:t>
            </w:r>
          </w:p>
        </w:tc>
      </w:tr>
      <w:tr>
        <w:trPr>
          <w:trHeight w:val="170"/>
        </w:trPr>
        <w:tc>
          <w:tcPr>
            <w:tcW w:w="8140" w:type="dxa"/>
            <w:vAlign w:val="bottom"/>
            <w:gridSpan w:val="5"/>
          </w:tcPr>
          <w:p>
            <w:pPr>
              <w:ind w:left="340"/>
              <w:spacing w:after="0"/>
              <w:rPr>
                <w:sz w:val="20"/>
                <w:szCs w:val="20"/>
                <w:color w:val="auto"/>
              </w:rPr>
            </w:pPr>
            <w:r>
              <w:rPr>
                <w:rFonts w:ascii="Verdana" w:cs="Verdana" w:eastAsia="Verdana" w:hAnsi="Verdana"/>
                <w:sz w:val="13"/>
                <w:szCs w:val="13"/>
                <w:color w:val="auto"/>
              </w:rPr>
              <w:t>Short-term borrowings</w:t>
            </w:r>
          </w:p>
        </w:tc>
        <w:tc>
          <w:tcPr>
            <w:tcW w:w="16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Verdana" w:cs="Verdana" w:eastAsia="Verdana" w:hAnsi="Verdana"/>
                <w:sz w:val="13"/>
                <w:szCs w:val="13"/>
                <w:color w:val="auto"/>
              </w:rPr>
              <w:t>12,000</w:t>
            </w:r>
          </w:p>
        </w:tc>
      </w:tr>
      <w:tr>
        <w:trPr>
          <w:trHeight w:val="181"/>
        </w:trPr>
        <w:tc>
          <w:tcPr>
            <w:tcW w:w="8140" w:type="dxa"/>
            <w:vAlign w:val="bottom"/>
            <w:gridSpan w:val="5"/>
            <w:shd w:val="clear" w:color="auto" w:fill="E0E7ED"/>
          </w:tcPr>
          <w:p>
            <w:pPr>
              <w:ind w:left="340"/>
              <w:spacing w:after="0"/>
              <w:rPr>
                <w:sz w:val="20"/>
                <w:szCs w:val="20"/>
                <w:color w:val="auto"/>
              </w:rPr>
            </w:pPr>
            <w:r>
              <w:rPr>
                <w:rFonts w:ascii="Verdana" w:cs="Verdana" w:eastAsia="Verdana" w:hAnsi="Verdana"/>
                <w:sz w:val="13"/>
                <w:szCs w:val="13"/>
                <w:color w:val="auto"/>
              </w:rPr>
              <w:t>Long-term debt</w:t>
            </w:r>
          </w:p>
        </w:tc>
        <w:tc>
          <w:tcPr>
            <w:tcW w:w="160" w:type="dxa"/>
            <w:vAlign w:val="bottom"/>
            <w:shd w:val="clear" w:color="auto" w:fill="E0E7ED"/>
          </w:tcPr>
          <w:p>
            <w:pPr>
              <w:spacing w:after="0"/>
              <w:rPr>
                <w:sz w:val="15"/>
                <w:szCs w:val="15"/>
                <w:color w:val="auto"/>
              </w:rPr>
            </w:pPr>
          </w:p>
        </w:tc>
        <w:tc>
          <w:tcPr>
            <w:tcW w:w="14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18,000</w:t>
            </w:r>
          </w:p>
        </w:tc>
      </w:tr>
      <w:tr>
        <w:trPr>
          <w:trHeight w:val="170"/>
        </w:trPr>
        <w:tc>
          <w:tcPr>
            <w:tcW w:w="8140" w:type="dxa"/>
            <w:vAlign w:val="bottom"/>
            <w:gridSpan w:val="5"/>
          </w:tcPr>
          <w:p>
            <w:pPr>
              <w:ind w:left="340"/>
              <w:spacing w:after="0"/>
              <w:rPr>
                <w:sz w:val="20"/>
                <w:szCs w:val="20"/>
                <w:color w:val="auto"/>
              </w:rPr>
            </w:pPr>
            <w:r>
              <w:rPr>
                <w:rFonts w:ascii="Verdana" w:cs="Verdana" w:eastAsia="Verdana" w:hAnsi="Verdana"/>
                <w:sz w:val="13"/>
                <w:szCs w:val="13"/>
                <w:color w:val="auto"/>
              </w:rPr>
              <w:t>Subordinated notes, net of unamortized issuance costs</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Verdana" w:cs="Verdana" w:eastAsia="Verdana" w:hAnsi="Verdana"/>
                <w:sz w:val="13"/>
                <w:szCs w:val="13"/>
                <w:color w:val="auto"/>
              </w:rPr>
              <w:t>227,482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Verdana" w:cs="Verdana" w:eastAsia="Verdana" w:hAnsi="Verdana"/>
                <w:sz w:val="13"/>
                <w:szCs w:val="13"/>
                <w:color w:val="auto"/>
              </w:rPr>
              <w:t>222,882</w:t>
            </w:r>
          </w:p>
        </w:tc>
      </w:tr>
      <w:tr>
        <w:trPr>
          <w:trHeight w:val="181"/>
        </w:trPr>
        <w:tc>
          <w:tcPr>
            <w:tcW w:w="8140" w:type="dxa"/>
            <w:vAlign w:val="bottom"/>
            <w:gridSpan w:val="5"/>
            <w:shd w:val="clear" w:color="auto" w:fill="E0E7ED"/>
          </w:tcPr>
          <w:p>
            <w:pPr>
              <w:ind w:left="340"/>
              <w:spacing w:after="0"/>
              <w:rPr>
                <w:sz w:val="20"/>
                <w:szCs w:val="20"/>
                <w:color w:val="auto"/>
              </w:rPr>
            </w:pPr>
            <w:r>
              <w:rPr>
                <w:rFonts w:ascii="Verdana" w:cs="Verdana" w:eastAsia="Verdana" w:hAnsi="Verdana"/>
                <w:sz w:val="13"/>
                <w:szCs w:val="13"/>
                <w:color w:val="auto"/>
              </w:rPr>
              <w:t>Junior subordinated debt owed to unconsolidated trusts</w:t>
            </w:r>
          </w:p>
        </w:tc>
        <w:tc>
          <w:tcPr>
            <w:tcW w:w="160" w:type="dxa"/>
            <w:vAlign w:val="bottom"/>
            <w:shd w:val="clear" w:color="auto" w:fill="E0E7ED"/>
          </w:tcPr>
          <w:p>
            <w:pPr>
              <w:spacing w:after="0"/>
              <w:rPr>
                <w:sz w:val="15"/>
                <w:szCs w:val="15"/>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74,754</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71,993</w:t>
            </w:r>
          </w:p>
        </w:tc>
      </w:tr>
      <w:tr>
        <w:trPr>
          <w:trHeight w:val="170"/>
        </w:trPr>
        <w:tc>
          <w:tcPr>
            <w:tcW w:w="8140" w:type="dxa"/>
            <w:vAlign w:val="bottom"/>
            <w:gridSpan w:val="5"/>
          </w:tcPr>
          <w:p>
            <w:pPr>
              <w:ind w:left="340"/>
              <w:spacing w:after="0"/>
              <w:rPr>
                <w:sz w:val="20"/>
                <w:szCs w:val="20"/>
                <w:color w:val="auto"/>
              </w:rPr>
            </w:pPr>
            <w:r>
              <w:rPr>
                <w:rFonts w:ascii="Verdana" w:cs="Verdana" w:eastAsia="Verdana" w:hAnsi="Verdana"/>
                <w:sz w:val="13"/>
                <w:szCs w:val="13"/>
                <w:color w:val="auto"/>
              </w:rPr>
              <w:t>Lease liabilities</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Verdana" w:cs="Verdana" w:eastAsia="Verdana" w:hAnsi="Verdana"/>
                <w:sz w:val="13"/>
                <w:szCs w:val="13"/>
                <w:color w:val="auto"/>
              </w:rPr>
              <w:t>11,470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Verdana" w:cs="Verdana" w:eastAsia="Verdana" w:hAnsi="Verdana"/>
                <w:sz w:val="13"/>
                <w:szCs w:val="13"/>
                <w:color w:val="auto"/>
              </w:rPr>
              <w:t>11,308</w:t>
            </w:r>
          </w:p>
        </w:tc>
      </w:tr>
      <w:tr>
        <w:trPr>
          <w:trHeight w:val="181"/>
        </w:trPr>
        <w:tc>
          <w:tcPr>
            <w:tcW w:w="8140" w:type="dxa"/>
            <w:vAlign w:val="bottom"/>
            <w:gridSpan w:val="5"/>
            <w:shd w:val="clear" w:color="auto" w:fill="E0E7ED"/>
          </w:tcPr>
          <w:p>
            <w:pPr>
              <w:ind w:left="340"/>
              <w:spacing w:after="0"/>
              <w:rPr>
                <w:sz w:val="20"/>
                <w:szCs w:val="20"/>
                <w:color w:val="auto"/>
              </w:rPr>
            </w:pPr>
            <w:r>
              <w:rPr>
                <w:rFonts w:ascii="Verdana" w:cs="Verdana" w:eastAsia="Verdana" w:hAnsi="Verdana"/>
                <w:sz w:val="13"/>
                <w:szCs w:val="13"/>
                <w:color w:val="auto"/>
              </w:rPr>
              <w:t>Other liabilities</w:t>
            </w:r>
          </w:p>
        </w:tc>
        <w:tc>
          <w:tcPr>
            <w:tcW w:w="160" w:type="dxa"/>
            <w:vAlign w:val="bottom"/>
            <w:tcBorders>
              <w:bottom w:val="single" w:sz="8" w:color="auto"/>
            </w:tcBorders>
            <w:shd w:val="clear" w:color="auto" w:fill="E0E7ED"/>
          </w:tcPr>
          <w:p>
            <w:pPr>
              <w:spacing w:after="0"/>
              <w:rPr>
                <w:sz w:val="15"/>
                <w:szCs w:val="15"/>
                <w:color w:val="auto"/>
              </w:rPr>
            </w:pP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198,579</w:t>
            </w:r>
          </w:p>
        </w:tc>
        <w:tc>
          <w:tcPr>
            <w:tcW w:w="100" w:type="dxa"/>
            <w:vAlign w:val="bottom"/>
            <w:shd w:val="clear" w:color="auto" w:fill="E0E7ED"/>
          </w:tcPr>
          <w:p>
            <w:pPr>
              <w:spacing w:after="0"/>
              <w:rPr>
                <w:sz w:val="15"/>
                <w:szCs w:val="15"/>
                <w:color w:val="auto"/>
              </w:rPr>
            </w:pPr>
          </w:p>
        </w:tc>
        <w:tc>
          <w:tcPr>
            <w:tcW w:w="200" w:type="dxa"/>
            <w:vAlign w:val="bottom"/>
            <w:tcBorders>
              <w:bottom w:val="single" w:sz="8" w:color="auto"/>
            </w:tcBorders>
            <w:shd w:val="clear" w:color="auto" w:fill="E0E7ED"/>
          </w:tcPr>
          <w:p>
            <w:pPr>
              <w:spacing w:after="0"/>
              <w:rPr>
                <w:sz w:val="15"/>
                <w:szCs w:val="15"/>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196,699</w:t>
            </w:r>
          </w:p>
        </w:tc>
      </w:tr>
      <w:tr>
        <w:trPr>
          <w:trHeight w:val="164"/>
        </w:trPr>
        <w:tc>
          <w:tcPr>
            <w:tcW w:w="8140" w:type="dxa"/>
            <w:vAlign w:val="bottom"/>
            <w:tcBorders>
              <w:bottom w:val="single" w:sz="8" w:color="E0E7ED"/>
            </w:tcBorders>
            <w:gridSpan w:val="5"/>
          </w:tcPr>
          <w:p>
            <w:pPr>
              <w:ind w:left="180"/>
              <w:spacing w:after="0" w:line="153" w:lineRule="exact"/>
              <w:rPr>
                <w:sz w:val="20"/>
                <w:szCs w:val="20"/>
                <w:color w:val="auto"/>
              </w:rPr>
            </w:pPr>
            <w:r>
              <w:rPr>
                <w:rFonts w:ascii="Verdana" w:cs="Verdana" w:eastAsia="Verdana" w:hAnsi="Verdana"/>
                <w:sz w:val="13"/>
                <w:szCs w:val="13"/>
                <w:color w:val="auto"/>
              </w:rPr>
              <w:t>Total liabilities</w:t>
            </w: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10,583,955</w:t>
            </w:r>
          </w:p>
        </w:tc>
        <w:tc>
          <w:tcPr>
            <w:tcW w:w="10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11,011,434</w:t>
            </w:r>
          </w:p>
        </w:tc>
      </w:tr>
      <w:tr>
        <w:trPr>
          <w:trHeight w:val="188"/>
        </w:trPr>
        <w:tc>
          <w:tcPr>
            <w:tcW w:w="42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60" w:type="dxa"/>
            <w:vAlign w:val="bottom"/>
            <w:shd w:val="clear" w:color="auto" w:fill="E0E7ED"/>
          </w:tcPr>
          <w:p>
            <w:pPr>
              <w:spacing w:after="0"/>
              <w:rPr>
                <w:sz w:val="16"/>
                <w:szCs w:val="16"/>
                <w:color w:val="auto"/>
              </w:rPr>
            </w:pPr>
          </w:p>
        </w:tc>
        <w:tc>
          <w:tcPr>
            <w:tcW w:w="3360" w:type="dxa"/>
            <w:vAlign w:val="bottom"/>
            <w:shd w:val="clear" w:color="auto" w:fill="E0E7ED"/>
          </w:tcPr>
          <w:p>
            <w:pPr>
              <w:spacing w:after="0"/>
              <w:rPr>
                <w:sz w:val="16"/>
                <w:szCs w:val="16"/>
                <w:color w:val="auto"/>
              </w:rPr>
            </w:pPr>
          </w:p>
        </w:tc>
        <w:tc>
          <w:tcPr>
            <w:tcW w:w="160" w:type="dxa"/>
            <w:vAlign w:val="bottom"/>
            <w:shd w:val="clear" w:color="auto" w:fill="E0E7ED"/>
          </w:tcPr>
          <w:p>
            <w:pPr>
              <w:spacing w:after="0"/>
              <w:rPr>
                <w:sz w:val="16"/>
                <w:szCs w:val="16"/>
                <w:color w:val="auto"/>
              </w:rPr>
            </w:pPr>
          </w:p>
        </w:tc>
        <w:tc>
          <w:tcPr>
            <w:tcW w:w="132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280" w:type="dxa"/>
            <w:vAlign w:val="bottom"/>
            <w:shd w:val="clear" w:color="auto" w:fill="E0E7ED"/>
          </w:tcPr>
          <w:p>
            <w:pPr>
              <w:spacing w:after="0"/>
              <w:rPr>
                <w:sz w:val="16"/>
                <w:szCs w:val="16"/>
                <w:color w:val="auto"/>
              </w:rPr>
            </w:pPr>
          </w:p>
        </w:tc>
      </w:tr>
      <w:tr>
        <w:trPr>
          <w:trHeight w:val="135"/>
        </w:trPr>
        <w:tc>
          <w:tcPr>
            <w:tcW w:w="8140" w:type="dxa"/>
            <w:vAlign w:val="bottom"/>
            <w:gridSpan w:val="5"/>
          </w:tcPr>
          <w:p>
            <w:pPr>
              <w:ind w:left="180"/>
              <w:spacing w:after="0" w:line="135" w:lineRule="exact"/>
              <w:rPr>
                <w:sz w:val="20"/>
                <w:szCs w:val="20"/>
                <w:color w:val="auto"/>
              </w:rPr>
            </w:pPr>
            <w:r>
              <w:rPr>
                <w:rFonts w:ascii="Verdana" w:cs="Verdana" w:eastAsia="Verdana" w:hAnsi="Verdana"/>
                <w:sz w:val="13"/>
                <w:szCs w:val="13"/>
                <w:color w:val="auto"/>
              </w:rPr>
              <w:t xml:space="preserve">Outstanding commitments and contingent liabilities (see Notes </w:t>
            </w:r>
            <w:r>
              <w:rPr>
                <w:rFonts w:ascii="Verdana" w:cs="Verdana" w:eastAsia="Verdana" w:hAnsi="Verdana"/>
                <w:sz w:val="13"/>
                <w:szCs w:val="13"/>
                <w:color w:val="0000FF"/>
              </w:rPr>
              <w:t>5</w:t>
            </w:r>
            <w:r>
              <w:rPr>
                <w:rFonts w:ascii="Verdana" w:cs="Verdana" w:eastAsia="Verdana" w:hAnsi="Verdana"/>
                <w:sz w:val="13"/>
                <w:szCs w:val="13"/>
                <w:color w:val="auto"/>
              </w:rPr>
              <w:t xml:space="preserve"> and </w:t>
            </w:r>
            <w:r>
              <w:rPr>
                <w:rFonts w:ascii="Verdana" w:cs="Verdana" w:eastAsia="Verdana" w:hAnsi="Verdana"/>
                <w:sz w:val="13"/>
                <w:szCs w:val="13"/>
                <w:color w:val="0000FF"/>
              </w:rPr>
              <w:t>11</w:t>
            </w:r>
            <w:r>
              <w:rPr>
                <w:rFonts w:ascii="Verdana" w:cs="Verdana" w:eastAsia="Verdana" w:hAnsi="Verdana"/>
                <w:sz w:val="13"/>
                <w:szCs w:val="13"/>
                <w:color w:val="auto"/>
              </w:rPr>
              <w:t>)</w:t>
            </w: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20"/>
        </w:trPr>
        <w:tc>
          <w:tcPr>
            <w:tcW w:w="42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03"/>
        </w:trPr>
        <w:tc>
          <w:tcPr>
            <w:tcW w:w="422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320" w:type="dxa"/>
            <w:vAlign w:val="bottom"/>
            <w:shd w:val="clear" w:color="auto" w:fill="E0E7ED"/>
          </w:tcPr>
          <w:p>
            <w:pPr>
              <w:spacing w:after="0"/>
              <w:rPr>
                <w:sz w:val="17"/>
                <w:szCs w:val="17"/>
                <w:color w:val="auto"/>
              </w:rPr>
            </w:pPr>
          </w:p>
        </w:tc>
        <w:tc>
          <w:tcPr>
            <w:tcW w:w="160" w:type="dxa"/>
            <w:vAlign w:val="bottom"/>
            <w:shd w:val="clear" w:color="auto" w:fill="E0E7ED"/>
          </w:tcPr>
          <w:p>
            <w:pPr>
              <w:spacing w:after="0"/>
              <w:rPr>
                <w:sz w:val="17"/>
                <w:szCs w:val="17"/>
                <w:color w:val="auto"/>
              </w:rPr>
            </w:pPr>
          </w:p>
        </w:tc>
        <w:tc>
          <w:tcPr>
            <w:tcW w:w="3360" w:type="dxa"/>
            <w:vAlign w:val="bottom"/>
            <w:shd w:val="clear" w:color="auto" w:fill="E0E7ED"/>
          </w:tcPr>
          <w:p>
            <w:pPr>
              <w:spacing w:after="0"/>
              <w:rPr>
                <w:sz w:val="17"/>
                <w:szCs w:val="17"/>
                <w:color w:val="auto"/>
              </w:rPr>
            </w:pPr>
          </w:p>
        </w:tc>
        <w:tc>
          <w:tcPr>
            <w:tcW w:w="160" w:type="dxa"/>
            <w:vAlign w:val="bottom"/>
            <w:shd w:val="clear" w:color="auto" w:fill="E0E7ED"/>
          </w:tcPr>
          <w:p>
            <w:pPr>
              <w:spacing w:after="0"/>
              <w:rPr>
                <w:sz w:val="17"/>
                <w:szCs w:val="17"/>
                <w:color w:val="auto"/>
              </w:rPr>
            </w:pPr>
          </w:p>
        </w:tc>
        <w:tc>
          <w:tcPr>
            <w:tcW w:w="132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1280" w:type="dxa"/>
            <w:vAlign w:val="bottom"/>
            <w:shd w:val="clear" w:color="auto" w:fill="E0E7ED"/>
          </w:tcPr>
          <w:p>
            <w:pPr>
              <w:spacing w:after="0"/>
              <w:rPr>
                <w:sz w:val="17"/>
                <w:szCs w:val="17"/>
                <w:color w:val="auto"/>
              </w:rPr>
            </w:pPr>
          </w:p>
        </w:tc>
      </w:tr>
      <w:tr>
        <w:trPr>
          <w:trHeight w:val="170"/>
        </w:trPr>
        <w:tc>
          <w:tcPr>
            <w:tcW w:w="8140" w:type="dxa"/>
            <w:vAlign w:val="bottom"/>
            <w:gridSpan w:val="5"/>
          </w:tcPr>
          <w:p>
            <w:pPr>
              <w:ind w:left="180"/>
              <w:spacing w:after="0"/>
              <w:rPr>
                <w:sz w:val="20"/>
                <w:szCs w:val="20"/>
                <w:color w:val="auto"/>
              </w:rPr>
            </w:pPr>
            <w:r>
              <w:rPr>
                <w:rFonts w:ascii="Verdana" w:cs="Verdana" w:eastAsia="Verdana" w:hAnsi="Verdana"/>
                <w:sz w:val="13"/>
                <w:szCs w:val="13"/>
                <w:b w:val="1"/>
                <w:bCs w:val="1"/>
                <w:color w:val="auto"/>
              </w:rPr>
              <w:t>Stockholders’ equity</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1"/>
        </w:trPr>
        <w:tc>
          <w:tcPr>
            <w:tcW w:w="8140" w:type="dxa"/>
            <w:vAlign w:val="bottom"/>
            <w:gridSpan w:val="5"/>
            <w:shd w:val="clear" w:color="auto" w:fill="E0E7ED"/>
          </w:tcPr>
          <w:p>
            <w:pPr>
              <w:ind w:left="340"/>
              <w:spacing w:after="0"/>
              <w:rPr>
                <w:sz w:val="20"/>
                <w:szCs w:val="20"/>
                <w:color w:val="auto"/>
              </w:rPr>
            </w:pPr>
            <w:r>
              <w:rPr>
                <w:rFonts w:ascii="Verdana" w:cs="Verdana" w:eastAsia="Verdana" w:hAnsi="Verdana"/>
                <w:sz w:val="13"/>
                <w:szCs w:val="13"/>
                <w:color w:val="auto"/>
              </w:rPr>
              <w:t>Common stock, ($.001 par value; 100,000,000 shares authorized)</w:t>
            </w:r>
          </w:p>
        </w:tc>
        <w:tc>
          <w:tcPr>
            <w:tcW w:w="160" w:type="dxa"/>
            <w:vAlign w:val="bottom"/>
            <w:shd w:val="clear" w:color="auto" w:fill="E0E7ED"/>
          </w:tcPr>
          <w:p>
            <w:pPr>
              <w:spacing w:after="0"/>
              <w:rPr>
                <w:sz w:val="15"/>
                <w:szCs w:val="15"/>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60</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58</w:t>
            </w:r>
          </w:p>
        </w:tc>
      </w:tr>
      <w:tr>
        <w:trPr>
          <w:trHeight w:val="170"/>
        </w:trPr>
        <w:tc>
          <w:tcPr>
            <w:tcW w:w="8140" w:type="dxa"/>
            <w:vAlign w:val="bottom"/>
            <w:gridSpan w:val="5"/>
          </w:tcPr>
          <w:p>
            <w:pPr>
              <w:ind w:left="340"/>
              <w:spacing w:after="0"/>
              <w:rPr>
                <w:sz w:val="20"/>
                <w:szCs w:val="20"/>
                <w:color w:val="auto"/>
              </w:rPr>
            </w:pPr>
            <w:r>
              <w:rPr>
                <w:rFonts w:ascii="Verdana" w:cs="Verdana" w:eastAsia="Verdana" w:hAnsi="Verdana"/>
                <w:sz w:val="13"/>
                <w:szCs w:val="13"/>
                <w:color w:val="auto"/>
              </w:rPr>
              <w:t>Additional paid-in capital</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Verdana" w:cs="Verdana" w:eastAsia="Verdana" w:hAnsi="Verdana"/>
                <w:sz w:val="13"/>
                <w:szCs w:val="13"/>
                <w:color w:val="auto"/>
              </w:rPr>
              <w:t>1,358,816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Verdana" w:cs="Verdana" w:eastAsia="Verdana" w:hAnsi="Verdana"/>
                <w:sz w:val="13"/>
                <w:szCs w:val="13"/>
                <w:color w:val="auto"/>
              </w:rPr>
              <w:t>1,323,595</w:t>
            </w:r>
          </w:p>
        </w:tc>
      </w:tr>
      <w:tr>
        <w:trPr>
          <w:trHeight w:val="181"/>
        </w:trPr>
        <w:tc>
          <w:tcPr>
            <w:tcW w:w="8140" w:type="dxa"/>
            <w:vAlign w:val="bottom"/>
            <w:gridSpan w:val="5"/>
            <w:shd w:val="clear" w:color="auto" w:fill="E0E7ED"/>
          </w:tcPr>
          <w:p>
            <w:pPr>
              <w:ind w:left="340"/>
              <w:spacing w:after="0"/>
              <w:rPr>
                <w:sz w:val="20"/>
                <w:szCs w:val="20"/>
                <w:color w:val="auto"/>
              </w:rPr>
            </w:pPr>
            <w:r>
              <w:rPr>
                <w:rFonts w:ascii="Verdana" w:cs="Verdana" w:eastAsia="Verdana" w:hAnsi="Verdana"/>
                <w:sz w:val="13"/>
                <w:szCs w:val="13"/>
                <w:color w:val="auto"/>
              </w:rPr>
              <w:t>Retained earnings</w:t>
            </w:r>
          </w:p>
        </w:tc>
        <w:tc>
          <w:tcPr>
            <w:tcW w:w="160" w:type="dxa"/>
            <w:vAlign w:val="bottom"/>
            <w:shd w:val="clear" w:color="auto" w:fill="E0E7ED"/>
          </w:tcPr>
          <w:p>
            <w:pPr>
              <w:spacing w:after="0"/>
              <w:rPr>
                <w:sz w:val="15"/>
                <w:szCs w:val="15"/>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279,868</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237,197</w:t>
            </w:r>
          </w:p>
        </w:tc>
      </w:tr>
      <w:tr>
        <w:trPr>
          <w:trHeight w:val="170"/>
        </w:trPr>
        <w:tc>
          <w:tcPr>
            <w:tcW w:w="8140" w:type="dxa"/>
            <w:vAlign w:val="bottom"/>
            <w:tcBorders>
              <w:bottom w:val="single" w:sz="8" w:color="E0E7ED"/>
            </w:tcBorders>
            <w:gridSpan w:val="5"/>
          </w:tcPr>
          <w:p>
            <w:pPr>
              <w:ind w:left="340"/>
              <w:spacing w:after="0"/>
              <w:rPr>
                <w:sz w:val="20"/>
                <w:szCs w:val="20"/>
                <w:color w:val="auto"/>
              </w:rPr>
            </w:pPr>
            <w:r>
              <w:rPr>
                <w:rFonts w:ascii="Verdana" w:cs="Verdana" w:eastAsia="Verdana" w:hAnsi="Verdana"/>
                <w:sz w:val="13"/>
                <w:szCs w:val="13"/>
                <w:color w:val="auto"/>
              </w:rPr>
              <w:t>AOCI</w:t>
            </w: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(170,913)</w:t>
            </w:r>
          </w:p>
        </w:tc>
        <w:tc>
          <w:tcPr>
            <w:tcW w:w="10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(218,803)</w:t>
            </w:r>
          </w:p>
        </w:tc>
      </w:tr>
      <w:tr>
        <w:trPr>
          <w:trHeight w:val="174"/>
        </w:trPr>
        <w:tc>
          <w:tcPr>
            <w:tcW w:w="8140" w:type="dxa"/>
            <w:vAlign w:val="bottom"/>
            <w:gridSpan w:val="5"/>
            <w:shd w:val="clear" w:color="auto" w:fill="E0E7ED"/>
          </w:tcPr>
          <w:p>
            <w:pPr>
              <w:ind w:left="340"/>
              <w:spacing w:after="0"/>
              <w:rPr>
                <w:sz w:val="20"/>
                <w:szCs w:val="20"/>
                <w:color w:val="auto"/>
              </w:rPr>
            </w:pPr>
            <w:r>
              <w:rPr>
                <w:rFonts w:ascii="Verdana" w:cs="Verdana" w:eastAsia="Verdana" w:hAnsi="Verdana"/>
                <w:sz w:val="13"/>
                <w:szCs w:val="13"/>
                <w:color w:val="auto"/>
              </w:rPr>
              <w:t>Total stockholders’ equity before treasury stock</w:t>
            </w:r>
          </w:p>
        </w:tc>
        <w:tc>
          <w:tcPr>
            <w:tcW w:w="160" w:type="dxa"/>
            <w:vAlign w:val="bottom"/>
            <w:shd w:val="clear" w:color="auto" w:fill="E0E7ED"/>
          </w:tcPr>
          <w:p>
            <w:pPr>
              <w:spacing w:after="0"/>
              <w:rPr>
                <w:sz w:val="15"/>
                <w:szCs w:val="15"/>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1,467,831</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1,342,047</w:t>
            </w:r>
          </w:p>
        </w:tc>
      </w:tr>
      <w:tr>
        <w:trPr>
          <w:trHeight w:val="170"/>
        </w:trPr>
        <w:tc>
          <w:tcPr>
            <w:tcW w:w="8140" w:type="dxa"/>
            <w:vAlign w:val="bottom"/>
            <w:tcBorders>
              <w:bottom w:val="single" w:sz="8" w:color="E0E7ED"/>
            </w:tcBorders>
            <w:gridSpan w:val="5"/>
          </w:tcPr>
          <w:p>
            <w:pPr>
              <w:ind w:left="340"/>
              <w:spacing w:after="0"/>
              <w:rPr>
                <w:sz w:val="20"/>
                <w:szCs w:val="20"/>
                <w:color w:val="auto"/>
              </w:rPr>
            </w:pPr>
            <w:r>
              <w:rPr>
                <w:rFonts w:ascii="Verdana" w:cs="Verdana" w:eastAsia="Verdana" w:hAnsi="Verdana"/>
                <w:sz w:val="13"/>
                <w:szCs w:val="13"/>
                <w:color w:val="auto"/>
              </w:rPr>
              <w:t>Treasury stock at cost</w:t>
            </w: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(64,947)</w:t>
            </w:r>
          </w:p>
        </w:tc>
        <w:tc>
          <w:tcPr>
            <w:tcW w:w="10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(70,066)</w:t>
            </w:r>
          </w:p>
        </w:tc>
      </w:tr>
      <w:tr>
        <w:trPr>
          <w:trHeight w:val="169"/>
        </w:trPr>
        <w:tc>
          <w:tcPr>
            <w:tcW w:w="8140" w:type="dxa"/>
            <w:vAlign w:val="bottom"/>
            <w:gridSpan w:val="5"/>
            <w:shd w:val="clear" w:color="auto" w:fill="E0E7ED"/>
          </w:tcPr>
          <w:p>
            <w:pPr>
              <w:ind w:left="180"/>
              <w:spacing w:after="0"/>
              <w:rPr>
                <w:sz w:val="20"/>
                <w:szCs w:val="20"/>
                <w:color w:val="auto"/>
              </w:rPr>
            </w:pPr>
            <w:r>
              <w:rPr>
                <w:rFonts w:ascii="Verdana" w:cs="Verdana" w:eastAsia="Verdana" w:hAnsi="Verdana"/>
                <w:sz w:val="13"/>
                <w:szCs w:val="13"/>
                <w:color w:val="auto"/>
              </w:rPr>
              <w:t>Total stockholders’ equity</w:t>
            </w:r>
          </w:p>
        </w:tc>
        <w:tc>
          <w:tcPr>
            <w:tcW w:w="160" w:type="dxa"/>
            <w:vAlign w:val="bottom"/>
            <w:tcBorders>
              <w:bottom w:val="single" w:sz="8" w:color="auto"/>
            </w:tcBorders>
            <w:shd w:val="clear" w:color="auto" w:fill="E0E7ED"/>
          </w:tcPr>
          <w:p>
            <w:pPr>
              <w:spacing w:after="0"/>
              <w:rPr>
                <w:sz w:val="14"/>
                <w:szCs w:val="14"/>
                <w:color w:val="auto"/>
              </w:rPr>
            </w:pP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1,402,884</w:t>
            </w:r>
          </w:p>
        </w:tc>
        <w:tc>
          <w:tcPr>
            <w:tcW w:w="100" w:type="dxa"/>
            <w:vAlign w:val="bottom"/>
            <w:shd w:val="clear" w:color="auto" w:fill="E0E7ED"/>
          </w:tcPr>
          <w:p>
            <w:pPr>
              <w:spacing w:after="0"/>
              <w:rPr>
                <w:sz w:val="14"/>
                <w:szCs w:val="14"/>
                <w:color w:val="auto"/>
              </w:rPr>
            </w:pPr>
          </w:p>
        </w:tc>
        <w:tc>
          <w:tcPr>
            <w:tcW w:w="200" w:type="dxa"/>
            <w:vAlign w:val="bottom"/>
            <w:tcBorders>
              <w:bottom w:val="single" w:sz="8" w:color="auto"/>
            </w:tcBorders>
            <w:shd w:val="clear" w:color="auto" w:fill="E0E7ED"/>
          </w:tcPr>
          <w:p>
            <w:pPr>
              <w:spacing w:after="0"/>
              <w:rPr>
                <w:sz w:val="14"/>
                <w:szCs w:val="14"/>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1,271,981</w:t>
            </w:r>
          </w:p>
        </w:tc>
      </w:tr>
      <w:tr>
        <w:trPr>
          <w:trHeight w:val="174"/>
        </w:trPr>
        <w:tc>
          <w:tcPr>
            <w:tcW w:w="8140" w:type="dxa"/>
            <w:vAlign w:val="bottom"/>
            <w:gridSpan w:val="5"/>
          </w:tcPr>
          <w:p>
            <w:pPr>
              <w:ind w:left="20"/>
              <w:spacing w:after="0"/>
              <w:rPr>
                <w:sz w:val="20"/>
                <w:szCs w:val="20"/>
                <w:color w:val="auto"/>
              </w:rPr>
            </w:pPr>
            <w:r>
              <w:rPr>
                <w:rFonts w:ascii="Verdana" w:cs="Verdana" w:eastAsia="Verdana" w:hAnsi="Verdana"/>
                <w:sz w:val="13"/>
                <w:szCs w:val="13"/>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w w:val="95"/>
              </w:rPr>
              <w:t>$</w:t>
            </w: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11,986,839</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37"/>
              <w:spacing w:after="0"/>
              <w:rPr>
                <w:sz w:val="20"/>
                <w:szCs w:val="20"/>
                <w:color w:val="auto"/>
              </w:rPr>
            </w:pPr>
            <w:r>
              <w:rPr>
                <w:rFonts w:ascii="Verdana" w:cs="Verdana" w:eastAsia="Verdana" w:hAnsi="Verdana"/>
                <w:sz w:val="13"/>
                <w:szCs w:val="13"/>
                <w:color w:val="auto"/>
                <w:w w:val="95"/>
              </w:rPr>
              <w:t>$</w:t>
            </w: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12,283,415</w:t>
            </w:r>
          </w:p>
        </w:tc>
      </w:tr>
      <w:tr>
        <w:trPr>
          <w:trHeight w:val="20"/>
        </w:trPr>
        <w:tc>
          <w:tcPr>
            <w:tcW w:w="422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E0E7ED"/>
            </w:tcBorders>
          </w:tcPr>
          <w:p>
            <w:pPr>
              <w:spacing w:after="0" w:line="20" w:lineRule="exact"/>
              <w:rPr>
                <w:sz w:val="1"/>
                <w:szCs w:val="1"/>
                <w:color w:val="auto"/>
              </w:rPr>
            </w:pPr>
          </w:p>
        </w:tc>
        <w:tc>
          <w:tcPr>
            <w:tcW w:w="160" w:type="dxa"/>
            <w:vAlign w:val="bottom"/>
            <w:tcBorders>
              <w:bottom w:val="single" w:sz="8" w:color="E0E7ED"/>
            </w:tcBorders>
          </w:tcPr>
          <w:p>
            <w:pPr>
              <w:spacing w:after="0" w:line="20" w:lineRule="exact"/>
              <w:rPr>
                <w:sz w:val="1"/>
                <w:szCs w:val="1"/>
                <w:color w:val="auto"/>
              </w:rPr>
            </w:pPr>
          </w:p>
        </w:tc>
        <w:tc>
          <w:tcPr>
            <w:tcW w:w="3360" w:type="dxa"/>
            <w:vAlign w:val="bottom"/>
            <w:tcBorders>
              <w:bottom w:val="single" w:sz="8" w:color="E0E7ED"/>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0"/>
        </w:trPr>
        <w:tc>
          <w:tcPr>
            <w:tcW w:w="422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320" w:type="dxa"/>
            <w:vAlign w:val="bottom"/>
            <w:shd w:val="clear" w:color="auto" w:fill="E0E7ED"/>
          </w:tcPr>
          <w:p>
            <w:pPr>
              <w:spacing w:after="0"/>
              <w:rPr>
                <w:sz w:val="14"/>
                <w:szCs w:val="14"/>
                <w:color w:val="auto"/>
              </w:rPr>
            </w:pPr>
          </w:p>
        </w:tc>
        <w:tc>
          <w:tcPr>
            <w:tcW w:w="160" w:type="dxa"/>
            <w:vAlign w:val="bottom"/>
            <w:shd w:val="clear" w:color="auto" w:fill="E0E7ED"/>
          </w:tcPr>
          <w:p>
            <w:pPr>
              <w:spacing w:after="0"/>
              <w:rPr>
                <w:sz w:val="14"/>
                <w:szCs w:val="14"/>
                <w:color w:val="auto"/>
              </w:rPr>
            </w:pPr>
          </w:p>
        </w:tc>
        <w:tc>
          <w:tcPr>
            <w:tcW w:w="3360" w:type="dxa"/>
            <w:vAlign w:val="bottom"/>
            <w:shd w:val="clear" w:color="auto" w:fill="E0E7ED"/>
          </w:tcPr>
          <w:p>
            <w:pPr>
              <w:spacing w:after="0"/>
              <w:rPr>
                <w:sz w:val="14"/>
                <w:szCs w:val="14"/>
                <w:color w:val="auto"/>
              </w:rPr>
            </w:pPr>
          </w:p>
        </w:tc>
        <w:tc>
          <w:tcPr>
            <w:tcW w:w="160" w:type="dxa"/>
            <w:vAlign w:val="bottom"/>
            <w:shd w:val="clear" w:color="auto" w:fill="E0E7ED"/>
          </w:tcPr>
          <w:p>
            <w:pPr>
              <w:spacing w:after="0"/>
              <w:rPr>
                <w:sz w:val="14"/>
                <w:szCs w:val="14"/>
                <w:color w:val="auto"/>
              </w:rPr>
            </w:pPr>
          </w:p>
        </w:tc>
        <w:tc>
          <w:tcPr>
            <w:tcW w:w="132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200" w:type="dxa"/>
            <w:vAlign w:val="bottom"/>
            <w:shd w:val="clear" w:color="auto" w:fill="E0E7ED"/>
          </w:tcPr>
          <w:p>
            <w:pPr>
              <w:spacing w:after="0"/>
              <w:rPr>
                <w:sz w:val="14"/>
                <w:szCs w:val="14"/>
                <w:color w:val="auto"/>
              </w:rPr>
            </w:pPr>
          </w:p>
        </w:tc>
        <w:tc>
          <w:tcPr>
            <w:tcW w:w="1280" w:type="dxa"/>
            <w:vAlign w:val="bottom"/>
            <w:shd w:val="clear" w:color="auto" w:fill="E0E7ED"/>
          </w:tcPr>
          <w:p>
            <w:pPr>
              <w:spacing w:after="0"/>
              <w:rPr>
                <w:sz w:val="14"/>
                <w:szCs w:val="14"/>
                <w:color w:val="auto"/>
              </w:rPr>
            </w:pPr>
          </w:p>
        </w:tc>
      </w:tr>
      <w:tr>
        <w:trPr>
          <w:trHeight w:val="170"/>
        </w:trPr>
        <w:tc>
          <w:tcPr>
            <w:tcW w:w="8140" w:type="dxa"/>
            <w:vAlign w:val="bottom"/>
            <w:gridSpan w:val="5"/>
          </w:tcPr>
          <w:p>
            <w:pPr>
              <w:ind w:left="20"/>
              <w:spacing w:after="0"/>
              <w:rPr>
                <w:sz w:val="20"/>
                <w:szCs w:val="20"/>
                <w:color w:val="auto"/>
              </w:rPr>
            </w:pPr>
            <w:r>
              <w:rPr>
                <w:rFonts w:ascii="Verdana" w:cs="Verdana" w:eastAsia="Verdana" w:hAnsi="Verdana"/>
                <w:sz w:val="13"/>
                <w:szCs w:val="13"/>
                <w:b w:val="1"/>
                <w:bCs w:val="1"/>
                <w:color w:val="auto"/>
              </w:rPr>
              <w:t>Shares</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1"/>
        </w:trPr>
        <w:tc>
          <w:tcPr>
            <w:tcW w:w="8140" w:type="dxa"/>
            <w:vAlign w:val="bottom"/>
            <w:gridSpan w:val="5"/>
            <w:shd w:val="clear" w:color="auto" w:fill="E0E7ED"/>
          </w:tcPr>
          <w:p>
            <w:pPr>
              <w:ind w:left="180"/>
              <w:spacing w:after="0"/>
              <w:rPr>
                <w:sz w:val="20"/>
                <w:szCs w:val="20"/>
                <w:color w:val="auto"/>
              </w:rPr>
            </w:pPr>
            <w:r>
              <w:rPr>
                <w:rFonts w:ascii="Verdana" w:cs="Verdana" w:eastAsia="Verdana" w:hAnsi="Verdana"/>
                <w:sz w:val="13"/>
                <w:szCs w:val="13"/>
                <w:color w:val="auto"/>
              </w:rPr>
              <w:t>Common shares issued</w:t>
            </w:r>
          </w:p>
        </w:tc>
        <w:tc>
          <w:tcPr>
            <w:tcW w:w="160" w:type="dxa"/>
            <w:vAlign w:val="bottom"/>
            <w:shd w:val="clear" w:color="auto" w:fill="E0E7ED"/>
          </w:tcPr>
          <w:p>
            <w:pPr>
              <w:spacing w:after="0"/>
              <w:rPr>
                <w:sz w:val="15"/>
                <w:szCs w:val="15"/>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59,546,273</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58,116,969</w:t>
            </w:r>
          </w:p>
        </w:tc>
      </w:tr>
      <w:tr>
        <w:trPr>
          <w:trHeight w:val="170"/>
        </w:trPr>
        <w:tc>
          <w:tcPr>
            <w:tcW w:w="8140" w:type="dxa"/>
            <w:vAlign w:val="bottom"/>
            <w:tcBorders>
              <w:bottom w:val="single" w:sz="8" w:color="E0E7ED"/>
            </w:tcBorders>
            <w:gridSpan w:val="5"/>
          </w:tcPr>
          <w:p>
            <w:pPr>
              <w:ind w:left="180"/>
              <w:spacing w:after="0"/>
              <w:rPr>
                <w:sz w:val="20"/>
                <w:szCs w:val="20"/>
                <w:color w:val="auto"/>
              </w:rPr>
            </w:pPr>
            <w:r>
              <w:rPr>
                <w:rFonts w:ascii="Verdana" w:cs="Verdana" w:eastAsia="Verdana" w:hAnsi="Verdana"/>
                <w:sz w:val="13"/>
                <w:szCs w:val="13"/>
                <w:color w:val="auto"/>
              </w:rPr>
              <w:t>Less: Treasury shares</w:t>
            </w: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(2,674,032)</w:t>
            </w:r>
          </w:p>
        </w:tc>
        <w:tc>
          <w:tcPr>
            <w:tcW w:w="10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(2,872,850)</w:t>
            </w:r>
          </w:p>
        </w:tc>
      </w:tr>
      <w:tr>
        <w:trPr>
          <w:trHeight w:val="199"/>
        </w:trPr>
        <w:tc>
          <w:tcPr>
            <w:tcW w:w="8140" w:type="dxa"/>
            <w:vAlign w:val="bottom"/>
            <w:tcBorders>
              <w:bottom w:val="single" w:sz="8" w:color="E0E7ED"/>
            </w:tcBorders>
            <w:gridSpan w:val="5"/>
            <w:shd w:val="clear" w:color="auto" w:fill="E0E7ED"/>
          </w:tcPr>
          <w:p>
            <w:pPr>
              <w:ind w:left="180"/>
              <w:spacing w:after="0"/>
              <w:rPr>
                <w:sz w:val="20"/>
                <w:szCs w:val="20"/>
                <w:color w:val="auto"/>
              </w:rPr>
            </w:pPr>
            <w:r>
              <w:rPr>
                <w:rFonts w:ascii="Verdana" w:cs="Verdana" w:eastAsia="Verdana" w:hAnsi="Verdana"/>
                <w:sz w:val="13"/>
                <w:szCs w:val="13"/>
                <w:color w:val="auto"/>
              </w:rPr>
              <w:t>Common shares outstanding</w:t>
            </w:r>
          </w:p>
        </w:tc>
        <w:tc>
          <w:tcPr>
            <w:tcW w:w="160" w:type="dxa"/>
            <w:vAlign w:val="bottom"/>
            <w:tcBorders>
              <w:bottom w:val="single" w:sz="8" w:color="auto"/>
            </w:tcBorders>
            <w:shd w:val="clear" w:color="auto" w:fill="E0E7ED"/>
          </w:tcPr>
          <w:p>
            <w:pPr>
              <w:spacing w:after="0"/>
              <w:rPr>
                <w:sz w:val="16"/>
                <w:szCs w:val="16"/>
                <w:color w:val="auto"/>
              </w:rPr>
            </w:pP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56,872,241</w:t>
            </w:r>
          </w:p>
        </w:tc>
        <w:tc>
          <w:tcPr>
            <w:tcW w:w="100" w:type="dxa"/>
            <w:vAlign w:val="bottom"/>
            <w:tcBorders>
              <w:bottom w:val="single" w:sz="8" w:color="E0E7ED"/>
            </w:tcBorders>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spacing w:after="0"/>
              <w:rPr>
                <w:sz w:val="16"/>
                <w:szCs w:val="16"/>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55,244,119</w:t>
            </w:r>
          </w:p>
        </w:tc>
      </w:tr>
      <w:tr>
        <w:trPr>
          <w:trHeight w:val="20"/>
        </w:trPr>
        <w:tc>
          <w:tcPr>
            <w:tcW w:w="422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tcBorders>
          </w:tcPr>
          <w:p>
            <w:pPr>
              <w:spacing w:after="0" w:line="20" w:lineRule="exact"/>
              <w:rPr>
                <w:sz w:val="1"/>
                <w:szCs w:val="1"/>
                <w:color w:val="auto"/>
              </w:rPr>
            </w:pPr>
          </w:p>
        </w:tc>
        <w:tc>
          <w:tcPr>
            <w:tcW w:w="336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13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 xml:space="preserve">See accompanying </w:t>
      </w:r>
      <w:r>
        <w:rPr>
          <w:rFonts w:ascii="Verdana" w:cs="Verdana" w:eastAsia="Verdana" w:hAnsi="Verdana"/>
          <w:sz w:val="18"/>
          <w:szCs w:val="18"/>
          <w:u w:val="single" w:color="auto"/>
          <w:color w:val="0000FF"/>
        </w:rPr>
        <w:t>Notes to Consolidated Financial Statements (Unaudited)</w:t>
      </w:r>
      <w:r>
        <w:rPr>
          <w:rFonts w:ascii="Verdana" w:cs="Verdana" w:eastAsia="Verdana" w:hAnsi="Verdana"/>
          <w:sz w:val="18"/>
          <w:szCs w:val="18"/>
          <w:color w:val="auto"/>
        </w:rPr>
        <w:t>.</w:t>
      </w: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6" w:name="page7"/>
    <w:bookmarkEnd w:id="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18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line="236" w:lineRule="auto"/>
        <w:rPr>
          <w:sz w:val="20"/>
          <w:szCs w:val="20"/>
          <w:color w:val="auto"/>
        </w:rPr>
      </w:pPr>
      <w:r>
        <w:rPr>
          <w:rFonts w:ascii="Verdana" w:cs="Verdana" w:eastAsia="Verdana" w:hAnsi="Verdana"/>
          <w:sz w:val="18"/>
          <w:szCs w:val="18"/>
          <w:b w:val="1"/>
          <w:bCs w:val="1"/>
          <w:color w:val="auto"/>
        </w:rPr>
        <w:t>CONSOLIDATED STATEMENTS OF INCOME (Unaudited)</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 except per share amounts)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60" w:type="dxa"/>
            <w:vAlign w:val="bottom"/>
            <w:gridSpan w:val="5"/>
          </w:tcPr>
          <w:p>
            <w:pPr>
              <w:ind w:left="80"/>
              <w:spacing w:after="0"/>
              <w:rPr>
                <w:sz w:val="20"/>
                <w:szCs w:val="20"/>
                <w:color w:val="auto"/>
              </w:rPr>
            </w:pPr>
            <w:r>
              <w:rPr>
                <w:rFonts w:ascii="Verdana" w:cs="Verdana" w:eastAsia="Verdana" w:hAnsi="Verdana"/>
                <w:sz w:val="13"/>
                <w:szCs w:val="13"/>
                <w:b w:val="1"/>
                <w:bCs w:val="1"/>
                <w:color w:val="auto"/>
              </w:rPr>
              <w:t>Three Months Ended September 30,</w:t>
            </w:r>
          </w:p>
        </w:tc>
        <w:tc>
          <w:tcPr>
            <w:tcW w:w="220" w:type="dxa"/>
            <w:vAlign w:val="bottom"/>
          </w:tcPr>
          <w:p>
            <w:pPr>
              <w:spacing w:after="0"/>
              <w:rPr>
                <w:sz w:val="15"/>
                <w:szCs w:val="15"/>
                <w:color w:val="auto"/>
              </w:rPr>
            </w:pPr>
          </w:p>
        </w:tc>
        <w:tc>
          <w:tcPr>
            <w:tcW w:w="2840" w:type="dxa"/>
            <w:vAlign w:val="bottom"/>
            <w:gridSpan w:val="4"/>
          </w:tcPr>
          <w:p>
            <w:pPr>
              <w:jc w:val="right"/>
              <w:ind w:right="237"/>
              <w:spacing w:after="0"/>
              <w:rPr>
                <w:sz w:val="20"/>
                <w:szCs w:val="20"/>
                <w:color w:val="auto"/>
              </w:rPr>
            </w:pPr>
            <w:r>
              <w:rPr>
                <w:rFonts w:ascii="Verdana" w:cs="Verdana" w:eastAsia="Verdana" w:hAnsi="Verdana"/>
                <w:sz w:val="13"/>
                <w:szCs w:val="13"/>
                <w:b w:val="1"/>
                <w:bCs w:val="1"/>
                <w:color w:val="auto"/>
                <w:w w:val="99"/>
              </w:rPr>
              <w:t>Nine Months Ended September 30,</w:t>
            </w:r>
          </w:p>
        </w:tc>
        <w:tc>
          <w:tcPr>
            <w:tcW w:w="0" w:type="dxa"/>
            <w:vAlign w:val="bottom"/>
          </w:tcPr>
          <w:p>
            <w:pPr>
              <w:spacing w:after="0"/>
              <w:rPr>
                <w:sz w:val="1"/>
                <w:szCs w:val="1"/>
                <w:color w:val="auto"/>
              </w:rPr>
            </w:pPr>
          </w:p>
        </w:tc>
      </w:tr>
      <w:tr>
        <w:trPr>
          <w:trHeight w:val="170"/>
        </w:trPr>
        <w:tc>
          <w:tcPr>
            <w:tcW w:w="5040" w:type="dxa"/>
            <w:vAlign w:val="bottom"/>
            <w:tcBorders>
              <w:bottom w:val="single" w:sz="8" w:color="E0E7ED"/>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top w:val="single" w:sz="8" w:color="auto"/>
              <w:bottom w:val="single" w:sz="8" w:color="E0E7ED"/>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2023</w:t>
            </w:r>
          </w:p>
        </w:tc>
        <w:tc>
          <w:tcPr>
            <w:tcW w:w="0" w:type="dxa"/>
            <w:vAlign w:val="bottom"/>
          </w:tcPr>
          <w:p>
            <w:pPr>
              <w:spacing w:after="0"/>
              <w:rPr>
                <w:sz w:val="1"/>
                <w:szCs w:val="1"/>
                <w:color w:val="auto"/>
              </w:rPr>
            </w:pPr>
          </w:p>
        </w:tc>
      </w:tr>
      <w:tr>
        <w:trPr>
          <w:trHeight w:val="161"/>
        </w:trPr>
        <w:tc>
          <w:tcPr>
            <w:tcW w:w="5040" w:type="dxa"/>
            <w:vAlign w:val="bottom"/>
            <w:shd w:val="clear" w:color="auto" w:fill="E0E7ED"/>
          </w:tcPr>
          <w:p>
            <w:pPr>
              <w:ind w:left="20"/>
              <w:spacing w:after="0" w:line="150" w:lineRule="exact"/>
              <w:rPr>
                <w:sz w:val="20"/>
                <w:szCs w:val="20"/>
                <w:color w:val="auto"/>
              </w:rPr>
            </w:pPr>
            <w:r>
              <w:rPr>
                <w:rFonts w:ascii="Verdana" w:cs="Verdana" w:eastAsia="Verdana" w:hAnsi="Verdana"/>
                <w:sz w:val="13"/>
                <w:szCs w:val="13"/>
                <w:b w:val="1"/>
                <w:bCs w:val="1"/>
                <w:color w:val="auto"/>
              </w:rPr>
              <w:t>Interest income</w:t>
            </w:r>
          </w:p>
        </w:tc>
        <w:tc>
          <w:tcPr>
            <w:tcW w:w="180" w:type="dxa"/>
            <w:vAlign w:val="bottom"/>
            <w:shd w:val="clear" w:color="auto" w:fill="E0E7ED"/>
          </w:tcPr>
          <w:p>
            <w:pPr>
              <w:spacing w:after="0"/>
              <w:rPr>
                <w:sz w:val="13"/>
                <w:szCs w:val="13"/>
                <w:color w:val="auto"/>
              </w:rPr>
            </w:pPr>
          </w:p>
        </w:tc>
        <w:tc>
          <w:tcPr>
            <w:tcW w:w="130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34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220" w:type="dxa"/>
            <w:vAlign w:val="bottom"/>
            <w:shd w:val="clear" w:color="auto" w:fill="E0E7ED"/>
          </w:tcPr>
          <w:p>
            <w:pPr>
              <w:spacing w:after="0"/>
              <w:rPr>
                <w:sz w:val="13"/>
                <w:szCs w:val="13"/>
                <w:color w:val="auto"/>
              </w:rPr>
            </w:pPr>
          </w:p>
        </w:tc>
        <w:tc>
          <w:tcPr>
            <w:tcW w:w="126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32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040" w:type="dxa"/>
            <w:vAlign w:val="bottom"/>
          </w:tcPr>
          <w:p>
            <w:pPr>
              <w:ind w:left="180"/>
              <w:spacing w:after="0"/>
              <w:rPr>
                <w:sz w:val="20"/>
                <w:szCs w:val="20"/>
                <w:color w:val="auto"/>
              </w:rPr>
            </w:pPr>
            <w:r>
              <w:rPr>
                <w:rFonts w:ascii="Verdana" w:cs="Verdana" w:eastAsia="Verdana" w:hAnsi="Verdana"/>
                <w:sz w:val="13"/>
                <w:szCs w:val="13"/>
                <w:color w:val="auto"/>
              </w:rPr>
              <w:t>Interest and fees on loans</w:t>
            </w:r>
          </w:p>
        </w:tc>
        <w:tc>
          <w:tcPr>
            <w:tcW w:w="180" w:type="dxa"/>
            <w:vAlign w:val="bottom"/>
          </w:tcPr>
          <w:p>
            <w:pPr>
              <w:jc w:val="right"/>
              <w:ind w:right="17"/>
              <w:spacing w:after="0"/>
              <w:rPr>
                <w:sz w:val="20"/>
                <w:szCs w:val="20"/>
                <w:color w:val="auto"/>
              </w:rPr>
            </w:pPr>
            <w:r>
              <w:rPr>
                <w:rFonts w:ascii="Verdana" w:cs="Verdana" w:eastAsia="Verdana" w:hAnsi="Verdana"/>
                <w:sz w:val="13"/>
                <w:szCs w:val="13"/>
                <w:color w:val="auto"/>
                <w:w w:val="95"/>
              </w:rPr>
              <w:t>$</w:t>
            </w:r>
          </w:p>
        </w:tc>
        <w:tc>
          <w:tcPr>
            <w:tcW w:w="1300" w:type="dxa"/>
            <w:vAlign w:val="bottom"/>
          </w:tcPr>
          <w:p>
            <w:pPr>
              <w:jc w:val="right"/>
              <w:ind w:right="17"/>
              <w:spacing w:after="0"/>
              <w:rPr>
                <w:sz w:val="20"/>
                <w:szCs w:val="20"/>
                <w:color w:val="auto"/>
              </w:rPr>
            </w:pPr>
            <w:r>
              <w:rPr>
                <w:rFonts w:ascii="Verdana" w:cs="Verdana" w:eastAsia="Verdana" w:hAnsi="Verdana"/>
                <w:sz w:val="13"/>
                <w:szCs w:val="13"/>
                <w:color w:val="auto"/>
              </w:rPr>
              <w:t>111,336</w:t>
            </w:r>
          </w:p>
        </w:tc>
        <w:tc>
          <w:tcPr>
            <w:tcW w:w="80" w:type="dxa"/>
            <w:vAlign w:val="bottom"/>
          </w:tcPr>
          <w:p>
            <w:pPr>
              <w:spacing w:after="0"/>
              <w:rPr>
                <w:sz w:val="14"/>
                <w:szCs w:val="14"/>
                <w:color w:val="auto"/>
              </w:rPr>
            </w:pPr>
          </w:p>
        </w:tc>
        <w:tc>
          <w:tcPr>
            <w:tcW w:w="340" w:type="dxa"/>
            <w:vAlign w:val="bottom"/>
          </w:tcPr>
          <w:p>
            <w:pPr>
              <w:jc w:val="right"/>
              <w:ind w:right="177"/>
              <w:spacing w:after="0"/>
              <w:rPr>
                <w:sz w:val="20"/>
                <w:szCs w:val="20"/>
                <w:color w:val="auto"/>
              </w:rPr>
            </w:pPr>
            <w:r>
              <w:rPr>
                <w:rFonts w:ascii="Verdana" w:cs="Verdana" w:eastAsia="Verdana" w:hAnsi="Verdana"/>
                <w:sz w:val="13"/>
                <w:szCs w:val="13"/>
                <w:color w:val="auto"/>
                <w:w w:val="95"/>
              </w:rPr>
              <w:t>$</w:t>
            </w: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99,844</w:t>
            </w:r>
          </w:p>
        </w:tc>
        <w:tc>
          <w:tcPr>
            <w:tcW w:w="80" w:type="dxa"/>
            <w:vAlign w:val="bottom"/>
          </w:tcPr>
          <w:p>
            <w:pPr>
              <w:spacing w:after="0"/>
              <w:rPr>
                <w:sz w:val="14"/>
                <w:szCs w:val="14"/>
                <w:color w:val="auto"/>
              </w:rPr>
            </w:pPr>
          </w:p>
        </w:tc>
        <w:tc>
          <w:tcPr>
            <w:tcW w:w="220" w:type="dxa"/>
            <w:vAlign w:val="bottom"/>
          </w:tcPr>
          <w:p>
            <w:pPr>
              <w:jc w:val="right"/>
              <w:ind w:right="57"/>
              <w:spacing w:after="0"/>
              <w:rPr>
                <w:sz w:val="20"/>
                <w:szCs w:val="20"/>
                <w:color w:val="auto"/>
              </w:rPr>
            </w:pPr>
            <w:r>
              <w:rPr>
                <w:rFonts w:ascii="Verdana" w:cs="Verdana" w:eastAsia="Verdana" w:hAnsi="Verdana"/>
                <w:sz w:val="13"/>
                <w:szCs w:val="13"/>
                <w:color w:val="auto"/>
                <w:w w:val="95"/>
              </w:rPr>
              <w:t>$</w:t>
            </w:r>
          </w:p>
        </w:tc>
        <w:tc>
          <w:tcPr>
            <w:tcW w:w="1260" w:type="dxa"/>
            <w:vAlign w:val="bottom"/>
          </w:tcPr>
          <w:p>
            <w:pPr>
              <w:jc w:val="right"/>
              <w:ind w:right="17"/>
              <w:spacing w:after="0"/>
              <w:rPr>
                <w:sz w:val="20"/>
                <w:szCs w:val="20"/>
                <w:color w:val="auto"/>
              </w:rPr>
            </w:pPr>
            <w:r>
              <w:rPr>
                <w:rFonts w:ascii="Verdana" w:cs="Verdana" w:eastAsia="Verdana" w:hAnsi="Verdana"/>
                <w:sz w:val="13"/>
                <w:szCs w:val="13"/>
                <w:color w:val="auto"/>
              </w:rPr>
              <w:t>320,302</w:t>
            </w:r>
          </w:p>
        </w:tc>
        <w:tc>
          <w:tcPr>
            <w:tcW w:w="100" w:type="dxa"/>
            <w:vAlign w:val="bottom"/>
          </w:tcPr>
          <w:p>
            <w:pPr>
              <w:spacing w:after="0"/>
              <w:rPr>
                <w:sz w:val="14"/>
                <w:szCs w:val="14"/>
                <w:color w:val="auto"/>
              </w:rPr>
            </w:pPr>
          </w:p>
        </w:tc>
        <w:tc>
          <w:tcPr>
            <w:tcW w:w="320" w:type="dxa"/>
            <w:vAlign w:val="bottom"/>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284,423</w:t>
            </w:r>
          </w:p>
        </w:tc>
        <w:tc>
          <w:tcPr>
            <w:tcW w:w="0" w:type="dxa"/>
            <w:vAlign w:val="bottom"/>
          </w:tcPr>
          <w:p>
            <w:pPr>
              <w:spacing w:after="0"/>
              <w:rPr>
                <w:sz w:val="1"/>
                <w:szCs w:val="1"/>
                <w:color w:val="auto"/>
              </w:rPr>
            </w:pPr>
          </w:p>
        </w:tc>
      </w:tr>
      <w:tr>
        <w:trPr>
          <w:trHeight w:val="181"/>
        </w:trPr>
        <w:tc>
          <w:tcPr>
            <w:tcW w:w="504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Interest and dividends on investment securities:</w:t>
            </w:r>
          </w:p>
        </w:tc>
        <w:tc>
          <w:tcPr>
            <w:tcW w:w="180" w:type="dxa"/>
            <w:vAlign w:val="bottom"/>
            <w:shd w:val="clear" w:color="auto" w:fill="E0E7ED"/>
          </w:tcPr>
          <w:p>
            <w:pPr>
              <w:spacing w:after="0"/>
              <w:rPr>
                <w:sz w:val="15"/>
                <w:szCs w:val="15"/>
                <w:color w:val="auto"/>
              </w:rPr>
            </w:pPr>
          </w:p>
        </w:tc>
        <w:tc>
          <w:tcPr>
            <w:tcW w:w="13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126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040" w:type="dxa"/>
            <w:vAlign w:val="bottom"/>
          </w:tcPr>
          <w:p>
            <w:pPr>
              <w:ind w:left="360"/>
              <w:spacing w:after="0"/>
              <w:rPr>
                <w:sz w:val="20"/>
                <w:szCs w:val="20"/>
                <w:color w:val="auto"/>
              </w:rPr>
            </w:pPr>
            <w:r>
              <w:rPr>
                <w:rFonts w:ascii="Verdana" w:cs="Verdana" w:eastAsia="Verdana" w:hAnsi="Verdana"/>
                <w:sz w:val="13"/>
                <w:szCs w:val="13"/>
                <w:color w:val="auto"/>
              </w:rPr>
              <w:t>Taxable interest income</w:t>
            </w:r>
          </w:p>
        </w:tc>
        <w:tc>
          <w:tcPr>
            <w:tcW w:w="180" w:type="dxa"/>
            <w:vAlign w:val="bottom"/>
          </w:tcPr>
          <w:p>
            <w:pPr>
              <w:spacing w:after="0"/>
              <w:rPr>
                <w:sz w:val="14"/>
                <w:szCs w:val="14"/>
                <w:color w:val="auto"/>
              </w:rPr>
            </w:pPr>
          </w:p>
        </w:tc>
        <w:tc>
          <w:tcPr>
            <w:tcW w:w="1300" w:type="dxa"/>
            <w:vAlign w:val="bottom"/>
          </w:tcPr>
          <w:p>
            <w:pPr>
              <w:jc w:val="right"/>
              <w:ind w:right="17"/>
              <w:spacing w:after="0"/>
              <w:rPr>
                <w:sz w:val="20"/>
                <w:szCs w:val="20"/>
                <w:color w:val="auto"/>
              </w:rPr>
            </w:pPr>
            <w:r>
              <w:rPr>
                <w:rFonts w:ascii="Verdana" w:cs="Verdana" w:eastAsia="Verdana" w:hAnsi="Verdana"/>
                <w:sz w:val="13"/>
                <w:szCs w:val="13"/>
                <w:color w:val="auto"/>
              </w:rPr>
              <w:t>17,789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20,549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17"/>
              <w:spacing w:after="0"/>
              <w:rPr>
                <w:sz w:val="20"/>
                <w:szCs w:val="20"/>
                <w:color w:val="auto"/>
              </w:rPr>
            </w:pPr>
            <w:r>
              <w:rPr>
                <w:rFonts w:ascii="Verdana" w:cs="Verdana" w:eastAsia="Verdana" w:hAnsi="Verdana"/>
                <w:sz w:val="13"/>
                <w:szCs w:val="13"/>
                <w:color w:val="auto"/>
              </w:rPr>
              <w:t>56,264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60,224</w:t>
            </w:r>
          </w:p>
        </w:tc>
        <w:tc>
          <w:tcPr>
            <w:tcW w:w="0" w:type="dxa"/>
            <w:vAlign w:val="bottom"/>
          </w:tcPr>
          <w:p>
            <w:pPr>
              <w:spacing w:after="0"/>
              <w:rPr>
                <w:sz w:val="1"/>
                <w:szCs w:val="1"/>
                <w:color w:val="auto"/>
              </w:rPr>
            </w:pPr>
          </w:p>
        </w:tc>
      </w:tr>
      <w:tr>
        <w:trPr>
          <w:trHeight w:val="181"/>
        </w:trPr>
        <w:tc>
          <w:tcPr>
            <w:tcW w:w="5040" w:type="dxa"/>
            <w:vAlign w:val="bottom"/>
            <w:shd w:val="clear" w:color="auto" w:fill="E0E7ED"/>
          </w:tcPr>
          <w:p>
            <w:pPr>
              <w:ind w:left="360"/>
              <w:spacing w:after="0"/>
              <w:rPr>
                <w:sz w:val="20"/>
                <w:szCs w:val="20"/>
                <w:color w:val="auto"/>
              </w:rPr>
            </w:pPr>
            <w:r>
              <w:rPr>
                <w:rFonts w:ascii="Verdana" w:cs="Verdana" w:eastAsia="Verdana" w:hAnsi="Verdana"/>
                <w:sz w:val="13"/>
                <w:szCs w:val="13"/>
                <w:color w:val="auto"/>
              </w:rPr>
              <w:t>Non-taxable interest income</w:t>
            </w:r>
          </w:p>
        </w:tc>
        <w:tc>
          <w:tcPr>
            <w:tcW w:w="180" w:type="dxa"/>
            <w:vAlign w:val="bottom"/>
            <w:shd w:val="clear" w:color="auto" w:fill="E0E7ED"/>
          </w:tcPr>
          <w:p>
            <w:pPr>
              <w:spacing w:after="0"/>
              <w:rPr>
                <w:sz w:val="15"/>
                <w:szCs w:val="15"/>
                <w:color w:val="auto"/>
              </w:rPr>
            </w:pPr>
          </w:p>
        </w:tc>
        <w:tc>
          <w:tcPr>
            <w:tcW w:w="13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283</w:t>
            </w: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685</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12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918</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2,136</w:t>
            </w:r>
          </w:p>
        </w:tc>
        <w:tc>
          <w:tcPr>
            <w:tcW w:w="0" w:type="dxa"/>
            <w:vAlign w:val="bottom"/>
          </w:tcPr>
          <w:p>
            <w:pPr>
              <w:spacing w:after="0"/>
              <w:rPr>
                <w:sz w:val="1"/>
                <w:szCs w:val="1"/>
                <w:color w:val="auto"/>
              </w:rPr>
            </w:pPr>
          </w:p>
        </w:tc>
      </w:tr>
      <w:tr>
        <w:trPr>
          <w:trHeight w:val="170"/>
        </w:trPr>
        <w:tc>
          <w:tcPr>
            <w:tcW w:w="5040" w:type="dxa"/>
            <w:vAlign w:val="bottom"/>
            <w:tcBorders>
              <w:bottom w:val="single" w:sz="8" w:color="E0E7ED"/>
            </w:tcBorders>
          </w:tcPr>
          <w:p>
            <w:pPr>
              <w:ind w:left="180"/>
              <w:spacing w:after="0"/>
              <w:rPr>
                <w:sz w:val="20"/>
                <w:szCs w:val="20"/>
                <w:color w:val="auto"/>
              </w:rPr>
            </w:pPr>
            <w:r>
              <w:rPr>
                <w:rFonts w:ascii="Verdana" w:cs="Verdana" w:eastAsia="Verdana" w:hAnsi="Verdana"/>
                <w:sz w:val="13"/>
                <w:szCs w:val="13"/>
                <w:color w:val="auto"/>
              </w:rPr>
              <w:t>Other interest income</w:t>
            </w: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5,092</w:t>
            </w:r>
          </w:p>
        </w:tc>
        <w:tc>
          <w:tcPr>
            <w:tcW w:w="8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1,591</w:t>
            </w:r>
          </w:p>
        </w:tc>
        <w:tc>
          <w:tcPr>
            <w:tcW w:w="80" w:type="dxa"/>
            <w:vAlign w:val="bottom"/>
            <w:tcBorders>
              <w:bottom w:val="single" w:sz="8" w:color="E0E7ED"/>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14,590</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3,890</w:t>
            </w:r>
          </w:p>
        </w:tc>
        <w:tc>
          <w:tcPr>
            <w:tcW w:w="0" w:type="dxa"/>
            <w:vAlign w:val="bottom"/>
          </w:tcPr>
          <w:p>
            <w:pPr>
              <w:spacing w:after="0"/>
              <w:rPr>
                <w:sz w:val="1"/>
                <w:szCs w:val="1"/>
                <w:color w:val="auto"/>
              </w:rPr>
            </w:pPr>
          </w:p>
        </w:tc>
      </w:tr>
      <w:tr>
        <w:trPr>
          <w:trHeight w:val="169"/>
        </w:trPr>
        <w:tc>
          <w:tcPr>
            <w:tcW w:w="5040" w:type="dxa"/>
            <w:vAlign w:val="bottom"/>
            <w:shd w:val="clear" w:color="auto" w:fill="E0E7ED"/>
          </w:tcPr>
          <w:p>
            <w:pPr>
              <w:ind w:left="20"/>
              <w:spacing w:after="0"/>
              <w:rPr>
                <w:sz w:val="20"/>
                <w:szCs w:val="20"/>
                <w:color w:val="auto"/>
              </w:rPr>
            </w:pPr>
            <w:r>
              <w:rPr>
                <w:rFonts w:ascii="Verdana" w:cs="Verdana" w:eastAsia="Verdana" w:hAnsi="Verdana"/>
                <w:sz w:val="13"/>
                <w:szCs w:val="13"/>
                <w:color w:val="auto"/>
              </w:rPr>
              <w:t>Total interest income</w:t>
            </w:r>
          </w:p>
        </w:tc>
        <w:tc>
          <w:tcPr>
            <w:tcW w:w="180" w:type="dxa"/>
            <w:vAlign w:val="bottom"/>
            <w:tcBorders>
              <w:bottom w:val="single" w:sz="8" w:color="auto"/>
            </w:tcBorders>
            <w:shd w:val="clear" w:color="auto" w:fill="E0E7ED"/>
          </w:tcPr>
          <w:p>
            <w:pPr>
              <w:spacing w:after="0"/>
              <w:rPr>
                <w:sz w:val="14"/>
                <w:szCs w:val="14"/>
                <w:color w:val="auto"/>
              </w:rPr>
            </w:pPr>
          </w:p>
        </w:tc>
        <w:tc>
          <w:tcPr>
            <w:tcW w:w="130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134,500</w:t>
            </w:r>
          </w:p>
        </w:tc>
        <w:tc>
          <w:tcPr>
            <w:tcW w:w="80" w:type="dxa"/>
            <w:vAlign w:val="bottom"/>
            <w:shd w:val="clear" w:color="auto" w:fill="E0E7ED"/>
          </w:tcPr>
          <w:p>
            <w:pPr>
              <w:spacing w:after="0"/>
              <w:rPr>
                <w:sz w:val="14"/>
                <w:szCs w:val="14"/>
                <w:color w:val="auto"/>
              </w:rPr>
            </w:pPr>
          </w:p>
        </w:tc>
        <w:tc>
          <w:tcPr>
            <w:tcW w:w="340" w:type="dxa"/>
            <w:vAlign w:val="bottom"/>
            <w:tcBorders>
              <w:bottom w:val="single" w:sz="8" w:color="auto"/>
            </w:tcBorders>
            <w:shd w:val="clear" w:color="auto" w:fill="E0E7ED"/>
          </w:tcPr>
          <w:p>
            <w:pPr>
              <w:spacing w:after="0"/>
              <w:rPr>
                <w:sz w:val="14"/>
                <w:szCs w:val="14"/>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122,669</w:t>
            </w:r>
          </w:p>
        </w:tc>
        <w:tc>
          <w:tcPr>
            <w:tcW w:w="80" w:type="dxa"/>
            <w:vAlign w:val="bottom"/>
            <w:shd w:val="clear" w:color="auto" w:fill="E0E7ED"/>
          </w:tcPr>
          <w:p>
            <w:pPr>
              <w:spacing w:after="0"/>
              <w:rPr>
                <w:sz w:val="14"/>
                <w:szCs w:val="14"/>
                <w:color w:val="auto"/>
              </w:rPr>
            </w:pPr>
          </w:p>
        </w:tc>
        <w:tc>
          <w:tcPr>
            <w:tcW w:w="220" w:type="dxa"/>
            <w:vAlign w:val="bottom"/>
            <w:tcBorders>
              <w:bottom w:val="single" w:sz="8" w:color="auto"/>
            </w:tcBorders>
            <w:shd w:val="clear" w:color="auto" w:fill="E0E7ED"/>
          </w:tcPr>
          <w:p>
            <w:pPr>
              <w:spacing w:after="0"/>
              <w:rPr>
                <w:sz w:val="14"/>
                <w:szCs w:val="14"/>
                <w:color w:val="auto"/>
              </w:rPr>
            </w:pPr>
          </w:p>
        </w:tc>
        <w:tc>
          <w:tcPr>
            <w:tcW w:w="12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392,074</w:t>
            </w:r>
          </w:p>
        </w:tc>
        <w:tc>
          <w:tcPr>
            <w:tcW w:w="100" w:type="dxa"/>
            <w:vAlign w:val="bottom"/>
            <w:shd w:val="clear" w:color="auto" w:fill="E0E7ED"/>
          </w:tcPr>
          <w:p>
            <w:pPr>
              <w:spacing w:after="0"/>
              <w:rPr>
                <w:sz w:val="14"/>
                <w:szCs w:val="14"/>
                <w:color w:val="auto"/>
              </w:rPr>
            </w:pPr>
          </w:p>
        </w:tc>
        <w:tc>
          <w:tcPr>
            <w:tcW w:w="320" w:type="dxa"/>
            <w:vAlign w:val="bottom"/>
            <w:tcBorders>
              <w:bottom w:val="single" w:sz="8" w:color="auto"/>
            </w:tcBorders>
            <w:shd w:val="clear" w:color="auto" w:fill="E0E7ED"/>
          </w:tcPr>
          <w:p>
            <w:pPr>
              <w:spacing w:after="0"/>
              <w:rPr>
                <w:sz w:val="14"/>
                <w:szCs w:val="14"/>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350,673</w:t>
            </w:r>
          </w:p>
        </w:tc>
        <w:tc>
          <w:tcPr>
            <w:tcW w:w="0" w:type="dxa"/>
            <w:vAlign w:val="bottom"/>
          </w:tcPr>
          <w:p>
            <w:pPr>
              <w:spacing w:after="0"/>
              <w:rPr>
                <w:sz w:val="1"/>
                <w:szCs w:val="1"/>
                <w:color w:val="auto"/>
              </w:rPr>
            </w:pPr>
          </w:p>
        </w:tc>
      </w:tr>
      <w:tr>
        <w:trPr>
          <w:trHeight w:val="161"/>
        </w:trPr>
        <w:tc>
          <w:tcPr>
            <w:tcW w:w="5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040" w:type="dxa"/>
            <w:vAlign w:val="bottom"/>
            <w:shd w:val="clear" w:color="auto" w:fill="E0E7ED"/>
          </w:tcPr>
          <w:p>
            <w:pPr>
              <w:ind w:left="20"/>
              <w:spacing w:after="0"/>
              <w:rPr>
                <w:sz w:val="20"/>
                <w:szCs w:val="20"/>
                <w:color w:val="auto"/>
              </w:rPr>
            </w:pPr>
            <w:r>
              <w:rPr>
                <w:rFonts w:ascii="Verdana" w:cs="Verdana" w:eastAsia="Verdana" w:hAnsi="Verdana"/>
                <w:sz w:val="13"/>
                <w:szCs w:val="13"/>
                <w:b w:val="1"/>
                <w:bCs w:val="1"/>
                <w:color w:val="auto"/>
              </w:rPr>
              <w:t>Interest expense</w:t>
            </w:r>
          </w:p>
        </w:tc>
        <w:tc>
          <w:tcPr>
            <w:tcW w:w="180" w:type="dxa"/>
            <w:vAlign w:val="bottom"/>
            <w:shd w:val="clear" w:color="auto" w:fill="E0E7ED"/>
          </w:tcPr>
          <w:p>
            <w:pPr>
              <w:spacing w:after="0"/>
              <w:rPr>
                <w:sz w:val="15"/>
                <w:szCs w:val="15"/>
                <w:color w:val="auto"/>
              </w:rPr>
            </w:pPr>
          </w:p>
        </w:tc>
        <w:tc>
          <w:tcPr>
            <w:tcW w:w="13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126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040" w:type="dxa"/>
            <w:vAlign w:val="bottom"/>
          </w:tcPr>
          <w:p>
            <w:pPr>
              <w:ind w:left="180"/>
              <w:spacing w:after="0"/>
              <w:rPr>
                <w:sz w:val="20"/>
                <w:szCs w:val="20"/>
                <w:color w:val="auto"/>
              </w:rPr>
            </w:pPr>
            <w:r>
              <w:rPr>
                <w:rFonts w:ascii="Verdana" w:cs="Verdana" w:eastAsia="Verdana" w:hAnsi="Verdana"/>
                <w:sz w:val="13"/>
                <w:szCs w:val="13"/>
                <w:color w:val="auto"/>
              </w:rPr>
              <w:t>Deposits</w:t>
            </w:r>
          </w:p>
        </w:tc>
        <w:tc>
          <w:tcPr>
            <w:tcW w:w="180" w:type="dxa"/>
            <w:vAlign w:val="bottom"/>
          </w:tcPr>
          <w:p>
            <w:pPr>
              <w:spacing w:after="0"/>
              <w:rPr>
                <w:sz w:val="14"/>
                <w:szCs w:val="14"/>
                <w:color w:val="auto"/>
              </w:rPr>
            </w:pPr>
          </w:p>
        </w:tc>
        <w:tc>
          <w:tcPr>
            <w:tcW w:w="1300" w:type="dxa"/>
            <w:vAlign w:val="bottom"/>
          </w:tcPr>
          <w:p>
            <w:pPr>
              <w:jc w:val="right"/>
              <w:ind w:right="17"/>
              <w:spacing w:after="0"/>
              <w:rPr>
                <w:sz w:val="20"/>
                <w:szCs w:val="20"/>
                <w:color w:val="auto"/>
              </w:rPr>
            </w:pPr>
            <w:r>
              <w:rPr>
                <w:rFonts w:ascii="Verdana" w:cs="Verdana" w:eastAsia="Verdana" w:hAnsi="Verdana"/>
                <w:sz w:val="13"/>
                <w:szCs w:val="13"/>
                <w:color w:val="auto"/>
              </w:rPr>
              <w:t>46,634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37,068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17"/>
              <w:spacing w:after="0"/>
              <w:rPr>
                <w:sz w:val="20"/>
                <w:szCs w:val="20"/>
                <w:color w:val="auto"/>
              </w:rPr>
            </w:pPr>
            <w:r>
              <w:rPr>
                <w:rFonts w:ascii="Verdana" w:cs="Verdana" w:eastAsia="Verdana" w:hAnsi="Verdana"/>
                <w:sz w:val="13"/>
                <w:szCs w:val="13"/>
                <w:color w:val="auto"/>
              </w:rPr>
              <w:t>134,311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78,576</w:t>
            </w:r>
          </w:p>
        </w:tc>
        <w:tc>
          <w:tcPr>
            <w:tcW w:w="0" w:type="dxa"/>
            <w:vAlign w:val="bottom"/>
          </w:tcPr>
          <w:p>
            <w:pPr>
              <w:spacing w:after="0"/>
              <w:rPr>
                <w:sz w:val="1"/>
                <w:szCs w:val="1"/>
                <w:color w:val="auto"/>
              </w:rPr>
            </w:pPr>
          </w:p>
        </w:tc>
      </w:tr>
      <w:tr>
        <w:trPr>
          <w:trHeight w:val="127"/>
        </w:trPr>
        <w:tc>
          <w:tcPr>
            <w:tcW w:w="5040" w:type="dxa"/>
            <w:vAlign w:val="bottom"/>
            <w:shd w:val="clear" w:color="auto" w:fill="E0E7ED"/>
          </w:tcPr>
          <w:p>
            <w:pPr>
              <w:ind w:left="180"/>
              <w:spacing w:after="0" w:line="127" w:lineRule="exact"/>
              <w:rPr>
                <w:sz w:val="20"/>
                <w:szCs w:val="20"/>
                <w:color w:val="auto"/>
              </w:rPr>
            </w:pPr>
            <w:r>
              <w:rPr>
                <w:rFonts w:ascii="Verdana" w:cs="Verdana" w:eastAsia="Verdana" w:hAnsi="Verdana"/>
                <w:sz w:val="13"/>
                <w:szCs w:val="13"/>
                <w:color w:val="auto"/>
              </w:rPr>
              <w:t>Federal funds purchased and securities sold under agreements to</w:t>
            </w:r>
          </w:p>
        </w:tc>
        <w:tc>
          <w:tcPr>
            <w:tcW w:w="180" w:type="dxa"/>
            <w:vAlign w:val="bottom"/>
            <w:shd w:val="clear" w:color="auto" w:fill="E0E7ED"/>
          </w:tcPr>
          <w:p>
            <w:pPr>
              <w:spacing w:after="0"/>
              <w:rPr>
                <w:sz w:val="11"/>
                <w:szCs w:val="11"/>
                <w:color w:val="auto"/>
              </w:rPr>
            </w:pPr>
          </w:p>
        </w:tc>
        <w:tc>
          <w:tcPr>
            <w:tcW w:w="130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981</w:t>
            </w:r>
          </w:p>
        </w:tc>
        <w:tc>
          <w:tcPr>
            <w:tcW w:w="80" w:type="dxa"/>
            <w:vAlign w:val="bottom"/>
            <w:shd w:val="clear" w:color="auto" w:fill="E0E7ED"/>
          </w:tcPr>
          <w:p>
            <w:pPr>
              <w:spacing w:after="0"/>
              <w:rPr>
                <w:sz w:val="11"/>
                <w:szCs w:val="11"/>
                <w:color w:val="auto"/>
              </w:rPr>
            </w:pPr>
          </w:p>
        </w:tc>
        <w:tc>
          <w:tcPr>
            <w:tcW w:w="340" w:type="dxa"/>
            <w:vAlign w:val="bottom"/>
            <w:shd w:val="clear" w:color="auto" w:fill="E0E7ED"/>
          </w:tcPr>
          <w:p>
            <w:pPr>
              <w:spacing w:after="0"/>
              <w:rPr>
                <w:sz w:val="11"/>
                <w:szCs w:val="11"/>
                <w:color w:val="auto"/>
              </w:rPr>
            </w:pPr>
          </w:p>
        </w:tc>
        <w:tc>
          <w:tcPr>
            <w:tcW w:w="116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1,327</w:t>
            </w:r>
          </w:p>
        </w:tc>
        <w:tc>
          <w:tcPr>
            <w:tcW w:w="80" w:type="dxa"/>
            <w:vAlign w:val="bottom"/>
            <w:shd w:val="clear" w:color="auto" w:fill="E0E7ED"/>
          </w:tcPr>
          <w:p>
            <w:pPr>
              <w:spacing w:after="0"/>
              <w:rPr>
                <w:sz w:val="11"/>
                <w:szCs w:val="11"/>
                <w:color w:val="auto"/>
              </w:rPr>
            </w:pPr>
          </w:p>
        </w:tc>
        <w:tc>
          <w:tcPr>
            <w:tcW w:w="220" w:type="dxa"/>
            <w:vAlign w:val="bottom"/>
            <w:shd w:val="clear" w:color="auto" w:fill="E0E7ED"/>
          </w:tcPr>
          <w:p>
            <w:pPr>
              <w:spacing w:after="0"/>
              <w:rPr>
                <w:sz w:val="11"/>
                <w:szCs w:val="11"/>
                <w:color w:val="auto"/>
              </w:rPr>
            </w:pPr>
          </w:p>
        </w:tc>
        <w:tc>
          <w:tcPr>
            <w:tcW w:w="126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3,393</w:t>
            </w:r>
          </w:p>
        </w:tc>
        <w:tc>
          <w:tcPr>
            <w:tcW w:w="100" w:type="dxa"/>
            <w:vAlign w:val="bottom"/>
            <w:shd w:val="clear" w:color="auto" w:fill="E0E7ED"/>
          </w:tcPr>
          <w:p>
            <w:pPr>
              <w:spacing w:after="0"/>
              <w:rPr>
                <w:sz w:val="11"/>
                <w:szCs w:val="11"/>
                <w:color w:val="auto"/>
              </w:rPr>
            </w:pPr>
          </w:p>
        </w:tc>
        <w:tc>
          <w:tcPr>
            <w:tcW w:w="320" w:type="dxa"/>
            <w:vAlign w:val="bottom"/>
            <w:shd w:val="clear" w:color="auto" w:fill="E0E7ED"/>
          </w:tcPr>
          <w:p>
            <w:pPr>
              <w:spacing w:after="0"/>
              <w:rPr>
                <w:sz w:val="11"/>
                <w:szCs w:val="11"/>
                <w:color w:val="auto"/>
              </w:rPr>
            </w:pPr>
          </w:p>
        </w:tc>
        <w:tc>
          <w:tcPr>
            <w:tcW w:w="116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3,772</w:t>
            </w:r>
          </w:p>
        </w:tc>
        <w:tc>
          <w:tcPr>
            <w:tcW w:w="0" w:type="dxa"/>
            <w:vAlign w:val="bottom"/>
          </w:tcPr>
          <w:p>
            <w:pPr>
              <w:spacing w:after="0"/>
              <w:rPr>
                <w:sz w:val="1"/>
                <w:szCs w:val="1"/>
                <w:color w:val="auto"/>
              </w:rPr>
            </w:pPr>
          </w:p>
        </w:tc>
      </w:tr>
      <w:tr>
        <w:trPr>
          <w:trHeight w:val="176"/>
        </w:trPr>
        <w:tc>
          <w:tcPr>
            <w:tcW w:w="504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repurchase</w:t>
            </w:r>
          </w:p>
        </w:tc>
        <w:tc>
          <w:tcPr>
            <w:tcW w:w="180" w:type="dxa"/>
            <w:vAlign w:val="bottom"/>
            <w:shd w:val="clear" w:color="auto" w:fill="E0E7ED"/>
          </w:tcPr>
          <w:p>
            <w:pPr>
              <w:spacing w:after="0"/>
              <w:rPr>
                <w:sz w:val="15"/>
                <w:szCs w:val="15"/>
                <w:color w:val="auto"/>
              </w:rPr>
            </w:pPr>
          </w:p>
        </w:tc>
        <w:tc>
          <w:tcPr>
            <w:tcW w:w="130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6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1260" w:type="dxa"/>
            <w:vAlign w:val="bottom"/>
            <w:vMerge w:val="continue"/>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040" w:type="dxa"/>
            <w:vAlign w:val="bottom"/>
          </w:tcPr>
          <w:p>
            <w:pPr>
              <w:ind w:left="180"/>
              <w:spacing w:after="0"/>
              <w:rPr>
                <w:sz w:val="20"/>
                <w:szCs w:val="20"/>
                <w:color w:val="auto"/>
              </w:rPr>
            </w:pPr>
            <w:r>
              <w:rPr>
                <w:rFonts w:ascii="Verdana" w:cs="Verdana" w:eastAsia="Verdana" w:hAnsi="Verdana"/>
                <w:sz w:val="13"/>
                <w:szCs w:val="13"/>
                <w:color w:val="auto"/>
              </w:rPr>
              <w:t>Short-term borrowings</w:t>
            </w:r>
          </w:p>
        </w:tc>
        <w:tc>
          <w:tcPr>
            <w:tcW w:w="180" w:type="dxa"/>
            <w:vAlign w:val="bottom"/>
          </w:tcPr>
          <w:p>
            <w:pPr>
              <w:spacing w:after="0"/>
              <w:rPr>
                <w:sz w:val="14"/>
                <w:szCs w:val="14"/>
                <w:color w:val="auto"/>
              </w:rPr>
            </w:pPr>
          </w:p>
        </w:tc>
        <w:tc>
          <w:tcPr>
            <w:tcW w:w="1300" w:type="dxa"/>
            <w:vAlign w:val="bottom"/>
          </w:tcPr>
          <w:p>
            <w:pPr>
              <w:jc w:val="right"/>
              <w:ind w:right="17"/>
              <w:spacing w:after="0"/>
              <w:rPr>
                <w:sz w:val="20"/>
                <w:szCs w:val="20"/>
                <w:color w:val="auto"/>
              </w:rPr>
            </w:pPr>
            <w:r>
              <w:rPr>
                <w:rFonts w:ascii="Verdana" w:cs="Verdana" w:eastAsia="Verdana" w:hAnsi="Verdana"/>
                <w:sz w:val="13"/>
                <w:szCs w:val="13"/>
                <w:color w:val="auto"/>
              </w:rPr>
              <w:t>26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1,964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17"/>
              <w:spacing w:after="0"/>
              <w:rPr>
                <w:sz w:val="20"/>
                <w:szCs w:val="20"/>
                <w:color w:val="auto"/>
              </w:rPr>
            </w:pPr>
            <w:r>
              <w:rPr>
                <w:rFonts w:ascii="Verdana" w:cs="Verdana" w:eastAsia="Verdana" w:hAnsi="Verdana"/>
                <w:sz w:val="13"/>
                <w:szCs w:val="13"/>
                <w:color w:val="auto"/>
              </w:rPr>
              <w:t>676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12,527</w:t>
            </w:r>
          </w:p>
        </w:tc>
        <w:tc>
          <w:tcPr>
            <w:tcW w:w="0" w:type="dxa"/>
            <w:vAlign w:val="bottom"/>
          </w:tcPr>
          <w:p>
            <w:pPr>
              <w:spacing w:after="0"/>
              <w:rPr>
                <w:sz w:val="1"/>
                <w:szCs w:val="1"/>
                <w:color w:val="auto"/>
              </w:rPr>
            </w:pPr>
          </w:p>
        </w:tc>
      </w:tr>
      <w:tr>
        <w:trPr>
          <w:trHeight w:val="181"/>
        </w:trPr>
        <w:tc>
          <w:tcPr>
            <w:tcW w:w="504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Long-term debt</w:t>
            </w:r>
          </w:p>
        </w:tc>
        <w:tc>
          <w:tcPr>
            <w:tcW w:w="180" w:type="dxa"/>
            <w:vAlign w:val="bottom"/>
            <w:shd w:val="clear" w:color="auto" w:fill="E0E7ED"/>
          </w:tcPr>
          <w:p>
            <w:pPr>
              <w:spacing w:after="0"/>
              <w:rPr>
                <w:sz w:val="15"/>
                <w:szCs w:val="15"/>
                <w:color w:val="auto"/>
              </w:rPr>
            </w:pPr>
          </w:p>
        </w:tc>
        <w:tc>
          <w:tcPr>
            <w:tcW w:w="13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34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425</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12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300</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1,331</w:t>
            </w:r>
          </w:p>
        </w:tc>
        <w:tc>
          <w:tcPr>
            <w:tcW w:w="0" w:type="dxa"/>
            <w:vAlign w:val="bottom"/>
          </w:tcPr>
          <w:p>
            <w:pPr>
              <w:spacing w:after="0"/>
              <w:rPr>
                <w:sz w:val="1"/>
                <w:szCs w:val="1"/>
                <w:color w:val="auto"/>
              </w:rPr>
            </w:pPr>
          </w:p>
        </w:tc>
      </w:tr>
      <w:tr>
        <w:trPr>
          <w:trHeight w:val="170"/>
        </w:trPr>
        <w:tc>
          <w:tcPr>
            <w:tcW w:w="5040" w:type="dxa"/>
            <w:vAlign w:val="bottom"/>
          </w:tcPr>
          <w:p>
            <w:pPr>
              <w:ind w:left="180"/>
              <w:spacing w:after="0"/>
              <w:rPr>
                <w:sz w:val="20"/>
                <w:szCs w:val="20"/>
                <w:color w:val="auto"/>
              </w:rPr>
            </w:pPr>
            <w:r>
              <w:rPr>
                <w:rFonts w:ascii="Verdana" w:cs="Verdana" w:eastAsia="Verdana" w:hAnsi="Verdana"/>
                <w:sz w:val="13"/>
                <w:szCs w:val="13"/>
                <w:color w:val="auto"/>
              </w:rPr>
              <w:t>Subordinated notes</w:t>
            </w:r>
          </w:p>
        </w:tc>
        <w:tc>
          <w:tcPr>
            <w:tcW w:w="180" w:type="dxa"/>
            <w:vAlign w:val="bottom"/>
          </w:tcPr>
          <w:p>
            <w:pPr>
              <w:spacing w:after="0"/>
              <w:rPr>
                <w:sz w:val="14"/>
                <w:szCs w:val="14"/>
                <w:color w:val="auto"/>
              </w:rPr>
            </w:pPr>
          </w:p>
        </w:tc>
        <w:tc>
          <w:tcPr>
            <w:tcW w:w="1300" w:type="dxa"/>
            <w:vAlign w:val="bottom"/>
          </w:tcPr>
          <w:p>
            <w:pPr>
              <w:jc w:val="right"/>
              <w:ind w:right="17"/>
              <w:spacing w:after="0"/>
              <w:rPr>
                <w:sz w:val="20"/>
                <w:szCs w:val="20"/>
                <w:color w:val="auto"/>
              </w:rPr>
            </w:pPr>
            <w:r>
              <w:rPr>
                <w:rFonts w:ascii="Verdana" w:cs="Verdana" w:eastAsia="Verdana" w:hAnsi="Verdana"/>
                <w:sz w:val="13"/>
                <w:szCs w:val="13"/>
                <w:color w:val="auto"/>
              </w:rPr>
              <w:t>3,181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3,103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17"/>
              <w:spacing w:after="0"/>
              <w:rPr>
                <w:sz w:val="20"/>
                <w:szCs w:val="20"/>
                <w:color w:val="auto"/>
              </w:rPr>
            </w:pPr>
            <w:r>
              <w:rPr>
                <w:rFonts w:ascii="Verdana" w:cs="Verdana" w:eastAsia="Verdana" w:hAnsi="Verdana"/>
                <w:sz w:val="13"/>
                <w:szCs w:val="13"/>
                <w:color w:val="auto"/>
              </w:rPr>
              <w:t>9,467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9,300</w:t>
            </w:r>
          </w:p>
        </w:tc>
        <w:tc>
          <w:tcPr>
            <w:tcW w:w="0" w:type="dxa"/>
            <w:vAlign w:val="bottom"/>
          </w:tcPr>
          <w:p>
            <w:pPr>
              <w:spacing w:after="0"/>
              <w:rPr>
                <w:sz w:val="1"/>
                <w:szCs w:val="1"/>
                <w:color w:val="auto"/>
              </w:rPr>
            </w:pPr>
          </w:p>
        </w:tc>
      </w:tr>
      <w:tr>
        <w:trPr>
          <w:trHeight w:val="181"/>
        </w:trPr>
        <w:tc>
          <w:tcPr>
            <w:tcW w:w="504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Junior subordinated debt owed to unconsolidated trusts</w:t>
            </w:r>
          </w:p>
        </w:tc>
        <w:tc>
          <w:tcPr>
            <w:tcW w:w="180" w:type="dxa"/>
            <w:vAlign w:val="bottom"/>
            <w:tcBorders>
              <w:bottom w:val="single" w:sz="8" w:color="auto"/>
            </w:tcBorders>
            <w:shd w:val="clear" w:color="auto" w:fill="E0E7ED"/>
          </w:tcPr>
          <w:p>
            <w:pPr>
              <w:spacing w:after="0"/>
              <w:rPr>
                <w:sz w:val="15"/>
                <w:szCs w:val="15"/>
                <w:color w:val="auto"/>
              </w:rPr>
            </w:pPr>
          </w:p>
        </w:tc>
        <w:tc>
          <w:tcPr>
            <w:tcW w:w="130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1,137</w:t>
            </w:r>
          </w:p>
        </w:tc>
        <w:tc>
          <w:tcPr>
            <w:tcW w:w="80" w:type="dxa"/>
            <w:vAlign w:val="bottom"/>
            <w:shd w:val="clear" w:color="auto" w:fill="E0E7ED"/>
          </w:tcPr>
          <w:p>
            <w:pPr>
              <w:spacing w:after="0"/>
              <w:rPr>
                <w:sz w:val="15"/>
                <w:szCs w:val="15"/>
                <w:color w:val="auto"/>
              </w:rPr>
            </w:pPr>
          </w:p>
        </w:tc>
        <w:tc>
          <w:tcPr>
            <w:tcW w:w="34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991</w:t>
            </w:r>
          </w:p>
        </w:tc>
        <w:tc>
          <w:tcPr>
            <w:tcW w:w="80" w:type="dxa"/>
            <w:vAlign w:val="bottom"/>
            <w:shd w:val="clear" w:color="auto" w:fill="E0E7ED"/>
          </w:tcPr>
          <w:p>
            <w:pPr>
              <w:spacing w:after="0"/>
              <w:rPr>
                <w:sz w:val="15"/>
                <w:szCs w:val="15"/>
                <w:color w:val="auto"/>
              </w:rPr>
            </w:pPr>
          </w:p>
        </w:tc>
        <w:tc>
          <w:tcPr>
            <w:tcW w:w="220" w:type="dxa"/>
            <w:vAlign w:val="bottom"/>
            <w:tcBorders>
              <w:bottom w:val="single" w:sz="8" w:color="auto"/>
            </w:tcBorders>
            <w:shd w:val="clear" w:color="auto" w:fill="E0E7ED"/>
          </w:tcPr>
          <w:p>
            <w:pPr>
              <w:spacing w:after="0"/>
              <w:rPr>
                <w:sz w:val="15"/>
                <w:szCs w:val="15"/>
                <w:color w:val="auto"/>
              </w:rPr>
            </w:pPr>
          </w:p>
        </w:tc>
        <w:tc>
          <w:tcPr>
            <w:tcW w:w="12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3,185</w:t>
            </w:r>
          </w:p>
        </w:tc>
        <w:tc>
          <w:tcPr>
            <w:tcW w:w="100" w:type="dxa"/>
            <w:vAlign w:val="bottom"/>
            <w:shd w:val="clear" w:color="auto" w:fill="E0E7ED"/>
          </w:tcPr>
          <w:p>
            <w:pPr>
              <w:spacing w:after="0"/>
              <w:rPr>
                <w:sz w:val="15"/>
                <w:szCs w:val="15"/>
                <w:color w:val="auto"/>
              </w:rPr>
            </w:pPr>
          </w:p>
        </w:tc>
        <w:tc>
          <w:tcPr>
            <w:tcW w:w="32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2,849</w:t>
            </w:r>
          </w:p>
        </w:tc>
        <w:tc>
          <w:tcPr>
            <w:tcW w:w="0" w:type="dxa"/>
            <w:vAlign w:val="bottom"/>
          </w:tcPr>
          <w:p>
            <w:pPr>
              <w:spacing w:after="0"/>
              <w:rPr>
                <w:sz w:val="1"/>
                <w:szCs w:val="1"/>
                <w:color w:val="auto"/>
              </w:rPr>
            </w:pPr>
          </w:p>
        </w:tc>
      </w:tr>
      <w:tr>
        <w:trPr>
          <w:trHeight w:val="164"/>
        </w:trPr>
        <w:tc>
          <w:tcPr>
            <w:tcW w:w="5040" w:type="dxa"/>
            <w:vAlign w:val="bottom"/>
            <w:tcBorders>
              <w:bottom w:val="single" w:sz="8" w:color="E0E7ED"/>
            </w:tcBorders>
          </w:tcPr>
          <w:p>
            <w:pPr>
              <w:ind w:left="20"/>
              <w:spacing w:after="0" w:line="153" w:lineRule="exact"/>
              <w:rPr>
                <w:sz w:val="20"/>
                <w:szCs w:val="20"/>
                <w:color w:val="auto"/>
              </w:rPr>
            </w:pPr>
            <w:r>
              <w:rPr>
                <w:rFonts w:ascii="Verdana" w:cs="Verdana" w:eastAsia="Verdana" w:hAnsi="Verdana"/>
                <w:sz w:val="13"/>
                <w:szCs w:val="13"/>
                <w:color w:val="auto"/>
              </w:rPr>
              <w:t>Total interest expense</w:t>
            </w: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51,959</w:t>
            </w:r>
          </w:p>
        </w:tc>
        <w:tc>
          <w:tcPr>
            <w:tcW w:w="8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44,878</w:t>
            </w:r>
          </w:p>
        </w:tc>
        <w:tc>
          <w:tcPr>
            <w:tcW w:w="80" w:type="dxa"/>
            <w:vAlign w:val="bottom"/>
            <w:tcBorders>
              <w:bottom w:val="single" w:sz="8" w:color="E0E7ED"/>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151,332</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108,355</w:t>
            </w:r>
          </w:p>
        </w:tc>
        <w:tc>
          <w:tcPr>
            <w:tcW w:w="0" w:type="dxa"/>
            <w:vAlign w:val="bottom"/>
          </w:tcPr>
          <w:p>
            <w:pPr>
              <w:spacing w:after="0"/>
              <w:rPr>
                <w:sz w:val="1"/>
                <w:szCs w:val="1"/>
                <w:color w:val="auto"/>
              </w:rPr>
            </w:pPr>
          </w:p>
        </w:tc>
      </w:tr>
      <w:tr>
        <w:trPr>
          <w:trHeight w:val="161"/>
        </w:trPr>
        <w:tc>
          <w:tcPr>
            <w:tcW w:w="5040" w:type="dxa"/>
            <w:vAlign w:val="bottom"/>
            <w:shd w:val="clear" w:color="auto" w:fill="E0E7ED"/>
          </w:tcPr>
          <w:p>
            <w:pPr>
              <w:spacing w:after="0"/>
              <w:rPr>
                <w:sz w:val="13"/>
                <w:szCs w:val="13"/>
                <w:color w:val="auto"/>
              </w:rPr>
            </w:pPr>
          </w:p>
        </w:tc>
        <w:tc>
          <w:tcPr>
            <w:tcW w:w="180" w:type="dxa"/>
            <w:vAlign w:val="bottom"/>
            <w:shd w:val="clear" w:color="auto" w:fill="E0E7ED"/>
          </w:tcPr>
          <w:p>
            <w:pPr>
              <w:spacing w:after="0"/>
              <w:rPr>
                <w:sz w:val="13"/>
                <w:szCs w:val="13"/>
                <w:color w:val="auto"/>
              </w:rPr>
            </w:pPr>
          </w:p>
        </w:tc>
        <w:tc>
          <w:tcPr>
            <w:tcW w:w="130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34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220" w:type="dxa"/>
            <w:vAlign w:val="bottom"/>
            <w:shd w:val="clear" w:color="auto" w:fill="E0E7ED"/>
          </w:tcPr>
          <w:p>
            <w:pPr>
              <w:spacing w:after="0"/>
              <w:rPr>
                <w:sz w:val="13"/>
                <w:szCs w:val="13"/>
                <w:color w:val="auto"/>
              </w:rPr>
            </w:pPr>
          </w:p>
        </w:tc>
        <w:tc>
          <w:tcPr>
            <w:tcW w:w="126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32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040" w:type="dxa"/>
            <w:vAlign w:val="bottom"/>
          </w:tcPr>
          <w:p>
            <w:pPr>
              <w:ind w:left="20"/>
              <w:spacing w:after="0"/>
              <w:rPr>
                <w:sz w:val="20"/>
                <w:szCs w:val="20"/>
                <w:color w:val="auto"/>
              </w:rPr>
            </w:pPr>
            <w:r>
              <w:rPr>
                <w:rFonts w:ascii="Verdana" w:cs="Verdana" w:eastAsia="Verdana" w:hAnsi="Verdana"/>
                <w:sz w:val="13"/>
                <w:szCs w:val="13"/>
                <w:color w:val="auto"/>
              </w:rPr>
              <w:t>Net interest income</w:t>
            </w:r>
          </w:p>
        </w:tc>
        <w:tc>
          <w:tcPr>
            <w:tcW w:w="180" w:type="dxa"/>
            <w:vAlign w:val="bottom"/>
          </w:tcPr>
          <w:p>
            <w:pPr>
              <w:spacing w:after="0"/>
              <w:rPr>
                <w:sz w:val="14"/>
                <w:szCs w:val="14"/>
                <w:color w:val="auto"/>
              </w:rPr>
            </w:pPr>
          </w:p>
        </w:tc>
        <w:tc>
          <w:tcPr>
            <w:tcW w:w="1300" w:type="dxa"/>
            <w:vAlign w:val="bottom"/>
          </w:tcPr>
          <w:p>
            <w:pPr>
              <w:jc w:val="right"/>
              <w:ind w:right="17"/>
              <w:spacing w:after="0"/>
              <w:rPr>
                <w:sz w:val="20"/>
                <w:szCs w:val="20"/>
                <w:color w:val="auto"/>
              </w:rPr>
            </w:pPr>
            <w:r>
              <w:rPr>
                <w:rFonts w:ascii="Verdana" w:cs="Verdana" w:eastAsia="Verdana" w:hAnsi="Verdana"/>
                <w:sz w:val="13"/>
                <w:szCs w:val="13"/>
                <w:color w:val="auto"/>
              </w:rPr>
              <w:t>82,541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77,791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17"/>
              <w:spacing w:after="0"/>
              <w:rPr>
                <w:sz w:val="20"/>
                <w:szCs w:val="20"/>
                <w:color w:val="auto"/>
              </w:rPr>
            </w:pPr>
            <w:r>
              <w:rPr>
                <w:rFonts w:ascii="Verdana" w:cs="Verdana" w:eastAsia="Verdana" w:hAnsi="Verdana"/>
                <w:sz w:val="13"/>
                <w:szCs w:val="13"/>
                <w:color w:val="auto"/>
              </w:rPr>
              <w:t>240,742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242,318</w:t>
            </w:r>
          </w:p>
        </w:tc>
        <w:tc>
          <w:tcPr>
            <w:tcW w:w="0" w:type="dxa"/>
            <w:vAlign w:val="bottom"/>
          </w:tcPr>
          <w:p>
            <w:pPr>
              <w:spacing w:after="0"/>
              <w:rPr>
                <w:sz w:val="1"/>
                <w:szCs w:val="1"/>
                <w:color w:val="auto"/>
              </w:rPr>
            </w:pPr>
          </w:p>
        </w:tc>
      </w:tr>
      <w:tr>
        <w:trPr>
          <w:trHeight w:val="181"/>
        </w:trPr>
        <w:tc>
          <w:tcPr>
            <w:tcW w:w="504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Provision for credit losses</w:t>
            </w:r>
          </w:p>
        </w:tc>
        <w:tc>
          <w:tcPr>
            <w:tcW w:w="180" w:type="dxa"/>
            <w:vAlign w:val="bottom"/>
            <w:tcBorders>
              <w:bottom w:val="single" w:sz="8" w:color="auto"/>
            </w:tcBorders>
            <w:shd w:val="clear" w:color="auto" w:fill="E0E7ED"/>
          </w:tcPr>
          <w:p>
            <w:pPr>
              <w:spacing w:after="0"/>
              <w:rPr>
                <w:sz w:val="15"/>
                <w:szCs w:val="15"/>
                <w:color w:val="auto"/>
              </w:rPr>
            </w:pPr>
          </w:p>
        </w:tc>
        <w:tc>
          <w:tcPr>
            <w:tcW w:w="130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w:t>
            </w:r>
          </w:p>
        </w:tc>
        <w:tc>
          <w:tcPr>
            <w:tcW w:w="80" w:type="dxa"/>
            <w:vAlign w:val="bottom"/>
            <w:shd w:val="clear" w:color="auto" w:fill="E0E7ED"/>
          </w:tcPr>
          <w:p>
            <w:pPr>
              <w:spacing w:after="0"/>
              <w:rPr>
                <w:sz w:val="15"/>
                <w:szCs w:val="15"/>
                <w:color w:val="auto"/>
              </w:rPr>
            </w:pPr>
          </w:p>
        </w:tc>
        <w:tc>
          <w:tcPr>
            <w:tcW w:w="34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364</w:t>
            </w:r>
          </w:p>
        </w:tc>
        <w:tc>
          <w:tcPr>
            <w:tcW w:w="80" w:type="dxa"/>
            <w:vAlign w:val="bottom"/>
            <w:shd w:val="clear" w:color="auto" w:fill="E0E7ED"/>
          </w:tcPr>
          <w:p>
            <w:pPr>
              <w:spacing w:after="0"/>
              <w:rPr>
                <w:sz w:val="15"/>
                <w:szCs w:val="15"/>
                <w:color w:val="auto"/>
              </w:rPr>
            </w:pPr>
          </w:p>
        </w:tc>
        <w:tc>
          <w:tcPr>
            <w:tcW w:w="220" w:type="dxa"/>
            <w:vAlign w:val="bottom"/>
            <w:tcBorders>
              <w:bottom w:val="single" w:sz="8" w:color="auto"/>
            </w:tcBorders>
            <w:shd w:val="clear" w:color="auto" w:fill="E0E7ED"/>
          </w:tcPr>
          <w:p>
            <w:pPr>
              <w:spacing w:after="0"/>
              <w:rPr>
                <w:sz w:val="15"/>
                <w:szCs w:val="15"/>
                <w:color w:val="auto"/>
              </w:rPr>
            </w:pPr>
          </w:p>
        </w:tc>
        <w:tc>
          <w:tcPr>
            <w:tcW w:w="12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7,317</w:t>
            </w:r>
          </w:p>
        </w:tc>
        <w:tc>
          <w:tcPr>
            <w:tcW w:w="100" w:type="dxa"/>
            <w:vAlign w:val="bottom"/>
            <w:shd w:val="clear" w:color="auto" w:fill="E0E7ED"/>
          </w:tcPr>
          <w:p>
            <w:pPr>
              <w:spacing w:after="0"/>
              <w:rPr>
                <w:sz w:val="15"/>
                <w:szCs w:val="15"/>
                <w:color w:val="auto"/>
              </w:rPr>
            </w:pPr>
          </w:p>
        </w:tc>
        <w:tc>
          <w:tcPr>
            <w:tcW w:w="32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1,944</w:t>
            </w:r>
          </w:p>
        </w:tc>
        <w:tc>
          <w:tcPr>
            <w:tcW w:w="0" w:type="dxa"/>
            <w:vAlign w:val="bottom"/>
          </w:tcPr>
          <w:p>
            <w:pPr>
              <w:spacing w:after="0"/>
              <w:rPr>
                <w:sz w:val="1"/>
                <w:szCs w:val="1"/>
                <w:color w:val="auto"/>
              </w:rPr>
            </w:pPr>
          </w:p>
        </w:tc>
      </w:tr>
      <w:tr>
        <w:trPr>
          <w:trHeight w:val="164"/>
        </w:trPr>
        <w:tc>
          <w:tcPr>
            <w:tcW w:w="5040" w:type="dxa"/>
            <w:vAlign w:val="bottom"/>
            <w:tcBorders>
              <w:bottom w:val="single" w:sz="8" w:color="E0E7ED"/>
            </w:tcBorders>
          </w:tcPr>
          <w:p>
            <w:pPr>
              <w:ind w:left="20"/>
              <w:spacing w:after="0" w:line="153" w:lineRule="exact"/>
              <w:rPr>
                <w:sz w:val="20"/>
                <w:szCs w:val="20"/>
                <w:color w:val="auto"/>
              </w:rPr>
            </w:pPr>
            <w:r>
              <w:rPr>
                <w:rFonts w:ascii="Verdana" w:cs="Verdana" w:eastAsia="Verdana" w:hAnsi="Verdana"/>
                <w:sz w:val="13"/>
                <w:szCs w:val="13"/>
                <w:color w:val="auto"/>
              </w:rPr>
              <w:t>Net interest income after provision for credit losses</w:t>
            </w: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82,539</w:t>
            </w:r>
          </w:p>
        </w:tc>
        <w:tc>
          <w:tcPr>
            <w:tcW w:w="8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77,427</w:t>
            </w:r>
          </w:p>
        </w:tc>
        <w:tc>
          <w:tcPr>
            <w:tcW w:w="80" w:type="dxa"/>
            <w:vAlign w:val="bottom"/>
            <w:tcBorders>
              <w:bottom w:val="single" w:sz="8" w:color="E0E7ED"/>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233,425</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240,374</w:t>
            </w:r>
          </w:p>
        </w:tc>
        <w:tc>
          <w:tcPr>
            <w:tcW w:w="0" w:type="dxa"/>
            <w:vAlign w:val="bottom"/>
          </w:tcPr>
          <w:p>
            <w:pPr>
              <w:spacing w:after="0"/>
              <w:rPr>
                <w:sz w:val="1"/>
                <w:szCs w:val="1"/>
                <w:color w:val="auto"/>
              </w:rPr>
            </w:pPr>
          </w:p>
        </w:tc>
      </w:tr>
      <w:tr>
        <w:trPr>
          <w:trHeight w:val="161"/>
        </w:trPr>
        <w:tc>
          <w:tcPr>
            <w:tcW w:w="5040" w:type="dxa"/>
            <w:vAlign w:val="bottom"/>
            <w:shd w:val="clear" w:color="auto" w:fill="E0E7ED"/>
          </w:tcPr>
          <w:p>
            <w:pPr>
              <w:spacing w:after="0"/>
              <w:rPr>
                <w:sz w:val="13"/>
                <w:szCs w:val="13"/>
                <w:color w:val="auto"/>
              </w:rPr>
            </w:pPr>
          </w:p>
        </w:tc>
        <w:tc>
          <w:tcPr>
            <w:tcW w:w="180" w:type="dxa"/>
            <w:vAlign w:val="bottom"/>
            <w:shd w:val="clear" w:color="auto" w:fill="E0E7ED"/>
          </w:tcPr>
          <w:p>
            <w:pPr>
              <w:spacing w:after="0"/>
              <w:rPr>
                <w:sz w:val="13"/>
                <w:szCs w:val="13"/>
                <w:color w:val="auto"/>
              </w:rPr>
            </w:pPr>
          </w:p>
        </w:tc>
        <w:tc>
          <w:tcPr>
            <w:tcW w:w="130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34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220" w:type="dxa"/>
            <w:vAlign w:val="bottom"/>
            <w:shd w:val="clear" w:color="auto" w:fill="E0E7ED"/>
          </w:tcPr>
          <w:p>
            <w:pPr>
              <w:spacing w:after="0"/>
              <w:rPr>
                <w:sz w:val="13"/>
                <w:szCs w:val="13"/>
                <w:color w:val="auto"/>
              </w:rPr>
            </w:pPr>
          </w:p>
        </w:tc>
        <w:tc>
          <w:tcPr>
            <w:tcW w:w="126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32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040" w:type="dxa"/>
            <w:vAlign w:val="bottom"/>
          </w:tcPr>
          <w:p>
            <w:pPr>
              <w:ind w:left="20"/>
              <w:spacing w:after="0"/>
              <w:rPr>
                <w:sz w:val="20"/>
                <w:szCs w:val="20"/>
                <w:color w:val="auto"/>
              </w:rPr>
            </w:pPr>
            <w:r>
              <w:rPr>
                <w:rFonts w:ascii="Verdana" w:cs="Verdana" w:eastAsia="Verdana" w:hAnsi="Verdana"/>
                <w:sz w:val="13"/>
                <w:szCs w:val="13"/>
                <w:b w:val="1"/>
                <w:bCs w:val="1"/>
                <w:color w:val="auto"/>
              </w:rPr>
              <w:t>Noninterest income</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04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Wealth management fees</w:t>
            </w:r>
          </w:p>
        </w:tc>
        <w:tc>
          <w:tcPr>
            <w:tcW w:w="180" w:type="dxa"/>
            <w:vAlign w:val="bottom"/>
            <w:shd w:val="clear" w:color="auto" w:fill="E0E7ED"/>
          </w:tcPr>
          <w:p>
            <w:pPr>
              <w:spacing w:after="0"/>
              <w:rPr>
                <w:sz w:val="15"/>
                <w:szCs w:val="15"/>
                <w:color w:val="auto"/>
              </w:rPr>
            </w:pPr>
          </w:p>
        </w:tc>
        <w:tc>
          <w:tcPr>
            <w:tcW w:w="13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15,378</w:t>
            </w: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14,235</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12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46,844</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43,594</w:t>
            </w:r>
          </w:p>
        </w:tc>
        <w:tc>
          <w:tcPr>
            <w:tcW w:w="0" w:type="dxa"/>
            <w:vAlign w:val="bottom"/>
          </w:tcPr>
          <w:p>
            <w:pPr>
              <w:spacing w:after="0"/>
              <w:rPr>
                <w:sz w:val="1"/>
                <w:szCs w:val="1"/>
                <w:color w:val="auto"/>
              </w:rPr>
            </w:pPr>
          </w:p>
        </w:tc>
      </w:tr>
      <w:tr>
        <w:trPr>
          <w:trHeight w:val="170"/>
        </w:trPr>
        <w:tc>
          <w:tcPr>
            <w:tcW w:w="5040" w:type="dxa"/>
            <w:vAlign w:val="bottom"/>
          </w:tcPr>
          <w:p>
            <w:pPr>
              <w:ind w:left="180"/>
              <w:spacing w:after="0"/>
              <w:rPr>
                <w:sz w:val="20"/>
                <w:szCs w:val="20"/>
                <w:color w:val="auto"/>
              </w:rPr>
            </w:pPr>
            <w:r>
              <w:rPr>
                <w:rFonts w:ascii="Verdana" w:cs="Verdana" w:eastAsia="Verdana" w:hAnsi="Verdana"/>
                <w:sz w:val="13"/>
                <w:szCs w:val="13"/>
                <w:color w:val="auto"/>
              </w:rPr>
              <w:t>Fees for customer services</w:t>
            </w:r>
          </w:p>
        </w:tc>
        <w:tc>
          <w:tcPr>
            <w:tcW w:w="180" w:type="dxa"/>
            <w:vAlign w:val="bottom"/>
          </w:tcPr>
          <w:p>
            <w:pPr>
              <w:spacing w:after="0"/>
              <w:rPr>
                <w:sz w:val="14"/>
                <w:szCs w:val="14"/>
                <w:color w:val="auto"/>
              </w:rPr>
            </w:pPr>
          </w:p>
        </w:tc>
        <w:tc>
          <w:tcPr>
            <w:tcW w:w="1300" w:type="dxa"/>
            <w:vAlign w:val="bottom"/>
          </w:tcPr>
          <w:p>
            <w:pPr>
              <w:jc w:val="right"/>
              <w:ind w:right="17"/>
              <w:spacing w:after="0"/>
              <w:rPr>
                <w:sz w:val="20"/>
                <w:szCs w:val="20"/>
                <w:color w:val="auto"/>
              </w:rPr>
            </w:pPr>
            <w:r>
              <w:rPr>
                <w:rFonts w:ascii="Verdana" w:cs="Verdana" w:eastAsia="Verdana" w:hAnsi="Verdana"/>
                <w:sz w:val="13"/>
                <w:szCs w:val="13"/>
                <w:color w:val="auto"/>
              </w:rPr>
              <w:t>8,168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7,502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17"/>
              <w:spacing w:after="0"/>
              <w:rPr>
                <w:sz w:val="20"/>
                <w:szCs w:val="20"/>
                <w:color w:val="auto"/>
              </w:rPr>
            </w:pPr>
            <w:r>
              <w:rPr>
                <w:rFonts w:ascii="Verdana" w:cs="Verdana" w:eastAsia="Verdana" w:hAnsi="Verdana"/>
                <w:sz w:val="13"/>
                <w:szCs w:val="13"/>
                <w:color w:val="auto"/>
              </w:rPr>
              <w:t>23,022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21,560</w:t>
            </w:r>
          </w:p>
        </w:tc>
        <w:tc>
          <w:tcPr>
            <w:tcW w:w="0" w:type="dxa"/>
            <w:vAlign w:val="bottom"/>
          </w:tcPr>
          <w:p>
            <w:pPr>
              <w:spacing w:after="0"/>
              <w:rPr>
                <w:sz w:val="1"/>
                <w:szCs w:val="1"/>
                <w:color w:val="auto"/>
              </w:rPr>
            </w:pPr>
          </w:p>
        </w:tc>
      </w:tr>
      <w:tr>
        <w:trPr>
          <w:trHeight w:val="181"/>
        </w:trPr>
        <w:tc>
          <w:tcPr>
            <w:tcW w:w="504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Payment technology solutions</w:t>
            </w:r>
          </w:p>
        </w:tc>
        <w:tc>
          <w:tcPr>
            <w:tcW w:w="180" w:type="dxa"/>
            <w:vAlign w:val="bottom"/>
            <w:shd w:val="clear" w:color="auto" w:fill="E0E7ED"/>
          </w:tcPr>
          <w:p>
            <w:pPr>
              <w:spacing w:after="0"/>
              <w:rPr>
                <w:sz w:val="15"/>
                <w:szCs w:val="15"/>
                <w:color w:val="auto"/>
              </w:rPr>
            </w:pPr>
          </w:p>
        </w:tc>
        <w:tc>
          <w:tcPr>
            <w:tcW w:w="13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5,265</w:t>
            </w: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5,226</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12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16,889</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15,772</w:t>
            </w:r>
          </w:p>
        </w:tc>
        <w:tc>
          <w:tcPr>
            <w:tcW w:w="0" w:type="dxa"/>
            <w:vAlign w:val="bottom"/>
          </w:tcPr>
          <w:p>
            <w:pPr>
              <w:spacing w:after="0"/>
              <w:rPr>
                <w:sz w:val="1"/>
                <w:szCs w:val="1"/>
                <w:color w:val="auto"/>
              </w:rPr>
            </w:pPr>
          </w:p>
        </w:tc>
      </w:tr>
      <w:tr>
        <w:trPr>
          <w:trHeight w:val="170"/>
        </w:trPr>
        <w:tc>
          <w:tcPr>
            <w:tcW w:w="5040" w:type="dxa"/>
            <w:vAlign w:val="bottom"/>
          </w:tcPr>
          <w:p>
            <w:pPr>
              <w:ind w:left="180"/>
              <w:spacing w:after="0"/>
              <w:rPr>
                <w:sz w:val="20"/>
                <w:szCs w:val="20"/>
                <w:color w:val="auto"/>
              </w:rPr>
            </w:pPr>
            <w:r>
              <w:rPr>
                <w:rFonts w:ascii="Verdana" w:cs="Verdana" w:eastAsia="Verdana" w:hAnsi="Verdana"/>
                <w:sz w:val="13"/>
                <w:szCs w:val="13"/>
                <w:color w:val="auto"/>
              </w:rPr>
              <w:t>Mortgage revenue</w:t>
            </w:r>
          </w:p>
        </w:tc>
        <w:tc>
          <w:tcPr>
            <w:tcW w:w="180" w:type="dxa"/>
            <w:vAlign w:val="bottom"/>
          </w:tcPr>
          <w:p>
            <w:pPr>
              <w:spacing w:after="0"/>
              <w:rPr>
                <w:sz w:val="14"/>
                <w:szCs w:val="14"/>
                <w:color w:val="auto"/>
              </w:rPr>
            </w:pPr>
          </w:p>
        </w:tc>
        <w:tc>
          <w:tcPr>
            <w:tcW w:w="1300" w:type="dxa"/>
            <w:vAlign w:val="bottom"/>
          </w:tcPr>
          <w:p>
            <w:pPr>
              <w:jc w:val="right"/>
              <w:ind w:right="17"/>
              <w:spacing w:after="0"/>
              <w:rPr>
                <w:sz w:val="20"/>
                <w:szCs w:val="20"/>
                <w:color w:val="auto"/>
              </w:rPr>
            </w:pPr>
            <w:r>
              <w:rPr>
                <w:rFonts w:ascii="Verdana" w:cs="Verdana" w:eastAsia="Verdana" w:hAnsi="Verdana"/>
                <w:sz w:val="13"/>
                <w:szCs w:val="13"/>
                <w:color w:val="auto"/>
              </w:rPr>
              <w:t>355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311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17"/>
              <w:spacing w:after="0"/>
              <w:rPr>
                <w:sz w:val="20"/>
                <w:szCs w:val="20"/>
                <w:color w:val="auto"/>
              </w:rPr>
            </w:pPr>
            <w:r>
              <w:rPr>
                <w:rFonts w:ascii="Verdana" w:cs="Verdana" w:eastAsia="Verdana" w:hAnsi="Verdana"/>
                <w:sz w:val="13"/>
                <w:szCs w:val="13"/>
                <w:color w:val="auto"/>
              </w:rPr>
              <w:t>1,579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871</w:t>
            </w:r>
          </w:p>
        </w:tc>
        <w:tc>
          <w:tcPr>
            <w:tcW w:w="0" w:type="dxa"/>
            <w:vAlign w:val="bottom"/>
          </w:tcPr>
          <w:p>
            <w:pPr>
              <w:spacing w:after="0"/>
              <w:rPr>
                <w:sz w:val="1"/>
                <w:szCs w:val="1"/>
                <w:color w:val="auto"/>
              </w:rPr>
            </w:pPr>
          </w:p>
        </w:tc>
      </w:tr>
      <w:tr>
        <w:trPr>
          <w:trHeight w:val="181"/>
        </w:trPr>
        <w:tc>
          <w:tcPr>
            <w:tcW w:w="504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Income on bank owned life insurance</w:t>
            </w:r>
          </w:p>
        </w:tc>
        <w:tc>
          <w:tcPr>
            <w:tcW w:w="180" w:type="dxa"/>
            <w:vAlign w:val="bottom"/>
            <w:shd w:val="clear" w:color="auto" w:fill="E0E7ED"/>
          </w:tcPr>
          <w:p>
            <w:pPr>
              <w:spacing w:after="0"/>
              <w:rPr>
                <w:sz w:val="15"/>
                <w:szCs w:val="15"/>
                <w:color w:val="auto"/>
              </w:rPr>
            </w:pPr>
          </w:p>
        </w:tc>
        <w:tc>
          <w:tcPr>
            <w:tcW w:w="13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1,189</w:t>
            </w: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1,001</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12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4,050</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3,682</w:t>
            </w:r>
          </w:p>
        </w:tc>
        <w:tc>
          <w:tcPr>
            <w:tcW w:w="0" w:type="dxa"/>
            <w:vAlign w:val="bottom"/>
          </w:tcPr>
          <w:p>
            <w:pPr>
              <w:spacing w:after="0"/>
              <w:rPr>
                <w:sz w:val="1"/>
                <w:szCs w:val="1"/>
                <w:color w:val="auto"/>
              </w:rPr>
            </w:pPr>
          </w:p>
        </w:tc>
      </w:tr>
      <w:tr>
        <w:trPr>
          <w:trHeight w:val="170"/>
        </w:trPr>
        <w:tc>
          <w:tcPr>
            <w:tcW w:w="5040" w:type="dxa"/>
            <w:vAlign w:val="bottom"/>
          </w:tcPr>
          <w:p>
            <w:pPr>
              <w:ind w:left="180"/>
              <w:spacing w:after="0"/>
              <w:rPr>
                <w:sz w:val="20"/>
                <w:szCs w:val="20"/>
                <w:color w:val="auto"/>
              </w:rPr>
            </w:pPr>
            <w:r>
              <w:rPr>
                <w:rFonts w:ascii="Verdana" w:cs="Verdana" w:eastAsia="Verdana" w:hAnsi="Verdana"/>
                <w:sz w:val="13"/>
                <w:szCs w:val="13"/>
                <w:color w:val="auto"/>
              </w:rPr>
              <w:t>Realized net gains (losses) on the sale of mortgage servicing rights</w:t>
            </w:r>
          </w:p>
        </w:tc>
        <w:tc>
          <w:tcPr>
            <w:tcW w:w="1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Verdana" w:cs="Verdana" w:eastAsia="Verdana" w:hAnsi="Verdana"/>
                <w:sz w:val="13"/>
                <w:szCs w:val="13"/>
                <w:color w:val="auto"/>
              </w:rPr>
              <w:t>(18)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4"/>
                <w:szCs w:val="14"/>
                <w:color w:val="auto"/>
              </w:rPr>
            </w:pPr>
          </w:p>
        </w:tc>
        <w:tc>
          <w:tcPr>
            <w:tcW w:w="1260" w:type="dxa"/>
            <w:vAlign w:val="bottom"/>
          </w:tcPr>
          <w:p>
            <w:pPr>
              <w:jc w:val="right"/>
              <w:ind w:right="17"/>
              <w:spacing w:after="0"/>
              <w:rPr>
                <w:sz w:val="20"/>
                <w:szCs w:val="20"/>
                <w:color w:val="auto"/>
              </w:rPr>
            </w:pPr>
            <w:r>
              <w:rPr>
                <w:rFonts w:ascii="Verdana" w:cs="Verdana" w:eastAsia="Verdana" w:hAnsi="Verdana"/>
                <w:sz w:val="13"/>
                <w:szCs w:val="13"/>
                <w:color w:val="auto"/>
              </w:rPr>
              <w:t>7,724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0" w:type="dxa"/>
            <w:vAlign w:val="bottom"/>
          </w:tcPr>
          <w:p>
            <w:pPr>
              <w:spacing w:after="0"/>
              <w:rPr>
                <w:sz w:val="1"/>
                <w:szCs w:val="1"/>
                <w:color w:val="auto"/>
              </w:rPr>
            </w:pPr>
          </w:p>
        </w:tc>
      </w:tr>
      <w:tr>
        <w:trPr>
          <w:trHeight w:val="181"/>
        </w:trPr>
        <w:tc>
          <w:tcPr>
            <w:tcW w:w="504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Realized net gains (losses) on securities</w:t>
            </w:r>
          </w:p>
        </w:tc>
        <w:tc>
          <w:tcPr>
            <w:tcW w:w="180" w:type="dxa"/>
            <w:vAlign w:val="bottom"/>
            <w:shd w:val="clear" w:color="auto" w:fill="E0E7ED"/>
          </w:tcPr>
          <w:p>
            <w:pPr>
              <w:spacing w:after="0"/>
              <w:rPr>
                <w:sz w:val="15"/>
                <w:szCs w:val="15"/>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(11)</w:t>
            </w: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(33)</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(6,817)</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(207)</w:t>
            </w:r>
          </w:p>
        </w:tc>
        <w:tc>
          <w:tcPr>
            <w:tcW w:w="0" w:type="dxa"/>
            <w:vAlign w:val="bottom"/>
          </w:tcPr>
          <w:p>
            <w:pPr>
              <w:spacing w:after="0"/>
              <w:rPr>
                <w:sz w:val="1"/>
                <w:szCs w:val="1"/>
                <w:color w:val="auto"/>
              </w:rPr>
            </w:pPr>
          </w:p>
        </w:tc>
      </w:tr>
      <w:tr>
        <w:trPr>
          <w:trHeight w:val="170"/>
        </w:trPr>
        <w:tc>
          <w:tcPr>
            <w:tcW w:w="5040" w:type="dxa"/>
            <w:vAlign w:val="bottom"/>
          </w:tcPr>
          <w:p>
            <w:pPr>
              <w:ind w:left="180"/>
              <w:spacing w:after="0"/>
              <w:rPr>
                <w:sz w:val="20"/>
                <w:szCs w:val="20"/>
                <w:color w:val="auto"/>
              </w:rPr>
            </w:pPr>
            <w:r>
              <w:rPr>
                <w:rFonts w:ascii="Verdana" w:cs="Verdana" w:eastAsia="Verdana" w:hAnsi="Verdana"/>
                <w:sz w:val="13"/>
                <w:szCs w:val="13"/>
                <w:color w:val="auto"/>
              </w:rPr>
              <w:t>Unrealized net gains (losses) recognized on equity securities</w:t>
            </w:r>
          </w:p>
        </w:tc>
        <w:tc>
          <w:tcPr>
            <w:tcW w:w="180" w:type="dxa"/>
            <w:vAlign w:val="bottom"/>
          </w:tcPr>
          <w:p>
            <w:pPr>
              <w:spacing w:after="0"/>
              <w:rPr>
                <w:sz w:val="14"/>
                <w:szCs w:val="14"/>
                <w:color w:val="auto"/>
              </w:rPr>
            </w:pPr>
          </w:p>
        </w:tc>
        <w:tc>
          <w:tcPr>
            <w:tcW w:w="1300" w:type="dxa"/>
            <w:vAlign w:val="bottom"/>
          </w:tcPr>
          <w:p>
            <w:pPr>
              <w:jc w:val="right"/>
              <w:ind w:right="17"/>
              <w:spacing w:after="0"/>
              <w:rPr>
                <w:sz w:val="20"/>
                <w:szCs w:val="20"/>
                <w:color w:val="auto"/>
              </w:rPr>
            </w:pPr>
            <w:r>
              <w:rPr>
                <w:rFonts w:ascii="Verdana" w:cs="Verdana" w:eastAsia="Verdana" w:hAnsi="Verdana"/>
                <w:sz w:val="13"/>
                <w:szCs w:val="13"/>
                <w:color w:val="auto"/>
              </w:rPr>
              <w:t>833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(252)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17"/>
              <w:spacing w:after="0"/>
              <w:rPr>
                <w:sz w:val="20"/>
                <w:szCs w:val="20"/>
                <w:color w:val="auto"/>
              </w:rPr>
            </w:pPr>
            <w:r>
              <w:rPr>
                <w:rFonts w:ascii="Verdana" w:cs="Verdana" w:eastAsia="Verdana" w:hAnsi="Verdana"/>
                <w:sz w:val="13"/>
                <w:szCs w:val="13"/>
                <w:color w:val="auto"/>
              </w:rPr>
              <w:t>911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(2,753)</w:t>
            </w:r>
          </w:p>
        </w:tc>
        <w:tc>
          <w:tcPr>
            <w:tcW w:w="0" w:type="dxa"/>
            <w:vAlign w:val="bottom"/>
          </w:tcPr>
          <w:p>
            <w:pPr>
              <w:spacing w:after="0"/>
              <w:rPr>
                <w:sz w:val="1"/>
                <w:szCs w:val="1"/>
                <w:color w:val="auto"/>
              </w:rPr>
            </w:pPr>
          </w:p>
        </w:tc>
      </w:tr>
      <w:tr>
        <w:trPr>
          <w:trHeight w:val="181"/>
        </w:trPr>
        <w:tc>
          <w:tcPr>
            <w:tcW w:w="504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Other noninterest income</w:t>
            </w:r>
          </w:p>
        </w:tc>
        <w:tc>
          <w:tcPr>
            <w:tcW w:w="180" w:type="dxa"/>
            <w:vAlign w:val="bottom"/>
            <w:tcBorders>
              <w:bottom w:val="single" w:sz="8" w:color="auto"/>
            </w:tcBorders>
            <w:shd w:val="clear" w:color="auto" w:fill="E0E7ED"/>
          </w:tcPr>
          <w:p>
            <w:pPr>
              <w:spacing w:after="0"/>
              <w:rPr>
                <w:sz w:val="15"/>
                <w:szCs w:val="15"/>
                <w:color w:val="auto"/>
              </w:rPr>
            </w:pPr>
          </w:p>
        </w:tc>
        <w:tc>
          <w:tcPr>
            <w:tcW w:w="130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4,792</w:t>
            </w:r>
          </w:p>
        </w:tc>
        <w:tc>
          <w:tcPr>
            <w:tcW w:w="80" w:type="dxa"/>
            <w:vAlign w:val="bottom"/>
            <w:shd w:val="clear" w:color="auto" w:fill="E0E7ED"/>
          </w:tcPr>
          <w:p>
            <w:pPr>
              <w:spacing w:after="0"/>
              <w:rPr>
                <w:sz w:val="15"/>
                <w:szCs w:val="15"/>
                <w:color w:val="auto"/>
              </w:rPr>
            </w:pPr>
          </w:p>
        </w:tc>
        <w:tc>
          <w:tcPr>
            <w:tcW w:w="34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3,018</w:t>
            </w:r>
          </w:p>
        </w:tc>
        <w:tc>
          <w:tcPr>
            <w:tcW w:w="80" w:type="dxa"/>
            <w:vAlign w:val="bottom"/>
            <w:shd w:val="clear" w:color="auto" w:fill="E0E7ED"/>
          </w:tcPr>
          <w:p>
            <w:pPr>
              <w:spacing w:after="0"/>
              <w:rPr>
                <w:sz w:val="15"/>
                <w:szCs w:val="15"/>
                <w:color w:val="auto"/>
              </w:rPr>
            </w:pPr>
          </w:p>
        </w:tc>
        <w:tc>
          <w:tcPr>
            <w:tcW w:w="220" w:type="dxa"/>
            <w:vAlign w:val="bottom"/>
            <w:tcBorders>
              <w:bottom w:val="single" w:sz="8" w:color="auto"/>
            </w:tcBorders>
            <w:shd w:val="clear" w:color="auto" w:fill="E0E7ED"/>
          </w:tcPr>
          <w:p>
            <w:pPr>
              <w:spacing w:after="0"/>
              <w:rPr>
                <w:sz w:val="15"/>
                <w:szCs w:val="15"/>
                <w:color w:val="auto"/>
              </w:rPr>
            </w:pPr>
          </w:p>
        </w:tc>
        <w:tc>
          <w:tcPr>
            <w:tcW w:w="12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10,550</w:t>
            </w:r>
          </w:p>
        </w:tc>
        <w:tc>
          <w:tcPr>
            <w:tcW w:w="100" w:type="dxa"/>
            <w:vAlign w:val="bottom"/>
            <w:shd w:val="clear" w:color="auto" w:fill="E0E7ED"/>
          </w:tcPr>
          <w:p>
            <w:pPr>
              <w:spacing w:after="0"/>
              <w:rPr>
                <w:sz w:val="15"/>
                <w:szCs w:val="15"/>
                <w:color w:val="auto"/>
              </w:rPr>
            </w:pPr>
          </w:p>
        </w:tc>
        <w:tc>
          <w:tcPr>
            <w:tcW w:w="32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8,349</w:t>
            </w:r>
          </w:p>
        </w:tc>
        <w:tc>
          <w:tcPr>
            <w:tcW w:w="0" w:type="dxa"/>
            <w:vAlign w:val="bottom"/>
          </w:tcPr>
          <w:p>
            <w:pPr>
              <w:spacing w:after="0"/>
              <w:rPr>
                <w:sz w:val="1"/>
                <w:szCs w:val="1"/>
                <w:color w:val="auto"/>
              </w:rPr>
            </w:pPr>
          </w:p>
        </w:tc>
      </w:tr>
      <w:tr>
        <w:trPr>
          <w:trHeight w:val="164"/>
        </w:trPr>
        <w:tc>
          <w:tcPr>
            <w:tcW w:w="5040" w:type="dxa"/>
            <w:vAlign w:val="bottom"/>
            <w:tcBorders>
              <w:bottom w:val="single" w:sz="8" w:color="E0E7ED"/>
            </w:tcBorders>
          </w:tcPr>
          <w:p>
            <w:pPr>
              <w:ind w:left="20"/>
              <w:spacing w:after="0" w:line="153" w:lineRule="exact"/>
              <w:rPr>
                <w:sz w:val="20"/>
                <w:szCs w:val="20"/>
                <w:color w:val="auto"/>
              </w:rPr>
            </w:pPr>
            <w:r>
              <w:rPr>
                <w:rFonts w:ascii="Verdana" w:cs="Verdana" w:eastAsia="Verdana" w:hAnsi="Verdana"/>
                <w:sz w:val="13"/>
                <w:szCs w:val="13"/>
                <w:color w:val="auto"/>
              </w:rPr>
              <w:t>Total noninterest income</w:t>
            </w: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35,951</w:t>
            </w:r>
          </w:p>
        </w:tc>
        <w:tc>
          <w:tcPr>
            <w:tcW w:w="8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31,008</w:t>
            </w:r>
          </w:p>
        </w:tc>
        <w:tc>
          <w:tcPr>
            <w:tcW w:w="80" w:type="dxa"/>
            <w:vAlign w:val="bottom"/>
            <w:tcBorders>
              <w:bottom w:val="single" w:sz="8" w:color="E0E7ED"/>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104,752</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90,868</w:t>
            </w:r>
          </w:p>
        </w:tc>
        <w:tc>
          <w:tcPr>
            <w:tcW w:w="0" w:type="dxa"/>
            <w:vAlign w:val="bottom"/>
          </w:tcPr>
          <w:p>
            <w:pPr>
              <w:spacing w:after="0"/>
              <w:rPr>
                <w:sz w:val="1"/>
                <w:szCs w:val="1"/>
                <w:color w:val="auto"/>
              </w:rPr>
            </w:pPr>
          </w:p>
        </w:tc>
      </w:tr>
      <w:tr>
        <w:trPr>
          <w:trHeight w:val="161"/>
        </w:trPr>
        <w:tc>
          <w:tcPr>
            <w:tcW w:w="5040" w:type="dxa"/>
            <w:vAlign w:val="bottom"/>
            <w:shd w:val="clear" w:color="auto" w:fill="E0E7ED"/>
          </w:tcPr>
          <w:p>
            <w:pPr>
              <w:spacing w:after="0"/>
              <w:rPr>
                <w:sz w:val="13"/>
                <w:szCs w:val="13"/>
                <w:color w:val="auto"/>
              </w:rPr>
            </w:pPr>
          </w:p>
        </w:tc>
        <w:tc>
          <w:tcPr>
            <w:tcW w:w="180" w:type="dxa"/>
            <w:vAlign w:val="bottom"/>
            <w:shd w:val="clear" w:color="auto" w:fill="E0E7ED"/>
          </w:tcPr>
          <w:p>
            <w:pPr>
              <w:spacing w:after="0"/>
              <w:rPr>
                <w:sz w:val="13"/>
                <w:szCs w:val="13"/>
                <w:color w:val="auto"/>
              </w:rPr>
            </w:pPr>
          </w:p>
        </w:tc>
        <w:tc>
          <w:tcPr>
            <w:tcW w:w="130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34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220" w:type="dxa"/>
            <w:vAlign w:val="bottom"/>
            <w:shd w:val="clear" w:color="auto" w:fill="E0E7ED"/>
          </w:tcPr>
          <w:p>
            <w:pPr>
              <w:spacing w:after="0"/>
              <w:rPr>
                <w:sz w:val="13"/>
                <w:szCs w:val="13"/>
                <w:color w:val="auto"/>
              </w:rPr>
            </w:pPr>
          </w:p>
        </w:tc>
        <w:tc>
          <w:tcPr>
            <w:tcW w:w="126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32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040" w:type="dxa"/>
            <w:vAlign w:val="bottom"/>
          </w:tcPr>
          <w:p>
            <w:pPr>
              <w:ind w:left="20"/>
              <w:spacing w:after="0"/>
              <w:rPr>
                <w:sz w:val="20"/>
                <w:szCs w:val="20"/>
                <w:color w:val="auto"/>
              </w:rPr>
            </w:pPr>
            <w:r>
              <w:rPr>
                <w:rFonts w:ascii="Verdana" w:cs="Verdana" w:eastAsia="Verdana" w:hAnsi="Verdana"/>
                <w:sz w:val="13"/>
                <w:szCs w:val="13"/>
                <w:b w:val="1"/>
                <w:bCs w:val="1"/>
                <w:color w:val="auto"/>
              </w:rPr>
              <w:t>Noninterest expense</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04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Salaries, wages, and employee benefits</w:t>
            </w:r>
          </w:p>
        </w:tc>
        <w:tc>
          <w:tcPr>
            <w:tcW w:w="180" w:type="dxa"/>
            <w:vAlign w:val="bottom"/>
            <w:shd w:val="clear" w:color="auto" w:fill="E0E7ED"/>
          </w:tcPr>
          <w:p>
            <w:pPr>
              <w:spacing w:after="0"/>
              <w:rPr>
                <w:sz w:val="15"/>
                <w:szCs w:val="15"/>
                <w:color w:val="auto"/>
              </w:rPr>
            </w:pPr>
          </w:p>
        </w:tc>
        <w:tc>
          <w:tcPr>
            <w:tcW w:w="13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44,593</w:t>
            </w: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39,677</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12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130,161</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119,867</w:t>
            </w:r>
          </w:p>
        </w:tc>
        <w:tc>
          <w:tcPr>
            <w:tcW w:w="0" w:type="dxa"/>
            <w:vAlign w:val="bottom"/>
          </w:tcPr>
          <w:p>
            <w:pPr>
              <w:spacing w:after="0"/>
              <w:rPr>
                <w:sz w:val="1"/>
                <w:szCs w:val="1"/>
                <w:color w:val="auto"/>
              </w:rPr>
            </w:pPr>
          </w:p>
        </w:tc>
      </w:tr>
      <w:tr>
        <w:trPr>
          <w:trHeight w:val="170"/>
        </w:trPr>
        <w:tc>
          <w:tcPr>
            <w:tcW w:w="5040" w:type="dxa"/>
            <w:vAlign w:val="bottom"/>
          </w:tcPr>
          <w:p>
            <w:pPr>
              <w:ind w:left="180"/>
              <w:spacing w:after="0"/>
              <w:rPr>
                <w:sz w:val="20"/>
                <w:szCs w:val="20"/>
                <w:color w:val="auto"/>
              </w:rPr>
            </w:pPr>
            <w:r>
              <w:rPr>
                <w:rFonts w:ascii="Verdana" w:cs="Verdana" w:eastAsia="Verdana" w:hAnsi="Verdana"/>
                <w:sz w:val="13"/>
                <w:szCs w:val="13"/>
                <w:color w:val="auto"/>
              </w:rPr>
              <w:t>Data processing</w:t>
            </w:r>
          </w:p>
        </w:tc>
        <w:tc>
          <w:tcPr>
            <w:tcW w:w="180" w:type="dxa"/>
            <w:vAlign w:val="bottom"/>
          </w:tcPr>
          <w:p>
            <w:pPr>
              <w:spacing w:after="0"/>
              <w:rPr>
                <w:sz w:val="14"/>
                <w:szCs w:val="14"/>
                <w:color w:val="auto"/>
              </w:rPr>
            </w:pPr>
          </w:p>
        </w:tc>
        <w:tc>
          <w:tcPr>
            <w:tcW w:w="1300" w:type="dxa"/>
            <w:vAlign w:val="bottom"/>
          </w:tcPr>
          <w:p>
            <w:pPr>
              <w:jc w:val="right"/>
              <w:ind w:right="17"/>
              <w:spacing w:after="0"/>
              <w:rPr>
                <w:sz w:val="20"/>
                <w:szCs w:val="20"/>
                <w:color w:val="auto"/>
              </w:rPr>
            </w:pPr>
            <w:r>
              <w:rPr>
                <w:rFonts w:ascii="Verdana" w:cs="Verdana" w:eastAsia="Verdana" w:hAnsi="Verdana"/>
                <w:sz w:val="13"/>
                <w:szCs w:val="13"/>
                <w:color w:val="auto"/>
              </w:rPr>
              <w:t>6,910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5,930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17"/>
              <w:spacing w:after="0"/>
              <w:rPr>
                <w:sz w:val="20"/>
                <w:szCs w:val="20"/>
                <w:color w:val="auto"/>
              </w:rPr>
            </w:pPr>
            <w:r>
              <w:rPr>
                <w:rFonts w:ascii="Verdana" w:cs="Verdana" w:eastAsia="Verdana" w:hAnsi="Verdana"/>
                <w:sz w:val="13"/>
                <w:szCs w:val="13"/>
                <w:color w:val="auto"/>
              </w:rPr>
              <w:t>20,560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17,472</w:t>
            </w:r>
          </w:p>
        </w:tc>
        <w:tc>
          <w:tcPr>
            <w:tcW w:w="0" w:type="dxa"/>
            <w:vAlign w:val="bottom"/>
          </w:tcPr>
          <w:p>
            <w:pPr>
              <w:spacing w:after="0"/>
              <w:rPr>
                <w:sz w:val="1"/>
                <w:szCs w:val="1"/>
                <w:color w:val="auto"/>
              </w:rPr>
            </w:pPr>
          </w:p>
        </w:tc>
      </w:tr>
      <w:tr>
        <w:trPr>
          <w:trHeight w:val="181"/>
        </w:trPr>
        <w:tc>
          <w:tcPr>
            <w:tcW w:w="504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Net occupancy expense of premises</w:t>
            </w:r>
          </w:p>
        </w:tc>
        <w:tc>
          <w:tcPr>
            <w:tcW w:w="180" w:type="dxa"/>
            <w:vAlign w:val="bottom"/>
            <w:shd w:val="clear" w:color="auto" w:fill="E0E7ED"/>
          </w:tcPr>
          <w:p>
            <w:pPr>
              <w:spacing w:after="0"/>
              <w:rPr>
                <w:sz w:val="15"/>
                <w:szCs w:val="15"/>
                <w:color w:val="auto"/>
              </w:rPr>
            </w:pPr>
          </w:p>
        </w:tc>
        <w:tc>
          <w:tcPr>
            <w:tcW w:w="13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4,633</w:t>
            </w: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4,594</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12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13,943</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13,896</w:t>
            </w:r>
          </w:p>
        </w:tc>
        <w:tc>
          <w:tcPr>
            <w:tcW w:w="0" w:type="dxa"/>
            <w:vAlign w:val="bottom"/>
          </w:tcPr>
          <w:p>
            <w:pPr>
              <w:spacing w:after="0"/>
              <w:rPr>
                <w:sz w:val="1"/>
                <w:szCs w:val="1"/>
                <w:color w:val="auto"/>
              </w:rPr>
            </w:pPr>
          </w:p>
        </w:tc>
      </w:tr>
      <w:tr>
        <w:trPr>
          <w:trHeight w:val="170"/>
        </w:trPr>
        <w:tc>
          <w:tcPr>
            <w:tcW w:w="5040" w:type="dxa"/>
            <w:vAlign w:val="bottom"/>
          </w:tcPr>
          <w:p>
            <w:pPr>
              <w:ind w:left="180"/>
              <w:spacing w:after="0"/>
              <w:rPr>
                <w:sz w:val="20"/>
                <w:szCs w:val="20"/>
                <w:color w:val="auto"/>
              </w:rPr>
            </w:pPr>
            <w:r>
              <w:rPr>
                <w:rFonts w:ascii="Verdana" w:cs="Verdana" w:eastAsia="Verdana" w:hAnsi="Verdana"/>
                <w:sz w:val="13"/>
                <w:szCs w:val="13"/>
                <w:color w:val="auto"/>
              </w:rPr>
              <w:t>Furniture and equipment expenses</w:t>
            </w:r>
          </w:p>
        </w:tc>
        <w:tc>
          <w:tcPr>
            <w:tcW w:w="180" w:type="dxa"/>
            <w:vAlign w:val="bottom"/>
          </w:tcPr>
          <w:p>
            <w:pPr>
              <w:spacing w:after="0"/>
              <w:rPr>
                <w:sz w:val="14"/>
                <w:szCs w:val="14"/>
                <w:color w:val="auto"/>
              </w:rPr>
            </w:pPr>
          </w:p>
        </w:tc>
        <w:tc>
          <w:tcPr>
            <w:tcW w:w="1300" w:type="dxa"/>
            <w:vAlign w:val="bottom"/>
          </w:tcPr>
          <w:p>
            <w:pPr>
              <w:jc w:val="right"/>
              <w:ind w:right="17"/>
              <w:spacing w:after="0"/>
              <w:rPr>
                <w:sz w:val="20"/>
                <w:szCs w:val="20"/>
                <w:color w:val="auto"/>
              </w:rPr>
            </w:pPr>
            <w:r>
              <w:rPr>
                <w:rFonts w:ascii="Verdana" w:cs="Verdana" w:eastAsia="Verdana" w:hAnsi="Verdana"/>
                <w:sz w:val="13"/>
                <w:szCs w:val="13"/>
                <w:color w:val="auto"/>
              </w:rPr>
              <w:t>1,647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1,638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17"/>
              <w:spacing w:after="0"/>
              <w:rPr>
                <w:sz w:val="20"/>
                <w:szCs w:val="20"/>
                <w:color w:val="auto"/>
              </w:rPr>
            </w:pPr>
            <w:r>
              <w:rPr>
                <w:rFonts w:ascii="Verdana" w:cs="Verdana" w:eastAsia="Verdana" w:hAnsi="Verdana"/>
                <w:sz w:val="13"/>
                <w:szCs w:val="13"/>
                <w:color w:val="auto"/>
              </w:rPr>
              <w:t>5,155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5,065</w:t>
            </w:r>
          </w:p>
        </w:tc>
        <w:tc>
          <w:tcPr>
            <w:tcW w:w="0" w:type="dxa"/>
            <w:vAlign w:val="bottom"/>
          </w:tcPr>
          <w:p>
            <w:pPr>
              <w:spacing w:after="0"/>
              <w:rPr>
                <w:sz w:val="1"/>
                <w:szCs w:val="1"/>
                <w:color w:val="auto"/>
              </w:rPr>
            </w:pPr>
          </w:p>
        </w:tc>
      </w:tr>
      <w:tr>
        <w:trPr>
          <w:trHeight w:val="181"/>
        </w:trPr>
        <w:tc>
          <w:tcPr>
            <w:tcW w:w="504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Professional fees</w:t>
            </w:r>
          </w:p>
        </w:tc>
        <w:tc>
          <w:tcPr>
            <w:tcW w:w="180" w:type="dxa"/>
            <w:vAlign w:val="bottom"/>
            <w:shd w:val="clear" w:color="auto" w:fill="E0E7ED"/>
          </w:tcPr>
          <w:p>
            <w:pPr>
              <w:spacing w:after="0"/>
              <w:rPr>
                <w:sz w:val="15"/>
                <w:szCs w:val="15"/>
                <w:color w:val="auto"/>
              </w:rPr>
            </w:pPr>
          </w:p>
        </w:tc>
        <w:tc>
          <w:tcPr>
            <w:tcW w:w="13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3,118</w:t>
            </w: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1,542</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12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7,866</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4,573</w:t>
            </w:r>
          </w:p>
        </w:tc>
        <w:tc>
          <w:tcPr>
            <w:tcW w:w="0" w:type="dxa"/>
            <w:vAlign w:val="bottom"/>
          </w:tcPr>
          <w:p>
            <w:pPr>
              <w:spacing w:after="0"/>
              <w:rPr>
                <w:sz w:val="1"/>
                <w:szCs w:val="1"/>
                <w:color w:val="auto"/>
              </w:rPr>
            </w:pPr>
          </w:p>
        </w:tc>
      </w:tr>
      <w:tr>
        <w:trPr>
          <w:trHeight w:val="170"/>
        </w:trPr>
        <w:tc>
          <w:tcPr>
            <w:tcW w:w="5040" w:type="dxa"/>
            <w:vAlign w:val="bottom"/>
          </w:tcPr>
          <w:p>
            <w:pPr>
              <w:ind w:left="180"/>
              <w:spacing w:after="0"/>
              <w:rPr>
                <w:sz w:val="20"/>
                <w:szCs w:val="20"/>
                <w:color w:val="auto"/>
              </w:rPr>
            </w:pPr>
            <w:r>
              <w:rPr>
                <w:rFonts w:ascii="Verdana" w:cs="Verdana" w:eastAsia="Verdana" w:hAnsi="Verdana"/>
                <w:sz w:val="13"/>
                <w:szCs w:val="13"/>
                <w:color w:val="auto"/>
              </w:rPr>
              <w:t>Amortization of intangible assets</w:t>
            </w:r>
          </w:p>
        </w:tc>
        <w:tc>
          <w:tcPr>
            <w:tcW w:w="180" w:type="dxa"/>
            <w:vAlign w:val="bottom"/>
          </w:tcPr>
          <w:p>
            <w:pPr>
              <w:spacing w:after="0"/>
              <w:rPr>
                <w:sz w:val="14"/>
                <w:szCs w:val="14"/>
                <w:color w:val="auto"/>
              </w:rPr>
            </w:pPr>
          </w:p>
        </w:tc>
        <w:tc>
          <w:tcPr>
            <w:tcW w:w="1300" w:type="dxa"/>
            <w:vAlign w:val="bottom"/>
          </w:tcPr>
          <w:p>
            <w:pPr>
              <w:jc w:val="right"/>
              <w:ind w:right="17"/>
              <w:spacing w:after="0"/>
              <w:rPr>
                <w:sz w:val="20"/>
                <w:szCs w:val="20"/>
                <w:color w:val="auto"/>
              </w:rPr>
            </w:pPr>
            <w:r>
              <w:rPr>
                <w:rFonts w:ascii="Verdana" w:cs="Verdana" w:eastAsia="Verdana" w:hAnsi="Verdana"/>
                <w:sz w:val="13"/>
                <w:szCs w:val="13"/>
                <w:color w:val="auto"/>
              </w:rPr>
              <w:t>2,548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2,555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17"/>
              <w:spacing w:after="0"/>
              <w:rPr>
                <w:sz w:val="20"/>
                <w:szCs w:val="20"/>
                <w:color w:val="auto"/>
              </w:rPr>
            </w:pPr>
            <w:r>
              <w:rPr>
                <w:rFonts w:ascii="Verdana" w:cs="Verdana" w:eastAsia="Verdana" w:hAnsi="Verdana"/>
                <w:sz w:val="13"/>
                <w:szCs w:val="13"/>
                <w:color w:val="auto"/>
              </w:rPr>
              <w:t>7,586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7,953</w:t>
            </w:r>
          </w:p>
        </w:tc>
        <w:tc>
          <w:tcPr>
            <w:tcW w:w="0" w:type="dxa"/>
            <w:vAlign w:val="bottom"/>
          </w:tcPr>
          <w:p>
            <w:pPr>
              <w:spacing w:after="0"/>
              <w:rPr>
                <w:sz w:val="1"/>
                <w:szCs w:val="1"/>
                <w:color w:val="auto"/>
              </w:rPr>
            </w:pPr>
          </w:p>
        </w:tc>
      </w:tr>
      <w:tr>
        <w:trPr>
          <w:trHeight w:val="181"/>
        </w:trPr>
        <w:tc>
          <w:tcPr>
            <w:tcW w:w="504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Interchange expense</w:t>
            </w:r>
          </w:p>
        </w:tc>
        <w:tc>
          <w:tcPr>
            <w:tcW w:w="180" w:type="dxa"/>
            <w:vAlign w:val="bottom"/>
            <w:shd w:val="clear" w:color="auto" w:fill="E0E7ED"/>
          </w:tcPr>
          <w:p>
            <w:pPr>
              <w:spacing w:after="0"/>
              <w:rPr>
                <w:sz w:val="15"/>
                <w:szCs w:val="15"/>
                <w:color w:val="auto"/>
              </w:rPr>
            </w:pPr>
          </w:p>
        </w:tc>
        <w:tc>
          <w:tcPr>
            <w:tcW w:w="13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1,352</w:t>
            </w: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1,786</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12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4,696</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5,509</w:t>
            </w:r>
          </w:p>
        </w:tc>
        <w:tc>
          <w:tcPr>
            <w:tcW w:w="0" w:type="dxa"/>
            <w:vAlign w:val="bottom"/>
          </w:tcPr>
          <w:p>
            <w:pPr>
              <w:spacing w:after="0"/>
              <w:rPr>
                <w:sz w:val="1"/>
                <w:szCs w:val="1"/>
                <w:color w:val="auto"/>
              </w:rPr>
            </w:pPr>
          </w:p>
        </w:tc>
      </w:tr>
      <w:tr>
        <w:trPr>
          <w:trHeight w:val="170"/>
        </w:trPr>
        <w:tc>
          <w:tcPr>
            <w:tcW w:w="5040" w:type="dxa"/>
            <w:vAlign w:val="bottom"/>
          </w:tcPr>
          <w:p>
            <w:pPr>
              <w:ind w:left="180"/>
              <w:spacing w:after="0"/>
              <w:rPr>
                <w:sz w:val="20"/>
                <w:szCs w:val="20"/>
                <w:color w:val="auto"/>
              </w:rPr>
            </w:pPr>
            <w:r>
              <w:rPr>
                <w:rFonts w:ascii="Verdana" w:cs="Verdana" w:eastAsia="Verdana" w:hAnsi="Verdana"/>
                <w:sz w:val="13"/>
                <w:szCs w:val="13"/>
                <w:color w:val="auto"/>
              </w:rPr>
              <w:t>FDIC insurance</w:t>
            </w:r>
          </w:p>
        </w:tc>
        <w:tc>
          <w:tcPr>
            <w:tcW w:w="180" w:type="dxa"/>
            <w:vAlign w:val="bottom"/>
          </w:tcPr>
          <w:p>
            <w:pPr>
              <w:spacing w:after="0"/>
              <w:rPr>
                <w:sz w:val="14"/>
                <w:szCs w:val="14"/>
                <w:color w:val="auto"/>
              </w:rPr>
            </w:pPr>
          </w:p>
        </w:tc>
        <w:tc>
          <w:tcPr>
            <w:tcW w:w="1300" w:type="dxa"/>
            <w:vAlign w:val="bottom"/>
          </w:tcPr>
          <w:p>
            <w:pPr>
              <w:jc w:val="right"/>
              <w:ind w:right="17"/>
              <w:spacing w:after="0"/>
              <w:rPr>
                <w:sz w:val="20"/>
                <w:szCs w:val="20"/>
                <w:color w:val="auto"/>
              </w:rPr>
            </w:pPr>
            <w:r>
              <w:rPr>
                <w:rFonts w:ascii="Verdana" w:cs="Verdana" w:eastAsia="Verdana" w:hAnsi="Verdana"/>
                <w:sz w:val="13"/>
                <w:szCs w:val="13"/>
                <w:color w:val="auto"/>
              </w:rPr>
              <w:t>1,413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1,475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17"/>
              <w:spacing w:after="0"/>
              <w:rPr>
                <w:sz w:val="20"/>
                <w:szCs w:val="20"/>
                <w:color w:val="auto"/>
              </w:rPr>
            </w:pPr>
            <w:r>
              <w:rPr>
                <w:rFonts w:ascii="Verdana" w:cs="Verdana" w:eastAsia="Verdana" w:hAnsi="Verdana"/>
                <w:sz w:val="13"/>
                <w:szCs w:val="13"/>
                <w:color w:val="auto"/>
              </w:rPr>
              <w:t>4,273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4,483</w:t>
            </w:r>
          </w:p>
        </w:tc>
        <w:tc>
          <w:tcPr>
            <w:tcW w:w="0" w:type="dxa"/>
            <w:vAlign w:val="bottom"/>
          </w:tcPr>
          <w:p>
            <w:pPr>
              <w:spacing w:after="0"/>
              <w:rPr>
                <w:sz w:val="1"/>
                <w:szCs w:val="1"/>
                <w:color w:val="auto"/>
              </w:rPr>
            </w:pPr>
          </w:p>
        </w:tc>
      </w:tr>
      <w:tr>
        <w:trPr>
          <w:trHeight w:val="181"/>
        </w:trPr>
        <w:tc>
          <w:tcPr>
            <w:tcW w:w="504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Other noninterest expense</w:t>
            </w:r>
          </w:p>
        </w:tc>
        <w:tc>
          <w:tcPr>
            <w:tcW w:w="180" w:type="dxa"/>
            <w:vAlign w:val="bottom"/>
            <w:tcBorders>
              <w:bottom w:val="single" w:sz="8" w:color="auto"/>
            </w:tcBorders>
            <w:shd w:val="clear" w:color="auto" w:fill="E0E7ED"/>
          </w:tcPr>
          <w:p>
            <w:pPr>
              <w:spacing w:after="0"/>
              <w:rPr>
                <w:sz w:val="15"/>
                <w:szCs w:val="15"/>
                <w:color w:val="auto"/>
              </w:rPr>
            </w:pPr>
          </w:p>
        </w:tc>
        <w:tc>
          <w:tcPr>
            <w:tcW w:w="130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9,712</w:t>
            </w:r>
          </w:p>
        </w:tc>
        <w:tc>
          <w:tcPr>
            <w:tcW w:w="80" w:type="dxa"/>
            <w:vAlign w:val="bottom"/>
            <w:shd w:val="clear" w:color="auto" w:fill="E0E7ED"/>
          </w:tcPr>
          <w:p>
            <w:pPr>
              <w:spacing w:after="0"/>
              <w:rPr>
                <w:sz w:val="15"/>
                <w:szCs w:val="15"/>
                <w:color w:val="auto"/>
              </w:rPr>
            </w:pPr>
          </w:p>
        </w:tc>
        <w:tc>
          <w:tcPr>
            <w:tcW w:w="34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11,748</w:t>
            </w:r>
          </w:p>
        </w:tc>
        <w:tc>
          <w:tcPr>
            <w:tcW w:w="80" w:type="dxa"/>
            <w:vAlign w:val="bottom"/>
            <w:shd w:val="clear" w:color="auto" w:fill="E0E7ED"/>
          </w:tcPr>
          <w:p>
            <w:pPr>
              <w:spacing w:after="0"/>
              <w:rPr>
                <w:sz w:val="15"/>
                <w:szCs w:val="15"/>
                <w:color w:val="auto"/>
              </w:rPr>
            </w:pPr>
          </w:p>
        </w:tc>
        <w:tc>
          <w:tcPr>
            <w:tcW w:w="220" w:type="dxa"/>
            <w:vAlign w:val="bottom"/>
            <w:tcBorders>
              <w:bottom w:val="single" w:sz="8" w:color="auto"/>
            </w:tcBorders>
            <w:shd w:val="clear" w:color="auto" w:fill="E0E7ED"/>
          </w:tcPr>
          <w:p>
            <w:pPr>
              <w:spacing w:after="0"/>
              <w:rPr>
                <w:sz w:val="15"/>
                <w:szCs w:val="15"/>
                <w:color w:val="auto"/>
              </w:rPr>
            </w:pPr>
          </w:p>
        </w:tc>
        <w:tc>
          <w:tcPr>
            <w:tcW w:w="12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27,992</w:t>
            </w:r>
          </w:p>
        </w:tc>
        <w:tc>
          <w:tcPr>
            <w:tcW w:w="100" w:type="dxa"/>
            <w:vAlign w:val="bottom"/>
            <w:shd w:val="clear" w:color="auto" w:fill="E0E7ED"/>
          </w:tcPr>
          <w:p>
            <w:pPr>
              <w:spacing w:after="0"/>
              <w:rPr>
                <w:sz w:val="15"/>
                <w:szCs w:val="15"/>
                <w:color w:val="auto"/>
              </w:rPr>
            </w:pPr>
          </w:p>
        </w:tc>
        <w:tc>
          <w:tcPr>
            <w:tcW w:w="32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31,735</w:t>
            </w:r>
          </w:p>
        </w:tc>
        <w:tc>
          <w:tcPr>
            <w:tcW w:w="0" w:type="dxa"/>
            <w:vAlign w:val="bottom"/>
          </w:tcPr>
          <w:p>
            <w:pPr>
              <w:spacing w:after="0"/>
              <w:rPr>
                <w:sz w:val="1"/>
                <w:szCs w:val="1"/>
                <w:color w:val="auto"/>
              </w:rPr>
            </w:pPr>
          </w:p>
        </w:tc>
      </w:tr>
      <w:tr>
        <w:trPr>
          <w:trHeight w:val="164"/>
        </w:trPr>
        <w:tc>
          <w:tcPr>
            <w:tcW w:w="5040" w:type="dxa"/>
            <w:vAlign w:val="bottom"/>
            <w:tcBorders>
              <w:bottom w:val="single" w:sz="8" w:color="E0E7ED"/>
            </w:tcBorders>
          </w:tcPr>
          <w:p>
            <w:pPr>
              <w:ind w:left="20"/>
              <w:spacing w:after="0" w:line="153" w:lineRule="exact"/>
              <w:rPr>
                <w:sz w:val="20"/>
                <w:szCs w:val="20"/>
                <w:color w:val="auto"/>
              </w:rPr>
            </w:pPr>
            <w:r>
              <w:rPr>
                <w:rFonts w:ascii="Verdana" w:cs="Verdana" w:eastAsia="Verdana" w:hAnsi="Verdana"/>
                <w:sz w:val="13"/>
                <w:szCs w:val="13"/>
                <w:color w:val="auto"/>
              </w:rPr>
              <w:t>Total noninterest expense</w:t>
            </w: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75,926</w:t>
            </w:r>
          </w:p>
        </w:tc>
        <w:tc>
          <w:tcPr>
            <w:tcW w:w="8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70,945</w:t>
            </w:r>
          </w:p>
        </w:tc>
        <w:tc>
          <w:tcPr>
            <w:tcW w:w="80" w:type="dxa"/>
            <w:vAlign w:val="bottom"/>
            <w:tcBorders>
              <w:bottom w:val="single" w:sz="8" w:color="E0E7ED"/>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222,232</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210,553</w:t>
            </w:r>
          </w:p>
        </w:tc>
        <w:tc>
          <w:tcPr>
            <w:tcW w:w="0" w:type="dxa"/>
            <w:vAlign w:val="bottom"/>
          </w:tcPr>
          <w:p>
            <w:pPr>
              <w:spacing w:after="0"/>
              <w:rPr>
                <w:sz w:val="1"/>
                <w:szCs w:val="1"/>
                <w:color w:val="auto"/>
              </w:rPr>
            </w:pPr>
          </w:p>
        </w:tc>
      </w:tr>
      <w:tr>
        <w:trPr>
          <w:trHeight w:val="161"/>
        </w:trPr>
        <w:tc>
          <w:tcPr>
            <w:tcW w:w="5040" w:type="dxa"/>
            <w:vAlign w:val="bottom"/>
            <w:shd w:val="clear" w:color="auto" w:fill="E0E7ED"/>
          </w:tcPr>
          <w:p>
            <w:pPr>
              <w:spacing w:after="0"/>
              <w:rPr>
                <w:sz w:val="13"/>
                <w:szCs w:val="13"/>
                <w:color w:val="auto"/>
              </w:rPr>
            </w:pPr>
          </w:p>
        </w:tc>
        <w:tc>
          <w:tcPr>
            <w:tcW w:w="180" w:type="dxa"/>
            <w:vAlign w:val="bottom"/>
            <w:shd w:val="clear" w:color="auto" w:fill="E0E7ED"/>
          </w:tcPr>
          <w:p>
            <w:pPr>
              <w:spacing w:after="0"/>
              <w:rPr>
                <w:sz w:val="13"/>
                <w:szCs w:val="13"/>
                <w:color w:val="auto"/>
              </w:rPr>
            </w:pPr>
          </w:p>
        </w:tc>
        <w:tc>
          <w:tcPr>
            <w:tcW w:w="130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34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220" w:type="dxa"/>
            <w:vAlign w:val="bottom"/>
            <w:shd w:val="clear" w:color="auto" w:fill="E0E7ED"/>
          </w:tcPr>
          <w:p>
            <w:pPr>
              <w:spacing w:after="0"/>
              <w:rPr>
                <w:sz w:val="13"/>
                <w:szCs w:val="13"/>
                <w:color w:val="auto"/>
              </w:rPr>
            </w:pPr>
          </w:p>
        </w:tc>
        <w:tc>
          <w:tcPr>
            <w:tcW w:w="126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32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040" w:type="dxa"/>
            <w:vAlign w:val="bottom"/>
          </w:tcPr>
          <w:p>
            <w:pPr>
              <w:ind w:left="20"/>
              <w:spacing w:after="0"/>
              <w:rPr>
                <w:sz w:val="20"/>
                <w:szCs w:val="20"/>
                <w:color w:val="auto"/>
              </w:rPr>
            </w:pPr>
            <w:r>
              <w:rPr>
                <w:rFonts w:ascii="Verdana" w:cs="Verdana" w:eastAsia="Verdana" w:hAnsi="Verdana"/>
                <w:sz w:val="13"/>
                <w:szCs w:val="13"/>
                <w:color w:val="auto"/>
              </w:rPr>
              <w:t>Income before income taxes</w:t>
            </w:r>
          </w:p>
        </w:tc>
        <w:tc>
          <w:tcPr>
            <w:tcW w:w="180" w:type="dxa"/>
            <w:vAlign w:val="bottom"/>
          </w:tcPr>
          <w:p>
            <w:pPr>
              <w:spacing w:after="0"/>
              <w:rPr>
                <w:sz w:val="14"/>
                <w:szCs w:val="14"/>
                <w:color w:val="auto"/>
              </w:rPr>
            </w:pPr>
          </w:p>
        </w:tc>
        <w:tc>
          <w:tcPr>
            <w:tcW w:w="1300" w:type="dxa"/>
            <w:vAlign w:val="bottom"/>
          </w:tcPr>
          <w:p>
            <w:pPr>
              <w:jc w:val="right"/>
              <w:ind w:right="17"/>
              <w:spacing w:after="0"/>
              <w:rPr>
                <w:sz w:val="20"/>
                <w:szCs w:val="20"/>
                <w:color w:val="auto"/>
              </w:rPr>
            </w:pPr>
            <w:r>
              <w:rPr>
                <w:rFonts w:ascii="Verdana" w:cs="Verdana" w:eastAsia="Verdana" w:hAnsi="Verdana"/>
                <w:sz w:val="13"/>
                <w:szCs w:val="13"/>
                <w:color w:val="auto"/>
              </w:rPr>
              <w:t>42,564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37,490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17"/>
              <w:spacing w:after="0"/>
              <w:rPr>
                <w:sz w:val="20"/>
                <w:szCs w:val="20"/>
                <w:color w:val="auto"/>
              </w:rPr>
            </w:pPr>
            <w:r>
              <w:rPr>
                <w:rFonts w:ascii="Verdana" w:cs="Verdana" w:eastAsia="Verdana" w:hAnsi="Verdana"/>
                <w:sz w:val="13"/>
                <w:szCs w:val="13"/>
                <w:color w:val="auto"/>
              </w:rPr>
              <w:t>115,945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120,689</w:t>
            </w:r>
          </w:p>
        </w:tc>
        <w:tc>
          <w:tcPr>
            <w:tcW w:w="0" w:type="dxa"/>
            <w:vAlign w:val="bottom"/>
          </w:tcPr>
          <w:p>
            <w:pPr>
              <w:spacing w:after="0"/>
              <w:rPr>
                <w:sz w:val="1"/>
                <w:szCs w:val="1"/>
                <w:color w:val="auto"/>
              </w:rPr>
            </w:pPr>
          </w:p>
        </w:tc>
      </w:tr>
      <w:tr>
        <w:trPr>
          <w:trHeight w:val="176"/>
        </w:trPr>
        <w:tc>
          <w:tcPr>
            <w:tcW w:w="504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Income taxes</w:t>
            </w:r>
          </w:p>
        </w:tc>
        <w:tc>
          <w:tcPr>
            <w:tcW w:w="180" w:type="dxa"/>
            <w:vAlign w:val="bottom"/>
            <w:tcBorders>
              <w:bottom w:val="single" w:sz="8" w:color="auto"/>
            </w:tcBorders>
            <w:shd w:val="clear" w:color="auto" w:fill="E0E7ED"/>
          </w:tcPr>
          <w:p>
            <w:pPr>
              <w:spacing w:after="0"/>
              <w:rPr>
                <w:sz w:val="15"/>
                <w:szCs w:val="15"/>
                <w:color w:val="auto"/>
              </w:rPr>
            </w:pPr>
          </w:p>
        </w:tc>
        <w:tc>
          <w:tcPr>
            <w:tcW w:w="130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10,560</w:t>
            </w:r>
          </w:p>
        </w:tc>
        <w:tc>
          <w:tcPr>
            <w:tcW w:w="80" w:type="dxa"/>
            <w:vAlign w:val="bottom"/>
            <w:shd w:val="clear" w:color="auto" w:fill="E0E7ED"/>
          </w:tcPr>
          <w:p>
            <w:pPr>
              <w:spacing w:after="0"/>
              <w:rPr>
                <w:sz w:val="15"/>
                <w:szCs w:val="15"/>
                <w:color w:val="auto"/>
              </w:rPr>
            </w:pPr>
          </w:p>
        </w:tc>
        <w:tc>
          <w:tcPr>
            <w:tcW w:w="34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6,824</w:t>
            </w:r>
          </w:p>
        </w:tc>
        <w:tc>
          <w:tcPr>
            <w:tcW w:w="80" w:type="dxa"/>
            <w:vAlign w:val="bottom"/>
            <w:shd w:val="clear" w:color="auto" w:fill="E0E7ED"/>
          </w:tcPr>
          <w:p>
            <w:pPr>
              <w:spacing w:after="0"/>
              <w:rPr>
                <w:sz w:val="15"/>
                <w:szCs w:val="15"/>
                <w:color w:val="auto"/>
              </w:rPr>
            </w:pPr>
          </w:p>
        </w:tc>
        <w:tc>
          <w:tcPr>
            <w:tcW w:w="220" w:type="dxa"/>
            <w:vAlign w:val="bottom"/>
            <w:tcBorders>
              <w:bottom w:val="single" w:sz="8" w:color="auto"/>
            </w:tcBorders>
            <w:shd w:val="clear" w:color="auto" w:fill="E0E7ED"/>
          </w:tcPr>
          <w:p>
            <w:pPr>
              <w:spacing w:after="0"/>
              <w:rPr>
                <w:sz w:val="15"/>
                <w:szCs w:val="15"/>
                <w:color w:val="auto"/>
              </w:rPr>
            </w:pPr>
          </w:p>
        </w:tc>
        <w:tc>
          <w:tcPr>
            <w:tcW w:w="12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30,359</w:t>
            </w:r>
          </w:p>
        </w:tc>
        <w:tc>
          <w:tcPr>
            <w:tcW w:w="100" w:type="dxa"/>
            <w:vAlign w:val="bottom"/>
            <w:shd w:val="clear" w:color="auto" w:fill="E0E7ED"/>
          </w:tcPr>
          <w:p>
            <w:pPr>
              <w:spacing w:after="0"/>
              <w:rPr>
                <w:sz w:val="15"/>
                <w:szCs w:val="15"/>
                <w:color w:val="auto"/>
              </w:rPr>
            </w:pPr>
          </w:p>
        </w:tc>
        <w:tc>
          <w:tcPr>
            <w:tcW w:w="32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23,873</w:t>
            </w:r>
          </w:p>
        </w:tc>
        <w:tc>
          <w:tcPr>
            <w:tcW w:w="0" w:type="dxa"/>
            <w:vAlign w:val="bottom"/>
          </w:tcPr>
          <w:p>
            <w:pPr>
              <w:spacing w:after="0"/>
              <w:rPr>
                <w:sz w:val="1"/>
                <w:szCs w:val="1"/>
                <w:color w:val="auto"/>
              </w:rPr>
            </w:pPr>
          </w:p>
        </w:tc>
      </w:tr>
      <w:tr>
        <w:trPr>
          <w:trHeight w:val="174"/>
        </w:trPr>
        <w:tc>
          <w:tcPr>
            <w:tcW w:w="5040" w:type="dxa"/>
            <w:vAlign w:val="bottom"/>
          </w:tcPr>
          <w:p>
            <w:pPr>
              <w:ind w:left="20"/>
              <w:spacing w:after="0"/>
              <w:rPr>
                <w:sz w:val="20"/>
                <w:szCs w:val="20"/>
                <w:color w:val="auto"/>
              </w:rPr>
            </w:pPr>
            <w:r>
              <w:rPr>
                <w:rFonts w:ascii="Verdana" w:cs="Verdana" w:eastAsia="Verdana" w:hAnsi="Verdana"/>
                <w:sz w:val="13"/>
                <w:szCs w:val="13"/>
                <w:b w:val="1"/>
                <w:bCs w:val="1"/>
                <w:color w:val="auto"/>
              </w:rPr>
              <w:t>Net income</w:t>
            </w:r>
          </w:p>
        </w:tc>
        <w:tc>
          <w:tcPr>
            <w:tcW w:w="18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w w:val="95"/>
              </w:rPr>
              <w:t>$</w:t>
            </w:r>
          </w:p>
        </w:tc>
        <w:tc>
          <w:tcPr>
            <w:tcW w:w="130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32,004</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77"/>
              <w:spacing w:after="0"/>
              <w:rPr>
                <w:sz w:val="20"/>
                <w:szCs w:val="20"/>
                <w:color w:val="auto"/>
              </w:rPr>
            </w:pPr>
            <w:r>
              <w:rPr>
                <w:rFonts w:ascii="Verdana" w:cs="Verdana" w:eastAsia="Verdana" w:hAnsi="Verdana"/>
                <w:sz w:val="13"/>
                <w:szCs w:val="13"/>
                <w:color w:val="auto"/>
                <w:w w:val="95"/>
              </w:rPr>
              <w:t>$</w:t>
            </w: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30,666</w:t>
            </w:r>
          </w:p>
        </w:tc>
        <w:tc>
          <w:tcPr>
            <w:tcW w:w="80" w:type="dxa"/>
            <w:vAlign w:val="bottom"/>
          </w:tcPr>
          <w:p>
            <w:pPr>
              <w:spacing w:after="0"/>
              <w:rPr>
                <w:sz w:val="15"/>
                <w:szCs w:val="15"/>
                <w:color w:val="auto"/>
              </w:rPr>
            </w:pPr>
          </w:p>
        </w:tc>
        <w:tc>
          <w:tcPr>
            <w:tcW w:w="220" w:type="dxa"/>
            <w:vAlign w:val="bottom"/>
            <w:tcBorders>
              <w:bottom w:val="single" w:sz="8" w:color="auto"/>
            </w:tcBorders>
          </w:tcPr>
          <w:p>
            <w:pPr>
              <w:jc w:val="right"/>
              <w:ind w:right="57"/>
              <w:spacing w:after="0"/>
              <w:rPr>
                <w:sz w:val="20"/>
                <w:szCs w:val="20"/>
                <w:color w:val="auto"/>
              </w:rPr>
            </w:pPr>
            <w:r>
              <w:rPr>
                <w:rFonts w:ascii="Verdana" w:cs="Verdana" w:eastAsia="Verdana" w:hAnsi="Verdana"/>
                <w:sz w:val="13"/>
                <w:szCs w:val="13"/>
                <w:color w:val="auto"/>
                <w:w w:val="95"/>
              </w:rPr>
              <w:t>$</w:t>
            </w:r>
          </w:p>
        </w:tc>
        <w:tc>
          <w:tcPr>
            <w:tcW w:w="12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85,586</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96,816</w:t>
            </w:r>
          </w:p>
        </w:tc>
        <w:tc>
          <w:tcPr>
            <w:tcW w:w="0" w:type="dxa"/>
            <w:vAlign w:val="bottom"/>
          </w:tcPr>
          <w:p>
            <w:pPr>
              <w:spacing w:after="0"/>
              <w:rPr>
                <w:sz w:val="1"/>
                <w:szCs w:val="1"/>
                <w:color w:val="auto"/>
              </w:rPr>
            </w:pPr>
          </w:p>
        </w:tc>
      </w:tr>
      <w:tr>
        <w:trPr>
          <w:trHeight w:val="20"/>
        </w:trPr>
        <w:tc>
          <w:tcPr>
            <w:tcW w:w="504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4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130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126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160" w:type="dxa"/>
            <w:vAlign w:val="bottom"/>
            <w:shd w:val="clear" w:color="auto" w:fill="E0E7ED"/>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040" w:type="dxa"/>
            <w:vAlign w:val="bottom"/>
          </w:tcPr>
          <w:p>
            <w:pPr>
              <w:ind w:left="20"/>
              <w:spacing w:after="0"/>
              <w:rPr>
                <w:sz w:val="20"/>
                <w:szCs w:val="20"/>
                <w:color w:val="auto"/>
              </w:rPr>
            </w:pPr>
            <w:r>
              <w:rPr>
                <w:rFonts w:ascii="Verdana" w:cs="Verdana" w:eastAsia="Verdana" w:hAnsi="Verdana"/>
                <w:sz w:val="13"/>
                <w:szCs w:val="13"/>
                <w:b w:val="1"/>
                <w:bCs w:val="1"/>
                <w:color w:val="auto"/>
              </w:rPr>
              <w:t>Basic earnings per common share</w:t>
            </w:r>
          </w:p>
        </w:tc>
        <w:tc>
          <w:tcPr>
            <w:tcW w:w="180" w:type="dxa"/>
            <w:vAlign w:val="bottom"/>
          </w:tcPr>
          <w:p>
            <w:pPr>
              <w:jc w:val="right"/>
              <w:ind w:right="17"/>
              <w:spacing w:after="0"/>
              <w:rPr>
                <w:sz w:val="20"/>
                <w:szCs w:val="20"/>
                <w:color w:val="auto"/>
              </w:rPr>
            </w:pPr>
            <w:r>
              <w:rPr>
                <w:rFonts w:ascii="Verdana" w:cs="Verdana" w:eastAsia="Verdana" w:hAnsi="Verdana"/>
                <w:sz w:val="13"/>
                <w:szCs w:val="13"/>
                <w:color w:val="auto"/>
                <w:w w:val="95"/>
              </w:rPr>
              <w:t>$</w:t>
            </w:r>
          </w:p>
        </w:tc>
        <w:tc>
          <w:tcPr>
            <w:tcW w:w="1300" w:type="dxa"/>
            <w:vAlign w:val="bottom"/>
          </w:tcPr>
          <w:p>
            <w:pPr>
              <w:jc w:val="right"/>
              <w:ind w:right="17"/>
              <w:spacing w:after="0"/>
              <w:rPr>
                <w:sz w:val="20"/>
                <w:szCs w:val="20"/>
                <w:color w:val="auto"/>
              </w:rPr>
            </w:pPr>
            <w:r>
              <w:rPr>
                <w:rFonts w:ascii="Verdana" w:cs="Verdana" w:eastAsia="Verdana" w:hAnsi="Verdana"/>
                <w:sz w:val="13"/>
                <w:szCs w:val="13"/>
                <w:color w:val="auto"/>
              </w:rPr>
              <w:t>0.56</w:t>
            </w:r>
          </w:p>
        </w:tc>
        <w:tc>
          <w:tcPr>
            <w:tcW w:w="80" w:type="dxa"/>
            <w:vAlign w:val="bottom"/>
          </w:tcPr>
          <w:p>
            <w:pPr>
              <w:spacing w:after="0"/>
              <w:rPr>
                <w:sz w:val="14"/>
                <w:szCs w:val="14"/>
                <w:color w:val="auto"/>
              </w:rPr>
            </w:pPr>
          </w:p>
        </w:tc>
        <w:tc>
          <w:tcPr>
            <w:tcW w:w="340" w:type="dxa"/>
            <w:vAlign w:val="bottom"/>
          </w:tcPr>
          <w:p>
            <w:pPr>
              <w:jc w:val="right"/>
              <w:ind w:right="177"/>
              <w:spacing w:after="0"/>
              <w:rPr>
                <w:sz w:val="20"/>
                <w:szCs w:val="20"/>
                <w:color w:val="auto"/>
              </w:rPr>
            </w:pPr>
            <w:r>
              <w:rPr>
                <w:rFonts w:ascii="Verdana" w:cs="Verdana" w:eastAsia="Verdana" w:hAnsi="Verdana"/>
                <w:sz w:val="13"/>
                <w:szCs w:val="13"/>
                <w:color w:val="auto"/>
                <w:w w:val="95"/>
              </w:rPr>
              <w:t>$</w:t>
            </w: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0.55</w:t>
            </w:r>
          </w:p>
        </w:tc>
        <w:tc>
          <w:tcPr>
            <w:tcW w:w="80" w:type="dxa"/>
            <w:vAlign w:val="bottom"/>
          </w:tcPr>
          <w:p>
            <w:pPr>
              <w:spacing w:after="0"/>
              <w:rPr>
                <w:sz w:val="14"/>
                <w:szCs w:val="14"/>
                <w:color w:val="auto"/>
              </w:rPr>
            </w:pPr>
          </w:p>
        </w:tc>
        <w:tc>
          <w:tcPr>
            <w:tcW w:w="220" w:type="dxa"/>
            <w:vAlign w:val="bottom"/>
          </w:tcPr>
          <w:p>
            <w:pPr>
              <w:jc w:val="right"/>
              <w:ind w:right="57"/>
              <w:spacing w:after="0"/>
              <w:rPr>
                <w:sz w:val="20"/>
                <w:szCs w:val="20"/>
                <w:color w:val="auto"/>
              </w:rPr>
            </w:pPr>
            <w:r>
              <w:rPr>
                <w:rFonts w:ascii="Verdana" w:cs="Verdana" w:eastAsia="Verdana" w:hAnsi="Verdana"/>
                <w:sz w:val="13"/>
                <w:szCs w:val="13"/>
                <w:color w:val="auto"/>
                <w:w w:val="95"/>
              </w:rPr>
              <w:t>$</w:t>
            </w:r>
          </w:p>
        </w:tc>
        <w:tc>
          <w:tcPr>
            <w:tcW w:w="1260" w:type="dxa"/>
            <w:vAlign w:val="bottom"/>
          </w:tcPr>
          <w:p>
            <w:pPr>
              <w:jc w:val="right"/>
              <w:ind w:right="17"/>
              <w:spacing w:after="0"/>
              <w:rPr>
                <w:sz w:val="20"/>
                <w:szCs w:val="20"/>
                <w:color w:val="auto"/>
              </w:rPr>
            </w:pPr>
            <w:r>
              <w:rPr>
                <w:rFonts w:ascii="Verdana" w:cs="Verdana" w:eastAsia="Verdana" w:hAnsi="Verdana"/>
                <w:sz w:val="13"/>
                <w:szCs w:val="13"/>
                <w:color w:val="auto"/>
              </w:rPr>
              <w:t>1.52</w:t>
            </w:r>
          </w:p>
        </w:tc>
        <w:tc>
          <w:tcPr>
            <w:tcW w:w="100" w:type="dxa"/>
            <w:vAlign w:val="bottom"/>
          </w:tcPr>
          <w:p>
            <w:pPr>
              <w:spacing w:after="0"/>
              <w:rPr>
                <w:sz w:val="14"/>
                <w:szCs w:val="14"/>
                <w:color w:val="auto"/>
              </w:rPr>
            </w:pPr>
          </w:p>
        </w:tc>
        <w:tc>
          <w:tcPr>
            <w:tcW w:w="320" w:type="dxa"/>
            <w:vAlign w:val="bottom"/>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1.75</w:t>
            </w:r>
          </w:p>
        </w:tc>
        <w:tc>
          <w:tcPr>
            <w:tcW w:w="0" w:type="dxa"/>
            <w:vAlign w:val="bottom"/>
          </w:tcPr>
          <w:p>
            <w:pPr>
              <w:spacing w:after="0"/>
              <w:rPr>
                <w:sz w:val="1"/>
                <w:szCs w:val="1"/>
                <w:color w:val="auto"/>
              </w:rPr>
            </w:pPr>
          </w:p>
        </w:tc>
      </w:tr>
      <w:tr>
        <w:trPr>
          <w:trHeight w:val="181"/>
        </w:trPr>
        <w:tc>
          <w:tcPr>
            <w:tcW w:w="5040" w:type="dxa"/>
            <w:vAlign w:val="bottom"/>
            <w:shd w:val="clear" w:color="auto" w:fill="E0E7ED"/>
          </w:tcPr>
          <w:p>
            <w:pPr>
              <w:ind w:left="20"/>
              <w:spacing w:after="0"/>
              <w:rPr>
                <w:sz w:val="20"/>
                <w:szCs w:val="20"/>
                <w:color w:val="auto"/>
              </w:rPr>
            </w:pPr>
            <w:r>
              <w:rPr>
                <w:rFonts w:ascii="Verdana" w:cs="Verdana" w:eastAsia="Verdana" w:hAnsi="Verdana"/>
                <w:sz w:val="13"/>
                <w:szCs w:val="13"/>
                <w:b w:val="1"/>
                <w:bCs w:val="1"/>
                <w:color w:val="auto"/>
              </w:rPr>
              <w:t>Diluted earnings per common share</w:t>
            </w:r>
          </w:p>
        </w:tc>
        <w:tc>
          <w:tcPr>
            <w:tcW w:w="1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13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0.55</w:t>
            </w: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jc w:val="right"/>
              <w:ind w:right="177"/>
              <w:spacing w:after="0"/>
              <w:rPr>
                <w:sz w:val="20"/>
                <w:szCs w:val="20"/>
                <w:color w:val="auto"/>
              </w:rPr>
            </w:pPr>
            <w:r>
              <w:rPr>
                <w:rFonts w:ascii="Verdana" w:cs="Verdana" w:eastAsia="Verdana" w:hAnsi="Verdana"/>
                <w:sz w:val="13"/>
                <w:szCs w:val="13"/>
                <w:color w:val="auto"/>
                <w:w w:val="95"/>
              </w:rPr>
              <w:t>$</w:t>
            </w: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0.54</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jc w:val="right"/>
              <w:ind w:right="57"/>
              <w:spacing w:after="0"/>
              <w:rPr>
                <w:sz w:val="20"/>
                <w:szCs w:val="20"/>
                <w:color w:val="auto"/>
              </w:rPr>
            </w:pPr>
            <w:r>
              <w:rPr>
                <w:rFonts w:ascii="Verdana" w:cs="Verdana" w:eastAsia="Verdana" w:hAnsi="Verdana"/>
                <w:sz w:val="13"/>
                <w:szCs w:val="13"/>
                <w:color w:val="auto"/>
                <w:w w:val="95"/>
              </w:rPr>
              <w:t>$</w:t>
            </w:r>
          </w:p>
        </w:tc>
        <w:tc>
          <w:tcPr>
            <w:tcW w:w="12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1.49</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1.72</w:t>
            </w:r>
          </w:p>
        </w:tc>
        <w:tc>
          <w:tcPr>
            <w:tcW w:w="0" w:type="dxa"/>
            <w:vAlign w:val="bottom"/>
          </w:tcPr>
          <w:p>
            <w:pPr>
              <w:spacing w:after="0"/>
              <w:rPr>
                <w:sz w:val="1"/>
                <w:szCs w:val="1"/>
                <w:color w:val="auto"/>
              </w:rPr>
            </w:pPr>
          </w:p>
        </w:tc>
      </w:tr>
      <w:tr>
        <w:trPr>
          <w:trHeight w:val="165"/>
        </w:trPr>
        <w:tc>
          <w:tcPr>
            <w:tcW w:w="5040" w:type="dxa"/>
            <w:vAlign w:val="bottom"/>
          </w:tcPr>
          <w:p>
            <w:pPr>
              <w:ind w:left="20"/>
              <w:spacing w:after="0"/>
              <w:rPr>
                <w:sz w:val="20"/>
                <w:szCs w:val="20"/>
                <w:color w:val="auto"/>
              </w:rPr>
            </w:pPr>
            <w:r>
              <w:rPr>
                <w:rFonts w:ascii="Verdana" w:cs="Verdana" w:eastAsia="Verdana" w:hAnsi="Verdana"/>
                <w:sz w:val="13"/>
                <w:szCs w:val="13"/>
                <w:b w:val="1"/>
                <w:bCs w:val="1"/>
                <w:color w:val="auto"/>
              </w:rPr>
              <w:t>Dividends declared per share of common stock</w:t>
            </w:r>
          </w:p>
        </w:tc>
        <w:tc>
          <w:tcPr>
            <w:tcW w:w="180" w:type="dxa"/>
            <w:vAlign w:val="bottom"/>
          </w:tcPr>
          <w:p>
            <w:pPr>
              <w:jc w:val="right"/>
              <w:ind w:right="17"/>
              <w:spacing w:after="0"/>
              <w:rPr>
                <w:sz w:val="20"/>
                <w:szCs w:val="20"/>
                <w:color w:val="auto"/>
              </w:rPr>
            </w:pPr>
            <w:r>
              <w:rPr>
                <w:rFonts w:ascii="Verdana" w:cs="Verdana" w:eastAsia="Verdana" w:hAnsi="Verdana"/>
                <w:sz w:val="13"/>
                <w:szCs w:val="13"/>
                <w:color w:val="auto"/>
                <w:w w:val="95"/>
              </w:rPr>
              <w:t>$</w:t>
            </w:r>
          </w:p>
        </w:tc>
        <w:tc>
          <w:tcPr>
            <w:tcW w:w="1300" w:type="dxa"/>
            <w:vAlign w:val="bottom"/>
          </w:tcPr>
          <w:p>
            <w:pPr>
              <w:jc w:val="right"/>
              <w:ind w:right="17"/>
              <w:spacing w:after="0"/>
              <w:rPr>
                <w:sz w:val="20"/>
                <w:szCs w:val="20"/>
                <w:color w:val="auto"/>
              </w:rPr>
            </w:pPr>
            <w:r>
              <w:rPr>
                <w:rFonts w:ascii="Verdana" w:cs="Verdana" w:eastAsia="Verdana" w:hAnsi="Verdana"/>
                <w:sz w:val="13"/>
                <w:szCs w:val="13"/>
                <w:color w:val="auto"/>
              </w:rPr>
              <w:t>0.24</w:t>
            </w:r>
          </w:p>
        </w:tc>
        <w:tc>
          <w:tcPr>
            <w:tcW w:w="80" w:type="dxa"/>
            <w:vAlign w:val="bottom"/>
          </w:tcPr>
          <w:p>
            <w:pPr>
              <w:spacing w:after="0"/>
              <w:rPr>
                <w:sz w:val="14"/>
                <w:szCs w:val="14"/>
                <w:color w:val="auto"/>
              </w:rPr>
            </w:pPr>
          </w:p>
        </w:tc>
        <w:tc>
          <w:tcPr>
            <w:tcW w:w="340" w:type="dxa"/>
            <w:vAlign w:val="bottom"/>
          </w:tcPr>
          <w:p>
            <w:pPr>
              <w:jc w:val="right"/>
              <w:ind w:right="177"/>
              <w:spacing w:after="0"/>
              <w:rPr>
                <w:sz w:val="20"/>
                <w:szCs w:val="20"/>
                <w:color w:val="auto"/>
              </w:rPr>
            </w:pPr>
            <w:r>
              <w:rPr>
                <w:rFonts w:ascii="Verdana" w:cs="Verdana" w:eastAsia="Verdana" w:hAnsi="Verdana"/>
                <w:sz w:val="13"/>
                <w:szCs w:val="13"/>
                <w:color w:val="auto"/>
                <w:w w:val="95"/>
              </w:rPr>
              <w:t>$</w:t>
            </w: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0.24</w:t>
            </w:r>
          </w:p>
        </w:tc>
        <w:tc>
          <w:tcPr>
            <w:tcW w:w="80" w:type="dxa"/>
            <w:vAlign w:val="bottom"/>
          </w:tcPr>
          <w:p>
            <w:pPr>
              <w:spacing w:after="0"/>
              <w:rPr>
                <w:sz w:val="14"/>
                <w:szCs w:val="14"/>
                <w:color w:val="auto"/>
              </w:rPr>
            </w:pPr>
          </w:p>
        </w:tc>
        <w:tc>
          <w:tcPr>
            <w:tcW w:w="220" w:type="dxa"/>
            <w:vAlign w:val="bottom"/>
          </w:tcPr>
          <w:p>
            <w:pPr>
              <w:jc w:val="right"/>
              <w:ind w:right="57"/>
              <w:spacing w:after="0"/>
              <w:rPr>
                <w:sz w:val="20"/>
                <w:szCs w:val="20"/>
                <w:color w:val="auto"/>
              </w:rPr>
            </w:pPr>
            <w:r>
              <w:rPr>
                <w:rFonts w:ascii="Verdana" w:cs="Verdana" w:eastAsia="Verdana" w:hAnsi="Verdana"/>
                <w:sz w:val="13"/>
                <w:szCs w:val="13"/>
                <w:color w:val="auto"/>
                <w:w w:val="95"/>
              </w:rPr>
              <w:t>$</w:t>
            </w:r>
          </w:p>
        </w:tc>
        <w:tc>
          <w:tcPr>
            <w:tcW w:w="1260" w:type="dxa"/>
            <w:vAlign w:val="bottom"/>
          </w:tcPr>
          <w:p>
            <w:pPr>
              <w:jc w:val="right"/>
              <w:ind w:right="17"/>
              <w:spacing w:after="0"/>
              <w:rPr>
                <w:sz w:val="20"/>
                <w:szCs w:val="20"/>
                <w:color w:val="auto"/>
              </w:rPr>
            </w:pPr>
            <w:r>
              <w:rPr>
                <w:rFonts w:ascii="Verdana" w:cs="Verdana" w:eastAsia="Verdana" w:hAnsi="Verdana"/>
                <w:sz w:val="13"/>
                <w:szCs w:val="13"/>
                <w:color w:val="auto"/>
              </w:rPr>
              <w:t>0.72</w:t>
            </w:r>
          </w:p>
        </w:tc>
        <w:tc>
          <w:tcPr>
            <w:tcW w:w="100" w:type="dxa"/>
            <w:vAlign w:val="bottom"/>
          </w:tcPr>
          <w:p>
            <w:pPr>
              <w:spacing w:after="0"/>
              <w:rPr>
                <w:sz w:val="14"/>
                <w:szCs w:val="14"/>
                <w:color w:val="auto"/>
              </w:rPr>
            </w:pPr>
          </w:p>
        </w:tc>
        <w:tc>
          <w:tcPr>
            <w:tcW w:w="320" w:type="dxa"/>
            <w:vAlign w:val="bottom"/>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0.72</w:t>
            </w:r>
          </w:p>
        </w:tc>
        <w:tc>
          <w:tcPr>
            <w:tcW w:w="0" w:type="dxa"/>
            <w:vAlign w:val="bottom"/>
          </w:tcPr>
          <w:p>
            <w:pPr>
              <w:spacing w:after="0"/>
              <w:rPr>
                <w:sz w:val="1"/>
                <w:szCs w:val="1"/>
                <w:color w:val="auto"/>
              </w:rPr>
            </w:pPr>
          </w:p>
        </w:tc>
      </w:tr>
    </w:tbl>
    <w:p>
      <w:pPr>
        <w:spacing w:after="0" w:line="276"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 xml:space="preserve">See accompanying </w:t>
      </w:r>
      <w:r>
        <w:rPr>
          <w:rFonts w:ascii="Verdana" w:cs="Verdana" w:eastAsia="Verdana" w:hAnsi="Verdana"/>
          <w:sz w:val="18"/>
          <w:szCs w:val="18"/>
          <w:u w:val="single" w:color="auto"/>
          <w:color w:val="0000FF"/>
        </w:rPr>
        <w:t>Notes to Consolidated Financial Statements (Unaudited)</w:t>
      </w:r>
      <w:r>
        <w:rPr>
          <w:rFonts w:ascii="Verdana" w:cs="Verdana" w:eastAsia="Verdana" w:hAnsi="Verdana"/>
          <w:sz w:val="18"/>
          <w:szCs w:val="18"/>
          <w:color w:val="auto"/>
        </w:rPr>
        <w:t>.</w:t>
      </w: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 w:name="page8"/>
    <w:bookmarkEnd w:id="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18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line="236" w:lineRule="auto"/>
        <w:rPr>
          <w:sz w:val="20"/>
          <w:szCs w:val="20"/>
          <w:color w:val="auto"/>
        </w:rPr>
      </w:pPr>
      <w:r>
        <w:rPr>
          <w:rFonts w:ascii="Verdana" w:cs="Verdana" w:eastAsia="Verdana" w:hAnsi="Verdana"/>
          <w:sz w:val="18"/>
          <w:szCs w:val="18"/>
          <w:b w:val="1"/>
          <w:bCs w:val="1"/>
          <w:color w:val="auto"/>
        </w:rPr>
        <w:t>CONSOLIDATED STATEMENTS OF COMPREHENSIVE INCOME (Unaudited)</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60" w:type="dxa"/>
            <w:vAlign w:val="bottom"/>
          </w:tcPr>
          <w:p>
            <w:pPr>
              <w:spacing w:after="0"/>
              <w:rPr>
                <w:sz w:val="15"/>
                <w:szCs w:val="15"/>
                <w:color w:val="auto"/>
              </w:rPr>
            </w:pPr>
          </w:p>
        </w:tc>
        <w:tc>
          <w:tcPr>
            <w:tcW w:w="3120" w:type="dxa"/>
            <w:vAlign w:val="bottom"/>
            <w:gridSpan w:val="6"/>
          </w:tcPr>
          <w:p>
            <w:pPr>
              <w:ind w:left="260"/>
              <w:spacing w:after="0"/>
              <w:rPr>
                <w:sz w:val="20"/>
                <w:szCs w:val="20"/>
                <w:color w:val="auto"/>
              </w:rPr>
            </w:pPr>
            <w:r>
              <w:rPr>
                <w:rFonts w:ascii="Verdana" w:cs="Verdana" w:eastAsia="Verdana" w:hAnsi="Verdana"/>
                <w:sz w:val="13"/>
                <w:szCs w:val="13"/>
                <w:b w:val="1"/>
                <w:bCs w:val="1"/>
                <w:color w:val="auto"/>
              </w:rPr>
              <w:t>Three Months Ended September 30,</w:t>
            </w:r>
          </w:p>
        </w:tc>
        <w:tc>
          <w:tcPr>
            <w:tcW w:w="220" w:type="dxa"/>
            <w:vAlign w:val="bottom"/>
          </w:tcPr>
          <w:p>
            <w:pPr>
              <w:spacing w:after="0"/>
              <w:rPr>
                <w:sz w:val="15"/>
                <w:szCs w:val="15"/>
                <w:color w:val="auto"/>
              </w:rPr>
            </w:pPr>
          </w:p>
        </w:tc>
        <w:tc>
          <w:tcPr>
            <w:tcW w:w="2840" w:type="dxa"/>
            <w:vAlign w:val="bottom"/>
            <w:gridSpan w:val="4"/>
          </w:tcPr>
          <w:p>
            <w:pPr>
              <w:jc w:val="right"/>
              <w:ind w:right="237"/>
              <w:spacing w:after="0"/>
              <w:rPr>
                <w:sz w:val="20"/>
                <w:szCs w:val="20"/>
                <w:color w:val="auto"/>
              </w:rPr>
            </w:pPr>
            <w:r>
              <w:rPr>
                <w:rFonts w:ascii="Verdana" w:cs="Verdana" w:eastAsia="Verdana" w:hAnsi="Verdana"/>
                <w:sz w:val="13"/>
                <w:szCs w:val="13"/>
                <w:b w:val="1"/>
                <w:bCs w:val="1"/>
                <w:color w:val="auto"/>
                <w:w w:val="99"/>
              </w:rPr>
              <w:t>Nine Months Ended September 30,</w:t>
            </w:r>
          </w:p>
        </w:tc>
        <w:tc>
          <w:tcPr>
            <w:tcW w:w="0" w:type="dxa"/>
            <w:vAlign w:val="bottom"/>
          </w:tcPr>
          <w:p>
            <w:pPr>
              <w:spacing w:after="0"/>
              <w:rPr>
                <w:sz w:val="1"/>
                <w:szCs w:val="1"/>
                <w:color w:val="auto"/>
              </w:rPr>
            </w:pPr>
          </w:p>
        </w:tc>
      </w:tr>
      <w:tr>
        <w:trPr>
          <w:trHeight w:val="170"/>
        </w:trPr>
        <w:tc>
          <w:tcPr>
            <w:tcW w:w="5060" w:type="dxa"/>
            <w:vAlign w:val="bottom"/>
            <w:tcBorders>
              <w:bottom w:val="single" w:sz="8" w:color="E0E7ED"/>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b w:val="1"/>
                <w:bCs w:val="1"/>
                <w:color w:val="auto"/>
              </w:rPr>
              <w:t>2024</w:t>
            </w:r>
          </w:p>
        </w:tc>
        <w:tc>
          <w:tcPr>
            <w:tcW w:w="5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E0E7ED"/>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top w:val="single" w:sz="8" w:color="auto"/>
              <w:bottom w:val="single" w:sz="8" w:color="E0E7ED"/>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2023</w:t>
            </w:r>
          </w:p>
        </w:tc>
        <w:tc>
          <w:tcPr>
            <w:tcW w:w="0" w:type="dxa"/>
            <w:vAlign w:val="bottom"/>
          </w:tcPr>
          <w:p>
            <w:pPr>
              <w:spacing w:after="0"/>
              <w:rPr>
                <w:sz w:val="1"/>
                <w:szCs w:val="1"/>
                <w:color w:val="auto"/>
              </w:rPr>
            </w:pPr>
          </w:p>
        </w:tc>
      </w:tr>
      <w:tr>
        <w:trPr>
          <w:trHeight w:val="174"/>
        </w:trPr>
        <w:tc>
          <w:tcPr>
            <w:tcW w:w="5060" w:type="dxa"/>
            <w:vAlign w:val="bottom"/>
            <w:shd w:val="clear" w:color="auto" w:fill="E0E7ED"/>
          </w:tcPr>
          <w:p>
            <w:pPr>
              <w:ind w:left="20"/>
              <w:spacing w:after="0"/>
              <w:rPr>
                <w:sz w:val="20"/>
                <w:szCs w:val="20"/>
                <w:color w:val="auto"/>
              </w:rPr>
            </w:pPr>
            <w:r>
              <w:rPr>
                <w:rFonts w:ascii="Verdana" w:cs="Verdana" w:eastAsia="Verdana" w:hAnsi="Verdana"/>
                <w:sz w:val="13"/>
                <w:szCs w:val="13"/>
                <w:color w:val="auto"/>
              </w:rPr>
              <w:t>Net income</w:t>
            </w:r>
          </w:p>
        </w:tc>
        <w:tc>
          <w:tcPr>
            <w:tcW w:w="940" w:type="dxa"/>
            <w:vAlign w:val="bottom"/>
            <w:shd w:val="clear" w:color="auto" w:fill="E0E7ED"/>
          </w:tcPr>
          <w:p>
            <w:pPr>
              <w:jc w:val="right"/>
              <w:ind w:right="777"/>
              <w:spacing w:after="0"/>
              <w:rPr>
                <w:sz w:val="20"/>
                <w:szCs w:val="20"/>
                <w:color w:val="auto"/>
              </w:rPr>
            </w:pPr>
            <w:r>
              <w:rPr>
                <w:rFonts w:ascii="Verdana" w:cs="Verdana" w:eastAsia="Verdana" w:hAnsi="Verdana"/>
                <w:sz w:val="13"/>
                <w:szCs w:val="13"/>
                <w:color w:val="auto"/>
                <w:w w:val="95"/>
              </w:rPr>
              <w:t>$</w:t>
            </w:r>
          </w:p>
        </w:tc>
        <w:tc>
          <w:tcPr>
            <w:tcW w:w="5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w w:val="95"/>
              </w:rPr>
              <w:t>32,004</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jc w:val="right"/>
              <w:ind w:right="177"/>
              <w:spacing w:after="0"/>
              <w:rPr>
                <w:sz w:val="20"/>
                <w:szCs w:val="20"/>
                <w:color w:val="auto"/>
              </w:rPr>
            </w:pPr>
            <w:r>
              <w:rPr>
                <w:rFonts w:ascii="Verdana" w:cs="Verdana" w:eastAsia="Verdana" w:hAnsi="Verdana"/>
                <w:sz w:val="13"/>
                <w:szCs w:val="13"/>
                <w:color w:val="auto"/>
                <w:w w:val="95"/>
              </w:rPr>
              <w:t>$</w:t>
            </w:r>
          </w:p>
        </w:tc>
        <w:tc>
          <w:tcPr>
            <w:tcW w:w="11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30,666</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jc w:val="right"/>
              <w:ind w:right="57"/>
              <w:spacing w:after="0"/>
              <w:rPr>
                <w:sz w:val="20"/>
                <w:szCs w:val="20"/>
                <w:color w:val="auto"/>
              </w:rPr>
            </w:pPr>
            <w:r>
              <w:rPr>
                <w:rFonts w:ascii="Verdana" w:cs="Verdana" w:eastAsia="Verdana" w:hAnsi="Verdana"/>
                <w:sz w:val="13"/>
                <w:szCs w:val="13"/>
                <w:color w:val="auto"/>
                <w:w w:val="95"/>
              </w:rPr>
              <w:t>$</w:t>
            </w:r>
          </w:p>
        </w:tc>
        <w:tc>
          <w:tcPr>
            <w:tcW w:w="12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85,586</w:t>
            </w: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jc w:val="right"/>
              <w:ind w:right="177"/>
              <w:spacing w:after="0"/>
              <w:rPr>
                <w:sz w:val="20"/>
                <w:szCs w:val="20"/>
                <w:color w:val="auto"/>
              </w:rPr>
            </w:pPr>
            <w:r>
              <w:rPr>
                <w:rFonts w:ascii="Verdana" w:cs="Verdana" w:eastAsia="Verdana" w:hAnsi="Verdana"/>
                <w:sz w:val="13"/>
                <w:szCs w:val="13"/>
                <w:color w:val="auto"/>
                <w:w w:val="95"/>
              </w:rPr>
              <w:t>$</w:t>
            </w:r>
          </w:p>
        </w:tc>
        <w:tc>
          <w:tcPr>
            <w:tcW w:w="11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96,816</w:t>
            </w:r>
          </w:p>
        </w:tc>
        <w:tc>
          <w:tcPr>
            <w:tcW w:w="0" w:type="dxa"/>
            <w:vAlign w:val="bottom"/>
          </w:tcPr>
          <w:p>
            <w:pPr>
              <w:spacing w:after="0"/>
              <w:rPr>
                <w:sz w:val="1"/>
                <w:szCs w:val="1"/>
                <w:color w:val="auto"/>
              </w:rPr>
            </w:pPr>
          </w:p>
        </w:tc>
      </w:tr>
      <w:tr>
        <w:trPr>
          <w:trHeight w:val="170"/>
        </w:trPr>
        <w:tc>
          <w:tcPr>
            <w:tcW w:w="5060" w:type="dxa"/>
            <w:vAlign w:val="bottom"/>
          </w:tcPr>
          <w:p>
            <w:pPr>
              <w:ind w:left="20"/>
              <w:spacing w:after="0"/>
              <w:rPr>
                <w:sz w:val="20"/>
                <w:szCs w:val="20"/>
                <w:color w:val="auto"/>
              </w:rPr>
            </w:pPr>
            <w:r>
              <w:rPr>
                <w:rFonts w:ascii="Verdana" w:cs="Verdana" w:eastAsia="Verdana" w:hAnsi="Verdana"/>
                <w:sz w:val="13"/>
                <w:szCs w:val="13"/>
                <w:color w:val="auto"/>
              </w:rPr>
              <w:t>OCI:</w:t>
            </w: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06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Unrealized/Unrecognized gains (losses) on debt securities:</w:t>
            </w:r>
          </w:p>
        </w:tc>
        <w:tc>
          <w:tcPr>
            <w:tcW w:w="940" w:type="dxa"/>
            <w:vAlign w:val="bottom"/>
            <w:shd w:val="clear" w:color="auto" w:fill="E0E7ED"/>
          </w:tcPr>
          <w:p>
            <w:pPr>
              <w:spacing w:after="0"/>
              <w:rPr>
                <w:sz w:val="15"/>
                <w:szCs w:val="15"/>
                <w:color w:val="auto"/>
              </w:rPr>
            </w:pPr>
          </w:p>
        </w:tc>
        <w:tc>
          <w:tcPr>
            <w:tcW w:w="5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128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5060" w:type="dxa"/>
            <w:vAlign w:val="bottom"/>
          </w:tcPr>
          <w:p>
            <w:pPr>
              <w:ind w:left="360"/>
              <w:spacing w:after="0" w:line="122" w:lineRule="exact"/>
              <w:rPr>
                <w:sz w:val="20"/>
                <w:szCs w:val="20"/>
                <w:color w:val="auto"/>
              </w:rPr>
            </w:pPr>
            <w:r>
              <w:rPr>
                <w:rFonts w:ascii="Verdana" w:cs="Verdana" w:eastAsia="Verdana" w:hAnsi="Verdana"/>
                <w:sz w:val="13"/>
                <w:szCs w:val="13"/>
                <w:color w:val="auto"/>
                <w:w w:val="96"/>
              </w:rPr>
              <w:t>Net unrealized holding gains (losses) on debt securities available for sale,</w:t>
            </w:r>
          </w:p>
        </w:tc>
        <w:tc>
          <w:tcPr>
            <w:tcW w:w="94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Verdana" w:cs="Verdana" w:eastAsia="Verdana" w:hAnsi="Verdana"/>
                <w:sz w:val="13"/>
                <w:szCs w:val="13"/>
                <w:color w:val="auto"/>
                <w:w w:val="95"/>
              </w:rPr>
              <w:t>39,286</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Verdana" w:cs="Verdana" w:eastAsia="Verdana" w:hAnsi="Verdana"/>
                <w:sz w:val="13"/>
                <w:szCs w:val="13"/>
                <w:color w:val="auto"/>
              </w:rPr>
              <w:t>(26,950)</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34,810</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Verdana" w:cs="Verdana" w:eastAsia="Verdana" w:hAnsi="Verdana"/>
                <w:sz w:val="13"/>
                <w:szCs w:val="13"/>
                <w:color w:val="auto"/>
              </w:rPr>
              <w:t>(16,872)</w:t>
            </w:r>
          </w:p>
        </w:tc>
        <w:tc>
          <w:tcPr>
            <w:tcW w:w="0" w:type="dxa"/>
            <w:vAlign w:val="bottom"/>
          </w:tcPr>
          <w:p>
            <w:pPr>
              <w:spacing w:after="0"/>
              <w:rPr>
                <w:sz w:val="1"/>
                <w:szCs w:val="1"/>
                <w:color w:val="auto"/>
              </w:rPr>
            </w:pPr>
          </w:p>
        </w:tc>
      </w:tr>
      <w:tr>
        <w:trPr>
          <w:trHeight w:val="170"/>
        </w:trPr>
        <w:tc>
          <w:tcPr>
            <w:tcW w:w="5060" w:type="dxa"/>
            <w:vAlign w:val="bottom"/>
          </w:tcPr>
          <w:p>
            <w:pPr>
              <w:ind w:left="360"/>
              <w:spacing w:after="0"/>
              <w:rPr>
                <w:sz w:val="20"/>
                <w:szCs w:val="20"/>
                <w:color w:val="auto"/>
              </w:rPr>
            </w:pPr>
            <w:r>
              <w:rPr>
                <w:rFonts w:ascii="Verdana" w:cs="Verdana" w:eastAsia="Verdana" w:hAnsi="Verdana"/>
                <w:sz w:val="13"/>
                <w:szCs w:val="13"/>
                <w:color w:val="auto"/>
                <w:w w:val="98"/>
              </w:rPr>
              <w:t>net of taxes of $(15,664), $10,746, $(13,878), and $6,728, respectively</w:t>
            </w:r>
          </w:p>
        </w:tc>
        <w:tc>
          <w:tcPr>
            <w:tcW w:w="9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5060" w:type="dxa"/>
            <w:vAlign w:val="bottom"/>
            <w:shd w:val="clear" w:color="auto" w:fill="E0E7ED"/>
          </w:tcPr>
          <w:p>
            <w:pPr>
              <w:ind w:left="360"/>
              <w:spacing w:after="0" w:line="127" w:lineRule="exact"/>
              <w:rPr>
                <w:sz w:val="20"/>
                <w:szCs w:val="20"/>
                <w:color w:val="auto"/>
              </w:rPr>
            </w:pPr>
            <w:r>
              <w:rPr>
                <w:rFonts w:ascii="Verdana" w:cs="Verdana" w:eastAsia="Verdana" w:hAnsi="Verdana"/>
                <w:sz w:val="13"/>
                <w:szCs w:val="13"/>
                <w:color w:val="auto"/>
                <w:w w:val="99"/>
              </w:rPr>
              <w:t>Reclassification adjustment for realized (gains) losses on debt securities</w:t>
            </w:r>
          </w:p>
        </w:tc>
        <w:tc>
          <w:tcPr>
            <w:tcW w:w="940" w:type="dxa"/>
            <w:vAlign w:val="bottom"/>
            <w:shd w:val="clear" w:color="auto" w:fill="E0E7ED"/>
          </w:tcPr>
          <w:p>
            <w:pPr>
              <w:spacing w:after="0"/>
              <w:rPr>
                <w:sz w:val="11"/>
                <w:szCs w:val="11"/>
                <w:color w:val="auto"/>
              </w:rPr>
            </w:pPr>
          </w:p>
        </w:tc>
        <w:tc>
          <w:tcPr>
            <w:tcW w:w="520" w:type="dxa"/>
            <w:vAlign w:val="bottom"/>
            <w:shd w:val="clear" w:color="auto" w:fill="E0E7ED"/>
          </w:tcPr>
          <w:p>
            <w:pPr>
              <w:spacing w:after="0"/>
              <w:rPr>
                <w:sz w:val="11"/>
                <w:szCs w:val="11"/>
                <w:color w:val="auto"/>
              </w:rPr>
            </w:pPr>
          </w:p>
        </w:tc>
        <w:tc>
          <w:tcPr>
            <w:tcW w:w="100" w:type="dxa"/>
            <w:vAlign w:val="bottom"/>
            <w:shd w:val="clear" w:color="auto" w:fill="E0E7ED"/>
          </w:tcPr>
          <w:p>
            <w:pPr>
              <w:spacing w:after="0"/>
              <w:rPr>
                <w:sz w:val="11"/>
                <w:szCs w:val="11"/>
                <w:color w:val="auto"/>
              </w:rPr>
            </w:pPr>
          </w:p>
        </w:tc>
        <w:tc>
          <w:tcPr>
            <w:tcW w:w="340" w:type="dxa"/>
            <w:vAlign w:val="bottom"/>
            <w:shd w:val="clear" w:color="auto" w:fill="E0E7ED"/>
          </w:tcPr>
          <w:p>
            <w:pPr>
              <w:spacing w:after="0"/>
              <w:rPr>
                <w:sz w:val="11"/>
                <w:szCs w:val="11"/>
                <w:color w:val="auto"/>
              </w:rPr>
            </w:pPr>
          </w:p>
        </w:tc>
        <w:tc>
          <w:tcPr>
            <w:tcW w:w="114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220" w:type="dxa"/>
            <w:vAlign w:val="bottom"/>
            <w:shd w:val="clear" w:color="auto" w:fill="E0E7ED"/>
          </w:tcPr>
          <w:p>
            <w:pPr>
              <w:spacing w:after="0"/>
              <w:rPr>
                <w:sz w:val="11"/>
                <w:szCs w:val="11"/>
                <w:color w:val="auto"/>
              </w:rPr>
            </w:pPr>
          </w:p>
        </w:tc>
        <w:tc>
          <w:tcPr>
            <w:tcW w:w="128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340" w:type="dxa"/>
            <w:vAlign w:val="bottom"/>
            <w:shd w:val="clear" w:color="auto" w:fill="E0E7ED"/>
          </w:tcPr>
          <w:p>
            <w:pPr>
              <w:spacing w:after="0"/>
              <w:rPr>
                <w:sz w:val="11"/>
                <w:szCs w:val="11"/>
                <w:color w:val="auto"/>
              </w:rPr>
            </w:pPr>
          </w:p>
        </w:tc>
        <w:tc>
          <w:tcPr>
            <w:tcW w:w="1140" w:type="dxa"/>
            <w:vAlign w:val="bottom"/>
            <w:shd w:val="clear" w:color="auto" w:fill="E0E7ED"/>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5060" w:type="dxa"/>
            <w:vAlign w:val="bottom"/>
            <w:shd w:val="clear" w:color="auto" w:fill="E0E7ED"/>
          </w:tcPr>
          <w:p>
            <w:pPr>
              <w:ind w:left="360"/>
              <w:spacing w:after="0" w:line="122" w:lineRule="exact"/>
              <w:rPr>
                <w:sz w:val="20"/>
                <w:szCs w:val="20"/>
                <w:color w:val="auto"/>
              </w:rPr>
            </w:pPr>
            <w:r>
              <w:rPr>
                <w:rFonts w:ascii="Verdana" w:cs="Verdana" w:eastAsia="Verdana" w:hAnsi="Verdana"/>
                <w:sz w:val="13"/>
                <w:szCs w:val="13"/>
                <w:color w:val="auto"/>
              </w:rPr>
              <w:t>available for sale included in net income, net of taxes of $(3), $(9),</w:t>
            </w:r>
          </w:p>
        </w:tc>
        <w:tc>
          <w:tcPr>
            <w:tcW w:w="940" w:type="dxa"/>
            <w:vAlign w:val="bottom"/>
            <w:shd w:val="clear" w:color="auto" w:fill="E0E7ED"/>
          </w:tcPr>
          <w:p>
            <w:pPr>
              <w:spacing w:after="0"/>
              <w:rPr>
                <w:sz w:val="10"/>
                <w:szCs w:val="10"/>
                <w:color w:val="auto"/>
              </w:rPr>
            </w:pPr>
          </w:p>
        </w:tc>
        <w:tc>
          <w:tcPr>
            <w:tcW w:w="52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8</w:t>
            </w:r>
          </w:p>
        </w:tc>
        <w:tc>
          <w:tcPr>
            <w:tcW w:w="100" w:type="dxa"/>
            <w:vAlign w:val="bottom"/>
            <w:shd w:val="clear" w:color="auto" w:fill="E0E7ED"/>
          </w:tcPr>
          <w:p>
            <w:pPr>
              <w:spacing w:after="0"/>
              <w:rPr>
                <w:sz w:val="10"/>
                <w:szCs w:val="10"/>
                <w:color w:val="auto"/>
              </w:rPr>
            </w:pPr>
          </w:p>
        </w:tc>
        <w:tc>
          <w:tcPr>
            <w:tcW w:w="340" w:type="dxa"/>
            <w:vAlign w:val="bottom"/>
            <w:shd w:val="clear" w:color="auto" w:fill="E0E7ED"/>
          </w:tcPr>
          <w:p>
            <w:pPr>
              <w:spacing w:after="0"/>
              <w:rPr>
                <w:sz w:val="10"/>
                <w:szCs w:val="10"/>
                <w:color w:val="auto"/>
              </w:rPr>
            </w:pPr>
          </w:p>
        </w:tc>
        <w:tc>
          <w:tcPr>
            <w:tcW w:w="114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24</w:t>
            </w:r>
          </w:p>
        </w:tc>
        <w:tc>
          <w:tcPr>
            <w:tcW w:w="80" w:type="dxa"/>
            <w:vAlign w:val="bottom"/>
            <w:shd w:val="clear" w:color="auto" w:fill="E0E7ED"/>
          </w:tcPr>
          <w:p>
            <w:pPr>
              <w:spacing w:after="0"/>
              <w:rPr>
                <w:sz w:val="10"/>
                <w:szCs w:val="10"/>
                <w:color w:val="auto"/>
              </w:rPr>
            </w:pPr>
          </w:p>
        </w:tc>
        <w:tc>
          <w:tcPr>
            <w:tcW w:w="220" w:type="dxa"/>
            <w:vAlign w:val="bottom"/>
            <w:shd w:val="clear" w:color="auto" w:fill="E0E7ED"/>
          </w:tcPr>
          <w:p>
            <w:pPr>
              <w:spacing w:after="0"/>
              <w:rPr>
                <w:sz w:val="10"/>
                <w:szCs w:val="10"/>
                <w:color w:val="auto"/>
              </w:rPr>
            </w:pPr>
          </w:p>
        </w:tc>
        <w:tc>
          <w:tcPr>
            <w:tcW w:w="128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4,874</w:t>
            </w:r>
          </w:p>
        </w:tc>
        <w:tc>
          <w:tcPr>
            <w:tcW w:w="80" w:type="dxa"/>
            <w:vAlign w:val="bottom"/>
            <w:shd w:val="clear" w:color="auto" w:fill="E0E7ED"/>
          </w:tcPr>
          <w:p>
            <w:pPr>
              <w:spacing w:after="0"/>
              <w:rPr>
                <w:sz w:val="10"/>
                <w:szCs w:val="10"/>
                <w:color w:val="auto"/>
              </w:rPr>
            </w:pPr>
          </w:p>
        </w:tc>
        <w:tc>
          <w:tcPr>
            <w:tcW w:w="340" w:type="dxa"/>
            <w:vAlign w:val="bottom"/>
            <w:shd w:val="clear" w:color="auto" w:fill="E0E7ED"/>
          </w:tcPr>
          <w:p>
            <w:pPr>
              <w:spacing w:after="0"/>
              <w:rPr>
                <w:sz w:val="10"/>
                <w:szCs w:val="10"/>
                <w:color w:val="auto"/>
              </w:rPr>
            </w:pPr>
          </w:p>
        </w:tc>
        <w:tc>
          <w:tcPr>
            <w:tcW w:w="114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148</w:t>
            </w:r>
          </w:p>
        </w:tc>
        <w:tc>
          <w:tcPr>
            <w:tcW w:w="0" w:type="dxa"/>
            <w:vAlign w:val="bottom"/>
          </w:tcPr>
          <w:p>
            <w:pPr>
              <w:spacing w:after="0"/>
              <w:rPr>
                <w:sz w:val="1"/>
                <w:szCs w:val="1"/>
                <w:color w:val="auto"/>
              </w:rPr>
            </w:pPr>
          </w:p>
        </w:tc>
      </w:tr>
      <w:tr>
        <w:trPr>
          <w:trHeight w:val="176"/>
        </w:trPr>
        <w:tc>
          <w:tcPr>
            <w:tcW w:w="5060" w:type="dxa"/>
            <w:vAlign w:val="bottom"/>
            <w:shd w:val="clear" w:color="auto" w:fill="E0E7ED"/>
          </w:tcPr>
          <w:p>
            <w:pPr>
              <w:ind w:left="360"/>
              <w:spacing w:after="0"/>
              <w:rPr>
                <w:sz w:val="20"/>
                <w:szCs w:val="20"/>
                <w:color w:val="auto"/>
              </w:rPr>
            </w:pPr>
            <w:r>
              <w:rPr>
                <w:rFonts w:ascii="Verdana" w:cs="Verdana" w:eastAsia="Verdana" w:hAnsi="Verdana"/>
                <w:sz w:val="13"/>
                <w:szCs w:val="13"/>
                <w:color w:val="auto"/>
              </w:rPr>
              <w:t>$(1,943), and $(59), respectively</w:t>
            </w:r>
          </w:p>
        </w:tc>
        <w:tc>
          <w:tcPr>
            <w:tcW w:w="940" w:type="dxa"/>
            <w:vAlign w:val="bottom"/>
            <w:shd w:val="clear" w:color="auto" w:fill="E0E7ED"/>
          </w:tcPr>
          <w:p>
            <w:pPr>
              <w:spacing w:after="0"/>
              <w:rPr>
                <w:sz w:val="15"/>
                <w:szCs w:val="15"/>
                <w:color w:val="auto"/>
              </w:rPr>
            </w:pPr>
          </w:p>
        </w:tc>
        <w:tc>
          <w:tcPr>
            <w:tcW w:w="520" w:type="dxa"/>
            <w:vAlign w:val="bottom"/>
            <w:vMerge w:val="continue"/>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128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5060" w:type="dxa"/>
            <w:vAlign w:val="bottom"/>
          </w:tcPr>
          <w:p>
            <w:pPr>
              <w:ind w:left="360"/>
              <w:spacing w:after="0" w:line="122" w:lineRule="exact"/>
              <w:rPr>
                <w:sz w:val="20"/>
                <w:szCs w:val="20"/>
                <w:color w:val="auto"/>
              </w:rPr>
            </w:pPr>
            <w:r>
              <w:rPr>
                <w:rFonts w:ascii="Verdana" w:cs="Verdana" w:eastAsia="Verdana" w:hAnsi="Verdana"/>
                <w:sz w:val="13"/>
                <w:szCs w:val="13"/>
                <w:color w:val="auto"/>
              </w:rPr>
              <w:t>Amortization of unrecognized losses on securities transferred to held to</w:t>
            </w:r>
          </w:p>
        </w:tc>
        <w:tc>
          <w:tcPr>
            <w:tcW w:w="9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060" w:type="dxa"/>
            <w:vAlign w:val="bottom"/>
          </w:tcPr>
          <w:p>
            <w:pPr>
              <w:ind w:left="360"/>
              <w:spacing w:after="0" w:line="122" w:lineRule="exact"/>
              <w:rPr>
                <w:sz w:val="20"/>
                <w:szCs w:val="20"/>
                <w:color w:val="auto"/>
              </w:rPr>
            </w:pPr>
            <w:r>
              <w:rPr>
                <w:rFonts w:ascii="Verdana" w:cs="Verdana" w:eastAsia="Verdana" w:hAnsi="Verdana"/>
                <w:sz w:val="13"/>
                <w:szCs w:val="13"/>
                <w:color w:val="auto"/>
              </w:rPr>
              <w:t>maturity, net of taxes of $(394), $(420), $(1,195), and $(1,346),</w:t>
            </w:r>
          </w:p>
        </w:tc>
        <w:tc>
          <w:tcPr>
            <w:tcW w:w="94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Verdana" w:cs="Verdana" w:eastAsia="Verdana" w:hAnsi="Verdana"/>
                <w:sz w:val="13"/>
                <w:szCs w:val="13"/>
                <w:color w:val="auto"/>
              </w:rPr>
              <w:t>990</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1,056</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2,999</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3,379</w:t>
            </w:r>
          </w:p>
        </w:tc>
        <w:tc>
          <w:tcPr>
            <w:tcW w:w="0" w:type="dxa"/>
            <w:vAlign w:val="bottom"/>
          </w:tcPr>
          <w:p>
            <w:pPr>
              <w:spacing w:after="0"/>
              <w:rPr>
                <w:sz w:val="1"/>
                <w:szCs w:val="1"/>
                <w:color w:val="auto"/>
              </w:rPr>
            </w:pPr>
          </w:p>
        </w:tc>
      </w:tr>
      <w:tr>
        <w:trPr>
          <w:trHeight w:val="170"/>
        </w:trPr>
        <w:tc>
          <w:tcPr>
            <w:tcW w:w="5060" w:type="dxa"/>
            <w:vAlign w:val="bottom"/>
            <w:tcBorders>
              <w:bottom w:val="single" w:sz="8" w:color="E0E7ED"/>
            </w:tcBorders>
          </w:tcPr>
          <w:p>
            <w:pPr>
              <w:ind w:left="360"/>
              <w:spacing w:after="0"/>
              <w:rPr>
                <w:sz w:val="20"/>
                <w:szCs w:val="20"/>
                <w:color w:val="auto"/>
              </w:rPr>
            </w:pPr>
            <w:r>
              <w:rPr>
                <w:rFonts w:ascii="Verdana" w:cs="Verdana" w:eastAsia="Verdana" w:hAnsi="Verdana"/>
                <w:sz w:val="13"/>
                <w:szCs w:val="13"/>
                <w:color w:val="auto"/>
              </w:rPr>
              <w:t>respectively</w:t>
            </w:r>
          </w:p>
        </w:tc>
        <w:tc>
          <w:tcPr>
            <w:tcW w:w="9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06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Net change in unrealized/unrecognized gains (losses) on debt securities</w:t>
            </w:r>
          </w:p>
        </w:tc>
        <w:tc>
          <w:tcPr>
            <w:tcW w:w="940" w:type="dxa"/>
            <w:vAlign w:val="bottom"/>
            <w:tcBorders>
              <w:bottom w:val="single" w:sz="8" w:color="auto"/>
            </w:tcBorders>
            <w:shd w:val="clear" w:color="auto" w:fill="E0E7ED"/>
          </w:tcPr>
          <w:p>
            <w:pPr>
              <w:spacing w:after="0"/>
              <w:rPr>
                <w:sz w:val="15"/>
                <w:szCs w:val="15"/>
                <w:color w:val="auto"/>
              </w:rPr>
            </w:pPr>
          </w:p>
        </w:tc>
        <w:tc>
          <w:tcPr>
            <w:tcW w:w="5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40,284</w:t>
            </w:r>
          </w:p>
        </w:tc>
        <w:tc>
          <w:tcPr>
            <w:tcW w:w="100" w:type="dxa"/>
            <w:vAlign w:val="bottom"/>
            <w:shd w:val="clear" w:color="auto" w:fill="E0E7ED"/>
          </w:tcPr>
          <w:p>
            <w:pPr>
              <w:spacing w:after="0"/>
              <w:rPr>
                <w:sz w:val="15"/>
                <w:szCs w:val="15"/>
                <w:color w:val="auto"/>
              </w:rPr>
            </w:pPr>
          </w:p>
        </w:tc>
        <w:tc>
          <w:tcPr>
            <w:tcW w:w="340" w:type="dxa"/>
            <w:vAlign w:val="bottom"/>
            <w:tcBorders>
              <w:bottom w:val="single" w:sz="8" w:color="auto"/>
            </w:tcBorders>
            <w:shd w:val="clear" w:color="auto" w:fill="E0E7ED"/>
          </w:tcPr>
          <w:p>
            <w:pPr>
              <w:spacing w:after="0"/>
              <w:rPr>
                <w:sz w:val="15"/>
                <w:szCs w:val="15"/>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(25,870)</w:t>
            </w:r>
          </w:p>
        </w:tc>
        <w:tc>
          <w:tcPr>
            <w:tcW w:w="80" w:type="dxa"/>
            <w:vAlign w:val="bottom"/>
            <w:shd w:val="clear" w:color="auto" w:fill="E0E7ED"/>
          </w:tcPr>
          <w:p>
            <w:pPr>
              <w:spacing w:after="0"/>
              <w:rPr>
                <w:sz w:val="15"/>
                <w:szCs w:val="15"/>
                <w:color w:val="auto"/>
              </w:rPr>
            </w:pPr>
          </w:p>
        </w:tc>
        <w:tc>
          <w:tcPr>
            <w:tcW w:w="220" w:type="dxa"/>
            <w:vAlign w:val="bottom"/>
            <w:tcBorders>
              <w:bottom w:val="single" w:sz="8" w:color="auto"/>
            </w:tcBorders>
            <w:shd w:val="clear" w:color="auto" w:fill="E0E7ED"/>
          </w:tcPr>
          <w:p>
            <w:pPr>
              <w:spacing w:after="0"/>
              <w:rPr>
                <w:sz w:val="15"/>
                <w:szCs w:val="15"/>
                <w:color w:val="auto"/>
              </w:rPr>
            </w:pPr>
          </w:p>
        </w:tc>
        <w:tc>
          <w:tcPr>
            <w:tcW w:w="12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42,683</w:t>
            </w:r>
          </w:p>
        </w:tc>
        <w:tc>
          <w:tcPr>
            <w:tcW w:w="80" w:type="dxa"/>
            <w:vAlign w:val="bottom"/>
            <w:shd w:val="clear" w:color="auto" w:fill="E0E7ED"/>
          </w:tcPr>
          <w:p>
            <w:pPr>
              <w:spacing w:after="0"/>
              <w:rPr>
                <w:sz w:val="15"/>
                <w:szCs w:val="15"/>
                <w:color w:val="auto"/>
              </w:rPr>
            </w:pPr>
          </w:p>
        </w:tc>
        <w:tc>
          <w:tcPr>
            <w:tcW w:w="340" w:type="dxa"/>
            <w:vAlign w:val="bottom"/>
            <w:tcBorders>
              <w:bottom w:val="single" w:sz="8" w:color="auto"/>
            </w:tcBorders>
            <w:shd w:val="clear" w:color="auto" w:fill="E0E7ED"/>
          </w:tcPr>
          <w:p>
            <w:pPr>
              <w:spacing w:after="0"/>
              <w:rPr>
                <w:sz w:val="15"/>
                <w:szCs w:val="15"/>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(13,345)</w:t>
            </w:r>
          </w:p>
        </w:tc>
        <w:tc>
          <w:tcPr>
            <w:tcW w:w="0" w:type="dxa"/>
            <w:vAlign w:val="bottom"/>
          </w:tcPr>
          <w:p>
            <w:pPr>
              <w:spacing w:after="0"/>
              <w:rPr>
                <w:sz w:val="1"/>
                <w:szCs w:val="1"/>
                <w:color w:val="auto"/>
              </w:rPr>
            </w:pPr>
          </w:p>
        </w:tc>
      </w:tr>
      <w:tr>
        <w:trPr>
          <w:trHeight w:val="150"/>
        </w:trPr>
        <w:tc>
          <w:tcPr>
            <w:tcW w:w="5060" w:type="dxa"/>
            <w:vAlign w:val="bottom"/>
          </w:tcPr>
          <w:p>
            <w:pPr>
              <w:ind w:left="180"/>
              <w:spacing w:after="0" w:line="145" w:lineRule="exact"/>
              <w:rPr>
                <w:sz w:val="20"/>
                <w:szCs w:val="20"/>
                <w:color w:val="auto"/>
              </w:rPr>
            </w:pPr>
            <w:r>
              <w:rPr>
                <w:rFonts w:ascii="Verdana" w:cs="Verdana" w:eastAsia="Verdana" w:hAnsi="Verdana"/>
                <w:sz w:val="13"/>
                <w:szCs w:val="13"/>
                <w:color w:val="auto"/>
              </w:rPr>
              <w:t>Unrealized gains (losses) on cash flow hedges:</w:t>
            </w: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5060" w:type="dxa"/>
            <w:vAlign w:val="bottom"/>
            <w:shd w:val="clear" w:color="auto" w:fill="E0E7ED"/>
          </w:tcPr>
          <w:p>
            <w:pPr>
              <w:ind w:left="360"/>
              <w:spacing w:after="0" w:line="127" w:lineRule="exact"/>
              <w:rPr>
                <w:sz w:val="20"/>
                <w:szCs w:val="20"/>
                <w:color w:val="auto"/>
              </w:rPr>
            </w:pPr>
            <w:r>
              <w:rPr>
                <w:rFonts w:ascii="Verdana" w:cs="Verdana" w:eastAsia="Verdana" w:hAnsi="Verdana"/>
                <w:sz w:val="13"/>
                <w:szCs w:val="13"/>
                <w:color w:val="auto"/>
                <w:w w:val="96"/>
              </w:rPr>
              <w:t>Net unrealized holding gains (losses) on cash flow hedges, net of taxes of</w:t>
            </w:r>
          </w:p>
        </w:tc>
        <w:tc>
          <w:tcPr>
            <w:tcW w:w="940" w:type="dxa"/>
            <w:vAlign w:val="bottom"/>
            <w:shd w:val="clear" w:color="auto" w:fill="E0E7ED"/>
          </w:tcPr>
          <w:p>
            <w:pPr>
              <w:spacing w:after="0"/>
              <w:rPr>
                <w:sz w:val="11"/>
                <w:szCs w:val="11"/>
                <w:color w:val="auto"/>
              </w:rPr>
            </w:pPr>
          </w:p>
        </w:tc>
        <w:tc>
          <w:tcPr>
            <w:tcW w:w="52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7,439</w:t>
            </w:r>
          </w:p>
        </w:tc>
        <w:tc>
          <w:tcPr>
            <w:tcW w:w="100" w:type="dxa"/>
            <w:vAlign w:val="bottom"/>
            <w:shd w:val="clear" w:color="auto" w:fill="E0E7ED"/>
          </w:tcPr>
          <w:p>
            <w:pPr>
              <w:spacing w:after="0"/>
              <w:rPr>
                <w:sz w:val="11"/>
                <w:szCs w:val="11"/>
                <w:color w:val="auto"/>
              </w:rPr>
            </w:pPr>
          </w:p>
        </w:tc>
        <w:tc>
          <w:tcPr>
            <w:tcW w:w="340" w:type="dxa"/>
            <w:vAlign w:val="bottom"/>
            <w:shd w:val="clear" w:color="auto" w:fill="E0E7ED"/>
          </w:tcPr>
          <w:p>
            <w:pPr>
              <w:spacing w:after="0"/>
              <w:rPr>
                <w:sz w:val="11"/>
                <w:szCs w:val="11"/>
                <w:color w:val="auto"/>
              </w:rPr>
            </w:pPr>
          </w:p>
        </w:tc>
        <w:tc>
          <w:tcPr>
            <w:tcW w:w="114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(5,577)</w:t>
            </w:r>
          </w:p>
        </w:tc>
        <w:tc>
          <w:tcPr>
            <w:tcW w:w="80" w:type="dxa"/>
            <w:vAlign w:val="bottom"/>
            <w:shd w:val="clear" w:color="auto" w:fill="E0E7ED"/>
          </w:tcPr>
          <w:p>
            <w:pPr>
              <w:spacing w:after="0"/>
              <w:rPr>
                <w:sz w:val="11"/>
                <w:szCs w:val="11"/>
                <w:color w:val="auto"/>
              </w:rPr>
            </w:pPr>
          </w:p>
        </w:tc>
        <w:tc>
          <w:tcPr>
            <w:tcW w:w="220" w:type="dxa"/>
            <w:vAlign w:val="bottom"/>
            <w:shd w:val="clear" w:color="auto" w:fill="E0E7ED"/>
          </w:tcPr>
          <w:p>
            <w:pPr>
              <w:spacing w:after="0"/>
              <w:rPr>
                <w:sz w:val="11"/>
                <w:szCs w:val="11"/>
                <w:color w:val="auto"/>
              </w:rPr>
            </w:pPr>
          </w:p>
        </w:tc>
        <w:tc>
          <w:tcPr>
            <w:tcW w:w="128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211</w:t>
            </w:r>
          </w:p>
        </w:tc>
        <w:tc>
          <w:tcPr>
            <w:tcW w:w="80" w:type="dxa"/>
            <w:vAlign w:val="bottom"/>
            <w:shd w:val="clear" w:color="auto" w:fill="E0E7ED"/>
          </w:tcPr>
          <w:p>
            <w:pPr>
              <w:spacing w:after="0"/>
              <w:rPr>
                <w:sz w:val="11"/>
                <w:szCs w:val="11"/>
                <w:color w:val="auto"/>
              </w:rPr>
            </w:pPr>
          </w:p>
        </w:tc>
        <w:tc>
          <w:tcPr>
            <w:tcW w:w="340" w:type="dxa"/>
            <w:vAlign w:val="bottom"/>
            <w:shd w:val="clear" w:color="auto" w:fill="E0E7ED"/>
          </w:tcPr>
          <w:p>
            <w:pPr>
              <w:spacing w:after="0"/>
              <w:rPr>
                <w:sz w:val="11"/>
                <w:szCs w:val="11"/>
                <w:color w:val="auto"/>
              </w:rPr>
            </w:pPr>
          </w:p>
        </w:tc>
        <w:tc>
          <w:tcPr>
            <w:tcW w:w="114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(8,563)</w:t>
            </w:r>
          </w:p>
        </w:tc>
        <w:tc>
          <w:tcPr>
            <w:tcW w:w="0" w:type="dxa"/>
            <w:vAlign w:val="bottom"/>
          </w:tcPr>
          <w:p>
            <w:pPr>
              <w:spacing w:after="0"/>
              <w:rPr>
                <w:sz w:val="1"/>
                <w:szCs w:val="1"/>
                <w:color w:val="auto"/>
              </w:rPr>
            </w:pPr>
          </w:p>
        </w:tc>
      </w:tr>
      <w:tr>
        <w:trPr>
          <w:trHeight w:val="176"/>
        </w:trPr>
        <w:tc>
          <w:tcPr>
            <w:tcW w:w="5060" w:type="dxa"/>
            <w:vAlign w:val="bottom"/>
            <w:shd w:val="clear" w:color="auto" w:fill="E0E7ED"/>
          </w:tcPr>
          <w:p>
            <w:pPr>
              <w:ind w:left="360"/>
              <w:spacing w:after="0"/>
              <w:rPr>
                <w:sz w:val="20"/>
                <w:szCs w:val="20"/>
                <w:color w:val="auto"/>
              </w:rPr>
            </w:pPr>
            <w:r>
              <w:rPr>
                <w:rFonts w:ascii="Verdana" w:cs="Verdana" w:eastAsia="Verdana" w:hAnsi="Verdana"/>
                <w:sz w:val="13"/>
                <w:szCs w:val="13"/>
                <w:color w:val="auto"/>
              </w:rPr>
              <w:t>$(2,965), $2,220, $(84), and $3,412, respectively</w:t>
            </w:r>
          </w:p>
        </w:tc>
        <w:tc>
          <w:tcPr>
            <w:tcW w:w="940" w:type="dxa"/>
            <w:vAlign w:val="bottom"/>
            <w:shd w:val="clear" w:color="auto" w:fill="E0E7ED"/>
          </w:tcPr>
          <w:p>
            <w:pPr>
              <w:spacing w:after="0"/>
              <w:rPr>
                <w:sz w:val="15"/>
                <w:szCs w:val="15"/>
                <w:color w:val="auto"/>
              </w:rPr>
            </w:pPr>
          </w:p>
        </w:tc>
        <w:tc>
          <w:tcPr>
            <w:tcW w:w="520" w:type="dxa"/>
            <w:vAlign w:val="bottom"/>
            <w:vMerge w:val="continue"/>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128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5060" w:type="dxa"/>
            <w:vAlign w:val="bottom"/>
          </w:tcPr>
          <w:p>
            <w:pPr>
              <w:ind w:left="360"/>
              <w:spacing w:after="0" w:line="122" w:lineRule="exact"/>
              <w:rPr>
                <w:sz w:val="20"/>
                <w:szCs w:val="20"/>
                <w:color w:val="auto"/>
              </w:rPr>
            </w:pPr>
            <w:r>
              <w:rPr>
                <w:rFonts w:ascii="Verdana" w:cs="Verdana" w:eastAsia="Verdana" w:hAnsi="Verdana"/>
                <w:sz w:val="13"/>
                <w:szCs w:val="13"/>
                <w:color w:val="auto"/>
              </w:rPr>
              <w:t>Reclassification adjustment for realized (gains) losses on cash flow</w:t>
            </w:r>
          </w:p>
        </w:tc>
        <w:tc>
          <w:tcPr>
            <w:tcW w:w="9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060" w:type="dxa"/>
            <w:vAlign w:val="bottom"/>
          </w:tcPr>
          <w:p>
            <w:pPr>
              <w:ind w:left="360"/>
              <w:spacing w:after="0" w:line="122" w:lineRule="exact"/>
              <w:rPr>
                <w:sz w:val="20"/>
                <w:szCs w:val="20"/>
                <w:color w:val="auto"/>
              </w:rPr>
            </w:pPr>
            <w:r>
              <w:rPr>
                <w:rFonts w:ascii="Verdana" w:cs="Verdana" w:eastAsia="Verdana" w:hAnsi="Verdana"/>
                <w:sz w:val="13"/>
                <w:szCs w:val="13"/>
                <w:color w:val="auto"/>
                <w:w w:val="97"/>
              </w:rPr>
              <w:t>hedges included in net income, net of taxes of $(674), ($652), $(1,992),</w:t>
            </w:r>
          </w:p>
        </w:tc>
        <w:tc>
          <w:tcPr>
            <w:tcW w:w="94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Verdana" w:cs="Verdana" w:eastAsia="Verdana" w:hAnsi="Verdana"/>
                <w:sz w:val="13"/>
                <w:szCs w:val="13"/>
                <w:color w:val="auto"/>
              </w:rPr>
              <w:t>1,690</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1,638</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4,996</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4,456</w:t>
            </w:r>
          </w:p>
        </w:tc>
        <w:tc>
          <w:tcPr>
            <w:tcW w:w="0" w:type="dxa"/>
            <w:vAlign w:val="bottom"/>
          </w:tcPr>
          <w:p>
            <w:pPr>
              <w:spacing w:after="0"/>
              <w:rPr>
                <w:sz w:val="1"/>
                <w:szCs w:val="1"/>
                <w:color w:val="auto"/>
              </w:rPr>
            </w:pPr>
          </w:p>
        </w:tc>
      </w:tr>
      <w:tr>
        <w:trPr>
          <w:trHeight w:val="170"/>
        </w:trPr>
        <w:tc>
          <w:tcPr>
            <w:tcW w:w="5060" w:type="dxa"/>
            <w:vAlign w:val="bottom"/>
            <w:tcBorders>
              <w:bottom w:val="single" w:sz="8" w:color="E0E7ED"/>
            </w:tcBorders>
          </w:tcPr>
          <w:p>
            <w:pPr>
              <w:ind w:left="360"/>
              <w:spacing w:after="0"/>
              <w:rPr>
                <w:sz w:val="20"/>
                <w:szCs w:val="20"/>
                <w:color w:val="auto"/>
              </w:rPr>
            </w:pPr>
            <w:r>
              <w:rPr>
                <w:rFonts w:ascii="Verdana" w:cs="Verdana" w:eastAsia="Verdana" w:hAnsi="Verdana"/>
                <w:sz w:val="13"/>
                <w:szCs w:val="13"/>
                <w:color w:val="auto"/>
              </w:rPr>
              <w:t>and ($1,776), respectively</w:t>
            </w:r>
          </w:p>
        </w:tc>
        <w:tc>
          <w:tcPr>
            <w:tcW w:w="9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06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Net change in unrealized gains (losses) on cash flow hedges</w:t>
            </w:r>
          </w:p>
        </w:tc>
        <w:tc>
          <w:tcPr>
            <w:tcW w:w="940" w:type="dxa"/>
            <w:vAlign w:val="bottom"/>
            <w:tcBorders>
              <w:bottom w:val="single" w:sz="8" w:color="auto"/>
            </w:tcBorders>
            <w:shd w:val="clear" w:color="auto" w:fill="E0E7ED"/>
          </w:tcPr>
          <w:p>
            <w:pPr>
              <w:spacing w:after="0"/>
              <w:rPr>
                <w:sz w:val="15"/>
                <w:szCs w:val="15"/>
                <w:color w:val="auto"/>
              </w:rPr>
            </w:pPr>
          </w:p>
        </w:tc>
        <w:tc>
          <w:tcPr>
            <w:tcW w:w="5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9,129</w:t>
            </w:r>
          </w:p>
        </w:tc>
        <w:tc>
          <w:tcPr>
            <w:tcW w:w="100" w:type="dxa"/>
            <w:vAlign w:val="bottom"/>
            <w:shd w:val="clear" w:color="auto" w:fill="E0E7ED"/>
          </w:tcPr>
          <w:p>
            <w:pPr>
              <w:spacing w:after="0"/>
              <w:rPr>
                <w:sz w:val="15"/>
                <w:szCs w:val="15"/>
                <w:color w:val="auto"/>
              </w:rPr>
            </w:pPr>
          </w:p>
        </w:tc>
        <w:tc>
          <w:tcPr>
            <w:tcW w:w="340" w:type="dxa"/>
            <w:vAlign w:val="bottom"/>
            <w:tcBorders>
              <w:bottom w:val="single" w:sz="8" w:color="auto"/>
            </w:tcBorders>
            <w:shd w:val="clear" w:color="auto" w:fill="E0E7ED"/>
          </w:tcPr>
          <w:p>
            <w:pPr>
              <w:spacing w:after="0"/>
              <w:rPr>
                <w:sz w:val="15"/>
                <w:szCs w:val="15"/>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(3,939)</w:t>
            </w:r>
          </w:p>
        </w:tc>
        <w:tc>
          <w:tcPr>
            <w:tcW w:w="80" w:type="dxa"/>
            <w:vAlign w:val="bottom"/>
            <w:shd w:val="clear" w:color="auto" w:fill="E0E7ED"/>
          </w:tcPr>
          <w:p>
            <w:pPr>
              <w:spacing w:after="0"/>
              <w:rPr>
                <w:sz w:val="15"/>
                <w:szCs w:val="15"/>
                <w:color w:val="auto"/>
              </w:rPr>
            </w:pPr>
          </w:p>
        </w:tc>
        <w:tc>
          <w:tcPr>
            <w:tcW w:w="220" w:type="dxa"/>
            <w:vAlign w:val="bottom"/>
            <w:tcBorders>
              <w:bottom w:val="single" w:sz="8" w:color="auto"/>
            </w:tcBorders>
            <w:shd w:val="clear" w:color="auto" w:fill="E0E7ED"/>
          </w:tcPr>
          <w:p>
            <w:pPr>
              <w:spacing w:after="0"/>
              <w:rPr>
                <w:sz w:val="15"/>
                <w:szCs w:val="15"/>
                <w:color w:val="auto"/>
              </w:rPr>
            </w:pPr>
          </w:p>
        </w:tc>
        <w:tc>
          <w:tcPr>
            <w:tcW w:w="12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5,207</w:t>
            </w:r>
          </w:p>
        </w:tc>
        <w:tc>
          <w:tcPr>
            <w:tcW w:w="80" w:type="dxa"/>
            <w:vAlign w:val="bottom"/>
            <w:shd w:val="clear" w:color="auto" w:fill="E0E7ED"/>
          </w:tcPr>
          <w:p>
            <w:pPr>
              <w:spacing w:after="0"/>
              <w:rPr>
                <w:sz w:val="15"/>
                <w:szCs w:val="15"/>
                <w:color w:val="auto"/>
              </w:rPr>
            </w:pPr>
          </w:p>
        </w:tc>
        <w:tc>
          <w:tcPr>
            <w:tcW w:w="340" w:type="dxa"/>
            <w:vAlign w:val="bottom"/>
            <w:tcBorders>
              <w:bottom w:val="single" w:sz="8" w:color="auto"/>
            </w:tcBorders>
            <w:shd w:val="clear" w:color="auto" w:fill="E0E7ED"/>
          </w:tcPr>
          <w:p>
            <w:pPr>
              <w:spacing w:after="0"/>
              <w:rPr>
                <w:sz w:val="15"/>
                <w:szCs w:val="15"/>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(4,107)</w:t>
            </w:r>
          </w:p>
        </w:tc>
        <w:tc>
          <w:tcPr>
            <w:tcW w:w="0" w:type="dxa"/>
            <w:vAlign w:val="bottom"/>
          </w:tcPr>
          <w:p>
            <w:pPr>
              <w:spacing w:after="0"/>
              <w:rPr>
                <w:sz w:val="1"/>
                <w:szCs w:val="1"/>
                <w:color w:val="auto"/>
              </w:rPr>
            </w:pPr>
          </w:p>
        </w:tc>
      </w:tr>
      <w:tr>
        <w:trPr>
          <w:trHeight w:val="164"/>
        </w:trPr>
        <w:tc>
          <w:tcPr>
            <w:tcW w:w="5060" w:type="dxa"/>
            <w:vAlign w:val="bottom"/>
            <w:tcBorders>
              <w:bottom w:val="single" w:sz="8" w:color="E0E7ED"/>
            </w:tcBorders>
          </w:tcPr>
          <w:p>
            <w:pPr>
              <w:ind w:left="20"/>
              <w:spacing w:after="0" w:line="153" w:lineRule="exact"/>
              <w:rPr>
                <w:sz w:val="20"/>
                <w:szCs w:val="20"/>
                <w:color w:val="auto"/>
              </w:rPr>
            </w:pPr>
            <w:r>
              <w:rPr>
                <w:rFonts w:ascii="Verdana" w:cs="Verdana" w:eastAsia="Verdana" w:hAnsi="Verdana"/>
                <w:sz w:val="13"/>
                <w:szCs w:val="13"/>
                <w:color w:val="auto"/>
              </w:rPr>
              <w:t>OCI</w:t>
            </w:r>
          </w:p>
        </w:tc>
        <w:tc>
          <w:tcPr>
            <w:tcW w:w="9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w w:val="95"/>
              </w:rPr>
              <w:t>49,413</w:t>
            </w:r>
          </w:p>
        </w:tc>
        <w:tc>
          <w:tcPr>
            <w:tcW w:w="10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(29,809)</w:t>
            </w:r>
          </w:p>
        </w:tc>
        <w:tc>
          <w:tcPr>
            <w:tcW w:w="80" w:type="dxa"/>
            <w:vAlign w:val="bottom"/>
            <w:tcBorders>
              <w:bottom w:val="single" w:sz="8" w:color="E0E7ED"/>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47,890</w:t>
            </w:r>
          </w:p>
        </w:tc>
        <w:tc>
          <w:tcPr>
            <w:tcW w:w="8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(17,452)</w:t>
            </w:r>
          </w:p>
        </w:tc>
        <w:tc>
          <w:tcPr>
            <w:tcW w:w="0" w:type="dxa"/>
            <w:vAlign w:val="bottom"/>
          </w:tcPr>
          <w:p>
            <w:pPr>
              <w:spacing w:after="0"/>
              <w:rPr>
                <w:sz w:val="1"/>
                <w:szCs w:val="1"/>
                <w:color w:val="auto"/>
              </w:rPr>
            </w:pPr>
          </w:p>
        </w:tc>
      </w:tr>
      <w:tr>
        <w:trPr>
          <w:trHeight w:val="199"/>
        </w:trPr>
        <w:tc>
          <w:tcPr>
            <w:tcW w:w="50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3"/>
                <w:szCs w:val="13"/>
                <w:color w:val="auto"/>
              </w:rPr>
              <w:t>Total comprehensive income</w:t>
            </w:r>
          </w:p>
        </w:tc>
        <w:tc>
          <w:tcPr>
            <w:tcW w:w="940" w:type="dxa"/>
            <w:vAlign w:val="bottom"/>
            <w:tcBorders>
              <w:bottom w:val="single" w:sz="8" w:color="auto"/>
            </w:tcBorders>
            <w:shd w:val="clear" w:color="auto" w:fill="E0E7ED"/>
          </w:tcPr>
          <w:p>
            <w:pPr>
              <w:jc w:val="right"/>
              <w:ind w:right="777"/>
              <w:spacing w:after="0"/>
              <w:rPr>
                <w:sz w:val="20"/>
                <w:szCs w:val="20"/>
                <w:color w:val="auto"/>
              </w:rPr>
            </w:pPr>
            <w:r>
              <w:rPr>
                <w:rFonts w:ascii="Verdana" w:cs="Verdana" w:eastAsia="Verdana" w:hAnsi="Verdana"/>
                <w:sz w:val="13"/>
                <w:szCs w:val="13"/>
                <w:color w:val="auto"/>
                <w:w w:val="95"/>
              </w:rPr>
              <w:t>$</w:t>
            </w:r>
          </w:p>
        </w:tc>
        <w:tc>
          <w:tcPr>
            <w:tcW w:w="5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81,417</w:t>
            </w:r>
          </w:p>
        </w:tc>
        <w:tc>
          <w:tcPr>
            <w:tcW w:w="100" w:type="dxa"/>
            <w:vAlign w:val="bottom"/>
            <w:tcBorders>
              <w:bottom w:val="single" w:sz="8" w:color="E0E7ED"/>
            </w:tcBorders>
            <w:shd w:val="clear" w:color="auto" w:fill="E0E7ED"/>
          </w:tcPr>
          <w:p>
            <w:pPr>
              <w:spacing w:after="0"/>
              <w:rPr>
                <w:sz w:val="16"/>
                <w:szCs w:val="16"/>
                <w:color w:val="auto"/>
              </w:rPr>
            </w:pPr>
          </w:p>
        </w:tc>
        <w:tc>
          <w:tcPr>
            <w:tcW w:w="340" w:type="dxa"/>
            <w:vAlign w:val="bottom"/>
            <w:tcBorders>
              <w:bottom w:val="single" w:sz="8" w:color="auto"/>
            </w:tcBorders>
            <w:shd w:val="clear" w:color="auto" w:fill="E0E7ED"/>
          </w:tcPr>
          <w:p>
            <w:pPr>
              <w:jc w:val="right"/>
              <w:ind w:right="177"/>
              <w:spacing w:after="0"/>
              <w:rPr>
                <w:sz w:val="20"/>
                <w:szCs w:val="20"/>
                <w:color w:val="auto"/>
              </w:rPr>
            </w:pPr>
            <w:r>
              <w:rPr>
                <w:rFonts w:ascii="Verdana" w:cs="Verdana" w:eastAsia="Verdana" w:hAnsi="Verdana"/>
                <w:sz w:val="13"/>
                <w:szCs w:val="13"/>
                <w:color w:val="auto"/>
                <w:w w:val="95"/>
              </w:rPr>
              <w:t>$</w:t>
            </w:r>
          </w:p>
        </w:tc>
        <w:tc>
          <w:tcPr>
            <w:tcW w:w="114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857</w:t>
            </w:r>
          </w:p>
        </w:tc>
        <w:tc>
          <w:tcPr>
            <w:tcW w:w="80" w:type="dxa"/>
            <w:vAlign w:val="bottom"/>
            <w:tcBorders>
              <w:bottom w:val="single" w:sz="8" w:color="E0E7ED"/>
            </w:tcBorders>
            <w:shd w:val="clear" w:color="auto" w:fill="E0E7ED"/>
          </w:tcPr>
          <w:p>
            <w:pPr>
              <w:spacing w:after="0"/>
              <w:rPr>
                <w:sz w:val="16"/>
                <w:szCs w:val="16"/>
                <w:color w:val="auto"/>
              </w:rPr>
            </w:pPr>
          </w:p>
        </w:tc>
        <w:tc>
          <w:tcPr>
            <w:tcW w:w="220" w:type="dxa"/>
            <w:vAlign w:val="bottom"/>
            <w:tcBorders>
              <w:bottom w:val="single" w:sz="8" w:color="auto"/>
            </w:tcBorders>
            <w:shd w:val="clear" w:color="auto" w:fill="E0E7ED"/>
          </w:tcPr>
          <w:p>
            <w:pPr>
              <w:jc w:val="right"/>
              <w:ind w:right="57"/>
              <w:spacing w:after="0"/>
              <w:rPr>
                <w:sz w:val="20"/>
                <w:szCs w:val="20"/>
                <w:color w:val="auto"/>
              </w:rPr>
            </w:pPr>
            <w:r>
              <w:rPr>
                <w:rFonts w:ascii="Verdana" w:cs="Verdana" w:eastAsia="Verdana" w:hAnsi="Verdana"/>
                <w:sz w:val="13"/>
                <w:szCs w:val="13"/>
                <w:color w:val="auto"/>
                <w:w w:val="95"/>
              </w:rPr>
              <w:t>$</w:t>
            </w:r>
          </w:p>
        </w:tc>
        <w:tc>
          <w:tcPr>
            <w:tcW w:w="12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133,476</w:t>
            </w:r>
          </w:p>
        </w:tc>
        <w:tc>
          <w:tcPr>
            <w:tcW w:w="80" w:type="dxa"/>
            <w:vAlign w:val="bottom"/>
            <w:tcBorders>
              <w:bottom w:val="single" w:sz="8" w:color="E0E7ED"/>
            </w:tcBorders>
            <w:shd w:val="clear" w:color="auto" w:fill="E0E7ED"/>
          </w:tcPr>
          <w:p>
            <w:pPr>
              <w:spacing w:after="0"/>
              <w:rPr>
                <w:sz w:val="16"/>
                <w:szCs w:val="16"/>
                <w:color w:val="auto"/>
              </w:rPr>
            </w:pPr>
          </w:p>
        </w:tc>
        <w:tc>
          <w:tcPr>
            <w:tcW w:w="340" w:type="dxa"/>
            <w:vAlign w:val="bottom"/>
            <w:tcBorders>
              <w:bottom w:val="single" w:sz="8" w:color="auto"/>
            </w:tcBorders>
            <w:shd w:val="clear" w:color="auto" w:fill="E0E7ED"/>
          </w:tcPr>
          <w:p>
            <w:pPr>
              <w:jc w:val="right"/>
              <w:ind w:right="177"/>
              <w:spacing w:after="0"/>
              <w:rPr>
                <w:sz w:val="20"/>
                <w:szCs w:val="20"/>
                <w:color w:val="auto"/>
              </w:rPr>
            </w:pPr>
            <w:r>
              <w:rPr>
                <w:rFonts w:ascii="Verdana" w:cs="Verdana" w:eastAsia="Verdana" w:hAnsi="Verdana"/>
                <w:sz w:val="13"/>
                <w:szCs w:val="13"/>
                <w:color w:val="auto"/>
                <w:w w:val="95"/>
              </w:rPr>
              <w:t>$</w:t>
            </w:r>
          </w:p>
        </w:tc>
        <w:tc>
          <w:tcPr>
            <w:tcW w:w="114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79,364</w:t>
            </w:r>
          </w:p>
        </w:tc>
        <w:tc>
          <w:tcPr>
            <w:tcW w:w="0" w:type="dxa"/>
            <w:vAlign w:val="bottom"/>
          </w:tcPr>
          <w:p>
            <w:pPr>
              <w:spacing w:after="0"/>
              <w:rPr>
                <w:sz w:val="1"/>
                <w:szCs w:val="1"/>
                <w:color w:val="auto"/>
              </w:rPr>
            </w:pPr>
          </w:p>
        </w:tc>
      </w:tr>
      <w:tr>
        <w:trPr>
          <w:trHeight w:val="20"/>
        </w:trPr>
        <w:tc>
          <w:tcPr>
            <w:tcW w:w="506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5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 xml:space="preserve">See accompanying </w:t>
      </w:r>
      <w:r>
        <w:rPr>
          <w:rFonts w:ascii="Verdana" w:cs="Verdana" w:eastAsia="Verdana" w:hAnsi="Verdana"/>
          <w:sz w:val="18"/>
          <w:szCs w:val="18"/>
          <w:u w:val="single" w:color="auto"/>
          <w:color w:val="0000FF"/>
        </w:rPr>
        <w:t>Notes to Consolidated Financial Statements (Unaudited)</w:t>
      </w:r>
      <w:r>
        <w:rPr>
          <w:rFonts w:ascii="Verdana" w:cs="Verdana" w:eastAsia="Verdana" w:hAnsi="Verdana"/>
          <w:sz w:val="18"/>
          <w:szCs w:val="18"/>
          <w:color w:val="auto"/>
        </w:rPr>
        <w:t>.</w:t>
      </w:r>
    </w:p>
    <w:p>
      <w:pPr>
        <w:spacing w:after="0" w:line="200" w:lineRule="exact"/>
        <w:rPr>
          <w:sz w:val="20"/>
          <w:szCs w:val="20"/>
          <w:color w:val="auto"/>
        </w:rPr>
      </w:pPr>
    </w:p>
    <w:p>
      <w:pPr>
        <w:spacing w:after="0" w:line="391" w:lineRule="exact"/>
        <w:rPr>
          <w:sz w:val="20"/>
          <w:szCs w:val="20"/>
          <w:color w:val="auto"/>
        </w:rPr>
      </w:pPr>
    </w:p>
    <w:p>
      <w:pPr>
        <w:ind w:left="8060"/>
        <w:spacing w:after="0"/>
        <w:rPr>
          <w:sz w:val="20"/>
          <w:szCs w:val="20"/>
          <w:color w:val="auto"/>
        </w:rPr>
      </w:pPr>
      <w:r>
        <w:rPr>
          <w:rFonts w:ascii="Verdana" w:cs="Verdana" w:eastAsia="Verdana" w:hAnsi="Verdana"/>
          <w:sz w:val="17"/>
          <w:szCs w:val="17"/>
          <w:color w:val="808285"/>
        </w:rPr>
        <w:t xml:space="preserve">First Busey Corporation (BUSE) | </w:t>
      </w:r>
      <w:r>
        <w:rPr>
          <w:rFonts w:ascii="Verdana" w:cs="Verdana" w:eastAsia="Verdana" w:hAnsi="Verdana"/>
          <w:sz w:val="17"/>
          <w:szCs w:val="17"/>
          <w:b w:val="1"/>
          <w:bCs w:val="1"/>
          <w:color w:val="376484"/>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 w:name="page9"/>
    <w:bookmarkEnd w:id="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18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line="236" w:lineRule="auto"/>
        <w:rPr>
          <w:sz w:val="20"/>
          <w:szCs w:val="20"/>
          <w:color w:val="auto"/>
        </w:rPr>
      </w:pPr>
      <w:r>
        <w:rPr>
          <w:rFonts w:ascii="Verdana" w:cs="Verdana" w:eastAsia="Verdana" w:hAnsi="Verdana"/>
          <w:sz w:val="18"/>
          <w:szCs w:val="18"/>
          <w:b w:val="1"/>
          <w:bCs w:val="1"/>
          <w:color w:val="auto"/>
        </w:rPr>
        <w:t>CONSOLIDATED STATEMENTS OF STOCKHOLDERS’ EQUITY (Unaudited)</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 except per share amounts)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1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8"/>
          </w:tcPr>
          <w:p>
            <w:pPr>
              <w:jc w:val="center"/>
              <w:ind w:right="200"/>
              <w:spacing w:after="0"/>
              <w:rPr>
                <w:sz w:val="20"/>
                <w:szCs w:val="20"/>
                <w:color w:val="auto"/>
              </w:rPr>
            </w:pPr>
            <w:r>
              <w:rPr>
                <w:rFonts w:ascii="Verdana" w:cs="Verdana" w:eastAsia="Verdana" w:hAnsi="Verdana"/>
                <w:sz w:val="13"/>
                <w:szCs w:val="13"/>
                <w:b w:val="1"/>
                <w:bCs w:val="1"/>
                <w:color w:val="auto"/>
                <w:w w:val="97"/>
              </w:rPr>
              <w:t>Three Months Ended September 30, 2024</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restart"/>
          </w:tcPr>
          <w:p>
            <w:pPr>
              <w:jc w:val="center"/>
              <w:ind w:left="177"/>
              <w:spacing w:after="0"/>
              <w:rPr>
                <w:sz w:val="20"/>
                <w:szCs w:val="20"/>
                <w:color w:val="auto"/>
              </w:rPr>
            </w:pPr>
            <w:r>
              <w:rPr>
                <w:rFonts w:ascii="Verdana" w:cs="Verdana" w:eastAsia="Verdana" w:hAnsi="Verdana"/>
                <w:sz w:val="13"/>
                <w:szCs w:val="13"/>
                <w:b w:val="1"/>
                <w:bCs w:val="1"/>
                <w:color w:val="auto"/>
                <w:w w:val="96"/>
              </w:rPr>
              <w:t>Common</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Verdana" w:cs="Verdana" w:eastAsia="Verdana" w:hAnsi="Verdana"/>
                <w:sz w:val="13"/>
                <w:szCs w:val="13"/>
                <w:b w:val="1"/>
                <w:bCs w:val="1"/>
                <w:color w:val="auto"/>
                <w:w w:val="96"/>
              </w:rPr>
              <w:t>Additional</w:t>
            </w:r>
          </w:p>
        </w:tc>
        <w:tc>
          <w:tcPr>
            <w:tcW w:w="160" w:type="dxa"/>
            <w:vAlign w:val="bottom"/>
          </w:tcPr>
          <w:p>
            <w:pPr>
              <w:spacing w:after="0"/>
              <w:rPr>
                <w:sz w:val="10"/>
                <w:szCs w:val="10"/>
                <w:color w:val="auto"/>
              </w:rPr>
            </w:pPr>
          </w:p>
        </w:tc>
        <w:tc>
          <w:tcPr>
            <w:tcW w:w="1000" w:type="dxa"/>
            <w:vAlign w:val="bottom"/>
            <w:gridSpan w:val="2"/>
            <w:vMerge w:val="restart"/>
          </w:tcPr>
          <w:p>
            <w:pPr>
              <w:jc w:val="center"/>
              <w:ind w:right="240"/>
              <w:spacing w:after="0"/>
              <w:rPr>
                <w:sz w:val="20"/>
                <w:szCs w:val="20"/>
                <w:color w:val="auto"/>
              </w:rPr>
            </w:pPr>
            <w:r>
              <w:rPr>
                <w:rFonts w:ascii="Verdana" w:cs="Verdana" w:eastAsia="Verdana" w:hAnsi="Verdana"/>
                <w:sz w:val="13"/>
                <w:szCs w:val="13"/>
                <w:b w:val="1"/>
                <w:bCs w:val="1"/>
                <w:color w:val="auto"/>
                <w:w w:val="98"/>
              </w:rPr>
              <w:t>Retained</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center"/>
              <w:ind w:right="220"/>
              <w:spacing w:after="0"/>
              <w:rPr>
                <w:sz w:val="20"/>
                <w:szCs w:val="20"/>
                <w:color w:val="auto"/>
              </w:rPr>
            </w:pPr>
            <w:r>
              <w:rPr>
                <w:rFonts w:ascii="Verdana" w:cs="Verdana" w:eastAsia="Verdana" w:hAnsi="Verdana"/>
                <w:sz w:val="13"/>
                <w:szCs w:val="13"/>
                <w:b w:val="1"/>
                <w:bCs w:val="1"/>
                <w:color w:val="auto"/>
                <w:w w:val="95"/>
              </w:rPr>
              <w:t>Treasury</w:t>
            </w:r>
          </w:p>
        </w:tc>
        <w:tc>
          <w:tcPr>
            <w:tcW w:w="220" w:type="dxa"/>
            <w:vAlign w:val="bottom"/>
          </w:tcPr>
          <w:p>
            <w:pPr>
              <w:spacing w:after="0"/>
              <w:rPr>
                <w:sz w:val="10"/>
                <w:szCs w:val="10"/>
                <w:color w:val="auto"/>
              </w:rPr>
            </w:pPr>
          </w:p>
        </w:tc>
        <w:tc>
          <w:tcPr>
            <w:tcW w:w="880" w:type="dxa"/>
            <w:vAlign w:val="bottom"/>
          </w:tcPr>
          <w:p>
            <w:pPr>
              <w:jc w:val="center"/>
              <w:ind w:right="137"/>
              <w:spacing w:after="0" w:line="122" w:lineRule="exact"/>
              <w:rPr>
                <w:sz w:val="20"/>
                <w:szCs w:val="20"/>
                <w:color w:val="auto"/>
              </w:rPr>
            </w:pPr>
            <w:r>
              <w:rPr>
                <w:rFonts w:ascii="Verdana" w:cs="Verdana" w:eastAsia="Verdana" w:hAnsi="Verdana"/>
                <w:sz w:val="13"/>
                <w:szCs w:val="13"/>
                <w:b w:val="1"/>
                <w:bCs w:val="1"/>
                <w:color w:val="auto"/>
                <w:w w:val="97"/>
              </w:rPr>
              <w:t>Total</w:t>
            </w:r>
          </w:p>
        </w:tc>
        <w:tc>
          <w:tcPr>
            <w:tcW w:w="0" w:type="dxa"/>
            <w:vAlign w:val="bottom"/>
          </w:tcPr>
          <w:p>
            <w:pPr>
              <w:spacing w:after="0"/>
              <w:rPr>
                <w:sz w:val="1"/>
                <w:szCs w:val="1"/>
                <w:color w:val="auto"/>
              </w:rPr>
            </w:pPr>
          </w:p>
        </w:tc>
      </w:tr>
      <w:tr>
        <w:trPr>
          <w:trHeight w:val="122"/>
        </w:trPr>
        <w:tc>
          <w:tcPr>
            <w:tcW w:w="3180" w:type="dxa"/>
            <w:vAlign w:val="bottom"/>
          </w:tcPr>
          <w:p>
            <w:pPr>
              <w:spacing w:after="0"/>
              <w:rPr>
                <w:sz w:val="10"/>
                <w:szCs w:val="10"/>
                <w:color w:val="auto"/>
              </w:rPr>
            </w:pPr>
          </w:p>
        </w:tc>
        <w:tc>
          <w:tcPr>
            <w:tcW w:w="1160" w:type="dxa"/>
            <w:vAlign w:val="bottom"/>
            <w:gridSpan w:val="2"/>
            <w:vMerge w:val="restart"/>
          </w:tcPr>
          <w:p>
            <w:pPr>
              <w:ind w:left="300"/>
              <w:spacing w:after="0"/>
              <w:rPr>
                <w:sz w:val="20"/>
                <w:szCs w:val="20"/>
                <w:color w:val="auto"/>
              </w:rPr>
            </w:pPr>
            <w:r>
              <w:rPr>
                <w:rFonts w:ascii="Verdana" w:cs="Verdana" w:eastAsia="Verdana" w:hAnsi="Verdana"/>
                <w:sz w:val="13"/>
                <w:szCs w:val="13"/>
                <w:b w:val="1"/>
                <w:bCs w:val="1"/>
                <w:color w:val="auto"/>
              </w:rPr>
              <w:t>Shares</w:t>
            </w:r>
          </w:p>
        </w:tc>
        <w:tc>
          <w:tcPr>
            <w:tcW w:w="8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00"/>
              <w:spacing w:after="0" w:line="122" w:lineRule="exact"/>
              <w:rPr>
                <w:sz w:val="20"/>
                <w:szCs w:val="20"/>
                <w:color w:val="auto"/>
              </w:rPr>
            </w:pPr>
            <w:r>
              <w:rPr>
                <w:rFonts w:ascii="Verdana" w:cs="Verdana" w:eastAsia="Verdana" w:hAnsi="Verdana"/>
                <w:sz w:val="13"/>
                <w:szCs w:val="13"/>
                <w:b w:val="1"/>
                <w:bCs w:val="1"/>
                <w:color w:val="auto"/>
                <w:w w:val="96"/>
              </w:rPr>
              <w:t>Paid-in</w:t>
            </w: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ind w:left="120"/>
              <w:spacing w:after="0"/>
              <w:rPr>
                <w:sz w:val="20"/>
                <w:szCs w:val="20"/>
                <w:color w:val="auto"/>
              </w:rPr>
            </w:pPr>
            <w:r>
              <w:rPr>
                <w:rFonts w:ascii="Verdana" w:cs="Verdana" w:eastAsia="Verdana" w:hAnsi="Verdana"/>
                <w:sz w:val="13"/>
                <w:szCs w:val="13"/>
                <w:b w:val="1"/>
                <w:bCs w:val="1"/>
                <w:color w:val="auto"/>
              </w:rPr>
              <w:t>AOCI</w:t>
            </w: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100" w:type="dxa"/>
            <w:vAlign w:val="bottom"/>
            <w:gridSpan w:val="2"/>
          </w:tcPr>
          <w:p>
            <w:pPr>
              <w:jc w:val="center"/>
              <w:spacing w:after="0" w:line="122" w:lineRule="exact"/>
              <w:rPr>
                <w:sz w:val="20"/>
                <w:szCs w:val="20"/>
                <w:color w:val="auto"/>
              </w:rPr>
            </w:pPr>
            <w:r>
              <w:rPr>
                <w:rFonts w:ascii="Verdana" w:cs="Verdana" w:eastAsia="Verdana" w:hAnsi="Verdana"/>
                <w:sz w:val="13"/>
                <w:szCs w:val="13"/>
                <w:b w:val="1"/>
                <w:bCs w:val="1"/>
                <w:color w:val="auto"/>
                <w:w w:val="96"/>
              </w:rPr>
              <w:t>Stockholders'</w:t>
            </w:r>
          </w:p>
        </w:tc>
        <w:tc>
          <w:tcPr>
            <w:tcW w:w="0" w:type="dxa"/>
            <w:vAlign w:val="bottom"/>
          </w:tcPr>
          <w:p>
            <w:pPr>
              <w:spacing w:after="0"/>
              <w:rPr>
                <w:sz w:val="1"/>
                <w:szCs w:val="1"/>
                <w:color w:val="auto"/>
              </w:rPr>
            </w:pPr>
          </w:p>
        </w:tc>
      </w:tr>
      <w:tr>
        <w:trPr>
          <w:trHeight w:val="170"/>
        </w:trPr>
        <w:tc>
          <w:tcPr>
            <w:tcW w:w="3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60" w:type="dxa"/>
            <w:vAlign w:val="bottom"/>
          </w:tcPr>
          <w:p>
            <w:pPr>
              <w:jc w:val="center"/>
              <w:ind w:left="157"/>
              <w:spacing w:after="0"/>
              <w:rPr>
                <w:sz w:val="20"/>
                <w:szCs w:val="20"/>
                <w:color w:val="auto"/>
              </w:rPr>
            </w:pPr>
            <w:r>
              <w:rPr>
                <w:rFonts w:ascii="Verdana" w:cs="Verdana" w:eastAsia="Verdana" w:hAnsi="Verdana"/>
                <w:sz w:val="13"/>
                <w:szCs w:val="13"/>
                <w:b w:val="1"/>
                <w:bCs w:val="1"/>
                <w:color w:val="auto"/>
                <w:w w:val="98"/>
              </w:rPr>
              <w:t>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Verdana" w:cs="Verdana" w:eastAsia="Verdana" w:hAnsi="Verdana"/>
                <w:sz w:val="13"/>
                <w:szCs w:val="13"/>
                <w:b w:val="1"/>
                <w:bCs w:val="1"/>
                <w:color w:val="auto"/>
                <w:w w:val="94"/>
              </w:rPr>
              <w:t>Capital</w:t>
            </w:r>
          </w:p>
        </w:tc>
        <w:tc>
          <w:tcPr>
            <w:tcW w:w="1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Verdana" w:cs="Verdana" w:eastAsia="Verdana" w:hAnsi="Verdana"/>
                <w:sz w:val="13"/>
                <w:szCs w:val="13"/>
                <w:b w:val="1"/>
                <w:bCs w:val="1"/>
                <w:color w:val="auto"/>
                <w:w w:val="97"/>
              </w:rPr>
              <w:t>Earnings</w:t>
            </w: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Verdana" w:cs="Verdana" w:eastAsia="Verdana" w:hAnsi="Verdana"/>
                <w:sz w:val="13"/>
                <w:szCs w:val="13"/>
                <w:b w:val="1"/>
                <w:bCs w:val="1"/>
                <w:color w:val="auto"/>
                <w:w w:val="98"/>
              </w:rPr>
              <w:t>Stock</w:t>
            </w:r>
          </w:p>
        </w:tc>
        <w:tc>
          <w:tcPr>
            <w:tcW w:w="220" w:type="dxa"/>
            <w:vAlign w:val="bottom"/>
          </w:tcPr>
          <w:p>
            <w:pPr>
              <w:spacing w:after="0"/>
              <w:rPr>
                <w:sz w:val="14"/>
                <w:szCs w:val="14"/>
                <w:color w:val="auto"/>
              </w:rPr>
            </w:pPr>
          </w:p>
        </w:tc>
        <w:tc>
          <w:tcPr>
            <w:tcW w:w="880" w:type="dxa"/>
            <w:vAlign w:val="bottom"/>
          </w:tcPr>
          <w:p>
            <w:pPr>
              <w:jc w:val="center"/>
              <w:ind w:right="137"/>
              <w:spacing w:after="0"/>
              <w:rPr>
                <w:sz w:val="20"/>
                <w:szCs w:val="20"/>
                <w:color w:val="auto"/>
              </w:rPr>
            </w:pPr>
            <w:r>
              <w:rPr>
                <w:rFonts w:ascii="Verdana" w:cs="Verdana" w:eastAsia="Verdana" w:hAnsi="Verdana"/>
                <w:sz w:val="13"/>
                <w:szCs w:val="13"/>
                <w:b w:val="1"/>
                <w:bCs w:val="1"/>
                <w:color w:val="auto"/>
                <w:w w:val="95"/>
              </w:rPr>
              <w:t>Equity</w:t>
            </w:r>
          </w:p>
        </w:tc>
        <w:tc>
          <w:tcPr>
            <w:tcW w:w="0" w:type="dxa"/>
            <w:vAlign w:val="bottom"/>
          </w:tcPr>
          <w:p>
            <w:pPr>
              <w:spacing w:after="0"/>
              <w:rPr>
                <w:sz w:val="1"/>
                <w:szCs w:val="1"/>
                <w:color w:val="auto"/>
              </w:rPr>
            </w:pPr>
          </w:p>
        </w:tc>
      </w:tr>
      <w:tr>
        <w:trPr>
          <w:trHeight w:val="174"/>
        </w:trPr>
        <w:tc>
          <w:tcPr>
            <w:tcW w:w="31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3"/>
                <w:szCs w:val="13"/>
                <w:b w:val="1"/>
                <w:bCs w:val="1"/>
                <w:color w:val="auto"/>
              </w:rPr>
              <w:t>Balance, June 30, 2024</w:t>
            </w:r>
          </w:p>
        </w:tc>
        <w:tc>
          <w:tcPr>
            <w:tcW w:w="1080" w:type="dxa"/>
            <w:vAlign w:val="bottom"/>
            <w:tcBorders>
              <w:top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56,746,937</w:t>
            </w:r>
          </w:p>
        </w:tc>
        <w:tc>
          <w:tcPr>
            <w:tcW w:w="80" w:type="dxa"/>
            <w:vAlign w:val="bottom"/>
            <w:tcBorders>
              <w:top w:val="single" w:sz="8" w:color="E0E7ED"/>
            </w:tcBorders>
            <w:shd w:val="clear" w:color="auto" w:fill="E0E7ED"/>
          </w:tcPr>
          <w:p>
            <w:pPr>
              <w:spacing w:after="0"/>
              <w:rPr>
                <w:sz w:val="15"/>
                <w:szCs w:val="15"/>
                <w:color w:val="auto"/>
              </w:rPr>
            </w:pPr>
          </w:p>
        </w:tc>
        <w:tc>
          <w:tcPr>
            <w:tcW w:w="860" w:type="dxa"/>
            <w:vAlign w:val="bottom"/>
            <w:tcBorders>
              <w:top w:val="single" w:sz="8" w:color="auto"/>
            </w:tcBorders>
            <w:shd w:val="clear" w:color="auto" w:fill="E0E7ED"/>
          </w:tcPr>
          <w:p>
            <w:pPr>
              <w:jc w:val="right"/>
              <w:ind w:right="697"/>
              <w:spacing w:after="0"/>
              <w:rPr>
                <w:sz w:val="20"/>
                <w:szCs w:val="20"/>
                <w:color w:val="auto"/>
              </w:rPr>
            </w:pPr>
            <w:r>
              <w:rPr>
                <w:rFonts w:ascii="Verdana" w:cs="Verdana" w:eastAsia="Verdana" w:hAnsi="Verdana"/>
                <w:sz w:val="13"/>
                <w:szCs w:val="13"/>
                <w:color w:val="auto"/>
                <w:w w:val="95"/>
              </w:rPr>
              <w:t>$</w:t>
            </w:r>
          </w:p>
        </w:tc>
        <w:tc>
          <w:tcPr>
            <w:tcW w:w="2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83"/>
              </w:rPr>
              <w:t>60</w:t>
            </w:r>
          </w:p>
        </w:tc>
        <w:tc>
          <w:tcPr>
            <w:tcW w:w="80" w:type="dxa"/>
            <w:vAlign w:val="bottom"/>
            <w:tcBorders>
              <w:top w:val="single" w:sz="8" w:color="E0E7ED"/>
            </w:tcBorders>
            <w:shd w:val="clear" w:color="auto" w:fill="E0E7ED"/>
          </w:tcPr>
          <w:p>
            <w:pPr>
              <w:spacing w:after="0"/>
              <w:rPr>
                <w:sz w:val="15"/>
                <w:szCs w:val="15"/>
                <w:color w:val="auto"/>
              </w:rPr>
            </w:pPr>
          </w:p>
        </w:tc>
        <w:tc>
          <w:tcPr>
            <w:tcW w:w="1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1,360,430</w:t>
            </w:r>
          </w:p>
        </w:tc>
        <w:tc>
          <w:tcPr>
            <w:tcW w:w="80" w:type="dxa"/>
            <w:vAlign w:val="bottom"/>
            <w:tcBorders>
              <w:top w:val="single" w:sz="8" w:color="E0E7ED"/>
            </w:tcBorders>
            <w:shd w:val="clear" w:color="auto" w:fill="E0E7ED"/>
          </w:tcPr>
          <w:p>
            <w:pPr>
              <w:spacing w:after="0"/>
              <w:rPr>
                <w:sz w:val="15"/>
                <w:szCs w:val="15"/>
                <w:color w:val="auto"/>
              </w:rPr>
            </w:pPr>
          </w:p>
        </w:tc>
        <w:tc>
          <w:tcPr>
            <w:tcW w:w="16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261,820</w:t>
            </w:r>
          </w:p>
        </w:tc>
        <w:tc>
          <w:tcPr>
            <w:tcW w:w="80" w:type="dxa"/>
            <w:vAlign w:val="bottom"/>
            <w:tcBorders>
              <w:top w:val="single" w:sz="8" w:color="E0E7ED"/>
            </w:tcBorders>
            <w:shd w:val="clear" w:color="auto" w:fill="E0E7ED"/>
          </w:tcPr>
          <w:p>
            <w:pPr>
              <w:spacing w:after="0"/>
              <w:rPr>
                <w:sz w:val="15"/>
                <w:szCs w:val="15"/>
                <w:color w:val="auto"/>
              </w:rPr>
            </w:pPr>
          </w:p>
        </w:tc>
        <w:tc>
          <w:tcPr>
            <w:tcW w:w="240" w:type="dxa"/>
            <w:vAlign w:val="bottom"/>
            <w:tcBorders>
              <w:top w:val="single" w:sz="8" w:color="auto"/>
            </w:tcBorders>
            <w:shd w:val="clear" w:color="auto" w:fill="E0E7ED"/>
          </w:tcPr>
          <w:p>
            <w:pPr>
              <w:jc w:val="right"/>
              <w:ind w:right="77"/>
              <w:spacing w:after="0"/>
              <w:rPr>
                <w:sz w:val="20"/>
                <w:szCs w:val="20"/>
                <w:color w:val="auto"/>
              </w:rPr>
            </w:pPr>
            <w:r>
              <w:rPr>
                <w:rFonts w:ascii="Verdana" w:cs="Verdana" w:eastAsia="Verdana" w:hAnsi="Verdana"/>
                <w:sz w:val="13"/>
                <w:szCs w:val="13"/>
                <w:color w:val="auto"/>
                <w:w w:val="95"/>
              </w:rPr>
              <w:t>$</w:t>
            </w:r>
          </w:p>
        </w:tc>
        <w:tc>
          <w:tcPr>
            <w:tcW w:w="8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(220,326)</w:t>
            </w:r>
          </w:p>
        </w:tc>
        <w:tc>
          <w:tcPr>
            <w:tcW w:w="80" w:type="dxa"/>
            <w:vAlign w:val="bottom"/>
            <w:tcBorders>
              <w:top w:val="single" w:sz="8" w:color="E0E7ED"/>
            </w:tcBorders>
            <w:shd w:val="clear" w:color="auto" w:fill="E0E7ED"/>
          </w:tcPr>
          <w:p>
            <w:pPr>
              <w:spacing w:after="0"/>
              <w:rPr>
                <w:sz w:val="15"/>
                <w:szCs w:val="15"/>
                <w:color w:val="auto"/>
              </w:rPr>
            </w:pPr>
          </w:p>
        </w:tc>
        <w:tc>
          <w:tcPr>
            <w:tcW w:w="16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(68,174)</w:t>
            </w:r>
          </w:p>
        </w:tc>
        <w:tc>
          <w:tcPr>
            <w:tcW w:w="8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tcBorders>
            <w:shd w:val="clear" w:color="auto" w:fill="E0E7ED"/>
          </w:tcPr>
          <w:p>
            <w:pPr>
              <w:jc w:val="right"/>
              <w:ind w:right="57"/>
              <w:spacing w:after="0"/>
              <w:rPr>
                <w:sz w:val="20"/>
                <w:szCs w:val="20"/>
                <w:color w:val="auto"/>
              </w:rPr>
            </w:pPr>
            <w:r>
              <w:rPr>
                <w:rFonts w:ascii="Verdana" w:cs="Verdana" w:eastAsia="Verdana" w:hAnsi="Verdana"/>
                <w:sz w:val="13"/>
                <w:szCs w:val="13"/>
                <w:color w:val="auto"/>
                <w:w w:val="95"/>
              </w:rPr>
              <w:t>$</w:t>
            </w:r>
          </w:p>
        </w:tc>
        <w:tc>
          <w:tcPr>
            <w:tcW w:w="880" w:type="dxa"/>
            <w:vAlign w:val="bottom"/>
            <w:tcBorders>
              <w:top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1,333,810</w:t>
            </w: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Net income</w:t>
            </w:r>
          </w:p>
        </w:tc>
        <w:tc>
          <w:tcPr>
            <w:tcW w:w="116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Verdana" w:cs="Verdana" w:eastAsia="Verdana" w:hAnsi="Verdana"/>
                <w:sz w:val="13"/>
                <w:szCs w:val="13"/>
                <w:color w:val="auto"/>
              </w:rPr>
              <w:t>32,004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4"/>
                <w:szCs w:val="14"/>
                <w:color w:val="auto"/>
              </w:rPr>
            </w:pPr>
          </w:p>
        </w:tc>
        <w:tc>
          <w:tcPr>
            <w:tcW w:w="880" w:type="dxa"/>
            <w:vAlign w:val="bottom"/>
          </w:tcPr>
          <w:p>
            <w:pPr>
              <w:jc w:val="right"/>
              <w:ind w:right="17"/>
              <w:spacing w:after="0"/>
              <w:rPr>
                <w:sz w:val="20"/>
                <w:szCs w:val="20"/>
                <w:color w:val="auto"/>
              </w:rPr>
            </w:pPr>
            <w:r>
              <w:rPr>
                <w:rFonts w:ascii="Verdana" w:cs="Verdana" w:eastAsia="Verdana" w:hAnsi="Verdana"/>
                <w:sz w:val="13"/>
                <w:szCs w:val="13"/>
                <w:color w:val="auto"/>
              </w:rPr>
              <w:t>32,004</w:t>
            </w:r>
          </w:p>
        </w:tc>
        <w:tc>
          <w:tcPr>
            <w:tcW w:w="0" w:type="dxa"/>
            <w:vAlign w:val="bottom"/>
          </w:tcPr>
          <w:p>
            <w:pPr>
              <w:spacing w:after="0"/>
              <w:rPr>
                <w:sz w:val="1"/>
                <w:szCs w:val="1"/>
                <w:color w:val="auto"/>
              </w:rPr>
            </w:pPr>
          </w:p>
        </w:tc>
      </w:tr>
      <w:tr>
        <w:trPr>
          <w:trHeight w:val="181"/>
        </w:trPr>
        <w:tc>
          <w:tcPr>
            <w:tcW w:w="3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OCI, net of tax</w:t>
            </w:r>
          </w:p>
        </w:tc>
        <w:tc>
          <w:tcPr>
            <w:tcW w:w="116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shd w:val="clear" w:color="auto" w:fill="E0E7ED"/>
          </w:tcPr>
          <w:p>
            <w:pPr>
              <w:spacing w:after="0"/>
              <w:rPr>
                <w:sz w:val="15"/>
                <w:szCs w:val="15"/>
                <w:color w:val="auto"/>
              </w:rPr>
            </w:pPr>
          </w:p>
        </w:tc>
        <w:tc>
          <w:tcPr>
            <w:tcW w:w="3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102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5"/>
                <w:szCs w:val="15"/>
                <w:color w:val="auto"/>
              </w:rPr>
            </w:pPr>
          </w:p>
        </w:tc>
        <w:tc>
          <w:tcPr>
            <w:tcW w:w="10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shd w:val="clear" w:color="auto" w:fill="E0E7ED"/>
          </w:tcPr>
          <w:p>
            <w:pPr>
              <w:spacing w:after="0"/>
              <w:rPr>
                <w:sz w:val="15"/>
                <w:szCs w:val="15"/>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49,413</w:t>
            </w: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10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5"/>
                <w:szCs w:val="15"/>
                <w:color w:val="auto"/>
              </w:rPr>
            </w:pPr>
          </w:p>
        </w:tc>
        <w:tc>
          <w:tcPr>
            <w:tcW w:w="8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49,413</w:t>
            </w: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Issuance of treasury stock for ESPP</w:t>
            </w:r>
          </w:p>
        </w:tc>
        <w:tc>
          <w:tcPr>
            <w:tcW w:w="1080" w:type="dxa"/>
            <w:vAlign w:val="bottom"/>
          </w:tcPr>
          <w:p>
            <w:pPr>
              <w:jc w:val="right"/>
              <w:ind w:right="17"/>
              <w:spacing w:after="0"/>
              <w:rPr>
                <w:sz w:val="20"/>
                <w:szCs w:val="20"/>
                <w:color w:val="auto"/>
              </w:rPr>
            </w:pPr>
            <w:r>
              <w:rPr>
                <w:rFonts w:ascii="Verdana" w:cs="Verdana" w:eastAsia="Verdana" w:hAnsi="Verdana"/>
                <w:sz w:val="13"/>
                <w:szCs w:val="13"/>
                <w:color w:val="auto"/>
              </w:rPr>
              <w:t>13,109</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(73)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Verdana" w:cs="Verdana" w:eastAsia="Verdana" w:hAnsi="Verdana"/>
                <w:sz w:val="13"/>
                <w:szCs w:val="13"/>
                <w:color w:val="auto"/>
              </w:rPr>
              <w:t>338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7"/>
              <w:spacing w:after="0"/>
              <w:rPr>
                <w:sz w:val="20"/>
                <w:szCs w:val="20"/>
                <w:color w:val="auto"/>
              </w:rPr>
            </w:pPr>
            <w:r>
              <w:rPr>
                <w:rFonts w:ascii="Verdana" w:cs="Verdana" w:eastAsia="Verdana" w:hAnsi="Verdana"/>
                <w:sz w:val="13"/>
                <w:szCs w:val="13"/>
                <w:color w:val="auto"/>
              </w:rPr>
              <w:t>265</w:t>
            </w:r>
          </w:p>
        </w:tc>
        <w:tc>
          <w:tcPr>
            <w:tcW w:w="0" w:type="dxa"/>
            <w:vAlign w:val="bottom"/>
          </w:tcPr>
          <w:p>
            <w:pPr>
              <w:spacing w:after="0"/>
              <w:rPr>
                <w:sz w:val="1"/>
                <w:szCs w:val="1"/>
                <w:color w:val="auto"/>
              </w:rPr>
            </w:pPr>
          </w:p>
        </w:tc>
      </w:tr>
      <w:tr>
        <w:trPr>
          <w:trHeight w:val="127"/>
        </w:trPr>
        <w:tc>
          <w:tcPr>
            <w:tcW w:w="3180" w:type="dxa"/>
            <w:vAlign w:val="bottom"/>
            <w:shd w:val="clear" w:color="auto" w:fill="E0E7ED"/>
          </w:tcPr>
          <w:p>
            <w:pPr>
              <w:ind w:left="180"/>
              <w:spacing w:after="0" w:line="127" w:lineRule="exact"/>
              <w:rPr>
                <w:sz w:val="20"/>
                <w:szCs w:val="20"/>
                <w:color w:val="auto"/>
              </w:rPr>
            </w:pPr>
            <w:r>
              <w:rPr>
                <w:rFonts w:ascii="Verdana" w:cs="Verdana" w:eastAsia="Verdana" w:hAnsi="Verdana"/>
                <w:sz w:val="13"/>
                <w:szCs w:val="13"/>
                <w:color w:val="auto"/>
              </w:rPr>
              <w:t>Net issuance of treasury stock for</w:t>
            </w:r>
          </w:p>
        </w:tc>
        <w:tc>
          <w:tcPr>
            <w:tcW w:w="108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112,143</w:t>
            </w:r>
          </w:p>
        </w:tc>
        <w:tc>
          <w:tcPr>
            <w:tcW w:w="80" w:type="dxa"/>
            <w:vAlign w:val="bottom"/>
            <w:shd w:val="clear" w:color="auto" w:fill="E0E7ED"/>
          </w:tcPr>
          <w:p>
            <w:pPr>
              <w:spacing w:after="0"/>
              <w:rPr>
                <w:sz w:val="11"/>
                <w:szCs w:val="11"/>
                <w:color w:val="auto"/>
              </w:rPr>
            </w:pPr>
          </w:p>
        </w:tc>
        <w:tc>
          <w:tcPr>
            <w:tcW w:w="860" w:type="dxa"/>
            <w:vAlign w:val="bottom"/>
            <w:shd w:val="clear" w:color="auto" w:fill="E0E7ED"/>
          </w:tcPr>
          <w:p>
            <w:pPr>
              <w:spacing w:after="0"/>
              <w:rPr>
                <w:sz w:val="11"/>
                <w:szCs w:val="11"/>
                <w:color w:val="auto"/>
              </w:rPr>
            </w:pPr>
          </w:p>
        </w:tc>
        <w:tc>
          <w:tcPr>
            <w:tcW w:w="30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1"/>
                <w:szCs w:val="11"/>
                <w:color w:val="auto"/>
              </w:rPr>
            </w:pPr>
          </w:p>
        </w:tc>
        <w:tc>
          <w:tcPr>
            <w:tcW w:w="94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(4,142)</w:t>
            </w:r>
          </w:p>
        </w:tc>
        <w:tc>
          <w:tcPr>
            <w:tcW w:w="80" w:type="dxa"/>
            <w:vAlign w:val="bottom"/>
            <w:shd w:val="clear" w:color="auto" w:fill="E0E7ED"/>
          </w:tcPr>
          <w:p>
            <w:pPr>
              <w:spacing w:after="0"/>
              <w:rPr>
                <w:sz w:val="11"/>
                <w:szCs w:val="11"/>
                <w:color w:val="auto"/>
              </w:rPr>
            </w:pPr>
          </w:p>
        </w:tc>
        <w:tc>
          <w:tcPr>
            <w:tcW w:w="160" w:type="dxa"/>
            <w:vAlign w:val="bottom"/>
            <w:shd w:val="clear" w:color="auto" w:fill="E0E7ED"/>
          </w:tcPr>
          <w:p>
            <w:pPr>
              <w:spacing w:after="0"/>
              <w:rPr>
                <w:sz w:val="11"/>
                <w:szCs w:val="11"/>
                <w:color w:val="auto"/>
              </w:rPr>
            </w:pPr>
          </w:p>
        </w:tc>
        <w:tc>
          <w:tcPr>
            <w:tcW w:w="100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shd w:val="clear" w:color="auto" w:fill="E0E7ED"/>
          </w:tcPr>
          <w:p>
            <w:pPr>
              <w:spacing w:after="0"/>
              <w:rPr>
                <w:sz w:val="11"/>
                <w:szCs w:val="11"/>
                <w:color w:val="auto"/>
              </w:rPr>
            </w:pPr>
          </w:p>
        </w:tc>
        <w:tc>
          <w:tcPr>
            <w:tcW w:w="92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1"/>
                <w:szCs w:val="11"/>
                <w:color w:val="auto"/>
              </w:rPr>
            </w:pPr>
          </w:p>
        </w:tc>
        <w:tc>
          <w:tcPr>
            <w:tcW w:w="92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2,888</w:t>
            </w:r>
          </w:p>
        </w:tc>
        <w:tc>
          <w:tcPr>
            <w:tcW w:w="80" w:type="dxa"/>
            <w:vAlign w:val="bottom"/>
            <w:shd w:val="clear" w:color="auto" w:fill="E0E7ED"/>
          </w:tcPr>
          <w:p>
            <w:pPr>
              <w:spacing w:after="0"/>
              <w:rPr>
                <w:sz w:val="11"/>
                <w:szCs w:val="11"/>
                <w:color w:val="auto"/>
              </w:rPr>
            </w:pPr>
          </w:p>
        </w:tc>
        <w:tc>
          <w:tcPr>
            <w:tcW w:w="220" w:type="dxa"/>
            <w:vAlign w:val="bottom"/>
            <w:shd w:val="clear" w:color="auto" w:fill="E0E7ED"/>
          </w:tcPr>
          <w:p>
            <w:pPr>
              <w:spacing w:after="0"/>
              <w:rPr>
                <w:sz w:val="11"/>
                <w:szCs w:val="11"/>
                <w:color w:val="auto"/>
              </w:rPr>
            </w:pPr>
          </w:p>
        </w:tc>
        <w:tc>
          <w:tcPr>
            <w:tcW w:w="88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(1,254)</w:t>
            </w:r>
          </w:p>
        </w:tc>
        <w:tc>
          <w:tcPr>
            <w:tcW w:w="0" w:type="dxa"/>
            <w:vAlign w:val="bottom"/>
          </w:tcPr>
          <w:p>
            <w:pPr>
              <w:spacing w:after="0"/>
              <w:rPr>
                <w:sz w:val="1"/>
                <w:szCs w:val="1"/>
                <w:color w:val="auto"/>
              </w:rPr>
            </w:pPr>
          </w:p>
        </w:tc>
      </w:tr>
      <w:tr>
        <w:trPr>
          <w:trHeight w:val="176"/>
        </w:trPr>
        <w:tc>
          <w:tcPr>
            <w:tcW w:w="3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RSU/PSU/DSU vesting and related tax</w:t>
            </w:r>
          </w:p>
        </w:tc>
        <w:tc>
          <w:tcPr>
            <w:tcW w:w="108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860" w:type="dxa"/>
            <w:vAlign w:val="bottom"/>
            <w:shd w:val="clear" w:color="auto" w:fill="E0E7ED"/>
          </w:tcPr>
          <w:p>
            <w:pPr>
              <w:spacing w:after="0"/>
              <w:rPr>
                <w:sz w:val="15"/>
                <w:szCs w:val="15"/>
                <w:color w:val="auto"/>
              </w:rPr>
            </w:pPr>
          </w:p>
        </w:tc>
        <w:tc>
          <w:tcPr>
            <w:tcW w:w="300" w:type="dxa"/>
            <w:vAlign w:val="bottom"/>
            <w:gridSpan w:val="2"/>
            <w:vMerge w:val="continue"/>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94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1000" w:type="dxa"/>
            <w:vAlign w:val="bottom"/>
            <w:gridSpan w:val="2"/>
            <w:vMerge w:val="continue"/>
            <w:shd w:val="clear" w:color="auto" w:fill="E0E7ED"/>
          </w:tcPr>
          <w:p>
            <w:pPr>
              <w:spacing w:after="0"/>
              <w:rPr>
                <w:sz w:val="15"/>
                <w:szCs w:val="15"/>
                <w:color w:val="auto"/>
              </w:rPr>
            </w:pPr>
          </w:p>
        </w:tc>
        <w:tc>
          <w:tcPr>
            <w:tcW w:w="240" w:type="dxa"/>
            <w:vAlign w:val="bottom"/>
            <w:shd w:val="clear" w:color="auto" w:fill="E0E7ED"/>
          </w:tcPr>
          <w:p>
            <w:pPr>
              <w:spacing w:after="0"/>
              <w:rPr>
                <w:sz w:val="15"/>
                <w:szCs w:val="15"/>
                <w:color w:val="auto"/>
              </w:rPr>
            </w:pPr>
          </w:p>
        </w:tc>
        <w:tc>
          <w:tcPr>
            <w:tcW w:w="920" w:type="dxa"/>
            <w:vAlign w:val="bottom"/>
            <w:gridSpan w:val="2"/>
            <w:vMerge w:val="continue"/>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92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8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180" w:type="dxa"/>
            <w:vAlign w:val="bottom"/>
          </w:tcPr>
          <w:p>
            <w:pPr>
              <w:ind w:left="180"/>
              <w:spacing w:after="0" w:line="122" w:lineRule="exact"/>
              <w:rPr>
                <w:sz w:val="20"/>
                <w:szCs w:val="20"/>
                <w:color w:val="auto"/>
              </w:rPr>
            </w:pPr>
            <w:r>
              <w:rPr>
                <w:rFonts w:ascii="Verdana" w:cs="Verdana" w:eastAsia="Verdana" w:hAnsi="Verdana"/>
                <w:sz w:val="13"/>
                <w:szCs w:val="13"/>
                <w:color w:val="auto"/>
              </w:rPr>
              <w:t>Net issuance of treasury stock for options</w:t>
            </w: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80" w:type="dxa"/>
            <w:vAlign w:val="bottom"/>
          </w:tcPr>
          <w:p>
            <w:pPr>
              <w:ind w:left="180"/>
              <w:spacing w:after="0" w:line="122" w:lineRule="exact"/>
              <w:rPr>
                <w:sz w:val="20"/>
                <w:szCs w:val="20"/>
                <w:color w:val="auto"/>
              </w:rPr>
            </w:pPr>
            <w:r>
              <w:rPr>
                <w:rFonts w:ascii="Verdana" w:cs="Verdana" w:eastAsia="Verdana" w:hAnsi="Verdana"/>
                <w:sz w:val="13"/>
                <w:szCs w:val="13"/>
                <w:color w:val="auto"/>
                <w:w w:val="97"/>
              </w:rPr>
              <w:t>exercised, net of shares redeemed and related</w:t>
            </w:r>
          </w:p>
        </w:tc>
        <w:tc>
          <w:tcPr>
            <w:tcW w:w="108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52</w:t>
            </w: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Verdana" w:cs="Verdana" w:eastAsia="Verdana" w:hAnsi="Verdana"/>
                <w:sz w:val="13"/>
                <w:szCs w:val="13"/>
                <w:color w:val="auto"/>
              </w:rPr>
              <w:t>(1)</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Verdana" w:cs="Verdana" w:eastAsia="Verdana" w:hAnsi="Verdana"/>
                <w:sz w:val="13"/>
                <w:szCs w:val="13"/>
                <w:color w:val="auto"/>
              </w:rPr>
              <w:t>1</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w:t>
            </w: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tax</w:t>
            </w:r>
          </w:p>
        </w:tc>
        <w:tc>
          <w:tcPr>
            <w:tcW w:w="10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180" w:type="dxa"/>
            <w:vAlign w:val="bottom"/>
            <w:shd w:val="clear" w:color="auto" w:fill="E0E7ED"/>
          </w:tcPr>
          <w:p>
            <w:pPr>
              <w:ind w:left="180"/>
              <w:spacing w:after="0" w:line="127" w:lineRule="exact"/>
              <w:rPr>
                <w:sz w:val="20"/>
                <w:szCs w:val="20"/>
                <w:color w:val="auto"/>
              </w:rPr>
            </w:pPr>
            <w:r>
              <w:rPr>
                <w:rFonts w:ascii="Verdana" w:cs="Verdana" w:eastAsia="Verdana" w:hAnsi="Verdana"/>
                <w:sz w:val="13"/>
                <w:szCs w:val="13"/>
                <w:color w:val="auto"/>
                <w:w w:val="97"/>
              </w:rPr>
              <w:t>Cash dividends on common stock at $0.24 per</w:t>
            </w:r>
          </w:p>
        </w:tc>
        <w:tc>
          <w:tcPr>
            <w:tcW w:w="1160" w:type="dxa"/>
            <w:vAlign w:val="bottom"/>
            <w:gridSpan w:val="2"/>
            <w:vMerge w:val="restart"/>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shd w:val="clear" w:color="auto" w:fill="E0E7ED"/>
          </w:tcPr>
          <w:p>
            <w:pPr>
              <w:spacing w:after="0"/>
              <w:rPr>
                <w:sz w:val="11"/>
                <w:szCs w:val="11"/>
                <w:color w:val="auto"/>
              </w:rPr>
            </w:pPr>
          </w:p>
        </w:tc>
        <w:tc>
          <w:tcPr>
            <w:tcW w:w="30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1"/>
                <w:szCs w:val="11"/>
                <w:color w:val="auto"/>
              </w:rPr>
            </w:pPr>
          </w:p>
        </w:tc>
        <w:tc>
          <w:tcPr>
            <w:tcW w:w="102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1"/>
                <w:szCs w:val="11"/>
                <w:color w:val="auto"/>
              </w:rPr>
            </w:pPr>
          </w:p>
        </w:tc>
        <w:tc>
          <w:tcPr>
            <w:tcW w:w="92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(13,645)</w:t>
            </w:r>
          </w:p>
        </w:tc>
        <w:tc>
          <w:tcPr>
            <w:tcW w:w="80" w:type="dxa"/>
            <w:vAlign w:val="bottom"/>
            <w:shd w:val="clear" w:color="auto" w:fill="E0E7ED"/>
          </w:tcPr>
          <w:p>
            <w:pPr>
              <w:spacing w:after="0"/>
              <w:rPr>
                <w:sz w:val="11"/>
                <w:szCs w:val="11"/>
                <w:color w:val="auto"/>
              </w:rPr>
            </w:pPr>
          </w:p>
        </w:tc>
        <w:tc>
          <w:tcPr>
            <w:tcW w:w="240" w:type="dxa"/>
            <w:vAlign w:val="bottom"/>
            <w:shd w:val="clear" w:color="auto" w:fill="E0E7ED"/>
          </w:tcPr>
          <w:p>
            <w:pPr>
              <w:spacing w:after="0"/>
              <w:rPr>
                <w:sz w:val="11"/>
                <w:szCs w:val="11"/>
                <w:color w:val="auto"/>
              </w:rPr>
            </w:pPr>
          </w:p>
        </w:tc>
        <w:tc>
          <w:tcPr>
            <w:tcW w:w="92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1"/>
                <w:szCs w:val="11"/>
                <w:color w:val="auto"/>
              </w:rPr>
            </w:pPr>
          </w:p>
        </w:tc>
        <w:tc>
          <w:tcPr>
            <w:tcW w:w="100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1"/>
                <w:szCs w:val="11"/>
                <w:color w:val="auto"/>
              </w:rPr>
            </w:pPr>
          </w:p>
        </w:tc>
        <w:tc>
          <w:tcPr>
            <w:tcW w:w="88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(13,645)</w:t>
            </w:r>
          </w:p>
        </w:tc>
        <w:tc>
          <w:tcPr>
            <w:tcW w:w="0" w:type="dxa"/>
            <w:vAlign w:val="bottom"/>
          </w:tcPr>
          <w:p>
            <w:pPr>
              <w:spacing w:after="0"/>
              <w:rPr>
                <w:sz w:val="1"/>
                <w:szCs w:val="1"/>
                <w:color w:val="auto"/>
              </w:rPr>
            </w:pPr>
          </w:p>
        </w:tc>
      </w:tr>
      <w:tr>
        <w:trPr>
          <w:trHeight w:val="176"/>
        </w:trPr>
        <w:tc>
          <w:tcPr>
            <w:tcW w:w="3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share</w:t>
            </w:r>
          </w:p>
        </w:tc>
        <w:tc>
          <w:tcPr>
            <w:tcW w:w="1160" w:type="dxa"/>
            <w:vAlign w:val="bottom"/>
            <w:gridSpan w:val="2"/>
            <w:vMerge w:val="continue"/>
            <w:shd w:val="clear" w:color="auto" w:fill="E0E7ED"/>
          </w:tcPr>
          <w:p>
            <w:pPr>
              <w:spacing w:after="0"/>
              <w:rPr>
                <w:sz w:val="15"/>
                <w:szCs w:val="15"/>
                <w:color w:val="auto"/>
              </w:rPr>
            </w:pPr>
          </w:p>
        </w:tc>
        <w:tc>
          <w:tcPr>
            <w:tcW w:w="860" w:type="dxa"/>
            <w:vAlign w:val="bottom"/>
            <w:shd w:val="clear" w:color="auto" w:fill="E0E7ED"/>
          </w:tcPr>
          <w:p>
            <w:pPr>
              <w:spacing w:after="0"/>
              <w:rPr>
                <w:sz w:val="15"/>
                <w:szCs w:val="15"/>
                <w:color w:val="auto"/>
              </w:rPr>
            </w:pPr>
          </w:p>
        </w:tc>
        <w:tc>
          <w:tcPr>
            <w:tcW w:w="300" w:type="dxa"/>
            <w:vAlign w:val="bottom"/>
            <w:gridSpan w:val="2"/>
            <w:vMerge w:val="continue"/>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1020" w:type="dxa"/>
            <w:vAlign w:val="bottom"/>
            <w:gridSpan w:val="2"/>
            <w:vMerge w:val="continue"/>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92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40" w:type="dxa"/>
            <w:vAlign w:val="bottom"/>
            <w:shd w:val="clear" w:color="auto" w:fill="E0E7ED"/>
          </w:tcPr>
          <w:p>
            <w:pPr>
              <w:spacing w:after="0"/>
              <w:rPr>
                <w:sz w:val="15"/>
                <w:szCs w:val="15"/>
                <w:color w:val="auto"/>
              </w:rPr>
            </w:pPr>
          </w:p>
        </w:tc>
        <w:tc>
          <w:tcPr>
            <w:tcW w:w="920" w:type="dxa"/>
            <w:vAlign w:val="bottom"/>
            <w:gridSpan w:val="2"/>
            <w:vMerge w:val="continue"/>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1000" w:type="dxa"/>
            <w:vAlign w:val="bottom"/>
            <w:gridSpan w:val="2"/>
            <w:vMerge w:val="continue"/>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8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180" w:type="dxa"/>
            <w:vAlign w:val="bottom"/>
          </w:tcPr>
          <w:p>
            <w:pPr>
              <w:ind w:left="180"/>
              <w:spacing w:after="0" w:line="122" w:lineRule="exact"/>
              <w:rPr>
                <w:sz w:val="20"/>
                <w:szCs w:val="20"/>
                <w:color w:val="auto"/>
              </w:rPr>
            </w:pPr>
            <w:r>
              <w:rPr>
                <w:rFonts w:ascii="Verdana" w:cs="Verdana" w:eastAsia="Verdana" w:hAnsi="Verdana"/>
                <w:sz w:val="13"/>
                <w:szCs w:val="13"/>
                <w:color w:val="auto"/>
              </w:rPr>
              <w:t>Stock dividend equivalents on</w:t>
            </w:r>
          </w:p>
        </w:tc>
        <w:tc>
          <w:tcPr>
            <w:tcW w:w="1160" w:type="dxa"/>
            <w:vAlign w:val="bottom"/>
            <w:gridSpan w:val="2"/>
            <w:vMerge w:val="restart"/>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tcPr>
          <w:p>
            <w:pPr>
              <w:spacing w:after="0"/>
              <w:rPr>
                <w:sz w:val="10"/>
                <w:szCs w:val="10"/>
                <w:color w:val="auto"/>
              </w:rPr>
            </w:pPr>
          </w:p>
        </w:tc>
        <w:tc>
          <w:tcPr>
            <w:tcW w:w="30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Verdana" w:cs="Verdana" w:eastAsia="Verdana" w:hAnsi="Verdana"/>
                <w:sz w:val="13"/>
                <w:szCs w:val="13"/>
                <w:color w:val="auto"/>
              </w:rPr>
              <w:t>311</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Verdana" w:cs="Verdana" w:eastAsia="Verdana" w:hAnsi="Verdana"/>
                <w:sz w:val="13"/>
                <w:szCs w:val="13"/>
                <w:color w:val="auto"/>
              </w:rPr>
              <w:t>(311)</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0"/>
                <w:szCs w:val="10"/>
                <w:color w:val="auto"/>
              </w:rPr>
            </w:pPr>
          </w:p>
        </w:tc>
        <w:tc>
          <w:tcPr>
            <w:tcW w:w="100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0"/>
                <w:szCs w:val="10"/>
                <w:color w:val="auto"/>
              </w:rPr>
            </w:pPr>
          </w:p>
        </w:tc>
        <w:tc>
          <w:tcPr>
            <w:tcW w:w="88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w:t>
            </w: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RSUs/PSUs/DSUs</w:t>
            </w:r>
          </w:p>
        </w:tc>
        <w:tc>
          <w:tcPr>
            <w:tcW w:w="116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Stock-based compensation</w:t>
            </w:r>
          </w:p>
        </w:tc>
        <w:tc>
          <w:tcPr>
            <w:tcW w:w="116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shd w:val="clear" w:color="auto" w:fill="E0E7ED"/>
          </w:tcPr>
          <w:p>
            <w:pPr>
              <w:spacing w:after="0"/>
              <w:rPr>
                <w:sz w:val="15"/>
                <w:szCs w:val="15"/>
                <w:color w:val="auto"/>
              </w:rPr>
            </w:pPr>
          </w:p>
        </w:tc>
        <w:tc>
          <w:tcPr>
            <w:tcW w:w="3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2,291</w:t>
            </w: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10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5"/>
                <w:szCs w:val="15"/>
                <w:color w:val="auto"/>
              </w:rPr>
            </w:pPr>
          </w:p>
        </w:tc>
        <w:tc>
          <w:tcPr>
            <w:tcW w:w="10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5"/>
                <w:szCs w:val="15"/>
                <w:color w:val="auto"/>
              </w:rPr>
            </w:pPr>
          </w:p>
        </w:tc>
        <w:tc>
          <w:tcPr>
            <w:tcW w:w="8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2,291</w:t>
            </w:r>
          </w:p>
        </w:tc>
        <w:tc>
          <w:tcPr>
            <w:tcW w:w="0" w:type="dxa"/>
            <w:vAlign w:val="bottom"/>
          </w:tcPr>
          <w:p>
            <w:pPr>
              <w:spacing w:after="0"/>
              <w:rPr>
                <w:sz w:val="1"/>
                <w:szCs w:val="1"/>
                <w:color w:val="auto"/>
              </w:rPr>
            </w:pPr>
          </w:p>
        </w:tc>
      </w:tr>
      <w:tr>
        <w:trPr>
          <w:trHeight w:val="174"/>
        </w:trPr>
        <w:tc>
          <w:tcPr>
            <w:tcW w:w="3180" w:type="dxa"/>
            <w:vAlign w:val="bottom"/>
          </w:tcPr>
          <w:p>
            <w:pPr>
              <w:ind w:left="20"/>
              <w:spacing w:after="0"/>
              <w:rPr>
                <w:sz w:val="20"/>
                <w:szCs w:val="20"/>
                <w:color w:val="auto"/>
              </w:rPr>
            </w:pPr>
            <w:r>
              <w:rPr>
                <w:rFonts w:ascii="Verdana" w:cs="Verdana" w:eastAsia="Verdana" w:hAnsi="Verdana"/>
                <w:sz w:val="13"/>
                <w:szCs w:val="13"/>
                <w:b w:val="1"/>
                <w:bCs w:val="1"/>
                <w:color w:val="auto"/>
              </w:rPr>
              <w:t>Balance, September 30, 2024</w:t>
            </w:r>
          </w:p>
        </w:tc>
        <w:tc>
          <w:tcPr>
            <w:tcW w:w="108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56,872,241</w:t>
            </w:r>
          </w:p>
        </w:tc>
        <w:tc>
          <w:tcPr>
            <w:tcW w:w="8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ind w:right="697"/>
              <w:spacing w:after="0"/>
              <w:rPr>
                <w:sz w:val="20"/>
                <w:szCs w:val="20"/>
                <w:color w:val="auto"/>
              </w:rPr>
            </w:pPr>
            <w:r>
              <w:rPr>
                <w:rFonts w:ascii="Verdana" w:cs="Verdana" w:eastAsia="Verdana" w:hAnsi="Verdana"/>
                <w:sz w:val="13"/>
                <w:szCs w:val="13"/>
                <w:color w:val="auto"/>
                <w:w w:val="95"/>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w w:val="83"/>
              </w:rPr>
              <w:t>60</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w w:val="9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1,358,816</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279,868</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Verdana" w:cs="Verdana" w:eastAsia="Verdana" w:hAnsi="Verdana"/>
                <w:sz w:val="13"/>
                <w:szCs w:val="13"/>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(170,913)</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(64,947)</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Verdana" w:cs="Verdana" w:eastAsia="Verdana" w:hAnsi="Verdana"/>
                <w:sz w:val="13"/>
                <w:szCs w:val="13"/>
                <w:color w:val="auto"/>
                <w:w w:val="95"/>
              </w:rPr>
              <w:t>$</w:t>
            </w:r>
          </w:p>
        </w:tc>
        <w:tc>
          <w:tcPr>
            <w:tcW w:w="88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1,402,884</w:t>
            </w:r>
          </w:p>
        </w:tc>
        <w:tc>
          <w:tcPr>
            <w:tcW w:w="0" w:type="dxa"/>
            <w:vAlign w:val="bottom"/>
          </w:tcPr>
          <w:p>
            <w:pPr>
              <w:spacing w:after="0"/>
              <w:rPr>
                <w:sz w:val="1"/>
                <w:szCs w:val="1"/>
                <w:color w:val="auto"/>
              </w:rPr>
            </w:pPr>
          </w:p>
        </w:tc>
      </w:tr>
      <w:tr>
        <w:trPr>
          <w:trHeight w:val="21"/>
        </w:trPr>
        <w:tc>
          <w:tcPr>
            <w:tcW w:w="3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9"/>
        </w:trPr>
        <w:tc>
          <w:tcPr>
            <w:tcW w:w="31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8"/>
          </w:tcPr>
          <w:p>
            <w:pPr>
              <w:jc w:val="center"/>
              <w:ind w:right="200"/>
              <w:spacing w:after="0"/>
              <w:rPr>
                <w:sz w:val="20"/>
                <w:szCs w:val="20"/>
                <w:color w:val="auto"/>
              </w:rPr>
            </w:pPr>
            <w:r>
              <w:rPr>
                <w:rFonts w:ascii="Verdana" w:cs="Verdana" w:eastAsia="Verdana" w:hAnsi="Verdana"/>
                <w:sz w:val="13"/>
                <w:szCs w:val="13"/>
                <w:b w:val="1"/>
                <w:bCs w:val="1"/>
                <w:color w:val="auto"/>
                <w:w w:val="97"/>
              </w:rPr>
              <w:t>Nine Months Ended September 30, 2024</w:t>
            </w: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restart"/>
          </w:tcPr>
          <w:p>
            <w:pPr>
              <w:jc w:val="center"/>
              <w:ind w:left="177"/>
              <w:spacing w:after="0"/>
              <w:rPr>
                <w:sz w:val="20"/>
                <w:szCs w:val="20"/>
                <w:color w:val="auto"/>
              </w:rPr>
            </w:pPr>
            <w:r>
              <w:rPr>
                <w:rFonts w:ascii="Verdana" w:cs="Verdana" w:eastAsia="Verdana" w:hAnsi="Verdana"/>
                <w:sz w:val="13"/>
                <w:szCs w:val="13"/>
                <w:b w:val="1"/>
                <w:bCs w:val="1"/>
                <w:color w:val="auto"/>
                <w:w w:val="96"/>
              </w:rPr>
              <w:t>Common</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Verdana" w:cs="Verdana" w:eastAsia="Verdana" w:hAnsi="Verdana"/>
                <w:sz w:val="13"/>
                <w:szCs w:val="13"/>
                <w:b w:val="1"/>
                <w:bCs w:val="1"/>
                <w:color w:val="auto"/>
                <w:w w:val="96"/>
              </w:rPr>
              <w:t>Additional</w:t>
            </w:r>
          </w:p>
        </w:tc>
        <w:tc>
          <w:tcPr>
            <w:tcW w:w="160" w:type="dxa"/>
            <w:vAlign w:val="bottom"/>
          </w:tcPr>
          <w:p>
            <w:pPr>
              <w:spacing w:after="0"/>
              <w:rPr>
                <w:sz w:val="10"/>
                <w:szCs w:val="10"/>
                <w:color w:val="auto"/>
              </w:rPr>
            </w:pPr>
          </w:p>
        </w:tc>
        <w:tc>
          <w:tcPr>
            <w:tcW w:w="1000" w:type="dxa"/>
            <w:vAlign w:val="bottom"/>
            <w:gridSpan w:val="2"/>
            <w:vMerge w:val="restart"/>
          </w:tcPr>
          <w:p>
            <w:pPr>
              <w:jc w:val="center"/>
              <w:ind w:right="240"/>
              <w:spacing w:after="0"/>
              <w:rPr>
                <w:sz w:val="20"/>
                <w:szCs w:val="20"/>
                <w:color w:val="auto"/>
              </w:rPr>
            </w:pPr>
            <w:r>
              <w:rPr>
                <w:rFonts w:ascii="Verdana" w:cs="Verdana" w:eastAsia="Verdana" w:hAnsi="Verdana"/>
                <w:sz w:val="13"/>
                <w:szCs w:val="13"/>
                <w:b w:val="1"/>
                <w:bCs w:val="1"/>
                <w:color w:val="auto"/>
                <w:w w:val="98"/>
              </w:rPr>
              <w:t>Retained</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center"/>
              <w:ind w:right="220"/>
              <w:spacing w:after="0"/>
              <w:rPr>
                <w:sz w:val="20"/>
                <w:szCs w:val="20"/>
                <w:color w:val="auto"/>
              </w:rPr>
            </w:pPr>
            <w:r>
              <w:rPr>
                <w:rFonts w:ascii="Verdana" w:cs="Verdana" w:eastAsia="Verdana" w:hAnsi="Verdana"/>
                <w:sz w:val="13"/>
                <w:szCs w:val="13"/>
                <w:b w:val="1"/>
                <w:bCs w:val="1"/>
                <w:color w:val="auto"/>
                <w:w w:val="95"/>
              </w:rPr>
              <w:t>Treasury</w:t>
            </w:r>
          </w:p>
        </w:tc>
        <w:tc>
          <w:tcPr>
            <w:tcW w:w="220" w:type="dxa"/>
            <w:vAlign w:val="bottom"/>
          </w:tcPr>
          <w:p>
            <w:pPr>
              <w:spacing w:after="0"/>
              <w:rPr>
                <w:sz w:val="10"/>
                <w:szCs w:val="10"/>
                <w:color w:val="auto"/>
              </w:rPr>
            </w:pPr>
          </w:p>
        </w:tc>
        <w:tc>
          <w:tcPr>
            <w:tcW w:w="880" w:type="dxa"/>
            <w:vAlign w:val="bottom"/>
          </w:tcPr>
          <w:p>
            <w:pPr>
              <w:jc w:val="center"/>
              <w:ind w:right="137"/>
              <w:spacing w:after="0" w:line="122" w:lineRule="exact"/>
              <w:rPr>
                <w:sz w:val="20"/>
                <w:szCs w:val="20"/>
                <w:color w:val="auto"/>
              </w:rPr>
            </w:pPr>
            <w:r>
              <w:rPr>
                <w:rFonts w:ascii="Verdana" w:cs="Verdana" w:eastAsia="Verdana" w:hAnsi="Verdana"/>
                <w:sz w:val="13"/>
                <w:szCs w:val="13"/>
                <w:b w:val="1"/>
                <w:bCs w:val="1"/>
                <w:color w:val="auto"/>
                <w:w w:val="97"/>
              </w:rPr>
              <w:t>Total</w:t>
            </w:r>
          </w:p>
        </w:tc>
        <w:tc>
          <w:tcPr>
            <w:tcW w:w="0" w:type="dxa"/>
            <w:vAlign w:val="bottom"/>
          </w:tcPr>
          <w:p>
            <w:pPr>
              <w:spacing w:after="0"/>
              <w:rPr>
                <w:sz w:val="1"/>
                <w:szCs w:val="1"/>
                <w:color w:val="auto"/>
              </w:rPr>
            </w:pPr>
          </w:p>
        </w:tc>
      </w:tr>
      <w:tr>
        <w:trPr>
          <w:trHeight w:val="122"/>
        </w:trPr>
        <w:tc>
          <w:tcPr>
            <w:tcW w:w="3180" w:type="dxa"/>
            <w:vAlign w:val="bottom"/>
          </w:tcPr>
          <w:p>
            <w:pPr>
              <w:spacing w:after="0"/>
              <w:rPr>
                <w:sz w:val="10"/>
                <w:szCs w:val="10"/>
                <w:color w:val="auto"/>
              </w:rPr>
            </w:pPr>
          </w:p>
        </w:tc>
        <w:tc>
          <w:tcPr>
            <w:tcW w:w="1160" w:type="dxa"/>
            <w:vAlign w:val="bottom"/>
            <w:gridSpan w:val="2"/>
            <w:vMerge w:val="restart"/>
          </w:tcPr>
          <w:p>
            <w:pPr>
              <w:ind w:left="300"/>
              <w:spacing w:after="0"/>
              <w:rPr>
                <w:sz w:val="20"/>
                <w:szCs w:val="20"/>
                <w:color w:val="auto"/>
              </w:rPr>
            </w:pPr>
            <w:r>
              <w:rPr>
                <w:rFonts w:ascii="Verdana" w:cs="Verdana" w:eastAsia="Verdana" w:hAnsi="Verdana"/>
                <w:sz w:val="13"/>
                <w:szCs w:val="13"/>
                <w:b w:val="1"/>
                <w:bCs w:val="1"/>
                <w:color w:val="auto"/>
              </w:rPr>
              <w:t>Shares</w:t>
            </w:r>
          </w:p>
        </w:tc>
        <w:tc>
          <w:tcPr>
            <w:tcW w:w="8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00"/>
              <w:spacing w:after="0" w:line="122" w:lineRule="exact"/>
              <w:rPr>
                <w:sz w:val="20"/>
                <w:szCs w:val="20"/>
                <w:color w:val="auto"/>
              </w:rPr>
            </w:pPr>
            <w:r>
              <w:rPr>
                <w:rFonts w:ascii="Verdana" w:cs="Verdana" w:eastAsia="Verdana" w:hAnsi="Verdana"/>
                <w:sz w:val="13"/>
                <w:szCs w:val="13"/>
                <w:b w:val="1"/>
                <w:bCs w:val="1"/>
                <w:color w:val="auto"/>
                <w:w w:val="96"/>
              </w:rPr>
              <w:t>Paid-in</w:t>
            </w: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ind w:left="120"/>
              <w:spacing w:after="0"/>
              <w:rPr>
                <w:sz w:val="20"/>
                <w:szCs w:val="20"/>
                <w:color w:val="auto"/>
              </w:rPr>
            </w:pPr>
            <w:r>
              <w:rPr>
                <w:rFonts w:ascii="Verdana" w:cs="Verdana" w:eastAsia="Verdana" w:hAnsi="Verdana"/>
                <w:sz w:val="13"/>
                <w:szCs w:val="13"/>
                <w:b w:val="1"/>
                <w:bCs w:val="1"/>
                <w:color w:val="auto"/>
              </w:rPr>
              <w:t>AOCI</w:t>
            </w: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100" w:type="dxa"/>
            <w:vAlign w:val="bottom"/>
            <w:gridSpan w:val="2"/>
          </w:tcPr>
          <w:p>
            <w:pPr>
              <w:jc w:val="center"/>
              <w:spacing w:after="0" w:line="122" w:lineRule="exact"/>
              <w:rPr>
                <w:sz w:val="20"/>
                <w:szCs w:val="20"/>
                <w:color w:val="auto"/>
              </w:rPr>
            </w:pPr>
            <w:r>
              <w:rPr>
                <w:rFonts w:ascii="Verdana" w:cs="Verdana" w:eastAsia="Verdana" w:hAnsi="Verdana"/>
                <w:sz w:val="13"/>
                <w:szCs w:val="13"/>
                <w:b w:val="1"/>
                <w:bCs w:val="1"/>
                <w:color w:val="auto"/>
                <w:w w:val="96"/>
              </w:rPr>
              <w:t>Stockholders'</w:t>
            </w:r>
          </w:p>
        </w:tc>
        <w:tc>
          <w:tcPr>
            <w:tcW w:w="0" w:type="dxa"/>
            <w:vAlign w:val="bottom"/>
          </w:tcPr>
          <w:p>
            <w:pPr>
              <w:spacing w:after="0"/>
              <w:rPr>
                <w:sz w:val="1"/>
                <w:szCs w:val="1"/>
                <w:color w:val="auto"/>
              </w:rPr>
            </w:pPr>
          </w:p>
        </w:tc>
      </w:tr>
      <w:tr>
        <w:trPr>
          <w:trHeight w:val="170"/>
        </w:trPr>
        <w:tc>
          <w:tcPr>
            <w:tcW w:w="3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60" w:type="dxa"/>
            <w:vAlign w:val="bottom"/>
          </w:tcPr>
          <w:p>
            <w:pPr>
              <w:jc w:val="center"/>
              <w:ind w:left="157"/>
              <w:spacing w:after="0"/>
              <w:rPr>
                <w:sz w:val="20"/>
                <w:szCs w:val="20"/>
                <w:color w:val="auto"/>
              </w:rPr>
            </w:pPr>
            <w:r>
              <w:rPr>
                <w:rFonts w:ascii="Verdana" w:cs="Verdana" w:eastAsia="Verdana" w:hAnsi="Verdana"/>
                <w:sz w:val="13"/>
                <w:szCs w:val="13"/>
                <w:b w:val="1"/>
                <w:bCs w:val="1"/>
                <w:color w:val="auto"/>
                <w:w w:val="98"/>
              </w:rPr>
              <w:t>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Verdana" w:cs="Verdana" w:eastAsia="Verdana" w:hAnsi="Verdana"/>
                <w:sz w:val="13"/>
                <w:szCs w:val="13"/>
                <w:b w:val="1"/>
                <w:bCs w:val="1"/>
                <w:color w:val="auto"/>
                <w:w w:val="94"/>
              </w:rPr>
              <w:t>Capital</w:t>
            </w:r>
          </w:p>
        </w:tc>
        <w:tc>
          <w:tcPr>
            <w:tcW w:w="1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Verdana" w:cs="Verdana" w:eastAsia="Verdana" w:hAnsi="Verdana"/>
                <w:sz w:val="13"/>
                <w:szCs w:val="13"/>
                <w:b w:val="1"/>
                <w:bCs w:val="1"/>
                <w:color w:val="auto"/>
                <w:w w:val="97"/>
              </w:rPr>
              <w:t>Earnings</w:t>
            </w: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Verdana" w:cs="Verdana" w:eastAsia="Verdana" w:hAnsi="Verdana"/>
                <w:sz w:val="13"/>
                <w:szCs w:val="13"/>
                <w:b w:val="1"/>
                <w:bCs w:val="1"/>
                <w:color w:val="auto"/>
                <w:w w:val="98"/>
              </w:rPr>
              <w:t>Stock</w:t>
            </w:r>
          </w:p>
        </w:tc>
        <w:tc>
          <w:tcPr>
            <w:tcW w:w="220" w:type="dxa"/>
            <w:vAlign w:val="bottom"/>
          </w:tcPr>
          <w:p>
            <w:pPr>
              <w:spacing w:after="0"/>
              <w:rPr>
                <w:sz w:val="14"/>
                <w:szCs w:val="14"/>
                <w:color w:val="auto"/>
              </w:rPr>
            </w:pPr>
          </w:p>
        </w:tc>
        <w:tc>
          <w:tcPr>
            <w:tcW w:w="880" w:type="dxa"/>
            <w:vAlign w:val="bottom"/>
          </w:tcPr>
          <w:p>
            <w:pPr>
              <w:jc w:val="center"/>
              <w:ind w:right="137"/>
              <w:spacing w:after="0"/>
              <w:rPr>
                <w:sz w:val="20"/>
                <w:szCs w:val="20"/>
                <w:color w:val="auto"/>
              </w:rPr>
            </w:pPr>
            <w:r>
              <w:rPr>
                <w:rFonts w:ascii="Verdana" w:cs="Verdana" w:eastAsia="Verdana" w:hAnsi="Verdana"/>
                <w:sz w:val="13"/>
                <w:szCs w:val="13"/>
                <w:b w:val="1"/>
                <w:bCs w:val="1"/>
                <w:color w:val="auto"/>
                <w:w w:val="95"/>
              </w:rPr>
              <w:t>Equity</w:t>
            </w:r>
          </w:p>
        </w:tc>
        <w:tc>
          <w:tcPr>
            <w:tcW w:w="0" w:type="dxa"/>
            <w:vAlign w:val="bottom"/>
          </w:tcPr>
          <w:p>
            <w:pPr>
              <w:spacing w:after="0"/>
              <w:rPr>
                <w:sz w:val="1"/>
                <w:szCs w:val="1"/>
                <w:color w:val="auto"/>
              </w:rPr>
            </w:pPr>
          </w:p>
        </w:tc>
      </w:tr>
      <w:tr>
        <w:trPr>
          <w:trHeight w:val="174"/>
        </w:trPr>
        <w:tc>
          <w:tcPr>
            <w:tcW w:w="31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3"/>
                <w:szCs w:val="13"/>
                <w:b w:val="1"/>
                <w:bCs w:val="1"/>
                <w:color w:val="auto"/>
              </w:rPr>
              <w:t>Balance, December 31, 2023</w:t>
            </w:r>
          </w:p>
        </w:tc>
        <w:tc>
          <w:tcPr>
            <w:tcW w:w="1080" w:type="dxa"/>
            <w:vAlign w:val="bottom"/>
            <w:tcBorders>
              <w:top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55,244,119</w:t>
            </w:r>
          </w:p>
        </w:tc>
        <w:tc>
          <w:tcPr>
            <w:tcW w:w="80" w:type="dxa"/>
            <w:vAlign w:val="bottom"/>
            <w:tcBorders>
              <w:top w:val="single" w:sz="8" w:color="E0E7ED"/>
            </w:tcBorders>
            <w:shd w:val="clear" w:color="auto" w:fill="E0E7ED"/>
          </w:tcPr>
          <w:p>
            <w:pPr>
              <w:spacing w:after="0"/>
              <w:rPr>
                <w:sz w:val="15"/>
                <w:szCs w:val="15"/>
                <w:color w:val="auto"/>
              </w:rPr>
            </w:pPr>
          </w:p>
        </w:tc>
        <w:tc>
          <w:tcPr>
            <w:tcW w:w="860" w:type="dxa"/>
            <w:vAlign w:val="bottom"/>
            <w:tcBorders>
              <w:top w:val="single" w:sz="8" w:color="auto"/>
            </w:tcBorders>
            <w:shd w:val="clear" w:color="auto" w:fill="E0E7ED"/>
          </w:tcPr>
          <w:p>
            <w:pPr>
              <w:jc w:val="right"/>
              <w:ind w:right="697"/>
              <w:spacing w:after="0"/>
              <w:rPr>
                <w:sz w:val="20"/>
                <w:szCs w:val="20"/>
                <w:color w:val="auto"/>
              </w:rPr>
            </w:pPr>
            <w:r>
              <w:rPr>
                <w:rFonts w:ascii="Verdana" w:cs="Verdana" w:eastAsia="Verdana" w:hAnsi="Verdana"/>
                <w:sz w:val="13"/>
                <w:szCs w:val="13"/>
                <w:color w:val="auto"/>
                <w:w w:val="95"/>
              </w:rPr>
              <w:t>$</w:t>
            </w:r>
          </w:p>
        </w:tc>
        <w:tc>
          <w:tcPr>
            <w:tcW w:w="2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83"/>
              </w:rPr>
              <w:t>58</w:t>
            </w:r>
          </w:p>
        </w:tc>
        <w:tc>
          <w:tcPr>
            <w:tcW w:w="80" w:type="dxa"/>
            <w:vAlign w:val="bottom"/>
            <w:tcBorders>
              <w:top w:val="single" w:sz="8" w:color="E0E7ED"/>
            </w:tcBorders>
            <w:shd w:val="clear" w:color="auto" w:fill="E0E7ED"/>
          </w:tcPr>
          <w:p>
            <w:pPr>
              <w:spacing w:after="0"/>
              <w:rPr>
                <w:sz w:val="15"/>
                <w:szCs w:val="15"/>
                <w:color w:val="auto"/>
              </w:rPr>
            </w:pPr>
          </w:p>
        </w:tc>
        <w:tc>
          <w:tcPr>
            <w:tcW w:w="1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1,323,595</w:t>
            </w:r>
          </w:p>
        </w:tc>
        <w:tc>
          <w:tcPr>
            <w:tcW w:w="80" w:type="dxa"/>
            <w:vAlign w:val="bottom"/>
            <w:tcBorders>
              <w:top w:val="single" w:sz="8" w:color="E0E7ED"/>
            </w:tcBorders>
            <w:shd w:val="clear" w:color="auto" w:fill="E0E7ED"/>
          </w:tcPr>
          <w:p>
            <w:pPr>
              <w:spacing w:after="0"/>
              <w:rPr>
                <w:sz w:val="15"/>
                <w:szCs w:val="15"/>
                <w:color w:val="auto"/>
              </w:rPr>
            </w:pPr>
          </w:p>
        </w:tc>
        <w:tc>
          <w:tcPr>
            <w:tcW w:w="16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237,197</w:t>
            </w:r>
          </w:p>
        </w:tc>
        <w:tc>
          <w:tcPr>
            <w:tcW w:w="80" w:type="dxa"/>
            <w:vAlign w:val="bottom"/>
            <w:tcBorders>
              <w:top w:val="single" w:sz="8" w:color="E0E7ED"/>
            </w:tcBorders>
            <w:shd w:val="clear" w:color="auto" w:fill="E0E7ED"/>
          </w:tcPr>
          <w:p>
            <w:pPr>
              <w:spacing w:after="0"/>
              <w:rPr>
                <w:sz w:val="15"/>
                <w:szCs w:val="15"/>
                <w:color w:val="auto"/>
              </w:rPr>
            </w:pPr>
          </w:p>
        </w:tc>
        <w:tc>
          <w:tcPr>
            <w:tcW w:w="240" w:type="dxa"/>
            <w:vAlign w:val="bottom"/>
            <w:tcBorders>
              <w:top w:val="single" w:sz="8" w:color="auto"/>
            </w:tcBorders>
            <w:shd w:val="clear" w:color="auto" w:fill="E0E7ED"/>
          </w:tcPr>
          <w:p>
            <w:pPr>
              <w:jc w:val="right"/>
              <w:ind w:right="77"/>
              <w:spacing w:after="0"/>
              <w:rPr>
                <w:sz w:val="20"/>
                <w:szCs w:val="20"/>
                <w:color w:val="auto"/>
              </w:rPr>
            </w:pPr>
            <w:r>
              <w:rPr>
                <w:rFonts w:ascii="Verdana" w:cs="Verdana" w:eastAsia="Verdana" w:hAnsi="Verdana"/>
                <w:sz w:val="13"/>
                <w:szCs w:val="13"/>
                <w:color w:val="auto"/>
                <w:w w:val="95"/>
              </w:rPr>
              <w:t>$</w:t>
            </w:r>
          </w:p>
        </w:tc>
        <w:tc>
          <w:tcPr>
            <w:tcW w:w="8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(218,803)</w:t>
            </w:r>
          </w:p>
        </w:tc>
        <w:tc>
          <w:tcPr>
            <w:tcW w:w="80" w:type="dxa"/>
            <w:vAlign w:val="bottom"/>
            <w:tcBorders>
              <w:top w:val="single" w:sz="8" w:color="E0E7ED"/>
            </w:tcBorders>
            <w:shd w:val="clear" w:color="auto" w:fill="E0E7ED"/>
          </w:tcPr>
          <w:p>
            <w:pPr>
              <w:spacing w:after="0"/>
              <w:rPr>
                <w:sz w:val="15"/>
                <w:szCs w:val="15"/>
                <w:color w:val="auto"/>
              </w:rPr>
            </w:pPr>
          </w:p>
        </w:tc>
        <w:tc>
          <w:tcPr>
            <w:tcW w:w="16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(70,066)</w:t>
            </w:r>
          </w:p>
        </w:tc>
        <w:tc>
          <w:tcPr>
            <w:tcW w:w="8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tcBorders>
            <w:shd w:val="clear" w:color="auto" w:fill="E0E7ED"/>
          </w:tcPr>
          <w:p>
            <w:pPr>
              <w:jc w:val="right"/>
              <w:ind w:right="57"/>
              <w:spacing w:after="0"/>
              <w:rPr>
                <w:sz w:val="20"/>
                <w:szCs w:val="20"/>
                <w:color w:val="auto"/>
              </w:rPr>
            </w:pPr>
            <w:r>
              <w:rPr>
                <w:rFonts w:ascii="Verdana" w:cs="Verdana" w:eastAsia="Verdana" w:hAnsi="Verdana"/>
                <w:sz w:val="13"/>
                <w:szCs w:val="13"/>
                <w:color w:val="auto"/>
                <w:w w:val="95"/>
              </w:rPr>
              <w:t>$</w:t>
            </w:r>
          </w:p>
        </w:tc>
        <w:tc>
          <w:tcPr>
            <w:tcW w:w="880" w:type="dxa"/>
            <w:vAlign w:val="bottom"/>
            <w:tcBorders>
              <w:top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1,271,981</w:t>
            </w:r>
          </w:p>
        </w:tc>
        <w:tc>
          <w:tcPr>
            <w:tcW w:w="0" w:type="dxa"/>
            <w:vAlign w:val="bottom"/>
          </w:tcPr>
          <w:p>
            <w:pPr>
              <w:spacing w:after="0"/>
              <w:rPr>
                <w:sz w:val="1"/>
                <w:szCs w:val="1"/>
                <w:color w:val="auto"/>
              </w:rPr>
            </w:pPr>
          </w:p>
        </w:tc>
      </w:tr>
      <w:tr>
        <w:trPr>
          <w:trHeight w:val="122"/>
        </w:trPr>
        <w:tc>
          <w:tcPr>
            <w:tcW w:w="3180" w:type="dxa"/>
            <w:vAlign w:val="bottom"/>
          </w:tcPr>
          <w:p>
            <w:pPr>
              <w:ind w:left="180"/>
              <w:spacing w:after="0" w:line="122" w:lineRule="exact"/>
              <w:rPr>
                <w:sz w:val="20"/>
                <w:szCs w:val="20"/>
                <w:color w:val="auto"/>
              </w:rPr>
            </w:pPr>
            <w:r>
              <w:rPr>
                <w:rFonts w:ascii="Verdana" w:cs="Verdana" w:eastAsia="Verdana" w:hAnsi="Verdana"/>
                <w:sz w:val="13"/>
                <w:szCs w:val="13"/>
                <w:color w:val="auto"/>
              </w:rPr>
              <w:t>Cumulative effect of change in accounting</w:t>
            </w:r>
          </w:p>
        </w:tc>
        <w:tc>
          <w:tcPr>
            <w:tcW w:w="1160" w:type="dxa"/>
            <w:vAlign w:val="bottom"/>
            <w:gridSpan w:val="2"/>
            <w:vMerge w:val="restart"/>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tcPr>
          <w:p>
            <w:pPr>
              <w:spacing w:after="0"/>
              <w:rPr>
                <w:sz w:val="10"/>
                <w:szCs w:val="10"/>
                <w:color w:val="auto"/>
              </w:rPr>
            </w:pPr>
          </w:p>
        </w:tc>
        <w:tc>
          <w:tcPr>
            <w:tcW w:w="30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0"/>
                <w:szCs w:val="10"/>
                <w:color w:val="auto"/>
              </w:rPr>
            </w:pPr>
          </w:p>
        </w:tc>
        <w:tc>
          <w:tcPr>
            <w:tcW w:w="102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Verdana" w:cs="Verdana" w:eastAsia="Verdana" w:hAnsi="Verdana"/>
                <w:sz w:val="13"/>
                <w:szCs w:val="13"/>
                <w:color w:val="auto"/>
              </w:rPr>
              <w:t>(1,391)</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0"/>
                <w:szCs w:val="10"/>
                <w:color w:val="auto"/>
              </w:rPr>
            </w:pPr>
          </w:p>
        </w:tc>
        <w:tc>
          <w:tcPr>
            <w:tcW w:w="100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Verdana" w:cs="Verdana" w:eastAsia="Verdana" w:hAnsi="Verdana"/>
                <w:sz w:val="13"/>
                <w:szCs w:val="13"/>
                <w:color w:val="auto"/>
              </w:rPr>
              <w:t>(1,391)</w:t>
            </w: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principal (ASU 2023-02)</w:t>
            </w:r>
          </w:p>
        </w:tc>
        <w:tc>
          <w:tcPr>
            <w:tcW w:w="116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Net income</w:t>
            </w:r>
          </w:p>
        </w:tc>
        <w:tc>
          <w:tcPr>
            <w:tcW w:w="116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shd w:val="clear" w:color="auto" w:fill="E0E7ED"/>
          </w:tcPr>
          <w:p>
            <w:pPr>
              <w:spacing w:after="0"/>
              <w:rPr>
                <w:sz w:val="15"/>
                <w:szCs w:val="15"/>
                <w:color w:val="auto"/>
              </w:rPr>
            </w:pPr>
          </w:p>
        </w:tc>
        <w:tc>
          <w:tcPr>
            <w:tcW w:w="3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102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5"/>
                <w:szCs w:val="15"/>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85,586</w:t>
            </w:r>
          </w:p>
        </w:tc>
        <w:tc>
          <w:tcPr>
            <w:tcW w:w="80" w:type="dxa"/>
            <w:vAlign w:val="bottom"/>
            <w:shd w:val="clear" w:color="auto" w:fill="E0E7ED"/>
          </w:tcPr>
          <w:p>
            <w:pPr>
              <w:spacing w:after="0"/>
              <w:rPr>
                <w:sz w:val="15"/>
                <w:szCs w:val="15"/>
                <w:color w:val="auto"/>
              </w:rPr>
            </w:pPr>
          </w:p>
        </w:tc>
        <w:tc>
          <w:tcPr>
            <w:tcW w:w="24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5"/>
                <w:szCs w:val="15"/>
                <w:color w:val="auto"/>
              </w:rPr>
            </w:pPr>
          </w:p>
        </w:tc>
        <w:tc>
          <w:tcPr>
            <w:tcW w:w="10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5"/>
                <w:szCs w:val="15"/>
                <w:color w:val="auto"/>
              </w:rPr>
            </w:pPr>
          </w:p>
        </w:tc>
        <w:tc>
          <w:tcPr>
            <w:tcW w:w="8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85,586</w:t>
            </w: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OCI, net of tax</w:t>
            </w:r>
          </w:p>
        </w:tc>
        <w:tc>
          <w:tcPr>
            <w:tcW w:w="116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Verdana" w:cs="Verdana" w:eastAsia="Verdana" w:hAnsi="Verdana"/>
                <w:sz w:val="13"/>
                <w:szCs w:val="13"/>
                <w:color w:val="auto"/>
              </w:rPr>
              <w:t>47,890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4"/>
                <w:szCs w:val="14"/>
                <w:color w:val="auto"/>
              </w:rPr>
            </w:pPr>
          </w:p>
        </w:tc>
        <w:tc>
          <w:tcPr>
            <w:tcW w:w="880" w:type="dxa"/>
            <w:vAlign w:val="bottom"/>
          </w:tcPr>
          <w:p>
            <w:pPr>
              <w:jc w:val="right"/>
              <w:ind w:right="17"/>
              <w:spacing w:after="0"/>
              <w:rPr>
                <w:sz w:val="20"/>
                <w:szCs w:val="20"/>
                <w:color w:val="auto"/>
              </w:rPr>
            </w:pPr>
            <w:r>
              <w:rPr>
                <w:rFonts w:ascii="Verdana" w:cs="Verdana" w:eastAsia="Verdana" w:hAnsi="Verdana"/>
                <w:sz w:val="13"/>
                <w:szCs w:val="13"/>
                <w:color w:val="auto"/>
              </w:rPr>
              <w:t>47,890</w:t>
            </w:r>
          </w:p>
        </w:tc>
        <w:tc>
          <w:tcPr>
            <w:tcW w:w="0" w:type="dxa"/>
            <w:vAlign w:val="bottom"/>
          </w:tcPr>
          <w:p>
            <w:pPr>
              <w:spacing w:after="0"/>
              <w:rPr>
                <w:sz w:val="1"/>
                <w:szCs w:val="1"/>
                <w:color w:val="auto"/>
              </w:rPr>
            </w:pPr>
          </w:p>
        </w:tc>
      </w:tr>
      <w:tr>
        <w:trPr>
          <w:trHeight w:val="127"/>
        </w:trPr>
        <w:tc>
          <w:tcPr>
            <w:tcW w:w="3180" w:type="dxa"/>
            <w:vAlign w:val="bottom"/>
            <w:shd w:val="clear" w:color="auto" w:fill="E0E7ED"/>
          </w:tcPr>
          <w:p>
            <w:pPr>
              <w:ind w:left="180"/>
              <w:spacing w:after="0" w:line="127" w:lineRule="exact"/>
              <w:rPr>
                <w:sz w:val="20"/>
                <w:szCs w:val="20"/>
                <w:color w:val="auto"/>
              </w:rPr>
            </w:pPr>
            <w:r>
              <w:rPr>
                <w:rFonts w:ascii="Verdana" w:cs="Verdana" w:eastAsia="Verdana" w:hAnsi="Verdana"/>
                <w:sz w:val="13"/>
                <w:szCs w:val="13"/>
                <w:color w:val="auto"/>
              </w:rPr>
              <w:t>Stock issued in acquisition, net of stock</w:t>
            </w:r>
          </w:p>
        </w:tc>
        <w:tc>
          <w:tcPr>
            <w:tcW w:w="108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1,429,304</w:t>
            </w:r>
          </w:p>
        </w:tc>
        <w:tc>
          <w:tcPr>
            <w:tcW w:w="80" w:type="dxa"/>
            <w:vAlign w:val="bottom"/>
            <w:shd w:val="clear" w:color="auto" w:fill="E0E7ED"/>
          </w:tcPr>
          <w:p>
            <w:pPr>
              <w:spacing w:after="0"/>
              <w:rPr>
                <w:sz w:val="11"/>
                <w:szCs w:val="11"/>
                <w:color w:val="auto"/>
              </w:rPr>
            </w:pPr>
          </w:p>
        </w:tc>
        <w:tc>
          <w:tcPr>
            <w:tcW w:w="860" w:type="dxa"/>
            <w:vAlign w:val="bottom"/>
            <w:shd w:val="clear" w:color="auto" w:fill="E0E7ED"/>
          </w:tcPr>
          <w:p>
            <w:pPr>
              <w:spacing w:after="0"/>
              <w:rPr>
                <w:sz w:val="11"/>
                <w:szCs w:val="11"/>
                <w:color w:val="auto"/>
              </w:rPr>
            </w:pPr>
          </w:p>
        </w:tc>
        <w:tc>
          <w:tcPr>
            <w:tcW w:w="22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2</w:t>
            </w:r>
          </w:p>
        </w:tc>
        <w:tc>
          <w:tcPr>
            <w:tcW w:w="80" w:type="dxa"/>
            <w:vAlign w:val="bottom"/>
            <w:shd w:val="clear" w:color="auto" w:fill="E0E7ED"/>
          </w:tcPr>
          <w:p>
            <w:pPr>
              <w:spacing w:after="0"/>
              <w:rPr>
                <w:sz w:val="11"/>
                <w:szCs w:val="11"/>
                <w:color w:val="auto"/>
              </w:rPr>
            </w:pPr>
          </w:p>
        </w:tc>
        <w:tc>
          <w:tcPr>
            <w:tcW w:w="140" w:type="dxa"/>
            <w:vAlign w:val="bottom"/>
            <w:shd w:val="clear" w:color="auto" w:fill="E0E7ED"/>
          </w:tcPr>
          <w:p>
            <w:pPr>
              <w:spacing w:after="0"/>
              <w:rPr>
                <w:sz w:val="11"/>
                <w:szCs w:val="11"/>
                <w:color w:val="auto"/>
              </w:rPr>
            </w:pPr>
          </w:p>
        </w:tc>
        <w:tc>
          <w:tcPr>
            <w:tcW w:w="94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34,232</w:t>
            </w:r>
          </w:p>
        </w:tc>
        <w:tc>
          <w:tcPr>
            <w:tcW w:w="80" w:type="dxa"/>
            <w:vAlign w:val="bottom"/>
            <w:shd w:val="clear" w:color="auto" w:fill="E0E7ED"/>
          </w:tcPr>
          <w:p>
            <w:pPr>
              <w:spacing w:after="0"/>
              <w:rPr>
                <w:sz w:val="11"/>
                <w:szCs w:val="11"/>
                <w:color w:val="auto"/>
              </w:rPr>
            </w:pPr>
          </w:p>
        </w:tc>
        <w:tc>
          <w:tcPr>
            <w:tcW w:w="160" w:type="dxa"/>
            <w:vAlign w:val="bottom"/>
            <w:shd w:val="clear" w:color="auto" w:fill="E0E7ED"/>
          </w:tcPr>
          <w:p>
            <w:pPr>
              <w:spacing w:after="0"/>
              <w:rPr>
                <w:sz w:val="11"/>
                <w:szCs w:val="11"/>
                <w:color w:val="auto"/>
              </w:rPr>
            </w:pPr>
          </w:p>
        </w:tc>
        <w:tc>
          <w:tcPr>
            <w:tcW w:w="100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shd w:val="clear" w:color="auto" w:fill="E0E7ED"/>
          </w:tcPr>
          <w:p>
            <w:pPr>
              <w:spacing w:after="0"/>
              <w:rPr>
                <w:sz w:val="11"/>
                <w:szCs w:val="11"/>
                <w:color w:val="auto"/>
              </w:rPr>
            </w:pPr>
          </w:p>
        </w:tc>
        <w:tc>
          <w:tcPr>
            <w:tcW w:w="92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1"/>
                <w:szCs w:val="11"/>
                <w:color w:val="auto"/>
              </w:rPr>
            </w:pPr>
          </w:p>
        </w:tc>
        <w:tc>
          <w:tcPr>
            <w:tcW w:w="100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1"/>
                <w:szCs w:val="11"/>
                <w:color w:val="auto"/>
              </w:rPr>
            </w:pPr>
          </w:p>
        </w:tc>
        <w:tc>
          <w:tcPr>
            <w:tcW w:w="88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34,234</w:t>
            </w:r>
          </w:p>
        </w:tc>
        <w:tc>
          <w:tcPr>
            <w:tcW w:w="0" w:type="dxa"/>
            <w:vAlign w:val="bottom"/>
          </w:tcPr>
          <w:p>
            <w:pPr>
              <w:spacing w:after="0"/>
              <w:rPr>
                <w:sz w:val="1"/>
                <w:szCs w:val="1"/>
                <w:color w:val="auto"/>
              </w:rPr>
            </w:pPr>
          </w:p>
        </w:tc>
      </w:tr>
      <w:tr>
        <w:trPr>
          <w:trHeight w:val="175"/>
        </w:trPr>
        <w:tc>
          <w:tcPr>
            <w:tcW w:w="3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issuance costs</w:t>
            </w:r>
          </w:p>
        </w:tc>
        <w:tc>
          <w:tcPr>
            <w:tcW w:w="108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860" w:type="dxa"/>
            <w:vAlign w:val="bottom"/>
            <w:shd w:val="clear" w:color="auto" w:fill="E0E7ED"/>
          </w:tcPr>
          <w:p>
            <w:pPr>
              <w:spacing w:after="0"/>
              <w:rPr>
                <w:sz w:val="15"/>
                <w:szCs w:val="15"/>
                <w:color w:val="auto"/>
              </w:rPr>
            </w:pPr>
          </w:p>
        </w:tc>
        <w:tc>
          <w:tcPr>
            <w:tcW w:w="22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94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1000" w:type="dxa"/>
            <w:vAlign w:val="bottom"/>
            <w:gridSpan w:val="2"/>
            <w:vMerge w:val="continue"/>
            <w:shd w:val="clear" w:color="auto" w:fill="E0E7ED"/>
          </w:tcPr>
          <w:p>
            <w:pPr>
              <w:spacing w:after="0"/>
              <w:rPr>
                <w:sz w:val="15"/>
                <w:szCs w:val="15"/>
                <w:color w:val="auto"/>
              </w:rPr>
            </w:pPr>
          </w:p>
        </w:tc>
        <w:tc>
          <w:tcPr>
            <w:tcW w:w="240" w:type="dxa"/>
            <w:vAlign w:val="bottom"/>
            <w:shd w:val="clear" w:color="auto" w:fill="E0E7ED"/>
          </w:tcPr>
          <w:p>
            <w:pPr>
              <w:spacing w:after="0"/>
              <w:rPr>
                <w:sz w:val="15"/>
                <w:szCs w:val="15"/>
                <w:color w:val="auto"/>
              </w:rPr>
            </w:pPr>
          </w:p>
        </w:tc>
        <w:tc>
          <w:tcPr>
            <w:tcW w:w="920" w:type="dxa"/>
            <w:vAlign w:val="bottom"/>
            <w:gridSpan w:val="2"/>
            <w:vMerge w:val="continue"/>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1000" w:type="dxa"/>
            <w:vAlign w:val="bottom"/>
            <w:gridSpan w:val="2"/>
            <w:vMerge w:val="continue"/>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8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Issuance of treasury stock for ESPP</w:t>
            </w:r>
          </w:p>
        </w:tc>
        <w:tc>
          <w:tcPr>
            <w:tcW w:w="1080" w:type="dxa"/>
            <w:vAlign w:val="bottom"/>
          </w:tcPr>
          <w:p>
            <w:pPr>
              <w:jc w:val="right"/>
              <w:ind w:right="17"/>
              <w:spacing w:after="0"/>
              <w:rPr>
                <w:sz w:val="20"/>
                <w:szCs w:val="20"/>
                <w:color w:val="auto"/>
              </w:rPr>
            </w:pPr>
            <w:r>
              <w:rPr>
                <w:rFonts w:ascii="Verdana" w:cs="Verdana" w:eastAsia="Verdana" w:hAnsi="Verdana"/>
                <w:sz w:val="13"/>
                <w:szCs w:val="13"/>
                <w:color w:val="auto"/>
              </w:rPr>
              <w:t>45,679</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(250)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Verdana" w:cs="Verdana" w:eastAsia="Verdana" w:hAnsi="Verdana"/>
                <w:sz w:val="13"/>
                <w:szCs w:val="13"/>
                <w:color w:val="auto"/>
              </w:rPr>
              <w:t>1,176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7"/>
              <w:spacing w:after="0"/>
              <w:rPr>
                <w:sz w:val="20"/>
                <w:szCs w:val="20"/>
                <w:color w:val="auto"/>
              </w:rPr>
            </w:pPr>
            <w:r>
              <w:rPr>
                <w:rFonts w:ascii="Verdana" w:cs="Verdana" w:eastAsia="Verdana" w:hAnsi="Verdana"/>
                <w:sz w:val="13"/>
                <w:szCs w:val="13"/>
                <w:color w:val="auto"/>
              </w:rPr>
              <w:t>926</w:t>
            </w:r>
          </w:p>
        </w:tc>
        <w:tc>
          <w:tcPr>
            <w:tcW w:w="0" w:type="dxa"/>
            <w:vAlign w:val="bottom"/>
          </w:tcPr>
          <w:p>
            <w:pPr>
              <w:spacing w:after="0"/>
              <w:rPr>
                <w:sz w:val="1"/>
                <w:szCs w:val="1"/>
                <w:color w:val="auto"/>
              </w:rPr>
            </w:pPr>
          </w:p>
        </w:tc>
      </w:tr>
      <w:tr>
        <w:trPr>
          <w:trHeight w:val="127"/>
        </w:trPr>
        <w:tc>
          <w:tcPr>
            <w:tcW w:w="3180" w:type="dxa"/>
            <w:vAlign w:val="bottom"/>
            <w:shd w:val="clear" w:color="auto" w:fill="E0E7ED"/>
          </w:tcPr>
          <w:p>
            <w:pPr>
              <w:ind w:left="180"/>
              <w:spacing w:after="0" w:line="127" w:lineRule="exact"/>
              <w:rPr>
                <w:sz w:val="20"/>
                <w:szCs w:val="20"/>
                <w:color w:val="auto"/>
              </w:rPr>
            </w:pPr>
            <w:r>
              <w:rPr>
                <w:rFonts w:ascii="Verdana" w:cs="Verdana" w:eastAsia="Verdana" w:hAnsi="Verdana"/>
                <w:sz w:val="13"/>
                <w:szCs w:val="13"/>
                <w:color w:val="auto"/>
              </w:rPr>
              <w:t>Net issuance of treasury stock for</w:t>
            </w:r>
          </w:p>
        </w:tc>
        <w:tc>
          <w:tcPr>
            <w:tcW w:w="108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153,087</w:t>
            </w:r>
          </w:p>
        </w:tc>
        <w:tc>
          <w:tcPr>
            <w:tcW w:w="80" w:type="dxa"/>
            <w:vAlign w:val="bottom"/>
            <w:shd w:val="clear" w:color="auto" w:fill="E0E7ED"/>
          </w:tcPr>
          <w:p>
            <w:pPr>
              <w:spacing w:after="0"/>
              <w:rPr>
                <w:sz w:val="11"/>
                <w:szCs w:val="11"/>
                <w:color w:val="auto"/>
              </w:rPr>
            </w:pPr>
          </w:p>
        </w:tc>
        <w:tc>
          <w:tcPr>
            <w:tcW w:w="860" w:type="dxa"/>
            <w:vAlign w:val="bottom"/>
            <w:shd w:val="clear" w:color="auto" w:fill="E0E7ED"/>
          </w:tcPr>
          <w:p>
            <w:pPr>
              <w:spacing w:after="0"/>
              <w:rPr>
                <w:sz w:val="11"/>
                <w:szCs w:val="11"/>
                <w:color w:val="auto"/>
              </w:rPr>
            </w:pPr>
          </w:p>
        </w:tc>
        <w:tc>
          <w:tcPr>
            <w:tcW w:w="30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1"/>
                <w:szCs w:val="11"/>
                <w:color w:val="auto"/>
              </w:rPr>
            </w:pPr>
          </w:p>
        </w:tc>
        <w:tc>
          <w:tcPr>
            <w:tcW w:w="94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(5,592)</w:t>
            </w:r>
          </w:p>
        </w:tc>
        <w:tc>
          <w:tcPr>
            <w:tcW w:w="80" w:type="dxa"/>
            <w:vAlign w:val="bottom"/>
            <w:shd w:val="clear" w:color="auto" w:fill="E0E7ED"/>
          </w:tcPr>
          <w:p>
            <w:pPr>
              <w:spacing w:after="0"/>
              <w:rPr>
                <w:sz w:val="11"/>
                <w:szCs w:val="11"/>
                <w:color w:val="auto"/>
              </w:rPr>
            </w:pPr>
          </w:p>
        </w:tc>
        <w:tc>
          <w:tcPr>
            <w:tcW w:w="160" w:type="dxa"/>
            <w:vAlign w:val="bottom"/>
            <w:shd w:val="clear" w:color="auto" w:fill="E0E7ED"/>
          </w:tcPr>
          <w:p>
            <w:pPr>
              <w:spacing w:after="0"/>
              <w:rPr>
                <w:sz w:val="11"/>
                <w:szCs w:val="11"/>
                <w:color w:val="auto"/>
              </w:rPr>
            </w:pPr>
          </w:p>
        </w:tc>
        <w:tc>
          <w:tcPr>
            <w:tcW w:w="100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shd w:val="clear" w:color="auto" w:fill="E0E7ED"/>
          </w:tcPr>
          <w:p>
            <w:pPr>
              <w:spacing w:after="0"/>
              <w:rPr>
                <w:sz w:val="11"/>
                <w:szCs w:val="11"/>
                <w:color w:val="auto"/>
              </w:rPr>
            </w:pPr>
          </w:p>
        </w:tc>
        <w:tc>
          <w:tcPr>
            <w:tcW w:w="92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1"/>
                <w:szCs w:val="11"/>
                <w:color w:val="auto"/>
              </w:rPr>
            </w:pPr>
          </w:p>
        </w:tc>
        <w:tc>
          <w:tcPr>
            <w:tcW w:w="92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3,942</w:t>
            </w:r>
          </w:p>
        </w:tc>
        <w:tc>
          <w:tcPr>
            <w:tcW w:w="80" w:type="dxa"/>
            <w:vAlign w:val="bottom"/>
            <w:shd w:val="clear" w:color="auto" w:fill="E0E7ED"/>
          </w:tcPr>
          <w:p>
            <w:pPr>
              <w:spacing w:after="0"/>
              <w:rPr>
                <w:sz w:val="11"/>
                <w:szCs w:val="11"/>
                <w:color w:val="auto"/>
              </w:rPr>
            </w:pPr>
          </w:p>
        </w:tc>
        <w:tc>
          <w:tcPr>
            <w:tcW w:w="220" w:type="dxa"/>
            <w:vAlign w:val="bottom"/>
            <w:shd w:val="clear" w:color="auto" w:fill="E0E7ED"/>
          </w:tcPr>
          <w:p>
            <w:pPr>
              <w:spacing w:after="0"/>
              <w:rPr>
                <w:sz w:val="11"/>
                <w:szCs w:val="11"/>
                <w:color w:val="auto"/>
              </w:rPr>
            </w:pPr>
          </w:p>
        </w:tc>
        <w:tc>
          <w:tcPr>
            <w:tcW w:w="88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(1,650)</w:t>
            </w:r>
          </w:p>
        </w:tc>
        <w:tc>
          <w:tcPr>
            <w:tcW w:w="0" w:type="dxa"/>
            <w:vAlign w:val="bottom"/>
          </w:tcPr>
          <w:p>
            <w:pPr>
              <w:spacing w:after="0"/>
              <w:rPr>
                <w:sz w:val="1"/>
                <w:szCs w:val="1"/>
                <w:color w:val="auto"/>
              </w:rPr>
            </w:pPr>
          </w:p>
        </w:tc>
      </w:tr>
      <w:tr>
        <w:trPr>
          <w:trHeight w:val="175"/>
        </w:trPr>
        <w:tc>
          <w:tcPr>
            <w:tcW w:w="3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RSU/PSU/DSU vesting and related tax</w:t>
            </w:r>
          </w:p>
        </w:tc>
        <w:tc>
          <w:tcPr>
            <w:tcW w:w="108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860" w:type="dxa"/>
            <w:vAlign w:val="bottom"/>
            <w:shd w:val="clear" w:color="auto" w:fill="E0E7ED"/>
          </w:tcPr>
          <w:p>
            <w:pPr>
              <w:spacing w:after="0"/>
              <w:rPr>
                <w:sz w:val="15"/>
                <w:szCs w:val="15"/>
                <w:color w:val="auto"/>
              </w:rPr>
            </w:pPr>
          </w:p>
        </w:tc>
        <w:tc>
          <w:tcPr>
            <w:tcW w:w="300" w:type="dxa"/>
            <w:vAlign w:val="bottom"/>
            <w:gridSpan w:val="2"/>
            <w:vMerge w:val="continue"/>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94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1000" w:type="dxa"/>
            <w:vAlign w:val="bottom"/>
            <w:gridSpan w:val="2"/>
            <w:vMerge w:val="continue"/>
            <w:shd w:val="clear" w:color="auto" w:fill="E0E7ED"/>
          </w:tcPr>
          <w:p>
            <w:pPr>
              <w:spacing w:after="0"/>
              <w:rPr>
                <w:sz w:val="15"/>
                <w:szCs w:val="15"/>
                <w:color w:val="auto"/>
              </w:rPr>
            </w:pPr>
          </w:p>
        </w:tc>
        <w:tc>
          <w:tcPr>
            <w:tcW w:w="240" w:type="dxa"/>
            <w:vAlign w:val="bottom"/>
            <w:shd w:val="clear" w:color="auto" w:fill="E0E7ED"/>
          </w:tcPr>
          <w:p>
            <w:pPr>
              <w:spacing w:after="0"/>
              <w:rPr>
                <w:sz w:val="15"/>
                <w:szCs w:val="15"/>
                <w:color w:val="auto"/>
              </w:rPr>
            </w:pPr>
          </w:p>
        </w:tc>
        <w:tc>
          <w:tcPr>
            <w:tcW w:w="920" w:type="dxa"/>
            <w:vAlign w:val="bottom"/>
            <w:gridSpan w:val="2"/>
            <w:vMerge w:val="continue"/>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92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8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180" w:type="dxa"/>
            <w:vAlign w:val="bottom"/>
          </w:tcPr>
          <w:p>
            <w:pPr>
              <w:ind w:left="180"/>
              <w:spacing w:after="0" w:line="122" w:lineRule="exact"/>
              <w:rPr>
                <w:sz w:val="20"/>
                <w:szCs w:val="20"/>
                <w:color w:val="auto"/>
              </w:rPr>
            </w:pPr>
            <w:r>
              <w:rPr>
                <w:rFonts w:ascii="Verdana" w:cs="Verdana" w:eastAsia="Verdana" w:hAnsi="Verdana"/>
                <w:sz w:val="13"/>
                <w:szCs w:val="13"/>
                <w:color w:val="auto"/>
              </w:rPr>
              <w:t>Net issuance of treasury stock for options</w:t>
            </w: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180" w:type="dxa"/>
            <w:vAlign w:val="bottom"/>
          </w:tcPr>
          <w:p>
            <w:pPr>
              <w:ind w:left="180"/>
              <w:spacing w:after="0" w:line="122" w:lineRule="exact"/>
              <w:rPr>
                <w:sz w:val="20"/>
                <w:szCs w:val="20"/>
                <w:color w:val="auto"/>
              </w:rPr>
            </w:pPr>
            <w:r>
              <w:rPr>
                <w:rFonts w:ascii="Verdana" w:cs="Verdana" w:eastAsia="Verdana" w:hAnsi="Verdana"/>
                <w:sz w:val="13"/>
                <w:szCs w:val="13"/>
                <w:color w:val="auto"/>
                <w:w w:val="97"/>
              </w:rPr>
              <w:t>exercised, net of shares redeemed and related</w:t>
            </w:r>
          </w:p>
        </w:tc>
        <w:tc>
          <w:tcPr>
            <w:tcW w:w="108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52</w:t>
            </w: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Verdana" w:cs="Verdana" w:eastAsia="Verdana" w:hAnsi="Verdana"/>
                <w:sz w:val="13"/>
                <w:szCs w:val="13"/>
                <w:color w:val="auto"/>
              </w:rPr>
              <w:t>(1)</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Verdana" w:cs="Verdana" w:eastAsia="Verdana" w:hAnsi="Verdana"/>
                <w:sz w:val="13"/>
                <w:szCs w:val="13"/>
                <w:color w:val="auto"/>
              </w:rPr>
              <w:t>1</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w:t>
            </w: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tax</w:t>
            </w:r>
          </w:p>
        </w:tc>
        <w:tc>
          <w:tcPr>
            <w:tcW w:w="10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180" w:type="dxa"/>
            <w:vAlign w:val="bottom"/>
            <w:shd w:val="clear" w:color="auto" w:fill="E0E7ED"/>
          </w:tcPr>
          <w:p>
            <w:pPr>
              <w:ind w:left="180"/>
              <w:spacing w:after="0" w:line="127" w:lineRule="exact"/>
              <w:rPr>
                <w:sz w:val="20"/>
                <w:szCs w:val="20"/>
                <w:color w:val="auto"/>
              </w:rPr>
            </w:pPr>
            <w:r>
              <w:rPr>
                <w:rFonts w:ascii="Verdana" w:cs="Verdana" w:eastAsia="Verdana" w:hAnsi="Verdana"/>
                <w:sz w:val="13"/>
                <w:szCs w:val="13"/>
                <w:color w:val="auto"/>
                <w:w w:val="97"/>
              </w:rPr>
              <w:t>Cash dividends on common stock at $0.72 per</w:t>
            </w:r>
          </w:p>
        </w:tc>
        <w:tc>
          <w:tcPr>
            <w:tcW w:w="1160" w:type="dxa"/>
            <w:vAlign w:val="bottom"/>
            <w:gridSpan w:val="2"/>
            <w:vMerge w:val="restart"/>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shd w:val="clear" w:color="auto" w:fill="E0E7ED"/>
          </w:tcPr>
          <w:p>
            <w:pPr>
              <w:spacing w:after="0"/>
              <w:rPr>
                <w:sz w:val="11"/>
                <w:szCs w:val="11"/>
                <w:color w:val="auto"/>
              </w:rPr>
            </w:pPr>
          </w:p>
        </w:tc>
        <w:tc>
          <w:tcPr>
            <w:tcW w:w="30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1"/>
                <w:szCs w:val="11"/>
                <w:color w:val="auto"/>
              </w:rPr>
            </w:pPr>
          </w:p>
        </w:tc>
        <w:tc>
          <w:tcPr>
            <w:tcW w:w="102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1"/>
                <w:szCs w:val="11"/>
                <w:color w:val="auto"/>
              </w:rPr>
            </w:pPr>
          </w:p>
        </w:tc>
        <w:tc>
          <w:tcPr>
            <w:tcW w:w="92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(40,520)</w:t>
            </w:r>
          </w:p>
        </w:tc>
        <w:tc>
          <w:tcPr>
            <w:tcW w:w="80" w:type="dxa"/>
            <w:vAlign w:val="bottom"/>
            <w:shd w:val="clear" w:color="auto" w:fill="E0E7ED"/>
          </w:tcPr>
          <w:p>
            <w:pPr>
              <w:spacing w:after="0"/>
              <w:rPr>
                <w:sz w:val="11"/>
                <w:szCs w:val="11"/>
                <w:color w:val="auto"/>
              </w:rPr>
            </w:pPr>
          </w:p>
        </w:tc>
        <w:tc>
          <w:tcPr>
            <w:tcW w:w="240" w:type="dxa"/>
            <w:vAlign w:val="bottom"/>
            <w:shd w:val="clear" w:color="auto" w:fill="E0E7ED"/>
          </w:tcPr>
          <w:p>
            <w:pPr>
              <w:spacing w:after="0"/>
              <w:rPr>
                <w:sz w:val="11"/>
                <w:szCs w:val="11"/>
                <w:color w:val="auto"/>
              </w:rPr>
            </w:pPr>
          </w:p>
        </w:tc>
        <w:tc>
          <w:tcPr>
            <w:tcW w:w="92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1"/>
                <w:szCs w:val="11"/>
                <w:color w:val="auto"/>
              </w:rPr>
            </w:pPr>
          </w:p>
        </w:tc>
        <w:tc>
          <w:tcPr>
            <w:tcW w:w="100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1"/>
                <w:szCs w:val="11"/>
                <w:color w:val="auto"/>
              </w:rPr>
            </w:pPr>
          </w:p>
        </w:tc>
        <w:tc>
          <w:tcPr>
            <w:tcW w:w="88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(40,520)</w:t>
            </w:r>
          </w:p>
        </w:tc>
        <w:tc>
          <w:tcPr>
            <w:tcW w:w="0" w:type="dxa"/>
            <w:vAlign w:val="bottom"/>
          </w:tcPr>
          <w:p>
            <w:pPr>
              <w:spacing w:after="0"/>
              <w:rPr>
                <w:sz w:val="1"/>
                <w:szCs w:val="1"/>
                <w:color w:val="auto"/>
              </w:rPr>
            </w:pPr>
          </w:p>
        </w:tc>
      </w:tr>
      <w:tr>
        <w:trPr>
          <w:trHeight w:val="175"/>
        </w:trPr>
        <w:tc>
          <w:tcPr>
            <w:tcW w:w="3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share</w:t>
            </w:r>
          </w:p>
        </w:tc>
        <w:tc>
          <w:tcPr>
            <w:tcW w:w="1160" w:type="dxa"/>
            <w:vAlign w:val="bottom"/>
            <w:gridSpan w:val="2"/>
            <w:vMerge w:val="continue"/>
            <w:shd w:val="clear" w:color="auto" w:fill="E0E7ED"/>
          </w:tcPr>
          <w:p>
            <w:pPr>
              <w:spacing w:after="0"/>
              <w:rPr>
                <w:sz w:val="15"/>
                <w:szCs w:val="15"/>
                <w:color w:val="auto"/>
              </w:rPr>
            </w:pPr>
          </w:p>
        </w:tc>
        <w:tc>
          <w:tcPr>
            <w:tcW w:w="860" w:type="dxa"/>
            <w:vAlign w:val="bottom"/>
            <w:shd w:val="clear" w:color="auto" w:fill="E0E7ED"/>
          </w:tcPr>
          <w:p>
            <w:pPr>
              <w:spacing w:after="0"/>
              <w:rPr>
                <w:sz w:val="15"/>
                <w:szCs w:val="15"/>
                <w:color w:val="auto"/>
              </w:rPr>
            </w:pPr>
          </w:p>
        </w:tc>
        <w:tc>
          <w:tcPr>
            <w:tcW w:w="300" w:type="dxa"/>
            <w:vAlign w:val="bottom"/>
            <w:gridSpan w:val="2"/>
            <w:vMerge w:val="continue"/>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1020" w:type="dxa"/>
            <w:vAlign w:val="bottom"/>
            <w:gridSpan w:val="2"/>
            <w:vMerge w:val="continue"/>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92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40" w:type="dxa"/>
            <w:vAlign w:val="bottom"/>
            <w:shd w:val="clear" w:color="auto" w:fill="E0E7ED"/>
          </w:tcPr>
          <w:p>
            <w:pPr>
              <w:spacing w:after="0"/>
              <w:rPr>
                <w:sz w:val="15"/>
                <w:szCs w:val="15"/>
                <w:color w:val="auto"/>
              </w:rPr>
            </w:pPr>
          </w:p>
        </w:tc>
        <w:tc>
          <w:tcPr>
            <w:tcW w:w="920" w:type="dxa"/>
            <w:vAlign w:val="bottom"/>
            <w:gridSpan w:val="2"/>
            <w:vMerge w:val="continue"/>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1000" w:type="dxa"/>
            <w:vAlign w:val="bottom"/>
            <w:gridSpan w:val="2"/>
            <w:vMerge w:val="continue"/>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8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180" w:type="dxa"/>
            <w:vAlign w:val="bottom"/>
          </w:tcPr>
          <w:p>
            <w:pPr>
              <w:ind w:left="180"/>
              <w:spacing w:after="0" w:line="122" w:lineRule="exact"/>
              <w:rPr>
                <w:sz w:val="20"/>
                <w:szCs w:val="20"/>
                <w:color w:val="auto"/>
              </w:rPr>
            </w:pPr>
            <w:r>
              <w:rPr>
                <w:rFonts w:ascii="Verdana" w:cs="Verdana" w:eastAsia="Verdana" w:hAnsi="Verdana"/>
                <w:sz w:val="13"/>
                <w:szCs w:val="13"/>
                <w:color w:val="auto"/>
              </w:rPr>
              <w:t>Stock dividend equivalents on</w:t>
            </w:r>
          </w:p>
        </w:tc>
        <w:tc>
          <w:tcPr>
            <w:tcW w:w="1160" w:type="dxa"/>
            <w:vAlign w:val="bottom"/>
            <w:gridSpan w:val="2"/>
            <w:vMerge w:val="restart"/>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tcPr>
          <w:p>
            <w:pPr>
              <w:spacing w:after="0"/>
              <w:rPr>
                <w:sz w:val="10"/>
                <w:szCs w:val="10"/>
                <w:color w:val="auto"/>
              </w:rPr>
            </w:pPr>
          </w:p>
        </w:tc>
        <w:tc>
          <w:tcPr>
            <w:tcW w:w="30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Verdana" w:cs="Verdana" w:eastAsia="Verdana" w:hAnsi="Verdana"/>
                <w:sz w:val="13"/>
                <w:szCs w:val="13"/>
                <w:color w:val="auto"/>
              </w:rPr>
              <w:t>1,004</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Verdana" w:cs="Verdana" w:eastAsia="Verdana" w:hAnsi="Verdana"/>
                <w:sz w:val="13"/>
                <w:szCs w:val="13"/>
                <w:color w:val="auto"/>
              </w:rPr>
              <w:t>(1,004)</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0"/>
                <w:szCs w:val="10"/>
                <w:color w:val="auto"/>
              </w:rPr>
            </w:pPr>
          </w:p>
        </w:tc>
        <w:tc>
          <w:tcPr>
            <w:tcW w:w="100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0"/>
                <w:szCs w:val="10"/>
                <w:color w:val="auto"/>
              </w:rPr>
            </w:pPr>
          </w:p>
        </w:tc>
        <w:tc>
          <w:tcPr>
            <w:tcW w:w="88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w:t>
            </w: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RSUs/PSUs/DSUs</w:t>
            </w:r>
          </w:p>
        </w:tc>
        <w:tc>
          <w:tcPr>
            <w:tcW w:w="116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Stock-based compensation</w:t>
            </w:r>
          </w:p>
        </w:tc>
        <w:tc>
          <w:tcPr>
            <w:tcW w:w="116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shd w:val="clear" w:color="auto" w:fill="E0E7ED"/>
          </w:tcPr>
          <w:p>
            <w:pPr>
              <w:spacing w:after="0"/>
              <w:rPr>
                <w:sz w:val="15"/>
                <w:szCs w:val="15"/>
                <w:color w:val="auto"/>
              </w:rPr>
            </w:pPr>
          </w:p>
        </w:tc>
        <w:tc>
          <w:tcPr>
            <w:tcW w:w="3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5,828</w:t>
            </w: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10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5"/>
                <w:szCs w:val="15"/>
                <w:color w:val="auto"/>
              </w:rPr>
            </w:pPr>
          </w:p>
        </w:tc>
        <w:tc>
          <w:tcPr>
            <w:tcW w:w="10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5"/>
                <w:szCs w:val="15"/>
                <w:color w:val="auto"/>
              </w:rPr>
            </w:pPr>
          </w:p>
        </w:tc>
        <w:tc>
          <w:tcPr>
            <w:tcW w:w="8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5,828</w:t>
            </w:r>
          </w:p>
        </w:tc>
        <w:tc>
          <w:tcPr>
            <w:tcW w:w="0" w:type="dxa"/>
            <w:vAlign w:val="bottom"/>
          </w:tcPr>
          <w:p>
            <w:pPr>
              <w:spacing w:after="0"/>
              <w:rPr>
                <w:sz w:val="1"/>
                <w:szCs w:val="1"/>
                <w:color w:val="auto"/>
              </w:rPr>
            </w:pPr>
          </w:p>
        </w:tc>
      </w:tr>
      <w:tr>
        <w:trPr>
          <w:trHeight w:val="174"/>
        </w:trPr>
        <w:tc>
          <w:tcPr>
            <w:tcW w:w="3180" w:type="dxa"/>
            <w:vAlign w:val="bottom"/>
          </w:tcPr>
          <w:p>
            <w:pPr>
              <w:ind w:left="20"/>
              <w:spacing w:after="0"/>
              <w:rPr>
                <w:sz w:val="20"/>
                <w:szCs w:val="20"/>
                <w:color w:val="auto"/>
              </w:rPr>
            </w:pPr>
            <w:r>
              <w:rPr>
                <w:rFonts w:ascii="Verdana" w:cs="Verdana" w:eastAsia="Verdana" w:hAnsi="Verdana"/>
                <w:sz w:val="13"/>
                <w:szCs w:val="13"/>
                <w:b w:val="1"/>
                <w:bCs w:val="1"/>
                <w:color w:val="auto"/>
              </w:rPr>
              <w:t>Balance, September 30, 2024</w:t>
            </w:r>
          </w:p>
        </w:tc>
        <w:tc>
          <w:tcPr>
            <w:tcW w:w="108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56,872,241</w:t>
            </w:r>
          </w:p>
        </w:tc>
        <w:tc>
          <w:tcPr>
            <w:tcW w:w="8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ind w:right="697"/>
              <w:spacing w:after="0"/>
              <w:rPr>
                <w:sz w:val="20"/>
                <w:szCs w:val="20"/>
                <w:color w:val="auto"/>
              </w:rPr>
            </w:pPr>
            <w:r>
              <w:rPr>
                <w:rFonts w:ascii="Verdana" w:cs="Verdana" w:eastAsia="Verdana" w:hAnsi="Verdana"/>
                <w:sz w:val="13"/>
                <w:szCs w:val="13"/>
                <w:color w:val="auto"/>
                <w:w w:val="95"/>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w w:val="83"/>
              </w:rPr>
              <w:t>60</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w w:val="9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1,358,816</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279,868</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Verdana" w:cs="Verdana" w:eastAsia="Verdana" w:hAnsi="Verdana"/>
                <w:sz w:val="13"/>
                <w:szCs w:val="13"/>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(170,913)</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(64,947)</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Verdana" w:cs="Verdana" w:eastAsia="Verdana" w:hAnsi="Verdana"/>
                <w:sz w:val="13"/>
                <w:szCs w:val="13"/>
                <w:color w:val="auto"/>
                <w:w w:val="95"/>
              </w:rPr>
              <w:t>$</w:t>
            </w:r>
          </w:p>
        </w:tc>
        <w:tc>
          <w:tcPr>
            <w:tcW w:w="88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1,402,884</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(continued)</w:t>
      </w:r>
    </w:p>
    <w:p>
      <w:pPr>
        <w:spacing w:after="0" w:line="17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9" w:name="page10"/>
    <w:bookmarkEnd w:id="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18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line="236" w:lineRule="auto"/>
        <w:rPr>
          <w:sz w:val="20"/>
          <w:szCs w:val="20"/>
          <w:color w:val="auto"/>
        </w:rPr>
      </w:pPr>
      <w:r>
        <w:rPr>
          <w:rFonts w:ascii="Verdana" w:cs="Verdana" w:eastAsia="Verdana" w:hAnsi="Verdana"/>
          <w:sz w:val="18"/>
          <w:szCs w:val="18"/>
          <w:b w:val="1"/>
          <w:bCs w:val="1"/>
          <w:color w:val="auto"/>
        </w:rPr>
        <w:t>CONSOLIDATED STATEMENTS OF STOCKHOLDERS’ EQUITY (Unaudited) (Continued)</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 except per share amounts)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1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8"/>
          </w:tcPr>
          <w:p>
            <w:pPr>
              <w:jc w:val="center"/>
              <w:ind w:right="200"/>
              <w:spacing w:after="0"/>
              <w:rPr>
                <w:sz w:val="20"/>
                <w:szCs w:val="20"/>
                <w:color w:val="auto"/>
              </w:rPr>
            </w:pPr>
            <w:r>
              <w:rPr>
                <w:rFonts w:ascii="Verdana" w:cs="Verdana" w:eastAsia="Verdana" w:hAnsi="Verdana"/>
                <w:sz w:val="13"/>
                <w:szCs w:val="13"/>
                <w:b w:val="1"/>
                <w:bCs w:val="1"/>
                <w:color w:val="auto"/>
                <w:w w:val="97"/>
              </w:rPr>
              <w:t>Three Months Ended September 30, 2023</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restart"/>
          </w:tcPr>
          <w:p>
            <w:pPr>
              <w:jc w:val="center"/>
              <w:ind w:left="177"/>
              <w:spacing w:after="0"/>
              <w:rPr>
                <w:sz w:val="20"/>
                <w:szCs w:val="20"/>
                <w:color w:val="auto"/>
              </w:rPr>
            </w:pPr>
            <w:r>
              <w:rPr>
                <w:rFonts w:ascii="Verdana" w:cs="Verdana" w:eastAsia="Verdana" w:hAnsi="Verdana"/>
                <w:sz w:val="13"/>
                <w:szCs w:val="13"/>
                <w:b w:val="1"/>
                <w:bCs w:val="1"/>
                <w:color w:val="auto"/>
                <w:w w:val="96"/>
              </w:rPr>
              <w:t>Common</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Verdana" w:cs="Verdana" w:eastAsia="Verdana" w:hAnsi="Verdana"/>
                <w:sz w:val="13"/>
                <w:szCs w:val="13"/>
                <w:b w:val="1"/>
                <w:bCs w:val="1"/>
                <w:color w:val="auto"/>
                <w:w w:val="96"/>
              </w:rPr>
              <w:t>Additional</w:t>
            </w:r>
          </w:p>
        </w:tc>
        <w:tc>
          <w:tcPr>
            <w:tcW w:w="160" w:type="dxa"/>
            <w:vAlign w:val="bottom"/>
          </w:tcPr>
          <w:p>
            <w:pPr>
              <w:spacing w:after="0"/>
              <w:rPr>
                <w:sz w:val="10"/>
                <w:szCs w:val="10"/>
                <w:color w:val="auto"/>
              </w:rPr>
            </w:pPr>
          </w:p>
        </w:tc>
        <w:tc>
          <w:tcPr>
            <w:tcW w:w="1000" w:type="dxa"/>
            <w:vAlign w:val="bottom"/>
            <w:gridSpan w:val="2"/>
            <w:vMerge w:val="restart"/>
          </w:tcPr>
          <w:p>
            <w:pPr>
              <w:jc w:val="center"/>
              <w:ind w:right="240"/>
              <w:spacing w:after="0"/>
              <w:rPr>
                <w:sz w:val="20"/>
                <w:szCs w:val="20"/>
                <w:color w:val="auto"/>
              </w:rPr>
            </w:pPr>
            <w:r>
              <w:rPr>
                <w:rFonts w:ascii="Verdana" w:cs="Verdana" w:eastAsia="Verdana" w:hAnsi="Verdana"/>
                <w:sz w:val="13"/>
                <w:szCs w:val="13"/>
                <w:b w:val="1"/>
                <w:bCs w:val="1"/>
                <w:color w:val="auto"/>
                <w:w w:val="98"/>
              </w:rPr>
              <w:t>Retained</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center"/>
              <w:ind w:right="220"/>
              <w:spacing w:after="0"/>
              <w:rPr>
                <w:sz w:val="20"/>
                <w:szCs w:val="20"/>
                <w:color w:val="auto"/>
              </w:rPr>
            </w:pPr>
            <w:r>
              <w:rPr>
                <w:rFonts w:ascii="Verdana" w:cs="Verdana" w:eastAsia="Verdana" w:hAnsi="Verdana"/>
                <w:sz w:val="13"/>
                <w:szCs w:val="13"/>
                <w:b w:val="1"/>
                <w:bCs w:val="1"/>
                <w:color w:val="auto"/>
                <w:w w:val="95"/>
              </w:rPr>
              <w:t>Treasury</w:t>
            </w:r>
          </w:p>
        </w:tc>
        <w:tc>
          <w:tcPr>
            <w:tcW w:w="220" w:type="dxa"/>
            <w:vAlign w:val="bottom"/>
          </w:tcPr>
          <w:p>
            <w:pPr>
              <w:spacing w:after="0"/>
              <w:rPr>
                <w:sz w:val="10"/>
                <w:szCs w:val="10"/>
                <w:color w:val="auto"/>
              </w:rPr>
            </w:pPr>
          </w:p>
        </w:tc>
        <w:tc>
          <w:tcPr>
            <w:tcW w:w="880" w:type="dxa"/>
            <w:vAlign w:val="bottom"/>
          </w:tcPr>
          <w:p>
            <w:pPr>
              <w:jc w:val="center"/>
              <w:ind w:right="137"/>
              <w:spacing w:after="0" w:line="122" w:lineRule="exact"/>
              <w:rPr>
                <w:sz w:val="20"/>
                <w:szCs w:val="20"/>
                <w:color w:val="auto"/>
              </w:rPr>
            </w:pPr>
            <w:r>
              <w:rPr>
                <w:rFonts w:ascii="Verdana" w:cs="Verdana" w:eastAsia="Verdana" w:hAnsi="Verdana"/>
                <w:sz w:val="13"/>
                <w:szCs w:val="13"/>
                <w:b w:val="1"/>
                <w:bCs w:val="1"/>
                <w:color w:val="auto"/>
                <w:w w:val="97"/>
              </w:rPr>
              <w:t>Total</w:t>
            </w:r>
          </w:p>
        </w:tc>
        <w:tc>
          <w:tcPr>
            <w:tcW w:w="0" w:type="dxa"/>
            <w:vAlign w:val="bottom"/>
          </w:tcPr>
          <w:p>
            <w:pPr>
              <w:spacing w:after="0"/>
              <w:rPr>
                <w:sz w:val="1"/>
                <w:szCs w:val="1"/>
                <w:color w:val="auto"/>
              </w:rPr>
            </w:pPr>
          </w:p>
        </w:tc>
      </w:tr>
      <w:tr>
        <w:trPr>
          <w:trHeight w:val="122"/>
        </w:trPr>
        <w:tc>
          <w:tcPr>
            <w:tcW w:w="3180" w:type="dxa"/>
            <w:vAlign w:val="bottom"/>
          </w:tcPr>
          <w:p>
            <w:pPr>
              <w:spacing w:after="0"/>
              <w:rPr>
                <w:sz w:val="10"/>
                <w:szCs w:val="10"/>
                <w:color w:val="auto"/>
              </w:rPr>
            </w:pPr>
          </w:p>
        </w:tc>
        <w:tc>
          <w:tcPr>
            <w:tcW w:w="1160" w:type="dxa"/>
            <w:vAlign w:val="bottom"/>
            <w:gridSpan w:val="2"/>
            <w:vMerge w:val="restart"/>
          </w:tcPr>
          <w:p>
            <w:pPr>
              <w:ind w:left="300"/>
              <w:spacing w:after="0"/>
              <w:rPr>
                <w:sz w:val="20"/>
                <w:szCs w:val="20"/>
                <w:color w:val="auto"/>
              </w:rPr>
            </w:pPr>
            <w:r>
              <w:rPr>
                <w:rFonts w:ascii="Verdana" w:cs="Verdana" w:eastAsia="Verdana" w:hAnsi="Verdana"/>
                <w:sz w:val="13"/>
                <w:szCs w:val="13"/>
                <w:b w:val="1"/>
                <w:bCs w:val="1"/>
                <w:color w:val="auto"/>
              </w:rPr>
              <w:t>Shares</w:t>
            </w:r>
          </w:p>
        </w:tc>
        <w:tc>
          <w:tcPr>
            <w:tcW w:w="8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00"/>
              <w:spacing w:after="0" w:line="122" w:lineRule="exact"/>
              <w:rPr>
                <w:sz w:val="20"/>
                <w:szCs w:val="20"/>
                <w:color w:val="auto"/>
              </w:rPr>
            </w:pPr>
            <w:r>
              <w:rPr>
                <w:rFonts w:ascii="Verdana" w:cs="Verdana" w:eastAsia="Verdana" w:hAnsi="Verdana"/>
                <w:sz w:val="13"/>
                <w:szCs w:val="13"/>
                <w:b w:val="1"/>
                <w:bCs w:val="1"/>
                <w:color w:val="auto"/>
                <w:w w:val="96"/>
              </w:rPr>
              <w:t>Paid-in</w:t>
            </w: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ind w:left="120"/>
              <w:spacing w:after="0"/>
              <w:rPr>
                <w:sz w:val="20"/>
                <w:szCs w:val="20"/>
                <w:color w:val="auto"/>
              </w:rPr>
            </w:pPr>
            <w:r>
              <w:rPr>
                <w:rFonts w:ascii="Verdana" w:cs="Verdana" w:eastAsia="Verdana" w:hAnsi="Verdana"/>
                <w:sz w:val="13"/>
                <w:szCs w:val="13"/>
                <w:b w:val="1"/>
                <w:bCs w:val="1"/>
                <w:color w:val="auto"/>
              </w:rPr>
              <w:t>AOCI</w:t>
            </w: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100" w:type="dxa"/>
            <w:vAlign w:val="bottom"/>
            <w:gridSpan w:val="2"/>
          </w:tcPr>
          <w:p>
            <w:pPr>
              <w:jc w:val="center"/>
              <w:spacing w:after="0" w:line="122" w:lineRule="exact"/>
              <w:rPr>
                <w:sz w:val="20"/>
                <w:szCs w:val="20"/>
                <w:color w:val="auto"/>
              </w:rPr>
            </w:pPr>
            <w:r>
              <w:rPr>
                <w:rFonts w:ascii="Verdana" w:cs="Verdana" w:eastAsia="Verdana" w:hAnsi="Verdana"/>
                <w:sz w:val="13"/>
                <w:szCs w:val="13"/>
                <w:b w:val="1"/>
                <w:bCs w:val="1"/>
                <w:color w:val="auto"/>
                <w:w w:val="96"/>
              </w:rPr>
              <w:t>Stockholders'</w:t>
            </w:r>
          </w:p>
        </w:tc>
        <w:tc>
          <w:tcPr>
            <w:tcW w:w="0" w:type="dxa"/>
            <w:vAlign w:val="bottom"/>
          </w:tcPr>
          <w:p>
            <w:pPr>
              <w:spacing w:after="0"/>
              <w:rPr>
                <w:sz w:val="1"/>
                <w:szCs w:val="1"/>
                <w:color w:val="auto"/>
              </w:rPr>
            </w:pPr>
          </w:p>
        </w:tc>
      </w:tr>
      <w:tr>
        <w:trPr>
          <w:trHeight w:val="170"/>
        </w:trPr>
        <w:tc>
          <w:tcPr>
            <w:tcW w:w="3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60" w:type="dxa"/>
            <w:vAlign w:val="bottom"/>
          </w:tcPr>
          <w:p>
            <w:pPr>
              <w:jc w:val="center"/>
              <w:ind w:left="157"/>
              <w:spacing w:after="0"/>
              <w:rPr>
                <w:sz w:val="20"/>
                <w:szCs w:val="20"/>
                <w:color w:val="auto"/>
              </w:rPr>
            </w:pPr>
            <w:r>
              <w:rPr>
                <w:rFonts w:ascii="Verdana" w:cs="Verdana" w:eastAsia="Verdana" w:hAnsi="Verdana"/>
                <w:sz w:val="13"/>
                <w:szCs w:val="13"/>
                <w:b w:val="1"/>
                <w:bCs w:val="1"/>
                <w:color w:val="auto"/>
                <w:w w:val="98"/>
              </w:rPr>
              <w:t>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Verdana" w:cs="Verdana" w:eastAsia="Verdana" w:hAnsi="Verdana"/>
                <w:sz w:val="13"/>
                <w:szCs w:val="13"/>
                <w:b w:val="1"/>
                <w:bCs w:val="1"/>
                <w:color w:val="auto"/>
                <w:w w:val="94"/>
              </w:rPr>
              <w:t>Capital</w:t>
            </w:r>
          </w:p>
        </w:tc>
        <w:tc>
          <w:tcPr>
            <w:tcW w:w="1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Verdana" w:cs="Verdana" w:eastAsia="Verdana" w:hAnsi="Verdana"/>
                <w:sz w:val="13"/>
                <w:szCs w:val="13"/>
                <w:b w:val="1"/>
                <w:bCs w:val="1"/>
                <w:color w:val="auto"/>
                <w:w w:val="97"/>
              </w:rPr>
              <w:t>Earnings</w:t>
            </w: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Verdana" w:cs="Verdana" w:eastAsia="Verdana" w:hAnsi="Verdana"/>
                <w:sz w:val="13"/>
                <w:szCs w:val="13"/>
                <w:b w:val="1"/>
                <w:bCs w:val="1"/>
                <w:color w:val="auto"/>
                <w:w w:val="98"/>
              </w:rPr>
              <w:t>Stock</w:t>
            </w:r>
          </w:p>
        </w:tc>
        <w:tc>
          <w:tcPr>
            <w:tcW w:w="220" w:type="dxa"/>
            <w:vAlign w:val="bottom"/>
          </w:tcPr>
          <w:p>
            <w:pPr>
              <w:spacing w:after="0"/>
              <w:rPr>
                <w:sz w:val="14"/>
                <w:szCs w:val="14"/>
                <w:color w:val="auto"/>
              </w:rPr>
            </w:pPr>
          </w:p>
        </w:tc>
        <w:tc>
          <w:tcPr>
            <w:tcW w:w="880" w:type="dxa"/>
            <w:vAlign w:val="bottom"/>
          </w:tcPr>
          <w:p>
            <w:pPr>
              <w:jc w:val="center"/>
              <w:ind w:right="137"/>
              <w:spacing w:after="0"/>
              <w:rPr>
                <w:sz w:val="20"/>
                <w:szCs w:val="20"/>
                <w:color w:val="auto"/>
              </w:rPr>
            </w:pPr>
            <w:r>
              <w:rPr>
                <w:rFonts w:ascii="Verdana" w:cs="Verdana" w:eastAsia="Verdana" w:hAnsi="Verdana"/>
                <w:sz w:val="13"/>
                <w:szCs w:val="13"/>
                <w:b w:val="1"/>
                <w:bCs w:val="1"/>
                <w:color w:val="auto"/>
                <w:w w:val="95"/>
              </w:rPr>
              <w:t>Equity</w:t>
            </w:r>
          </w:p>
        </w:tc>
        <w:tc>
          <w:tcPr>
            <w:tcW w:w="0" w:type="dxa"/>
            <w:vAlign w:val="bottom"/>
          </w:tcPr>
          <w:p>
            <w:pPr>
              <w:spacing w:after="0"/>
              <w:rPr>
                <w:sz w:val="1"/>
                <w:szCs w:val="1"/>
                <w:color w:val="auto"/>
              </w:rPr>
            </w:pPr>
          </w:p>
        </w:tc>
      </w:tr>
      <w:tr>
        <w:trPr>
          <w:trHeight w:val="174"/>
        </w:trPr>
        <w:tc>
          <w:tcPr>
            <w:tcW w:w="31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3"/>
                <w:szCs w:val="13"/>
                <w:b w:val="1"/>
                <w:bCs w:val="1"/>
                <w:color w:val="auto"/>
              </w:rPr>
              <w:t>Balance, June 30, 2023</w:t>
            </w:r>
          </w:p>
        </w:tc>
        <w:tc>
          <w:tcPr>
            <w:tcW w:w="1080" w:type="dxa"/>
            <w:vAlign w:val="bottom"/>
            <w:tcBorders>
              <w:top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55,290,847</w:t>
            </w:r>
          </w:p>
        </w:tc>
        <w:tc>
          <w:tcPr>
            <w:tcW w:w="80" w:type="dxa"/>
            <w:vAlign w:val="bottom"/>
            <w:tcBorders>
              <w:top w:val="single" w:sz="8" w:color="E0E7ED"/>
            </w:tcBorders>
            <w:shd w:val="clear" w:color="auto" w:fill="E0E7ED"/>
          </w:tcPr>
          <w:p>
            <w:pPr>
              <w:spacing w:after="0"/>
              <w:rPr>
                <w:sz w:val="15"/>
                <w:szCs w:val="15"/>
                <w:color w:val="auto"/>
              </w:rPr>
            </w:pPr>
          </w:p>
        </w:tc>
        <w:tc>
          <w:tcPr>
            <w:tcW w:w="860" w:type="dxa"/>
            <w:vAlign w:val="bottom"/>
            <w:tcBorders>
              <w:top w:val="single" w:sz="8" w:color="auto"/>
            </w:tcBorders>
            <w:shd w:val="clear" w:color="auto" w:fill="E0E7ED"/>
          </w:tcPr>
          <w:p>
            <w:pPr>
              <w:jc w:val="right"/>
              <w:ind w:right="697"/>
              <w:spacing w:after="0"/>
              <w:rPr>
                <w:sz w:val="20"/>
                <w:szCs w:val="20"/>
                <w:color w:val="auto"/>
              </w:rPr>
            </w:pPr>
            <w:r>
              <w:rPr>
                <w:rFonts w:ascii="Verdana" w:cs="Verdana" w:eastAsia="Verdana" w:hAnsi="Verdana"/>
                <w:sz w:val="13"/>
                <w:szCs w:val="13"/>
                <w:color w:val="auto"/>
                <w:w w:val="95"/>
              </w:rPr>
              <w:t>$</w:t>
            </w:r>
          </w:p>
        </w:tc>
        <w:tc>
          <w:tcPr>
            <w:tcW w:w="2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83"/>
              </w:rPr>
              <w:t>58</w:t>
            </w:r>
          </w:p>
        </w:tc>
        <w:tc>
          <w:tcPr>
            <w:tcW w:w="80" w:type="dxa"/>
            <w:vAlign w:val="bottom"/>
            <w:tcBorders>
              <w:top w:val="single" w:sz="8" w:color="E0E7ED"/>
            </w:tcBorders>
            <w:shd w:val="clear" w:color="auto" w:fill="E0E7ED"/>
          </w:tcPr>
          <w:p>
            <w:pPr>
              <w:spacing w:after="0"/>
              <w:rPr>
                <w:sz w:val="15"/>
                <w:szCs w:val="15"/>
                <w:color w:val="auto"/>
              </w:rPr>
            </w:pPr>
          </w:p>
        </w:tc>
        <w:tc>
          <w:tcPr>
            <w:tcW w:w="1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1,325,173</w:t>
            </w:r>
          </w:p>
        </w:tc>
        <w:tc>
          <w:tcPr>
            <w:tcW w:w="80" w:type="dxa"/>
            <w:vAlign w:val="bottom"/>
            <w:tcBorders>
              <w:top w:val="single" w:sz="8" w:color="E0E7ED"/>
            </w:tcBorders>
            <w:shd w:val="clear" w:color="auto" w:fill="E0E7ED"/>
          </w:tcPr>
          <w:p>
            <w:pPr>
              <w:spacing w:after="0"/>
              <w:rPr>
                <w:sz w:val="15"/>
                <w:szCs w:val="15"/>
                <w:color w:val="auto"/>
              </w:rPr>
            </w:pPr>
          </w:p>
        </w:tc>
        <w:tc>
          <w:tcPr>
            <w:tcW w:w="16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207,660</w:t>
            </w:r>
          </w:p>
        </w:tc>
        <w:tc>
          <w:tcPr>
            <w:tcW w:w="80" w:type="dxa"/>
            <w:vAlign w:val="bottom"/>
            <w:tcBorders>
              <w:top w:val="single" w:sz="8" w:color="E0E7ED"/>
            </w:tcBorders>
            <w:shd w:val="clear" w:color="auto" w:fill="E0E7ED"/>
          </w:tcPr>
          <w:p>
            <w:pPr>
              <w:spacing w:after="0"/>
              <w:rPr>
                <w:sz w:val="15"/>
                <w:szCs w:val="15"/>
                <w:color w:val="auto"/>
              </w:rPr>
            </w:pPr>
          </w:p>
        </w:tc>
        <w:tc>
          <w:tcPr>
            <w:tcW w:w="240" w:type="dxa"/>
            <w:vAlign w:val="bottom"/>
            <w:tcBorders>
              <w:top w:val="single" w:sz="8" w:color="auto"/>
            </w:tcBorders>
            <w:shd w:val="clear" w:color="auto" w:fill="E0E7ED"/>
          </w:tcPr>
          <w:p>
            <w:pPr>
              <w:jc w:val="right"/>
              <w:ind w:right="77"/>
              <w:spacing w:after="0"/>
              <w:rPr>
                <w:sz w:val="20"/>
                <w:szCs w:val="20"/>
                <w:color w:val="auto"/>
              </w:rPr>
            </w:pPr>
            <w:r>
              <w:rPr>
                <w:rFonts w:ascii="Verdana" w:cs="Verdana" w:eastAsia="Verdana" w:hAnsi="Verdana"/>
                <w:sz w:val="13"/>
                <w:szCs w:val="13"/>
                <w:color w:val="auto"/>
                <w:w w:val="95"/>
              </w:rPr>
              <w:t>$</w:t>
            </w:r>
          </w:p>
        </w:tc>
        <w:tc>
          <w:tcPr>
            <w:tcW w:w="8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(260,921)</w:t>
            </w:r>
          </w:p>
        </w:tc>
        <w:tc>
          <w:tcPr>
            <w:tcW w:w="80" w:type="dxa"/>
            <w:vAlign w:val="bottom"/>
            <w:tcBorders>
              <w:top w:val="single" w:sz="8" w:color="E0E7ED"/>
            </w:tcBorders>
            <w:shd w:val="clear" w:color="auto" w:fill="E0E7ED"/>
          </w:tcPr>
          <w:p>
            <w:pPr>
              <w:spacing w:after="0"/>
              <w:rPr>
                <w:sz w:val="15"/>
                <w:szCs w:val="15"/>
                <w:color w:val="auto"/>
              </w:rPr>
            </w:pPr>
          </w:p>
        </w:tc>
        <w:tc>
          <w:tcPr>
            <w:tcW w:w="16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(70,022)</w:t>
            </w:r>
          </w:p>
        </w:tc>
        <w:tc>
          <w:tcPr>
            <w:tcW w:w="8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tcBorders>
            <w:shd w:val="clear" w:color="auto" w:fill="E0E7ED"/>
          </w:tcPr>
          <w:p>
            <w:pPr>
              <w:jc w:val="right"/>
              <w:ind w:right="57"/>
              <w:spacing w:after="0"/>
              <w:rPr>
                <w:sz w:val="20"/>
                <w:szCs w:val="20"/>
                <w:color w:val="auto"/>
              </w:rPr>
            </w:pPr>
            <w:r>
              <w:rPr>
                <w:rFonts w:ascii="Verdana" w:cs="Verdana" w:eastAsia="Verdana" w:hAnsi="Verdana"/>
                <w:sz w:val="13"/>
                <w:szCs w:val="13"/>
                <w:color w:val="auto"/>
                <w:w w:val="95"/>
              </w:rPr>
              <w:t>$</w:t>
            </w:r>
          </w:p>
        </w:tc>
        <w:tc>
          <w:tcPr>
            <w:tcW w:w="880" w:type="dxa"/>
            <w:vAlign w:val="bottom"/>
            <w:tcBorders>
              <w:top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1,201,948</w:t>
            </w: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Net income</w:t>
            </w:r>
          </w:p>
        </w:tc>
        <w:tc>
          <w:tcPr>
            <w:tcW w:w="116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Verdana" w:cs="Verdana" w:eastAsia="Verdana" w:hAnsi="Verdana"/>
                <w:sz w:val="13"/>
                <w:szCs w:val="13"/>
                <w:color w:val="auto"/>
              </w:rPr>
              <w:t>30,666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4"/>
                <w:szCs w:val="14"/>
                <w:color w:val="auto"/>
              </w:rPr>
            </w:pPr>
          </w:p>
        </w:tc>
        <w:tc>
          <w:tcPr>
            <w:tcW w:w="880" w:type="dxa"/>
            <w:vAlign w:val="bottom"/>
          </w:tcPr>
          <w:p>
            <w:pPr>
              <w:jc w:val="right"/>
              <w:ind w:right="17"/>
              <w:spacing w:after="0"/>
              <w:rPr>
                <w:sz w:val="20"/>
                <w:szCs w:val="20"/>
                <w:color w:val="auto"/>
              </w:rPr>
            </w:pPr>
            <w:r>
              <w:rPr>
                <w:rFonts w:ascii="Verdana" w:cs="Verdana" w:eastAsia="Verdana" w:hAnsi="Verdana"/>
                <w:sz w:val="13"/>
                <w:szCs w:val="13"/>
                <w:color w:val="auto"/>
              </w:rPr>
              <w:t>30,666</w:t>
            </w:r>
          </w:p>
        </w:tc>
        <w:tc>
          <w:tcPr>
            <w:tcW w:w="0" w:type="dxa"/>
            <w:vAlign w:val="bottom"/>
          </w:tcPr>
          <w:p>
            <w:pPr>
              <w:spacing w:after="0"/>
              <w:rPr>
                <w:sz w:val="1"/>
                <w:szCs w:val="1"/>
                <w:color w:val="auto"/>
              </w:rPr>
            </w:pPr>
          </w:p>
        </w:tc>
      </w:tr>
      <w:tr>
        <w:trPr>
          <w:trHeight w:val="181"/>
        </w:trPr>
        <w:tc>
          <w:tcPr>
            <w:tcW w:w="3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OCI, net of tax</w:t>
            </w:r>
          </w:p>
        </w:tc>
        <w:tc>
          <w:tcPr>
            <w:tcW w:w="116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shd w:val="clear" w:color="auto" w:fill="E0E7ED"/>
          </w:tcPr>
          <w:p>
            <w:pPr>
              <w:spacing w:after="0"/>
              <w:rPr>
                <w:sz w:val="15"/>
                <w:szCs w:val="15"/>
                <w:color w:val="auto"/>
              </w:rPr>
            </w:pPr>
          </w:p>
        </w:tc>
        <w:tc>
          <w:tcPr>
            <w:tcW w:w="3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102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5"/>
                <w:szCs w:val="15"/>
                <w:color w:val="auto"/>
              </w:rPr>
            </w:pPr>
          </w:p>
        </w:tc>
        <w:tc>
          <w:tcPr>
            <w:tcW w:w="10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shd w:val="clear" w:color="auto" w:fill="E0E7ED"/>
          </w:tcPr>
          <w:p>
            <w:pPr>
              <w:spacing w:after="0"/>
              <w:rPr>
                <w:sz w:val="15"/>
                <w:szCs w:val="15"/>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(29,809)</w:t>
            </w: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10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5"/>
                <w:szCs w:val="15"/>
                <w:color w:val="auto"/>
              </w:rPr>
            </w:pPr>
          </w:p>
        </w:tc>
        <w:tc>
          <w:tcPr>
            <w:tcW w:w="8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(29,809)</w:t>
            </w: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Repurchase of stock</w:t>
            </w:r>
          </w:p>
        </w:tc>
        <w:tc>
          <w:tcPr>
            <w:tcW w:w="1080" w:type="dxa"/>
            <w:vAlign w:val="bottom"/>
          </w:tcPr>
          <w:p>
            <w:pPr>
              <w:jc w:val="right"/>
              <w:spacing w:after="0"/>
              <w:rPr>
                <w:sz w:val="20"/>
                <w:szCs w:val="20"/>
                <w:color w:val="auto"/>
              </w:rPr>
            </w:pPr>
            <w:r>
              <w:rPr>
                <w:rFonts w:ascii="Verdana" w:cs="Verdana" w:eastAsia="Verdana" w:hAnsi="Verdana"/>
                <w:sz w:val="13"/>
                <w:szCs w:val="13"/>
                <w:color w:val="auto"/>
              </w:rPr>
              <w:t>(65,123)</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Verdana" w:cs="Verdana" w:eastAsia="Verdana" w:hAnsi="Verdana"/>
                <w:sz w:val="13"/>
                <w:szCs w:val="13"/>
                <w:color w:val="auto"/>
              </w:rPr>
              <w:t>(1,278)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Verdana" w:cs="Verdana" w:eastAsia="Verdana" w:hAnsi="Verdana"/>
                <w:sz w:val="13"/>
                <w:szCs w:val="13"/>
                <w:color w:val="auto"/>
              </w:rPr>
              <w:t>(1,278)</w:t>
            </w:r>
          </w:p>
        </w:tc>
        <w:tc>
          <w:tcPr>
            <w:tcW w:w="0" w:type="dxa"/>
            <w:vAlign w:val="bottom"/>
          </w:tcPr>
          <w:p>
            <w:pPr>
              <w:spacing w:after="0"/>
              <w:rPr>
                <w:sz w:val="1"/>
                <w:szCs w:val="1"/>
                <w:color w:val="auto"/>
              </w:rPr>
            </w:pPr>
          </w:p>
        </w:tc>
      </w:tr>
      <w:tr>
        <w:trPr>
          <w:trHeight w:val="181"/>
        </w:trPr>
        <w:tc>
          <w:tcPr>
            <w:tcW w:w="3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Issuance of treasury stock for ESPP</w:t>
            </w:r>
          </w:p>
        </w:tc>
        <w:tc>
          <w:tcPr>
            <w:tcW w:w="10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11,291</w:t>
            </w:r>
          </w:p>
        </w:tc>
        <w:tc>
          <w:tcPr>
            <w:tcW w:w="80" w:type="dxa"/>
            <w:vAlign w:val="bottom"/>
            <w:shd w:val="clear" w:color="auto" w:fill="E0E7ED"/>
          </w:tcPr>
          <w:p>
            <w:pPr>
              <w:spacing w:after="0"/>
              <w:rPr>
                <w:sz w:val="15"/>
                <w:szCs w:val="15"/>
                <w:color w:val="auto"/>
              </w:rPr>
            </w:pPr>
          </w:p>
        </w:tc>
        <w:tc>
          <w:tcPr>
            <w:tcW w:w="860" w:type="dxa"/>
            <w:vAlign w:val="bottom"/>
            <w:shd w:val="clear" w:color="auto" w:fill="E0E7ED"/>
          </w:tcPr>
          <w:p>
            <w:pPr>
              <w:spacing w:after="0"/>
              <w:rPr>
                <w:sz w:val="15"/>
                <w:szCs w:val="15"/>
                <w:color w:val="auto"/>
              </w:rPr>
            </w:pPr>
          </w:p>
        </w:tc>
        <w:tc>
          <w:tcPr>
            <w:tcW w:w="3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(106)</w:t>
            </w: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10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shd w:val="clear" w:color="auto" w:fill="E0E7ED"/>
          </w:tcPr>
          <w:p>
            <w:pPr>
              <w:spacing w:after="0"/>
              <w:rPr>
                <w:sz w:val="15"/>
                <w:szCs w:val="15"/>
                <w:color w:val="auto"/>
              </w:rPr>
            </w:pPr>
          </w:p>
        </w:tc>
        <w:tc>
          <w:tcPr>
            <w:tcW w:w="920" w:type="dxa"/>
            <w:vAlign w:val="bottom"/>
            <w:gridSpan w:val="2"/>
            <w:shd w:val="clear" w:color="auto" w:fill="E0E7ED"/>
          </w:tcPr>
          <w:p>
            <w:pPr>
              <w:ind w:left="64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5"/>
                <w:szCs w:val="15"/>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290</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184</w:t>
            </w:r>
          </w:p>
        </w:tc>
        <w:tc>
          <w:tcPr>
            <w:tcW w:w="0" w:type="dxa"/>
            <w:vAlign w:val="bottom"/>
          </w:tcPr>
          <w:p>
            <w:pPr>
              <w:spacing w:after="0"/>
              <w:rPr>
                <w:sz w:val="1"/>
                <w:szCs w:val="1"/>
                <w:color w:val="auto"/>
              </w:rPr>
            </w:pPr>
          </w:p>
        </w:tc>
      </w:tr>
      <w:tr>
        <w:trPr>
          <w:trHeight w:val="122"/>
        </w:trPr>
        <w:tc>
          <w:tcPr>
            <w:tcW w:w="3180" w:type="dxa"/>
            <w:vAlign w:val="bottom"/>
          </w:tcPr>
          <w:p>
            <w:pPr>
              <w:ind w:left="180"/>
              <w:spacing w:after="0" w:line="122" w:lineRule="exact"/>
              <w:rPr>
                <w:sz w:val="20"/>
                <w:szCs w:val="20"/>
                <w:color w:val="auto"/>
              </w:rPr>
            </w:pPr>
            <w:r>
              <w:rPr>
                <w:rFonts w:ascii="Verdana" w:cs="Verdana" w:eastAsia="Verdana" w:hAnsi="Verdana"/>
                <w:sz w:val="13"/>
                <w:szCs w:val="13"/>
                <w:color w:val="auto"/>
              </w:rPr>
              <w:t>Net issuance of treasury stock for</w:t>
            </w:r>
          </w:p>
        </w:tc>
        <w:tc>
          <w:tcPr>
            <w:tcW w:w="108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105,002</w:t>
            </w: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Verdana" w:cs="Verdana" w:eastAsia="Verdana" w:hAnsi="Verdana"/>
                <w:sz w:val="13"/>
                <w:szCs w:val="13"/>
                <w:color w:val="auto"/>
              </w:rPr>
              <w:t>(3,593)</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tcPr>
          <w:p>
            <w:pPr>
              <w:spacing w:after="0"/>
              <w:rPr>
                <w:sz w:val="10"/>
                <w:szCs w:val="10"/>
                <w:color w:val="auto"/>
              </w:rPr>
            </w:pPr>
          </w:p>
        </w:tc>
        <w:tc>
          <w:tcPr>
            <w:tcW w:w="920" w:type="dxa"/>
            <w:vAlign w:val="bottom"/>
            <w:gridSpan w:val="2"/>
            <w:vMerge w:val="restart"/>
          </w:tcPr>
          <w:p>
            <w:pPr>
              <w:ind w:left="6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Verdana" w:cs="Verdana" w:eastAsia="Verdana" w:hAnsi="Verdana"/>
                <w:sz w:val="13"/>
                <w:szCs w:val="13"/>
                <w:color w:val="auto"/>
              </w:rPr>
              <w:t>2,704</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Verdana" w:cs="Verdana" w:eastAsia="Verdana" w:hAnsi="Verdana"/>
                <w:sz w:val="13"/>
                <w:szCs w:val="13"/>
                <w:color w:val="auto"/>
              </w:rPr>
              <w:t>(889)</w:t>
            </w: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RSU/PSU/DSU vesting and related tax</w:t>
            </w:r>
          </w:p>
        </w:tc>
        <w:tc>
          <w:tcPr>
            <w:tcW w:w="10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180" w:type="dxa"/>
            <w:vAlign w:val="bottom"/>
            <w:shd w:val="clear" w:color="auto" w:fill="E0E7ED"/>
          </w:tcPr>
          <w:p>
            <w:pPr>
              <w:ind w:left="180"/>
              <w:spacing w:after="0" w:line="127" w:lineRule="exact"/>
              <w:rPr>
                <w:sz w:val="20"/>
                <w:szCs w:val="20"/>
                <w:color w:val="auto"/>
              </w:rPr>
            </w:pPr>
            <w:r>
              <w:rPr>
                <w:rFonts w:ascii="Verdana" w:cs="Verdana" w:eastAsia="Verdana" w:hAnsi="Verdana"/>
                <w:sz w:val="13"/>
                <w:szCs w:val="13"/>
                <w:color w:val="auto"/>
                <w:w w:val="97"/>
              </w:rPr>
              <w:t>Cash dividends on common stock at $0.24 per</w:t>
            </w:r>
          </w:p>
        </w:tc>
        <w:tc>
          <w:tcPr>
            <w:tcW w:w="1160" w:type="dxa"/>
            <w:vAlign w:val="bottom"/>
            <w:gridSpan w:val="2"/>
            <w:vMerge w:val="restart"/>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shd w:val="clear" w:color="auto" w:fill="E0E7ED"/>
          </w:tcPr>
          <w:p>
            <w:pPr>
              <w:spacing w:after="0"/>
              <w:rPr>
                <w:sz w:val="11"/>
                <w:szCs w:val="11"/>
                <w:color w:val="auto"/>
              </w:rPr>
            </w:pPr>
          </w:p>
        </w:tc>
        <w:tc>
          <w:tcPr>
            <w:tcW w:w="30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1"/>
                <w:szCs w:val="11"/>
                <w:color w:val="auto"/>
              </w:rPr>
            </w:pPr>
          </w:p>
        </w:tc>
        <w:tc>
          <w:tcPr>
            <w:tcW w:w="102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1"/>
                <w:szCs w:val="11"/>
                <w:color w:val="auto"/>
              </w:rPr>
            </w:pPr>
          </w:p>
        </w:tc>
        <w:tc>
          <w:tcPr>
            <w:tcW w:w="92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(13,267)</w:t>
            </w:r>
          </w:p>
        </w:tc>
        <w:tc>
          <w:tcPr>
            <w:tcW w:w="80" w:type="dxa"/>
            <w:vAlign w:val="bottom"/>
            <w:shd w:val="clear" w:color="auto" w:fill="E0E7ED"/>
          </w:tcPr>
          <w:p>
            <w:pPr>
              <w:spacing w:after="0"/>
              <w:rPr>
                <w:sz w:val="11"/>
                <w:szCs w:val="11"/>
                <w:color w:val="auto"/>
              </w:rPr>
            </w:pPr>
          </w:p>
        </w:tc>
        <w:tc>
          <w:tcPr>
            <w:tcW w:w="240" w:type="dxa"/>
            <w:vAlign w:val="bottom"/>
            <w:shd w:val="clear" w:color="auto" w:fill="E0E7ED"/>
          </w:tcPr>
          <w:p>
            <w:pPr>
              <w:spacing w:after="0"/>
              <w:rPr>
                <w:sz w:val="11"/>
                <w:szCs w:val="11"/>
                <w:color w:val="auto"/>
              </w:rPr>
            </w:pPr>
          </w:p>
        </w:tc>
        <w:tc>
          <w:tcPr>
            <w:tcW w:w="920" w:type="dxa"/>
            <w:vAlign w:val="bottom"/>
            <w:gridSpan w:val="2"/>
            <w:vMerge w:val="restart"/>
            <w:shd w:val="clear" w:color="auto" w:fill="E0E7ED"/>
          </w:tcPr>
          <w:p>
            <w:pPr>
              <w:ind w:left="64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1"/>
                <w:szCs w:val="11"/>
                <w:color w:val="auto"/>
              </w:rPr>
            </w:pPr>
          </w:p>
        </w:tc>
        <w:tc>
          <w:tcPr>
            <w:tcW w:w="100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1"/>
                <w:szCs w:val="11"/>
                <w:color w:val="auto"/>
              </w:rPr>
            </w:pPr>
          </w:p>
        </w:tc>
        <w:tc>
          <w:tcPr>
            <w:tcW w:w="88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(13,267)</w:t>
            </w:r>
          </w:p>
        </w:tc>
        <w:tc>
          <w:tcPr>
            <w:tcW w:w="0" w:type="dxa"/>
            <w:vAlign w:val="bottom"/>
          </w:tcPr>
          <w:p>
            <w:pPr>
              <w:spacing w:after="0"/>
              <w:rPr>
                <w:sz w:val="1"/>
                <w:szCs w:val="1"/>
                <w:color w:val="auto"/>
              </w:rPr>
            </w:pPr>
          </w:p>
        </w:tc>
      </w:tr>
      <w:tr>
        <w:trPr>
          <w:trHeight w:val="176"/>
        </w:trPr>
        <w:tc>
          <w:tcPr>
            <w:tcW w:w="3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share</w:t>
            </w:r>
          </w:p>
        </w:tc>
        <w:tc>
          <w:tcPr>
            <w:tcW w:w="1160" w:type="dxa"/>
            <w:vAlign w:val="bottom"/>
            <w:gridSpan w:val="2"/>
            <w:vMerge w:val="continue"/>
            <w:shd w:val="clear" w:color="auto" w:fill="E0E7ED"/>
          </w:tcPr>
          <w:p>
            <w:pPr>
              <w:spacing w:after="0"/>
              <w:rPr>
                <w:sz w:val="15"/>
                <w:szCs w:val="15"/>
                <w:color w:val="auto"/>
              </w:rPr>
            </w:pPr>
          </w:p>
        </w:tc>
        <w:tc>
          <w:tcPr>
            <w:tcW w:w="860" w:type="dxa"/>
            <w:vAlign w:val="bottom"/>
            <w:shd w:val="clear" w:color="auto" w:fill="E0E7ED"/>
          </w:tcPr>
          <w:p>
            <w:pPr>
              <w:spacing w:after="0"/>
              <w:rPr>
                <w:sz w:val="15"/>
                <w:szCs w:val="15"/>
                <w:color w:val="auto"/>
              </w:rPr>
            </w:pPr>
          </w:p>
        </w:tc>
        <w:tc>
          <w:tcPr>
            <w:tcW w:w="300" w:type="dxa"/>
            <w:vAlign w:val="bottom"/>
            <w:gridSpan w:val="2"/>
            <w:vMerge w:val="continue"/>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1020" w:type="dxa"/>
            <w:vAlign w:val="bottom"/>
            <w:gridSpan w:val="2"/>
            <w:vMerge w:val="continue"/>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92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40" w:type="dxa"/>
            <w:vAlign w:val="bottom"/>
            <w:shd w:val="clear" w:color="auto" w:fill="E0E7ED"/>
          </w:tcPr>
          <w:p>
            <w:pPr>
              <w:spacing w:after="0"/>
              <w:rPr>
                <w:sz w:val="15"/>
                <w:szCs w:val="15"/>
                <w:color w:val="auto"/>
              </w:rPr>
            </w:pPr>
          </w:p>
        </w:tc>
        <w:tc>
          <w:tcPr>
            <w:tcW w:w="920" w:type="dxa"/>
            <w:vAlign w:val="bottom"/>
            <w:gridSpan w:val="2"/>
            <w:vMerge w:val="continue"/>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1000" w:type="dxa"/>
            <w:vAlign w:val="bottom"/>
            <w:gridSpan w:val="2"/>
            <w:vMerge w:val="continue"/>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8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180" w:type="dxa"/>
            <w:vAlign w:val="bottom"/>
          </w:tcPr>
          <w:p>
            <w:pPr>
              <w:ind w:left="180"/>
              <w:spacing w:after="0" w:line="122" w:lineRule="exact"/>
              <w:rPr>
                <w:sz w:val="20"/>
                <w:szCs w:val="20"/>
                <w:color w:val="auto"/>
              </w:rPr>
            </w:pPr>
            <w:r>
              <w:rPr>
                <w:rFonts w:ascii="Verdana" w:cs="Verdana" w:eastAsia="Verdana" w:hAnsi="Verdana"/>
                <w:sz w:val="13"/>
                <w:szCs w:val="13"/>
                <w:color w:val="auto"/>
              </w:rPr>
              <w:t>Stock dividend equivalents on</w:t>
            </w:r>
          </w:p>
        </w:tc>
        <w:tc>
          <w:tcPr>
            <w:tcW w:w="1160" w:type="dxa"/>
            <w:vAlign w:val="bottom"/>
            <w:gridSpan w:val="2"/>
            <w:vMerge w:val="restart"/>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tcPr>
          <w:p>
            <w:pPr>
              <w:spacing w:after="0"/>
              <w:rPr>
                <w:sz w:val="10"/>
                <w:szCs w:val="10"/>
                <w:color w:val="auto"/>
              </w:rPr>
            </w:pPr>
          </w:p>
        </w:tc>
        <w:tc>
          <w:tcPr>
            <w:tcW w:w="30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Verdana" w:cs="Verdana" w:eastAsia="Verdana" w:hAnsi="Verdana"/>
                <w:sz w:val="13"/>
                <w:szCs w:val="13"/>
                <w:color w:val="auto"/>
              </w:rPr>
              <w:t>361</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Verdana" w:cs="Verdana" w:eastAsia="Verdana" w:hAnsi="Verdana"/>
                <w:sz w:val="13"/>
                <w:szCs w:val="13"/>
                <w:color w:val="auto"/>
              </w:rPr>
              <w:t>(361)</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ind w:left="6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0"/>
                <w:szCs w:val="10"/>
                <w:color w:val="auto"/>
              </w:rPr>
            </w:pPr>
          </w:p>
        </w:tc>
        <w:tc>
          <w:tcPr>
            <w:tcW w:w="100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0"/>
                <w:szCs w:val="10"/>
                <w:color w:val="auto"/>
              </w:rPr>
            </w:pPr>
          </w:p>
        </w:tc>
        <w:tc>
          <w:tcPr>
            <w:tcW w:w="88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w:t>
            </w: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RSUs/PSUs/DSUs</w:t>
            </w:r>
          </w:p>
        </w:tc>
        <w:tc>
          <w:tcPr>
            <w:tcW w:w="116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Stock-based compensation</w:t>
            </w:r>
          </w:p>
        </w:tc>
        <w:tc>
          <w:tcPr>
            <w:tcW w:w="116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shd w:val="clear" w:color="auto" w:fill="E0E7ED"/>
          </w:tcPr>
          <w:p>
            <w:pPr>
              <w:spacing w:after="0"/>
              <w:rPr>
                <w:sz w:val="15"/>
                <w:szCs w:val="15"/>
                <w:color w:val="auto"/>
              </w:rPr>
            </w:pPr>
          </w:p>
        </w:tc>
        <w:tc>
          <w:tcPr>
            <w:tcW w:w="3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2,603</w:t>
            </w: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10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shd w:val="clear" w:color="auto" w:fill="E0E7ED"/>
          </w:tcPr>
          <w:p>
            <w:pPr>
              <w:spacing w:after="0"/>
              <w:rPr>
                <w:sz w:val="15"/>
                <w:szCs w:val="15"/>
                <w:color w:val="auto"/>
              </w:rPr>
            </w:pPr>
          </w:p>
        </w:tc>
        <w:tc>
          <w:tcPr>
            <w:tcW w:w="920" w:type="dxa"/>
            <w:vAlign w:val="bottom"/>
            <w:gridSpan w:val="2"/>
            <w:shd w:val="clear" w:color="auto" w:fill="E0E7ED"/>
          </w:tcPr>
          <w:p>
            <w:pPr>
              <w:ind w:left="64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5"/>
                <w:szCs w:val="15"/>
                <w:color w:val="auto"/>
              </w:rPr>
            </w:pPr>
          </w:p>
        </w:tc>
        <w:tc>
          <w:tcPr>
            <w:tcW w:w="10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5"/>
                <w:szCs w:val="15"/>
                <w:color w:val="auto"/>
              </w:rPr>
            </w:pPr>
          </w:p>
        </w:tc>
        <w:tc>
          <w:tcPr>
            <w:tcW w:w="8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2,603</w:t>
            </w:r>
          </w:p>
        </w:tc>
        <w:tc>
          <w:tcPr>
            <w:tcW w:w="0" w:type="dxa"/>
            <w:vAlign w:val="bottom"/>
          </w:tcPr>
          <w:p>
            <w:pPr>
              <w:spacing w:after="0"/>
              <w:rPr>
                <w:sz w:val="1"/>
                <w:szCs w:val="1"/>
                <w:color w:val="auto"/>
              </w:rPr>
            </w:pPr>
          </w:p>
        </w:tc>
      </w:tr>
      <w:tr>
        <w:trPr>
          <w:trHeight w:val="174"/>
        </w:trPr>
        <w:tc>
          <w:tcPr>
            <w:tcW w:w="3180" w:type="dxa"/>
            <w:vAlign w:val="bottom"/>
          </w:tcPr>
          <w:p>
            <w:pPr>
              <w:ind w:left="20"/>
              <w:spacing w:after="0"/>
              <w:rPr>
                <w:sz w:val="20"/>
                <w:szCs w:val="20"/>
                <w:color w:val="auto"/>
              </w:rPr>
            </w:pPr>
            <w:r>
              <w:rPr>
                <w:rFonts w:ascii="Verdana" w:cs="Verdana" w:eastAsia="Verdana" w:hAnsi="Verdana"/>
                <w:sz w:val="13"/>
                <w:szCs w:val="13"/>
                <w:b w:val="1"/>
                <w:bCs w:val="1"/>
                <w:color w:val="auto"/>
              </w:rPr>
              <w:t>Balance, September 30, 2023</w:t>
            </w:r>
          </w:p>
        </w:tc>
        <w:tc>
          <w:tcPr>
            <w:tcW w:w="108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55,342,017</w:t>
            </w:r>
          </w:p>
        </w:tc>
        <w:tc>
          <w:tcPr>
            <w:tcW w:w="8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ind w:right="697"/>
              <w:spacing w:after="0"/>
              <w:rPr>
                <w:sz w:val="20"/>
                <w:szCs w:val="20"/>
                <w:color w:val="auto"/>
              </w:rPr>
            </w:pPr>
            <w:r>
              <w:rPr>
                <w:rFonts w:ascii="Verdana" w:cs="Verdana" w:eastAsia="Verdana" w:hAnsi="Verdana"/>
                <w:sz w:val="13"/>
                <w:szCs w:val="13"/>
                <w:color w:val="auto"/>
                <w:w w:val="95"/>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w w:val="83"/>
              </w:rPr>
              <w:t>58</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w w:val="9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1,324,438</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224,698</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Verdana" w:cs="Verdana" w:eastAsia="Verdana" w:hAnsi="Verdana"/>
                <w:sz w:val="13"/>
                <w:szCs w:val="13"/>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(290,730)</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(68,306)</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Verdana" w:cs="Verdana" w:eastAsia="Verdana" w:hAnsi="Verdana"/>
                <w:sz w:val="13"/>
                <w:szCs w:val="13"/>
                <w:color w:val="auto"/>
                <w:w w:val="95"/>
              </w:rPr>
              <w:t>$</w:t>
            </w:r>
          </w:p>
        </w:tc>
        <w:tc>
          <w:tcPr>
            <w:tcW w:w="88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1,190,158</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31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8"/>
          </w:tcPr>
          <w:p>
            <w:pPr>
              <w:jc w:val="center"/>
              <w:ind w:right="200"/>
              <w:spacing w:after="0"/>
              <w:rPr>
                <w:sz w:val="20"/>
                <w:szCs w:val="20"/>
                <w:color w:val="auto"/>
              </w:rPr>
            </w:pPr>
            <w:r>
              <w:rPr>
                <w:rFonts w:ascii="Verdana" w:cs="Verdana" w:eastAsia="Verdana" w:hAnsi="Verdana"/>
                <w:sz w:val="13"/>
                <w:szCs w:val="13"/>
                <w:b w:val="1"/>
                <w:bCs w:val="1"/>
                <w:color w:val="auto"/>
                <w:w w:val="97"/>
              </w:rPr>
              <w:t>Nine Months Ended September 30, 2023</w:t>
            </w: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restart"/>
          </w:tcPr>
          <w:p>
            <w:pPr>
              <w:jc w:val="center"/>
              <w:ind w:left="177"/>
              <w:spacing w:after="0"/>
              <w:rPr>
                <w:sz w:val="20"/>
                <w:szCs w:val="20"/>
                <w:color w:val="auto"/>
              </w:rPr>
            </w:pPr>
            <w:r>
              <w:rPr>
                <w:rFonts w:ascii="Verdana" w:cs="Verdana" w:eastAsia="Verdana" w:hAnsi="Verdana"/>
                <w:sz w:val="13"/>
                <w:szCs w:val="13"/>
                <w:b w:val="1"/>
                <w:bCs w:val="1"/>
                <w:color w:val="auto"/>
                <w:w w:val="96"/>
              </w:rPr>
              <w:t>Common</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Verdana" w:cs="Verdana" w:eastAsia="Verdana" w:hAnsi="Verdana"/>
                <w:sz w:val="13"/>
                <w:szCs w:val="13"/>
                <w:b w:val="1"/>
                <w:bCs w:val="1"/>
                <w:color w:val="auto"/>
                <w:w w:val="96"/>
              </w:rPr>
              <w:t>Additional</w:t>
            </w:r>
          </w:p>
        </w:tc>
        <w:tc>
          <w:tcPr>
            <w:tcW w:w="160" w:type="dxa"/>
            <w:vAlign w:val="bottom"/>
          </w:tcPr>
          <w:p>
            <w:pPr>
              <w:spacing w:after="0"/>
              <w:rPr>
                <w:sz w:val="10"/>
                <w:szCs w:val="10"/>
                <w:color w:val="auto"/>
              </w:rPr>
            </w:pPr>
          </w:p>
        </w:tc>
        <w:tc>
          <w:tcPr>
            <w:tcW w:w="1000" w:type="dxa"/>
            <w:vAlign w:val="bottom"/>
            <w:gridSpan w:val="2"/>
            <w:vMerge w:val="restart"/>
          </w:tcPr>
          <w:p>
            <w:pPr>
              <w:jc w:val="center"/>
              <w:ind w:right="240"/>
              <w:spacing w:after="0"/>
              <w:rPr>
                <w:sz w:val="20"/>
                <w:szCs w:val="20"/>
                <w:color w:val="auto"/>
              </w:rPr>
            </w:pPr>
            <w:r>
              <w:rPr>
                <w:rFonts w:ascii="Verdana" w:cs="Verdana" w:eastAsia="Verdana" w:hAnsi="Verdana"/>
                <w:sz w:val="13"/>
                <w:szCs w:val="13"/>
                <w:b w:val="1"/>
                <w:bCs w:val="1"/>
                <w:color w:val="auto"/>
                <w:w w:val="98"/>
              </w:rPr>
              <w:t>Retained</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center"/>
              <w:ind w:right="220"/>
              <w:spacing w:after="0"/>
              <w:rPr>
                <w:sz w:val="20"/>
                <w:szCs w:val="20"/>
                <w:color w:val="auto"/>
              </w:rPr>
            </w:pPr>
            <w:r>
              <w:rPr>
                <w:rFonts w:ascii="Verdana" w:cs="Verdana" w:eastAsia="Verdana" w:hAnsi="Verdana"/>
                <w:sz w:val="13"/>
                <w:szCs w:val="13"/>
                <w:b w:val="1"/>
                <w:bCs w:val="1"/>
                <w:color w:val="auto"/>
                <w:w w:val="95"/>
              </w:rPr>
              <w:t>Treasury</w:t>
            </w:r>
          </w:p>
        </w:tc>
        <w:tc>
          <w:tcPr>
            <w:tcW w:w="220" w:type="dxa"/>
            <w:vAlign w:val="bottom"/>
          </w:tcPr>
          <w:p>
            <w:pPr>
              <w:spacing w:after="0"/>
              <w:rPr>
                <w:sz w:val="10"/>
                <w:szCs w:val="10"/>
                <w:color w:val="auto"/>
              </w:rPr>
            </w:pPr>
          </w:p>
        </w:tc>
        <w:tc>
          <w:tcPr>
            <w:tcW w:w="880" w:type="dxa"/>
            <w:vAlign w:val="bottom"/>
          </w:tcPr>
          <w:p>
            <w:pPr>
              <w:jc w:val="center"/>
              <w:ind w:right="137"/>
              <w:spacing w:after="0" w:line="122" w:lineRule="exact"/>
              <w:rPr>
                <w:sz w:val="20"/>
                <w:szCs w:val="20"/>
                <w:color w:val="auto"/>
              </w:rPr>
            </w:pPr>
            <w:r>
              <w:rPr>
                <w:rFonts w:ascii="Verdana" w:cs="Verdana" w:eastAsia="Verdana" w:hAnsi="Verdana"/>
                <w:sz w:val="13"/>
                <w:szCs w:val="13"/>
                <w:b w:val="1"/>
                <w:bCs w:val="1"/>
                <w:color w:val="auto"/>
                <w:w w:val="97"/>
              </w:rPr>
              <w:t>Total</w:t>
            </w:r>
          </w:p>
        </w:tc>
        <w:tc>
          <w:tcPr>
            <w:tcW w:w="0" w:type="dxa"/>
            <w:vAlign w:val="bottom"/>
          </w:tcPr>
          <w:p>
            <w:pPr>
              <w:spacing w:after="0"/>
              <w:rPr>
                <w:sz w:val="1"/>
                <w:szCs w:val="1"/>
                <w:color w:val="auto"/>
              </w:rPr>
            </w:pPr>
          </w:p>
        </w:tc>
      </w:tr>
      <w:tr>
        <w:trPr>
          <w:trHeight w:val="121"/>
        </w:trPr>
        <w:tc>
          <w:tcPr>
            <w:tcW w:w="3180" w:type="dxa"/>
            <w:vAlign w:val="bottom"/>
          </w:tcPr>
          <w:p>
            <w:pPr>
              <w:spacing w:after="0"/>
              <w:rPr>
                <w:sz w:val="10"/>
                <w:szCs w:val="10"/>
                <w:color w:val="auto"/>
              </w:rPr>
            </w:pPr>
          </w:p>
        </w:tc>
        <w:tc>
          <w:tcPr>
            <w:tcW w:w="1160" w:type="dxa"/>
            <w:vAlign w:val="bottom"/>
            <w:gridSpan w:val="2"/>
            <w:vMerge w:val="restart"/>
          </w:tcPr>
          <w:p>
            <w:pPr>
              <w:ind w:left="300"/>
              <w:spacing w:after="0"/>
              <w:rPr>
                <w:sz w:val="20"/>
                <w:szCs w:val="20"/>
                <w:color w:val="auto"/>
              </w:rPr>
            </w:pPr>
            <w:r>
              <w:rPr>
                <w:rFonts w:ascii="Verdana" w:cs="Verdana" w:eastAsia="Verdana" w:hAnsi="Verdana"/>
                <w:sz w:val="13"/>
                <w:szCs w:val="13"/>
                <w:b w:val="1"/>
                <w:bCs w:val="1"/>
                <w:color w:val="auto"/>
              </w:rPr>
              <w:t>Shares</w:t>
            </w:r>
          </w:p>
        </w:tc>
        <w:tc>
          <w:tcPr>
            <w:tcW w:w="8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00"/>
              <w:spacing w:after="0" w:line="122" w:lineRule="exact"/>
              <w:rPr>
                <w:sz w:val="20"/>
                <w:szCs w:val="20"/>
                <w:color w:val="auto"/>
              </w:rPr>
            </w:pPr>
            <w:r>
              <w:rPr>
                <w:rFonts w:ascii="Verdana" w:cs="Verdana" w:eastAsia="Verdana" w:hAnsi="Verdana"/>
                <w:sz w:val="13"/>
                <w:szCs w:val="13"/>
                <w:b w:val="1"/>
                <w:bCs w:val="1"/>
                <w:color w:val="auto"/>
                <w:w w:val="96"/>
              </w:rPr>
              <w:t>Paid-in</w:t>
            </w: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ind w:left="120"/>
              <w:spacing w:after="0"/>
              <w:rPr>
                <w:sz w:val="20"/>
                <w:szCs w:val="20"/>
                <w:color w:val="auto"/>
              </w:rPr>
            </w:pPr>
            <w:r>
              <w:rPr>
                <w:rFonts w:ascii="Verdana" w:cs="Verdana" w:eastAsia="Verdana" w:hAnsi="Verdana"/>
                <w:sz w:val="13"/>
                <w:szCs w:val="13"/>
                <w:b w:val="1"/>
                <w:bCs w:val="1"/>
                <w:color w:val="auto"/>
              </w:rPr>
              <w:t>AOCI</w:t>
            </w: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100" w:type="dxa"/>
            <w:vAlign w:val="bottom"/>
            <w:gridSpan w:val="2"/>
          </w:tcPr>
          <w:p>
            <w:pPr>
              <w:jc w:val="center"/>
              <w:spacing w:after="0" w:line="122" w:lineRule="exact"/>
              <w:rPr>
                <w:sz w:val="20"/>
                <w:szCs w:val="20"/>
                <w:color w:val="auto"/>
              </w:rPr>
            </w:pPr>
            <w:r>
              <w:rPr>
                <w:rFonts w:ascii="Verdana" w:cs="Verdana" w:eastAsia="Verdana" w:hAnsi="Verdana"/>
                <w:sz w:val="13"/>
                <w:szCs w:val="13"/>
                <w:b w:val="1"/>
                <w:bCs w:val="1"/>
                <w:color w:val="auto"/>
                <w:w w:val="96"/>
              </w:rPr>
              <w:t>Stockholders'</w:t>
            </w:r>
          </w:p>
        </w:tc>
        <w:tc>
          <w:tcPr>
            <w:tcW w:w="0" w:type="dxa"/>
            <w:vAlign w:val="bottom"/>
          </w:tcPr>
          <w:p>
            <w:pPr>
              <w:spacing w:after="0"/>
              <w:rPr>
                <w:sz w:val="1"/>
                <w:szCs w:val="1"/>
                <w:color w:val="auto"/>
              </w:rPr>
            </w:pPr>
          </w:p>
        </w:tc>
      </w:tr>
      <w:tr>
        <w:trPr>
          <w:trHeight w:val="170"/>
        </w:trPr>
        <w:tc>
          <w:tcPr>
            <w:tcW w:w="3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60" w:type="dxa"/>
            <w:vAlign w:val="bottom"/>
          </w:tcPr>
          <w:p>
            <w:pPr>
              <w:jc w:val="center"/>
              <w:ind w:left="157"/>
              <w:spacing w:after="0"/>
              <w:rPr>
                <w:sz w:val="20"/>
                <w:szCs w:val="20"/>
                <w:color w:val="auto"/>
              </w:rPr>
            </w:pPr>
            <w:r>
              <w:rPr>
                <w:rFonts w:ascii="Verdana" w:cs="Verdana" w:eastAsia="Verdana" w:hAnsi="Verdana"/>
                <w:sz w:val="13"/>
                <w:szCs w:val="13"/>
                <w:b w:val="1"/>
                <w:bCs w:val="1"/>
                <w:color w:val="auto"/>
                <w:w w:val="98"/>
              </w:rPr>
              <w:t>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Verdana" w:cs="Verdana" w:eastAsia="Verdana" w:hAnsi="Verdana"/>
                <w:sz w:val="13"/>
                <w:szCs w:val="13"/>
                <w:b w:val="1"/>
                <w:bCs w:val="1"/>
                <w:color w:val="auto"/>
                <w:w w:val="94"/>
              </w:rPr>
              <w:t>Capital</w:t>
            </w:r>
          </w:p>
        </w:tc>
        <w:tc>
          <w:tcPr>
            <w:tcW w:w="1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Verdana" w:cs="Verdana" w:eastAsia="Verdana" w:hAnsi="Verdana"/>
                <w:sz w:val="13"/>
                <w:szCs w:val="13"/>
                <w:b w:val="1"/>
                <w:bCs w:val="1"/>
                <w:color w:val="auto"/>
                <w:w w:val="97"/>
              </w:rPr>
              <w:t>Earnings</w:t>
            </w: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Verdana" w:cs="Verdana" w:eastAsia="Verdana" w:hAnsi="Verdana"/>
                <w:sz w:val="13"/>
                <w:szCs w:val="13"/>
                <w:b w:val="1"/>
                <w:bCs w:val="1"/>
                <w:color w:val="auto"/>
                <w:w w:val="98"/>
              </w:rPr>
              <w:t>Stock</w:t>
            </w:r>
          </w:p>
        </w:tc>
        <w:tc>
          <w:tcPr>
            <w:tcW w:w="220" w:type="dxa"/>
            <w:vAlign w:val="bottom"/>
          </w:tcPr>
          <w:p>
            <w:pPr>
              <w:spacing w:after="0"/>
              <w:rPr>
                <w:sz w:val="14"/>
                <w:szCs w:val="14"/>
                <w:color w:val="auto"/>
              </w:rPr>
            </w:pPr>
          </w:p>
        </w:tc>
        <w:tc>
          <w:tcPr>
            <w:tcW w:w="880" w:type="dxa"/>
            <w:vAlign w:val="bottom"/>
          </w:tcPr>
          <w:p>
            <w:pPr>
              <w:jc w:val="center"/>
              <w:ind w:right="137"/>
              <w:spacing w:after="0"/>
              <w:rPr>
                <w:sz w:val="20"/>
                <w:szCs w:val="20"/>
                <w:color w:val="auto"/>
              </w:rPr>
            </w:pPr>
            <w:r>
              <w:rPr>
                <w:rFonts w:ascii="Verdana" w:cs="Verdana" w:eastAsia="Verdana" w:hAnsi="Verdana"/>
                <w:sz w:val="13"/>
                <w:szCs w:val="13"/>
                <w:b w:val="1"/>
                <w:bCs w:val="1"/>
                <w:color w:val="auto"/>
                <w:w w:val="95"/>
              </w:rPr>
              <w:t>Equity</w:t>
            </w:r>
          </w:p>
        </w:tc>
        <w:tc>
          <w:tcPr>
            <w:tcW w:w="0" w:type="dxa"/>
            <w:vAlign w:val="bottom"/>
          </w:tcPr>
          <w:p>
            <w:pPr>
              <w:spacing w:after="0"/>
              <w:rPr>
                <w:sz w:val="1"/>
                <w:szCs w:val="1"/>
                <w:color w:val="auto"/>
              </w:rPr>
            </w:pPr>
          </w:p>
        </w:tc>
      </w:tr>
      <w:tr>
        <w:trPr>
          <w:trHeight w:val="174"/>
        </w:trPr>
        <w:tc>
          <w:tcPr>
            <w:tcW w:w="31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3"/>
                <w:szCs w:val="13"/>
                <w:b w:val="1"/>
                <w:bCs w:val="1"/>
                <w:color w:val="auto"/>
              </w:rPr>
              <w:t>Balance, December 31, 2022</w:t>
            </w:r>
          </w:p>
        </w:tc>
        <w:tc>
          <w:tcPr>
            <w:tcW w:w="1080" w:type="dxa"/>
            <w:vAlign w:val="bottom"/>
            <w:tcBorders>
              <w:top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55,279,124</w:t>
            </w:r>
          </w:p>
        </w:tc>
        <w:tc>
          <w:tcPr>
            <w:tcW w:w="80" w:type="dxa"/>
            <w:vAlign w:val="bottom"/>
            <w:tcBorders>
              <w:top w:val="single" w:sz="8" w:color="E0E7ED"/>
            </w:tcBorders>
            <w:shd w:val="clear" w:color="auto" w:fill="E0E7ED"/>
          </w:tcPr>
          <w:p>
            <w:pPr>
              <w:spacing w:after="0"/>
              <w:rPr>
                <w:sz w:val="15"/>
                <w:szCs w:val="15"/>
                <w:color w:val="auto"/>
              </w:rPr>
            </w:pPr>
          </w:p>
        </w:tc>
        <w:tc>
          <w:tcPr>
            <w:tcW w:w="860" w:type="dxa"/>
            <w:vAlign w:val="bottom"/>
            <w:tcBorders>
              <w:top w:val="single" w:sz="8" w:color="auto"/>
            </w:tcBorders>
            <w:shd w:val="clear" w:color="auto" w:fill="E0E7ED"/>
          </w:tcPr>
          <w:p>
            <w:pPr>
              <w:jc w:val="right"/>
              <w:ind w:right="697"/>
              <w:spacing w:after="0"/>
              <w:rPr>
                <w:sz w:val="20"/>
                <w:szCs w:val="20"/>
                <w:color w:val="auto"/>
              </w:rPr>
            </w:pPr>
            <w:r>
              <w:rPr>
                <w:rFonts w:ascii="Verdana" w:cs="Verdana" w:eastAsia="Verdana" w:hAnsi="Verdana"/>
                <w:sz w:val="13"/>
                <w:szCs w:val="13"/>
                <w:color w:val="auto"/>
                <w:w w:val="95"/>
              </w:rPr>
              <w:t>$</w:t>
            </w:r>
          </w:p>
        </w:tc>
        <w:tc>
          <w:tcPr>
            <w:tcW w:w="2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83"/>
              </w:rPr>
              <w:t>58</w:t>
            </w:r>
          </w:p>
        </w:tc>
        <w:tc>
          <w:tcPr>
            <w:tcW w:w="80" w:type="dxa"/>
            <w:vAlign w:val="bottom"/>
            <w:tcBorders>
              <w:top w:val="single" w:sz="8" w:color="E0E7ED"/>
            </w:tcBorders>
            <w:shd w:val="clear" w:color="auto" w:fill="E0E7ED"/>
          </w:tcPr>
          <w:p>
            <w:pPr>
              <w:spacing w:after="0"/>
              <w:rPr>
                <w:sz w:val="15"/>
                <w:szCs w:val="15"/>
                <w:color w:val="auto"/>
              </w:rPr>
            </w:pPr>
          </w:p>
        </w:tc>
        <w:tc>
          <w:tcPr>
            <w:tcW w:w="1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1,320,980</w:t>
            </w:r>
          </w:p>
        </w:tc>
        <w:tc>
          <w:tcPr>
            <w:tcW w:w="80" w:type="dxa"/>
            <w:vAlign w:val="bottom"/>
            <w:tcBorders>
              <w:top w:val="single" w:sz="8" w:color="E0E7ED"/>
            </w:tcBorders>
            <w:shd w:val="clear" w:color="auto" w:fill="E0E7ED"/>
          </w:tcPr>
          <w:p>
            <w:pPr>
              <w:spacing w:after="0"/>
              <w:rPr>
                <w:sz w:val="15"/>
                <w:szCs w:val="15"/>
                <w:color w:val="auto"/>
              </w:rPr>
            </w:pPr>
          </w:p>
        </w:tc>
        <w:tc>
          <w:tcPr>
            <w:tcW w:w="16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168,769</w:t>
            </w:r>
          </w:p>
        </w:tc>
        <w:tc>
          <w:tcPr>
            <w:tcW w:w="80" w:type="dxa"/>
            <w:vAlign w:val="bottom"/>
            <w:tcBorders>
              <w:top w:val="single" w:sz="8" w:color="E0E7ED"/>
            </w:tcBorders>
            <w:shd w:val="clear" w:color="auto" w:fill="E0E7ED"/>
          </w:tcPr>
          <w:p>
            <w:pPr>
              <w:spacing w:after="0"/>
              <w:rPr>
                <w:sz w:val="15"/>
                <w:szCs w:val="15"/>
                <w:color w:val="auto"/>
              </w:rPr>
            </w:pPr>
          </w:p>
        </w:tc>
        <w:tc>
          <w:tcPr>
            <w:tcW w:w="240" w:type="dxa"/>
            <w:vAlign w:val="bottom"/>
            <w:tcBorders>
              <w:top w:val="single" w:sz="8" w:color="auto"/>
            </w:tcBorders>
            <w:shd w:val="clear" w:color="auto" w:fill="E0E7ED"/>
          </w:tcPr>
          <w:p>
            <w:pPr>
              <w:jc w:val="right"/>
              <w:ind w:right="77"/>
              <w:spacing w:after="0"/>
              <w:rPr>
                <w:sz w:val="20"/>
                <w:szCs w:val="20"/>
                <w:color w:val="auto"/>
              </w:rPr>
            </w:pPr>
            <w:r>
              <w:rPr>
                <w:rFonts w:ascii="Verdana" w:cs="Verdana" w:eastAsia="Verdana" w:hAnsi="Verdana"/>
                <w:sz w:val="13"/>
                <w:szCs w:val="13"/>
                <w:color w:val="auto"/>
                <w:w w:val="95"/>
              </w:rPr>
              <w:t>$</w:t>
            </w:r>
          </w:p>
        </w:tc>
        <w:tc>
          <w:tcPr>
            <w:tcW w:w="8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(273,278)</w:t>
            </w:r>
          </w:p>
        </w:tc>
        <w:tc>
          <w:tcPr>
            <w:tcW w:w="80" w:type="dxa"/>
            <w:vAlign w:val="bottom"/>
            <w:tcBorders>
              <w:top w:val="single" w:sz="8" w:color="E0E7ED"/>
            </w:tcBorders>
            <w:shd w:val="clear" w:color="auto" w:fill="E0E7ED"/>
          </w:tcPr>
          <w:p>
            <w:pPr>
              <w:spacing w:after="0"/>
              <w:rPr>
                <w:sz w:val="15"/>
                <w:szCs w:val="15"/>
                <w:color w:val="auto"/>
              </w:rPr>
            </w:pPr>
          </w:p>
        </w:tc>
        <w:tc>
          <w:tcPr>
            <w:tcW w:w="16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(70,552)</w:t>
            </w:r>
          </w:p>
        </w:tc>
        <w:tc>
          <w:tcPr>
            <w:tcW w:w="8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tcBorders>
            <w:shd w:val="clear" w:color="auto" w:fill="E0E7ED"/>
          </w:tcPr>
          <w:p>
            <w:pPr>
              <w:jc w:val="right"/>
              <w:ind w:right="57"/>
              <w:spacing w:after="0"/>
              <w:rPr>
                <w:sz w:val="20"/>
                <w:szCs w:val="20"/>
                <w:color w:val="auto"/>
              </w:rPr>
            </w:pPr>
            <w:r>
              <w:rPr>
                <w:rFonts w:ascii="Verdana" w:cs="Verdana" w:eastAsia="Verdana" w:hAnsi="Verdana"/>
                <w:sz w:val="13"/>
                <w:szCs w:val="13"/>
                <w:color w:val="auto"/>
                <w:w w:val="95"/>
              </w:rPr>
              <w:t>$</w:t>
            </w:r>
          </w:p>
        </w:tc>
        <w:tc>
          <w:tcPr>
            <w:tcW w:w="880" w:type="dxa"/>
            <w:vAlign w:val="bottom"/>
            <w:tcBorders>
              <w:top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1,145,977</w:t>
            </w: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Net income</w:t>
            </w:r>
          </w:p>
        </w:tc>
        <w:tc>
          <w:tcPr>
            <w:tcW w:w="116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Verdana" w:cs="Verdana" w:eastAsia="Verdana" w:hAnsi="Verdana"/>
                <w:sz w:val="13"/>
                <w:szCs w:val="13"/>
                <w:color w:val="auto"/>
              </w:rPr>
              <w:t>96,816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4"/>
                <w:szCs w:val="14"/>
                <w:color w:val="auto"/>
              </w:rPr>
            </w:pPr>
          </w:p>
        </w:tc>
        <w:tc>
          <w:tcPr>
            <w:tcW w:w="880" w:type="dxa"/>
            <w:vAlign w:val="bottom"/>
          </w:tcPr>
          <w:p>
            <w:pPr>
              <w:jc w:val="right"/>
              <w:ind w:right="17"/>
              <w:spacing w:after="0"/>
              <w:rPr>
                <w:sz w:val="20"/>
                <w:szCs w:val="20"/>
                <w:color w:val="auto"/>
              </w:rPr>
            </w:pPr>
            <w:r>
              <w:rPr>
                <w:rFonts w:ascii="Verdana" w:cs="Verdana" w:eastAsia="Verdana" w:hAnsi="Verdana"/>
                <w:sz w:val="13"/>
                <w:szCs w:val="13"/>
                <w:color w:val="auto"/>
              </w:rPr>
              <w:t>96,816</w:t>
            </w:r>
          </w:p>
        </w:tc>
        <w:tc>
          <w:tcPr>
            <w:tcW w:w="0" w:type="dxa"/>
            <w:vAlign w:val="bottom"/>
          </w:tcPr>
          <w:p>
            <w:pPr>
              <w:spacing w:after="0"/>
              <w:rPr>
                <w:sz w:val="1"/>
                <w:szCs w:val="1"/>
                <w:color w:val="auto"/>
              </w:rPr>
            </w:pPr>
          </w:p>
        </w:tc>
      </w:tr>
      <w:tr>
        <w:trPr>
          <w:trHeight w:val="181"/>
        </w:trPr>
        <w:tc>
          <w:tcPr>
            <w:tcW w:w="3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OCI, net of tax</w:t>
            </w:r>
          </w:p>
        </w:tc>
        <w:tc>
          <w:tcPr>
            <w:tcW w:w="116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shd w:val="clear" w:color="auto" w:fill="E0E7ED"/>
          </w:tcPr>
          <w:p>
            <w:pPr>
              <w:spacing w:after="0"/>
              <w:rPr>
                <w:sz w:val="15"/>
                <w:szCs w:val="15"/>
                <w:color w:val="auto"/>
              </w:rPr>
            </w:pPr>
          </w:p>
        </w:tc>
        <w:tc>
          <w:tcPr>
            <w:tcW w:w="3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102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5"/>
                <w:szCs w:val="15"/>
                <w:color w:val="auto"/>
              </w:rPr>
            </w:pPr>
          </w:p>
        </w:tc>
        <w:tc>
          <w:tcPr>
            <w:tcW w:w="10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shd w:val="clear" w:color="auto" w:fill="E0E7ED"/>
          </w:tcPr>
          <w:p>
            <w:pPr>
              <w:spacing w:after="0"/>
              <w:rPr>
                <w:sz w:val="15"/>
                <w:szCs w:val="15"/>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(17,452)</w:t>
            </w: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10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5"/>
                <w:szCs w:val="15"/>
                <w:color w:val="auto"/>
              </w:rPr>
            </w:pPr>
          </w:p>
        </w:tc>
        <w:tc>
          <w:tcPr>
            <w:tcW w:w="8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(17,452)</w:t>
            </w: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Repurchase of stock</w:t>
            </w:r>
          </w:p>
        </w:tc>
        <w:tc>
          <w:tcPr>
            <w:tcW w:w="1080" w:type="dxa"/>
            <w:vAlign w:val="bottom"/>
          </w:tcPr>
          <w:p>
            <w:pPr>
              <w:jc w:val="right"/>
              <w:spacing w:after="0"/>
              <w:rPr>
                <w:sz w:val="20"/>
                <w:szCs w:val="20"/>
                <w:color w:val="auto"/>
              </w:rPr>
            </w:pPr>
            <w:r>
              <w:rPr>
                <w:rFonts w:ascii="Verdana" w:cs="Verdana" w:eastAsia="Verdana" w:hAnsi="Verdana"/>
                <w:sz w:val="13"/>
                <w:szCs w:val="13"/>
                <w:color w:val="auto"/>
              </w:rPr>
              <w:t>(110,123)</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Verdana" w:cs="Verdana" w:eastAsia="Verdana" w:hAnsi="Verdana"/>
                <w:sz w:val="13"/>
                <w:szCs w:val="13"/>
                <w:color w:val="auto"/>
              </w:rPr>
              <w:t>(2,209)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Verdana" w:cs="Verdana" w:eastAsia="Verdana" w:hAnsi="Verdana"/>
                <w:sz w:val="13"/>
                <w:szCs w:val="13"/>
                <w:color w:val="auto"/>
              </w:rPr>
              <w:t>(2,209)</w:t>
            </w:r>
          </w:p>
        </w:tc>
        <w:tc>
          <w:tcPr>
            <w:tcW w:w="0" w:type="dxa"/>
            <w:vAlign w:val="bottom"/>
          </w:tcPr>
          <w:p>
            <w:pPr>
              <w:spacing w:after="0"/>
              <w:rPr>
                <w:sz w:val="1"/>
                <w:szCs w:val="1"/>
                <w:color w:val="auto"/>
              </w:rPr>
            </w:pPr>
          </w:p>
        </w:tc>
      </w:tr>
      <w:tr>
        <w:trPr>
          <w:trHeight w:val="181"/>
        </w:trPr>
        <w:tc>
          <w:tcPr>
            <w:tcW w:w="3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Issuance of treasury stock for ESPP</w:t>
            </w:r>
          </w:p>
        </w:tc>
        <w:tc>
          <w:tcPr>
            <w:tcW w:w="10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51,885</w:t>
            </w:r>
          </w:p>
        </w:tc>
        <w:tc>
          <w:tcPr>
            <w:tcW w:w="80" w:type="dxa"/>
            <w:vAlign w:val="bottom"/>
            <w:shd w:val="clear" w:color="auto" w:fill="E0E7ED"/>
          </w:tcPr>
          <w:p>
            <w:pPr>
              <w:spacing w:after="0"/>
              <w:rPr>
                <w:sz w:val="15"/>
                <w:szCs w:val="15"/>
                <w:color w:val="auto"/>
              </w:rPr>
            </w:pPr>
          </w:p>
        </w:tc>
        <w:tc>
          <w:tcPr>
            <w:tcW w:w="860" w:type="dxa"/>
            <w:vAlign w:val="bottom"/>
            <w:shd w:val="clear" w:color="auto" w:fill="E0E7ED"/>
          </w:tcPr>
          <w:p>
            <w:pPr>
              <w:spacing w:after="0"/>
              <w:rPr>
                <w:sz w:val="15"/>
                <w:szCs w:val="15"/>
                <w:color w:val="auto"/>
              </w:rPr>
            </w:pPr>
          </w:p>
        </w:tc>
        <w:tc>
          <w:tcPr>
            <w:tcW w:w="3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(451)</w:t>
            </w: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10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shd w:val="clear" w:color="auto" w:fill="E0E7ED"/>
          </w:tcPr>
          <w:p>
            <w:pPr>
              <w:spacing w:after="0"/>
              <w:rPr>
                <w:sz w:val="15"/>
                <w:szCs w:val="15"/>
                <w:color w:val="auto"/>
              </w:rPr>
            </w:pPr>
          </w:p>
        </w:tc>
        <w:tc>
          <w:tcPr>
            <w:tcW w:w="920" w:type="dxa"/>
            <w:vAlign w:val="bottom"/>
            <w:gridSpan w:val="2"/>
            <w:shd w:val="clear" w:color="auto" w:fill="E0E7ED"/>
          </w:tcPr>
          <w:p>
            <w:pPr>
              <w:ind w:left="64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5"/>
                <w:szCs w:val="15"/>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1,335</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884</w:t>
            </w:r>
          </w:p>
        </w:tc>
        <w:tc>
          <w:tcPr>
            <w:tcW w:w="0" w:type="dxa"/>
            <w:vAlign w:val="bottom"/>
          </w:tcPr>
          <w:p>
            <w:pPr>
              <w:spacing w:after="0"/>
              <w:rPr>
                <w:sz w:val="1"/>
                <w:szCs w:val="1"/>
                <w:color w:val="auto"/>
              </w:rPr>
            </w:pPr>
          </w:p>
        </w:tc>
      </w:tr>
      <w:tr>
        <w:trPr>
          <w:trHeight w:val="122"/>
        </w:trPr>
        <w:tc>
          <w:tcPr>
            <w:tcW w:w="3180" w:type="dxa"/>
            <w:vAlign w:val="bottom"/>
          </w:tcPr>
          <w:p>
            <w:pPr>
              <w:ind w:left="180"/>
              <w:spacing w:after="0" w:line="122" w:lineRule="exact"/>
              <w:rPr>
                <w:sz w:val="20"/>
                <w:szCs w:val="20"/>
                <w:color w:val="auto"/>
              </w:rPr>
            </w:pPr>
            <w:r>
              <w:rPr>
                <w:rFonts w:ascii="Verdana" w:cs="Verdana" w:eastAsia="Verdana" w:hAnsi="Verdana"/>
                <w:sz w:val="13"/>
                <w:szCs w:val="13"/>
                <w:color w:val="auto"/>
              </w:rPr>
              <w:t>Net issuance of treasury stock for RSU/DSU</w:t>
            </w:r>
          </w:p>
        </w:tc>
        <w:tc>
          <w:tcPr>
            <w:tcW w:w="108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120,137</w:t>
            </w: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Verdana" w:cs="Verdana" w:eastAsia="Verdana" w:hAnsi="Verdana"/>
                <w:sz w:val="13"/>
                <w:szCs w:val="13"/>
                <w:color w:val="auto"/>
              </w:rPr>
              <w:t>(4,083)</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tcPr>
          <w:p>
            <w:pPr>
              <w:spacing w:after="0"/>
              <w:rPr>
                <w:sz w:val="10"/>
                <w:szCs w:val="10"/>
                <w:color w:val="auto"/>
              </w:rPr>
            </w:pPr>
          </w:p>
        </w:tc>
        <w:tc>
          <w:tcPr>
            <w:tcW w:w="920" w:type="dxa"/>
            <w:vAlign w:val="bottom"/>
            <w:gridSpan w:val="2"/>
            <w:vMerge w:val="restart"/>
          </w:tcPr>
          <w:p>
            <w:pPr>
              <w:ind w:left="6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Verdana" w:cs="Verdana" w:eastAsia="Verdana" w:hAnsi="Verdana"/>
                <w:sz w:val="13"/>
                <w:szCs w:val="13"/>
                <w:color w:val="auto"/>
              </w:rPr>
              <w:t>3,094</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Verdana" w:cs="Verdana" w:eastAsia="Verdana" w:hAnsi="Verdana"/>
                <w:sz w:val="13"/>
                <w:szCs w:val="13"/>
                <w:color w:val="auto"/>
              </w:rPr>
              <w:t>(989)</w:t>
            </w: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vesting and related tax</w:t>
            </w:r>
          </w:p>
        </w:tc>
        <w:tc>
          <w:tcPr>
            <w:tcW w:w="10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180" w:type="dxa"/>
            <w:vAlign w:val="bottom"/>
            <w:shd w:val="clear" w:color="auto" w:fill="E0E7ED"/>
          </w:tcPr>
          <w:p>
            <w:pPr>
              <w:ind w:left="180"/>
              <w:spacing w:after="0" w:line="127" w:lineRule="exact"/>
              <w:rPr>
                <w:sz w:val="20"/>
                <w:szCs w:val="20"/>
                <w:color w:val="auto"/>
              </w:rPr>
            </w:pPr>
            <w:r>
              <w:rPr>
                <w:rFonts w:ascii="Verdana" w:cs="Verdana" w:eastAsia="Verdana" w:hAnsi="Verdana"/>
                <w:sz w:val="13"/>
                <w:szCs w:val="13"/>
                <w:color w:val="auto"/>
              </w:rPr>
              <w:t>Net issuance of treasury stock for warrants</w:t>
            </w:r>
          </w:p>
        </w:tc>
        <w:tc>
          <w:tcPr>
            <w:tcW w:w="108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994</w:t>
            </w:r>
          </w:p>
        </w:tc>
        <w:tc>
          <w:tcPr>
            <w:tcW w:w="80" w:type="dxa"/>
            <w:vAlign w:val="bottom"/>
            <w:shd w:val="clear" w:color="auto" w:fill="E0E7ED"/>
          </w:tcPr>
          <w:p>
            <w:pPr>
              <w:spacing w:after="0"/>
              <w:rPr>
                <w:sz w:val="11"/>
                <w:szCs w:val="11"/>
                <w:color w:val="auto"/>
              </w:rPr>
            </w:pPr>
          </w:p>
        </w:tc>
        <w:tc>
          <w:tcPr>
            <w:tcW w:w="860" w:type="dxa"/>
            <w:vAlign w:val="bottom"/>
            <w:shd w:val="clear" w:color="auto" w:fill="E0E7ED"/>
          </w:tcPr>
          <w:p>
            <w:pPr>
              <w:spacing w:after="0"/>
              <w:rPr>
                <w:sz w:val="11"/>
                <w:szCs w:val="11"/>
                <w:color w:val="auto"/>
              </w:rPr>
            </w:pPr>
          </w:p>
        </w:tc>
        <w:tc>
          <w:tcPr>
            <w:tcW w:w="30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1"/>
                <w:szCs w:val="11"/>
                <w:color w:val="auto"/>
              </w:rPr>
            </w:pPr>
          </w:p>
        </w:tc>
        <w:tc>
          <w:tcPr>
            <w:tcW w:w="94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(17)</w:t>
            </w:r>
          </w:p>
        </w:tc>
        <w:tc>
          <w:tcPr>
            <w:tcW w:w="80" w:type="dxa"/>
            <w:vAlign w:val="bottom"/>
            <w:shd w:val="clear" w:color="auto" w:fill="E0E7ED"/>
          </w:tcPr>
          <w:p>
            <w:pPr>
              <w:spacing w:after="0"/>
              <w:rPr>
                <w:sz w:val="11"/>
                <w:szCs w:val="11"/>
                <w:color w:val="auto"/>
              </w:rPr>
            </w:pPr>
          </w:p>
        </w:tc>
        <w:tc>
          <w:tcPr>
            <w:tcW w:w="160" w:type="dxa"/>
            <w:vAlign w:val="bottom"/>
            <w:shd w:val="clear" w:color="auto" w:fill="E0E7ED"/>
          </w:tcPr>
          <w:p>
            <w:pPr>
              <w:spacing w:after="0"/>
              <w:rPr>
                <w:sz w:val="11"/>
                <w:szCs w:val="11"/>
                <w:color w:val="auto"/>
              </w:rPr>
            </w:pPr>
          </w:p>
        </w:tc>
        <w:tc>
          <w:tcPr>
            <w:tcW w:w="100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shd w:val="clear" w:color="auto" w:fill="E0E7ED"/>
          </w:tcPr>
          <w:p>
            <w:pPr>
              <w:spacing w:after="0"/>
              <w:rPr>
                <w:sz w:val="11"/>
                <w:szCs w:val="11"/>
                <w:color w:val="auto"/>
              </w:rPr>
            </w:pPr>
          </w:p>
        </w:tc>
        <w:tc>
          <w:tcPr>
            <w:tcW w:w="920" w:type="dxa"/>
            <w:vAlign w:val="bottom"/>
            <w:gridSpan w:val="2"/>
            <w:vMerge w:val="restart"/>
            <w:shd w:val="clear" w:color="auto" w:fill="E0E7ED"/>
          </w:tcPr>
          <w:p>
            <w:pPr>
              <w:ind w:left="64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1"/>
                <w:szCs w:val="11"/>
                <w:color w:val="auto"/>
              </w:rPr>
            </w:pPr>
          </w:p>
        </w:tc>
        <w:tc>
          <w:tcPr>
            <w:tcW w:w="92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26</w:t>
            </w:r>
          </w:p>
        </w:tc>
        <w:tc>
          <w:tcPr>
            <w:tcW w:w="80" w:type="dxa"/>
            <w:vAlign w:val="bottom"/>
            <w:shd w:val="clear" w:color="auto" w:fill="E0E7ED"/>
          </w:tcPr>
          <w:p>
            <w:pPr>
              <w:spacing w:after="0"/>
              <w:rPr>
                <w:sz w:val="11"/>
                <w:szCs w:val="11"/>
                <w:color w:val="auto"/>
              </w:rPr>
            </w:pPr>
          </w:p>
        </w:tc>
        <w:tc>
          <w:tcPr>
            <w:tcW w:w="220" w:type="dxa"/>
            <w:vAlign w:val="bottom"/>
            <w:shd w:val="clear" w:color="auto" w:fill="E0E7ED"/>
          </w:tcPr>
          <w:p>
            <w:pPr>
              <w:spacing w:after="0"/>
              <w:rPr>
                <w:sz w:val="11"/>
                <w:szCs w:val="11"/>
                <w:color w:val="auto"/>
              </w:rPr>
            </w:pPr>
          </w:p>
        </w:tc>
        <w:tc>
          <w:tcPr>
            <w:tcW w:w="88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9</w:t>
            </w:r>
          </w:p>
        </w:tc>
        <w:tc>
          <w:tcPr>
            <w:tcW w:w="0" w:type="dxa"/>
            <w:vAlign w:val="bottom"/>
          </w:tcPr>
          <w:p>
            <w:pPr>
              <w:spacing w:after="0"/>
              <w:rPr>
                <w:sz w:val="1"/>
                <w:szCs w:val="1"/>
                <w:color w:val="auto"/>
              </w:rPr>
            </w:pPr>
          </w:p>
        </w:tc>
      </w:tr>
      <w:tr>
        <w:trPr>
          <w:trHeight w:val="175"/>
        </w:trPr>
        <w:tc>
          <w:tcPr>
            <w:tcW w:w="3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exercised</w:t>
            </w:r>
          </w:p>
        </w:tc>
        <w:tc>
          <w:tcPr>
            <w:tcW w:w="108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860" w:type="dxa"/>
            <w:vAlign w:val="bottom"/>
            <w:shd w:val="clear" w:color="auto" w:fill="E0E7ED"/>
          </w:tcPr>
          <w:p>
            <w:pPr>
              <w:spacing w:after="0"/>
              <w:rPr>
                <w:sz w:val="15"/>
                <w:szCs w:val="15"/>
                <w:color w:val="auto"/>
              </w:rPr>
            </w:pPr>
          </w:p>
        </w:tc>
        <w:tc>
          <w:tcPr>
            <w:tcW w:w="300" w:type="dxa"/>
            <w:vAlign w:val="bottom"/>
            <w:gridSpan w:val="2"/>
            <w:vMerge w:val="continue"/>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94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1000" w:type="dxa"/>
            <w:vAlign w:val="bottom"/>
            <w:gridSpan w:val="2"/>
            <w:vMerge w:val="continue"/>
            <w:shd w:val="clear" w:color="auto" w:fill="E0E7ED"/>
          </w:tcPr>
          <w:p>
            <w:pPr>
              <w:spacing w:after="0"/>
              <w:rPr>
                <w:sz w:val="15"/>
                <w:szCs w:val="15"/>
                <w:color w:val="auto"/>
              </w:rPr>
            </w:pPr>
          </w:p>
        </w:tc>
        <w:tc>
          <w:tcPr>
            <w:tcW w:w="240" w:type="dxa"/>
            <w:vAlign w:val="bottom"/>
            <w:shd w:val="clear" w:color="auto" w:fill="E0E7ED"/>
          </w:tcPr>
          <w:p>
            <w:pPr>
              <w:spacing w:after="0"/>
              <w:rPr>
                <w:sz w:val="15"/>
                <w:szCs w:val="15"/>
                <w:color w:val="auto"/>
              </w:rPr>
            </w:pPr>
          </w:p>
        </w:tc>
        <w:tc>
          <w:tcPr>
            <w:tcW w:w="920" w:type="dxa"/>
            <w:vAlign w:val="bottom"/>
            <w:gridSpan w:val="2"/>
            <w:vMerge w:val="continue"/>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92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8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180" w:type="dxa"/>
            <w:vAlign w:val="bottom"/>
          </w:tcPr>
          <w:p>
            <w:pPr>
              <w:ind w:left="180"/>
              <w:spacing w:after="0" w:line="122" w:lineRule="exact"/>
              <w:rPr>
                <w:sz w:val="20"/>
                <w:szCs w:val="20"/>
                <w:color w:val="auto"/>
              </w:rPr>
            </w:pPr>
            <w:r>
              <w:rPr>
                <w:rFonts w:ascii="Verdana" w:cs="Verdana" w:eastAsia="Verdana" w:hAnsi="Verdana"/>
                <w:sz w:val="13"/>
                <w:szCs w:val="13"/>
                <w:color w:val="auto"/>
                <w:w w:val="97"/>
              </w:rPr>
              <w:t>Cash dividends on common stock at $0.72 per</w:t>
            </w:r>
          </w:p>
        </w:tc>
        <w:tc>
          <w:tcPr>
            <w:tcW w:w="1160" w:type="dxa"/>
            <w:vAlign w:val="bottom"/>
            <w:gridSpan w:val="2"/>
            <w:vMerge w:val="restart"/>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tcPr>
          <w:p>
            <w:pPr>
              <w:spacing w:after="0"/>
              <w:rPr>
                <w:sz w:val="10"/>
                <w:szCs w:val="10"/>
                <w:color w:val="auto"/>
              </w:rPr>
            </w:pPr>
          </w:p>
        </w:tc>
        <w:tc>
          <w:tcPr>
            <w:tcW w:w="30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0"/>
                <w:szCs w:val="10"/>
                <w:color w:val="auto"/>
              </w:rPr>
            </w:pPr>
          </w:p>
        </w:tc>
        <w:tc>
          <w:tcPr>
            <w:tcW w:w="102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Verdana" w:cs="Verdana" w:eastAsia="Verdana" w:hAnsi="Verdana"/>
                <w:sz w:val="13"/>
                <w:szCs w:val="13"/>
                <w:color w:val="auto"/>
              </w:rPr>
              <w:t>(39,806)</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ind w:left="6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0"/>
                <w:szCs w:val="10"/>
                <w:color w:val="auto"/>
              </w:rPr>
            </w:pPr>
          </w:p>
        </w:tc>
        <w:tc>
          <w:tcPr>
            <w:tcW w:w="100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Verdana" w:cs="Verdana" w:eastAsia="Verdana" w:hAnsi="Verdana"/>
                <w:sz w:val="13"/>
                <w:szCs w:val="13"/>
                <w:color w:val="auto"/>
              </w:rPr>
              <w:t>(39,806)</w:t>
            </w: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share</w:t>
            </w:r>
          </w:p>
        </w:tc>
        <w:tc>
          <w:tcPr>
            <w:tcW w:w="116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180" w:type="dxa"/>
            <w:vAlign w:val="bottom"/>
            <w:shd w:val="clear" w:color="auto" w:fill="E0E7ED"/>
          </w:tcPr>
          <w:p>
            <w:pPr>
              <w:ind w:left="180"/>
              <w:spacing w:after="0" w:line="127" w:lineRule="exact"/>
              <w:rPr>
                <w:sz w:val="20"/>
                <w:szCs w:val="20"/>
                <w:color w:val="auto"/>
              </w:rPr>
            </w:pPr>
            <w:r>
              <w:rPr>
                <w:rFonts w:ascii="Verdana" w:cs="Verdana" w:eastAsia="Verdana" w:hAnsi="Verdana"/>
                <w:sz w:val="13"/>
                <w:szCs w:val="13"/>
                <w:color w:val="auto"/>
              </w:rPr>
              <w:t>Stock dividend equivalents on</w:t>
            </w:r>
          </w:p>
        </w:tc>
        <w:tc>
          <w:tcPr>
            <w:tcW w:w="1160" w:type="dxa"/>
            <w:vAlign w:val="bottom"/>
            <w:gridSpan w:val="2"/>
            <w:vMerge w:val="restart"/>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shd w:val="clear" w:color="auto" w:fill="E0E7ED"/>
          </w:tcPr>
          <w:p>
            <w:pPr>
              <w:spacing w:after="0"/>
              <w:rPr>
                <w:sz w:val="11"/>
                <w:szCs w:val="11"/>
                <w:color w:val="auto"/>
              </w:rPr>
            </w:pPr>
          </w:p>
        </w:tc>
        <w:tc>
          <w:tcPr>
            <w:tcW w:w="30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1"/>
                <w:szCs w:val="11"/>
                <w:color w:val="auto"/>
              </w:rPr>
            </w:pPr>
          </w:p>
        </w:tc>
        <w:tc>
          <w:tcPr>
            <w:tcW w:w="94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1,081</w:t>
            </w:r>
          </w:p>
        </w:tc>
        <w:tc>
          <w:tcPr>
            <w:tcW w:w="80" w:type="dxa"/>
            <w:vAlign w:val="bottom"/>
            <w:shd w:val="clear" w:color="auto" w:fill="E0E7ED"/>
          </w:tcPr>
          <w:p>
            <w:pPr>
              <w:spacing w:after="0"/>
              <w:rPr>
                <w:sz w:val="11"/>
                <w:szCs w:val="11"/>
                <w:color w:val="auto"/>
              </w:rPr>
            </w:pPr>
          </w:p>
        </w:tc>
        <w:tc>
          <w:tcPr>
            <w:tcW w:w="160" w:type="dxa"/>
            <w:vAlign w:val="bottom"/>
            <w:shd w:val="clear" w:color="auto" w:fill="E0E7ED"/>
          </w:tcPr>
          <w:p>
            <w:pPr>
              <w:spacing w:after="0"/>
              <w:rPr>
                <w:sz w:val="11"/>
                <w:szCs w:val="11"/>
                <w:color w:val="auto"/>
              </w:rPr>
            </w:pPr>
          </w:p>
        </w:tc>
        <w:tc>
          <w:tcPr>
            <w:tcW w:w="92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(1,081)</w:t>
            </w:r>
          </w:p>
        </w:tc>
        <w:tc>
          <w:tcPr>
            <w:tcW w:w="80" w:type="dxa"/>
            <w:vAlign w:val="bottom"/>
            <w:shd w:val="clear" w:color="auto" w:fill="E0E7ED"/>
          </w:tcPr>
          <w:p>
            <w:pPr>
              <w:spacing w:after="0"/>
              <w:rPr>
                <w:sz w:val="11"/>
                <w:szCs w:val="11"/>
                <w:color w:val="auto"/>
              </w:rPr>
            </w:pPr>
          </w:p>
        </w:tc>
        <w:tc>
          <w:tcPr>
            <w:tcW w:w="240" w:type="dxa"/>
            <w:vAlign w:val="bottom"/>
            <w:shd w:val="clear" w:color="auto" w:fill="E0E7ED"/>
          </w:tcPr>
          <w:p>
            <w:pPr>
              <w:spacing w:after="0"/>
              <w:rPr>
                <w:sz w:val="11"/>
                <w:szCs w:val="11"/>
                <w:color w:val="auto"/>
              </w:rPr>
            </w:pPr>
          </w:p>
        </w:tc>
        <w:tc>
          <w:tcPr>
            <w:tcW w:w="920" w:type="dxa"/>
            <w:vAlign w:val="bottom"/>
            <w:gridSpan w:val="2"/>
            <w:vMerge w:val="restart"/>
            <w:shd w:val="clear" w:color="auto" w:fill="E0E7ED"/>
          </w:tcPr>
          <w:p>
            <w:pPr>
              <w:ind w:left="64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1"/>
                <w:szCs w:val="11"/>
                <w:color w:val="auto"/>
              </w:rPr>
            </w:pPr>
          </w:p>
        </w:tc>
        <w:tc>
          <w:tcPr>
            <w:tcW w:w="100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1"/>
                <w:szCs w:val="11"/>
                <w:color w:val="auto"/>
              </w:rPr>
            </w:pPr>
          </w:p>
        </w:tc>
        <w:tc>
          <w:tcPr>
            <w:tcW w:w="88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0" w:type="dxa"/>
            <w:vAlign w:val="bottom"/>
          </w:tcPr>
          <w:p>
            <w:pPr>
              <w:spacing w:after="0"/>
              <w:rPr>
                <w:sz w:val="1"/>
                <w:szCs w:val="1"/>
                <w:color w:val="auto"/>
              </w:rPr>
            </w:pPr>
          </w:p>
        </w:tc>
      </w:tr>
      <w:tr>
        <w:trPr>
          <w:trHeight w:val="175"/>
        </w:trPr>
        <w:tc>
          <w:tcPr>
            <w:tcW w:w="3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RSUs/PSUs/DSUs</w:t>
            </w:r>
          </w:p>
        </w:tc>
        <w:tc>
          <w:tcPr>
            <w:tcW w:w="1160" w:type="dxa"/>
            <w:vAlign w:val="bottom"/>
            <w:gridSpan w:val="2"/>
            <w:vMerge w:val="continue"/>
            <w:shd w:val="clear" w:color="auto" w:fill="E0E7ED"/>
          </w:tcPr>
          <w:p>
            <w:pPr>
              <w:spacing w:after="0"/>
              <w:rPr>
                <w:sz w:val="15"/>
                <w:szCs w:val="15"/>
                <w:color w:val="auto"/>
              </w:rPr>
            </w:pPr>
          </w:p>
        </w:tc>
        <w:tc>
          <w:tcPr>
            <w:tcW w:w="860" w:type="dxa"/>
            <w:vAlign w:val="bottom"/>
            <w:shd w:val="clear" w:color="auto" w:fill="E0E7ED"/>
          </w:tcPr>
          <w:p>
            <w:pPr>
              <w:spacing w:after="0"/>
              <w:rPr>
                <w:sz w:val="15"/>
                <w:szCs w:val="15"/>
                <w:color w:val="auto"/>
              </w:rPr>
            </w:pPr>
          </w:p>
        </w:tc>
        <w:tc>
          <w:tcPr>
            <w:tcW w:w="300" w:type="dxa"/>
            <w:vAlign w:val="bottom"/>
            <w:gridSpan w:val="2"/>
            <w:vMerge w:val="continue"/>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94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92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40" w:type="dxa"/>
            <w:vAlign w:val="bottom"/>
            <w:shd w:val="clear" w:color="auto" w:fill="E0E7ED"/>
          </w:tcPr>
          <w:p>
            <w:pPr>
              <w:spacing w:after="0"/>
              <w:rPr>
                <w:sz w:val="15"/>
                <w:szCs w:val="15"/>
                <w:color w:val="auto"/>
              </w:rPr>
            </w:pPr>
          </w:p>
        </w:tc>
        <w:tc>
          <w:tcPr>
            <w:tcW w:w="920" w:type="dxa"/>
            <w:vAlign w:val="bottom"/>
            <w:gridSpan w:val="2"/>
            <w:vMerge w:val="continue"/>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1000" w:type="dxa"/>
            <w:vAlign w:val="bottom"/>
            <w:gridSpan w:val="2"/>
            <w:vMerge w:val="continue"/>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8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Stock-based compensation</w:t>
            </w:r>
          </w:p>
        </w:tc>
        <w:tc>
          <w:tcPr>
            <w:tcW w:w="116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6,928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4"/>
                <w:szCs w:val="14"/>
                <w:color w:val="auto"/>
              </w:rPr>
            </w:pPr>
          </w:p>
        </w:tc>
        <w:tc>
          <w:tcPr>
            <w:tcW w:w="880" w:type="dxa"/>
            <w:vAlign w:val="bottom"/>
          </w:tcPr>
          <w:p>
            <w:pPr>
              <w:jc w:val="right"/>
              <w:ind w:right="17"/>
              <w:spacing w:after="0"/>
              <w:rPr>
                <w:sz w:val="20"/>
                <w:szCs w:val="20"/>
                <w:color w:val="auto"/>
              </w:rPr>
            </w:pPr>
            <w:r>
              <w:rPr>
                <w:rFonts w:ascii="Verdana" w:cs="Verdana" w:eastAsia="Verdana" w:hAnsi="Verdana"/>
                <w:sz w:val="13"/>
                <w:szCs w:val="13"/>
                <w:color w:val="auto"/>
              </w:rPr>
              <w:t>6,928</w:t>
            </w:r>
          </w:p>
        </w:tc>
        <w:tc>
          <w:tcPr>
            <w:tcW w:w="0" w:type="dxa"/>
            <w:vAlign w:val="bottom"/>
          </w:tcPr>
          <w:p>
            <w:pPr>
              <w:spacing w:after="0"/>
              <w:rPr>
                <w:sz w:val="1"/>
                <w:szCs w:val="1"/>
                <w:color w:val="auto"/>
              </w:rPr>
            </w:pPr>
          </w:p>
        </w:tc>
      </w:tr>
      <w:tr>
        <w:trPr>
          <w:trHeight w:val="199"/>
        </w:trPr>
        <w:tc>
          <w:tcPr>
            <w:tcW w:w="3180" w:type="dxa"/>
            <w:vAlign w:val="bottom"/>
            <w:tcBorders>
              <w:top w:val="single" w:sz="8" w:color="E0E7ED"/>
              <w:bottom w:val="single" w:sz="8" w:color="E0E7ED"/>
            </w:tcBorders>
            <w:shd w:val="clear" w:color="auto" w:fill="E0E7ED"/>
          </w:tcPr>
          <w:p>
            <w:pPr>
              <w:ind w:left="20"/>
              <w:spacing w:after="0"/>
              <w:rPr>
                <w:sz w:val="20"/>
                <w:szCs w:val="20"/>
                <w:color w:val="auto"/>
              </w:rPr>
            </w:pPr>
            <w:r>
              <w:rPr>
                <w:rFonts w:ascii="Verdana" w:cs="Verdana" w:eastAsia="Verdana" w:hAnsi="Verdana"/>
                <w:sz w:val="13"/>
                <w:szCs w:val="13"/>
                <w:b w:val="1"/>
                <w:bCs w:val="1"/>
                <w:color w:val="auto"/>
              </w:rPr>
              <w:t>Balance, September 30, 2023</w:t>
            </w:r>
          </w:p>
        </w:tc>
        <w:tc>
          <w:tcPr>
            <w:tcW w:w="108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55,342,017</w:t>
            </w:r>
          </w:p>
        </w:tc>
        <w:tc>
          <w:tcPr>
            <w:tcW w:w="80" w:type="dxa"/>
            <w:vAlign w:val="bottom"/>
            <w:tcBorders>
              <w:top w:val="single" w:sz="8" w:color="E0E7ED"/>
              <w:bottom w:val="single" w:sz="8" w:color="E0E7ED"/>
            </w:tcBorders>
            <w:shd w:val="clear" w:color="auto" w:fill="E0E7ED"/>
          </w:tcPr>
          <w:p>
            <w:pPr>
              <w:spacing w:after="0"/>
              <w:rPr>
                <w:sz w:val="16"/>
                <w:szCs w:val="16"/>
                <w:color w:val="auto"/>
              </w:rPr>
            </w:pPr>
          </w:p>
        </w:tc>
        <w:tc>
          <w:tcPr>
            <w:tcW w:w="860" w:type="dxa"/>
            <w:vAlign w:val="bottom"/>
            <w:tcBorders>
              <w:top w:val="single" w:sz="8" w:color="auto"/>
              <w:bottom w:val="single" w:sz="8" w:color="auto"/>
            </w:tcBorders>
            <w:shd w:val="clear" w:color="auto" w:fill="E0E7ED"/>
          </w:tcPr>
          <w:p>
            <w:pPr>
              <w:jc w:val="right"/>
              <w:ind w:right="697"/>
              <w:spacing w:after="0"/>
              <w:rPr>
                <w:sz w:val="20"/>
                <w:szCs w:val="20"/>
                <w:color w:val="auto"/>
              </w:rPr>
            </w:pPr>
            <w:r>
              <w:rPr>
                <w:rFonts w:ascii="Verdana" w:cs="Verdana" w:eastAsia="Verdana" w:hAnsi="Verdana"/>
                <w:sz w:val="13"/>
                <w:szCs w:val="13"/>
                <w:color w:val="auto"/>
                <w:w w:val="95"/>
              </w:rPr>
              <w:t>$</w:t>
            </w:r>
          </w:p>
        </w:tc>
        <w:tc>
          <w:tcPr>
            <w:tcW w:w="2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83"/>
              </w:rPr>
              <w:t>58</w:t>
            </w:r>
          </w:p>
        </w:tc>
        <w:tc>
          <w:tcPr>
            <w:tcW w:w="80" w:type="dxa"/>
            <w:vAlign w:val="bottom"/>
            <w:tcBorders>
              <w:top w:val="single" w:sz="8" w:color="E0E7ED"/>
              <w:bottom w:val="single" w:sz="8" w:color="E0E7ED"/>
            </w:tcBorders>
            <w:shd w:val="clear" w:color="auto" w:fill="E0E7ED"/>
          </w:tcPr>
          <w:p>
            <w:pPr>
              <w:spacing w:after="0"/>
              <w:rPr>
                <w:sz w:val="16"/>
                <w:szCs w:val="16"/>
                <w:color w:val="auto"/>
              </w:rPr>
            </w:pPr>
          </w:p>
        </w:tc>
        <w:tc>
          <w:tcPr>
            <w:tcW w:w="1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1,324,438</w:t>
            </w:r>
          </w:p>
        </w:tc>
        <w:tc>
          <w:tcPr>
            <w:tcW w:w="80" w:type="dxa"/>
            <w:vAlign w:val="bottom"/>
            <w:tcBorders>
              <w:top w:val="single" w:sz="8" w:color="E0E7ED"/>
              <w:bottom w:val="single" w:sz="8" w:color="E0E7ED"/>
            </w:tcBorders>
            <w:shd w:val="clear" w:color="auto" w:fill="E0E7ED"/>
          </w:tcPr>
          <w:p>
            <w:pPr>
              <w:spacing w:after="0"/>
              <w:rPr>
                <w:sz w:val="16"/>
                <w:szCs w:val="16"/>
                <w:color w:val="auto"/>
              </w:rPr>
            </w:pPr>
          </w:p>
        </w:tc>
        <w:tc>
          <w:tcPr>
            <w:tcW w:w="1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224,698</w:t>
            </w:r>
          </w:p>
        </w:tc>
        <w:tc>
          <w:tcPr>
            <w:tcW w:w="80" w:type="dxa"/>
            <w:vAlign w:val="bottom"/>
            <w:tcBorders>
              <w:top w:val="single" w:sz="8" w:color="E0E7ED"/>
              <w:bottom w:val="single" w:sz="8" w:color="E0E7ED"/>
            </w:tcBorders>
            <w:shd w:val="clear" w:color="auto" w:fill="E0E7ED"/>
          </w:tcPr>
          <w:p>
            <w:pPr>
              <w:spacing w:after="0"/>
              <w:rPr>
                <w:sz w:val="16"/>
                <w:szCs w:val="16"/>
                <w:color w:val="auto"/>
              </w:rPr>
            </w:pPr>
          </w:p>
        </w:tc>
        <w:tc>
          <w:tcPr>
            <w:tcW w:w="240" w:type="dxa"/>
            <w:vAlign w:val="bottom"/>
            <w:tcBorders>
              <w:top w:val="single" w:sz="8" w:color="auto"/>
              <w:bottom w:val="single" w:sz="8" w:color="auto"/>
            </w:tcBorders>
            <w:shd w:val="clear" w:color="auto" w:fill="E0E7ED"/>
          </w:tcPr>
          <w:p>
            <w:pPr>
              <w:jc w:val="right"/>
              <w:ind w:right="77"/>
              <w:spacing w:after="0"/>
              <w:rPr>
                <w:sz w:val="20"/>
                <w:szCs w:val="20"/>
                <w:color w:val="auto"/>
              </w:rPr>
            </w:pPr>
            <w:r>
              <w:rPr>
                <w:rFonts w:ascii="Verdana" w:cs="Verdana" w:eastAsia="Verdana" w:hAnsi="Verdana"/>
                <w:sz w:val="13"/>
                <w:szCs w:val="13"/>
                <w:color w:val="auto"/>
                <w:w w:val="95"/>
              </w:rPr>
              <w:t>$</w:t>
            </w:r>
          </w:p>
        </w:tc>
        <w:tc>
          <w:tcPr>
            <w:tcW w:w="8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(290,730)</w:t>
            </w:r>
          </w:p>
        </w:tc>
        <w:tc>
          <w:tcPr>
            <w:tcW w:w="80" w:type="dxa"/>
            <w:vAlign w:val="bottom"/>
            <w:tcBorders>
              <w:top w:val="single" w:sz="8" w:color="E0E7ED"/>
              <w:bottom w:val="single" w:sz="8" w:color="E0E7ED"/>
            </w:tcBorders>
            <w:shd w:val="clear" w:color="auto" w:fill="E0E7ED"/>
          </w:tcPr>
          <w:p>
            <w:pPr>
              <w:spacing w:after="0"/>
              <w:rPr>
                <w:sz w:val="16"/>
                <w:szCs w:val="16"/>
                <w:color w:val="auto"/>
              </w:rPr>
            </w:pPr>
          </w:p>
        </w:tc>
        <w:tc>
          <w:tcPr>
            <w:tcW w:w="1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(68,306)</w:t>
            </w:r>
          </w:p>
        </w:tc>
        <w:tc>
          <w:tcPr>
            <w:tcW w:w="80" w:type="dxa"/>
            <w:vAlign w:val="bottom"/>
            <w:tcBorders>
              <w:top w:val="single" w:sz="8" w:color="E0E7ED"/>
              <w:bottom w:val="single" w:sz="8" w:color="E0E7ED"/>
            </w:tcBorders>
            <w:shd w:val="clear" w:color="auto" w:fill="E0E7ED"/>
          </w:tcPr>
          <w:p>
            <w:pPr>
              <w:spacing w:after="0"/>
              <w:rPr>
                <w:sz w:val="16"/>
                <w:szCs w:val="16"/>
                <w:color w:val="auto"/>
              </w:rPr>
            </w:pPr>
          </w:p>
        </w:tc>
        <w:tc>
          <w:tcPr>
            <w:tcW w:w="220" w:type="dxa"/>
            <w:vAlign w:val="bottom"/>
            <w:tcBorders>
              <w:top w:val="single" w:sz="8" w:color="auto"/>
              <w:bottom w:val="single" w:sz="8" w:color="auto"/>
            </w:tcBorders>
            <w:shd w:val="clear" w:color="auto" w:fill="E0E7ED"/>
          </w:tcPr>
          <w:p>
            <w:pPr>
              <w:jc w:val="right"/>
              <w:ind w:right="57"/>
              <w:spacing w:after="0"/>
              <w:rPr>
                <w:sz w:val="20"/>
                <w:szCs w:val="20"/>
                <w:color w:val="auto"/>
              </w:rPr>
            </w:pPr>
            <w:r>
              <w:rPr>
                <w:rFonts w:ascii="Verdana" w:cs="Verdana" w:eastAsia="Verdana" w:hAnsi="Verdana"/>
                <w:sz w:val="13"/>
                <w:szCs w:val="13"/>
                <w:color w:val="auto"/>
                <w:w w:val="95"/>
              </w:rPr>
              <w:t>$</w:t>
            </w:r>
          </w:p>
        </w:tc>
        <w:tc>
          <w:tcPr>
            <w:tcW w:w="88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1,190,158</w:t>
            </w:r>
          </w:p>
        </w:tc>
        <w:tc>
          <w:tcPr>
            <w:tcW w:w="0" w:type="dxa"/>
            <w:vAlign w:val="bottom"/>
          </w:tcPr>
          <w:p>
            <w:pPr>
              <w:spacing w:after="0"/>
              <w:rPr>
                <w:sz w:val="1"/>
                <w:szCs w:val="1"/>
                <w:color w:val="auto"/>
              </w:rPr>
            </w:pPr>
          </w:p>
        </w:tc>
      </w:tr>
      <w:tr>
        <w:trPr>
          <w:trHeight w:val="20"/>
        </w:trPr>
        <w:tc>
          <w:tcPr>
            <w:tcW w:w="3180" w:type="dxa"/>
            <w:vAlign w:val="bottom"/>
            <w:tcBorders>
              <w:top w:val="single" w:sz="8" w:color="E0E7ED"/>
            </w:tcBorders>
          </w:tcPr>
          <w:p>
            <w:pPr>
              <w:spacing w:after="0" w:line="20" w:lineRule="exact"/>
              <w:rPr>
                <w:sz w:val="1"/>
                <w:szCs w:val="1"/>
                <w:color w:val="auto"/>
              </w:rPr>
            </w:pPr>
          </w:p>
        </w:tc>
        <w:tc>
          <w:tcPr>
            <w:tcW w:w="10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860" w:type="dxa"/>
            <w:vAlign w:val="bottom"/>
            <w:tcBorders>
              <w:top w:val="single" w:sz="8" w:color="E0E7ED"/>
              <w:bottom w:val="single" w:sz="8" w:color="auto"/>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4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9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8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9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88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 xml:space="preserve">See accompanying </w:t>
      </w:r>
      <w:r>
        <w:rPr>
          <w:rFonts w:ascii="Verdana" w:cs="Verdana" w:eastAsia="Verdana" w:hAnsi="Verdana"/>
          <w:sz w:val="18"/>
          <w:szCs w:val="18"/>
          <w:u w:val="single" w:color="auto"/>
          <w:color w:val="0000FF"/>
        </w:rPr>
        <w:t>Notes to Consolidated Financial Statements (Unaudited)</w:t>
      </w:r>
      <w:r>
        <w:rPr>
          <w:rFonts w:ascii="Verdana" w:cs="Verdana" w:eastAsia="Verdana" w:hAnsi="Verdana"/>
          <w:sz w:val="18"/>
          <w:szCs w:val="18"/>
          <w:color w:val="auto"/>
        </w:rPr>
        <w:t>.</w:t>
      </w: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0" w:name="page11"/>
    <w:bookmarkEnd w:id="1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18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line="236" w:lineRule="auto"/>
        <w:rPr>
          <w:sz w:val="20"/>
          <w:szCs w:val="20"/>
          <w:color w:val="auto"/>
        </w:rPr>
      </w:pPr>
      <w:r>
        <w:rPr>
          <w:rFonts w:ascii="Verdana" w:cs="Verdana" w:eastAsia="Verdana" w:hAnsi="Verdana"/>
          <w:sz w:val="18"/>
          <w:szCs w:val="18"/>
          <w:b w:val="1"/>
          <w:bCs w:val="1"/>
          <w:color w:val="auto"/>
        </w:rPr>
        <w:t>CONSOLIDATED STATEMENTS OF CASH FLOWS (Unaudited)</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257"/>
              <w:spacing w:after="0"/>
              <w:rPr>
                <w:sz w:val="20"/>
                <w:szCs w:val="20"/>
                <w:color w:val="auto"/>
              </w:rPr>
            </w:pPr>
            <w:r>
              <w:rPr>
                <w:rFonts w:ascii="Verdana" w:cs="Verdana" w:eastAsia="Verdana" w:hAnsi="Verdana"/>
                <w:sz w:val="13"/>
                <w:szCs w:val="13"/>
                <w:b w:val="1"/>
                <w:bCs w:val="1"/>
                <w:color w:val="auto"/>
                <w:w w:val="99"/>
              </w:rPr>
              <w:t>Nine Months Ended September 30,</w:t>
            </w:r>
          </w:p>
        </w:tc>
      </w:tr>
      <w:tr>
        <w:trPr>
          <w:trHeight w:val="170"/>
        </w:trPr>
        <w:tc>
          <w:tcPr>
            <w:tcW w:w="3600" w:type="dxa"/>
            <w:vAlign w:val="bottom"/>
            <w:tcBorders>
              <w:bottom w:val="single" w:sz="8" w:color="E0E7ED"/>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450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2023</w:t>
            </w:r>
          </w:p>
        </w:tc>
      </w:tr>
      <w:tr>
        <w:trPr>
          <w:trHeight w:val="161"/>
        </w:trPr>
        <w:tc>
          <w:tcPr>
            <w:tcW w:w="8180" w:type="dxa"/>
            <w:vAlign w:val="bottom"/>
            <w:gridSpan w:val="3"/>
            <w:shd w:val="clear" w:color="auto" w:fill="E0E7ED"/>
          </w:tcPr>
          <w:p>
            <w:pPr>
              <w:ind w:left="20"/>
              <w:spacing w:after="0" w:line="150" w:lineRule="exact"/>
              <w:rPr>
                <w:sz w:val="20"/>
                <w:szCs w:val="20"/>
                <w:color w:val="auto"/>
              </w:rPr>
            </w:pPr>
            <w:r>
              <w:rPr>
                <w:rFonts w:ascii="Verdana" w:cs="Verdana" w:eastAsia="Verdana" w:hAnsi="Verdana"/>
                <w:sz w:val="13"/>
                <w:szCs w:val="13"/>
                <w:b w:val="1"/>
                <w:bCs w:val="1"/>
                <w:color w:val="auto"/>
              </w:rPr>
              <w:t>Cash flows provided by (used in) operating activities</w:t>
            </w:r>
          </w:p>
        </w:tc>
        <w:tc>
          <w:tcPr>
            <w:tcW w:w="200" w:type="dxa"/>
            <w:vAlign w:val="bottom"/>
            <w:shd w:val="clear" w:color="auto" w:fill="E0E7ED"/>
          </w:tcPr>
          <w:p>
            <w:pPr>
              <w:spacing w:after="0"/>
              <w:rPr>
                <w:sz w:val="13"/>
                <w:szCs w:val="13"/>
                <w:color w:val="auto"/>
              </w:rPr>
            </w:pPr>
          </w:p>
        </w:tc>
        <w:tc>
          <w:tcPr>
            <w:tcW w:w="128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32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r>
      <w:tr>
        <w:trPr>
          <w:trHeight w:val="170"/>
        </w:trPr>
        <w:tc>
          <w:tcPr>
            <w:tcW w:w="8180" w:type="dxa"/>
            <w:vAlign w:val="bottom"/>
            <w:gridSpan w:val="3"/>
          </w:tcPr>
          <w:p>
            <w:pPr>
              <w:ind w:left="180"/>
              <w:spacing w:after="0"/>
              <w:rPr>
                <w:sz w:val="20"/>
                <w:szCs w:val="20"/>
                <w:color w:val="auto"/>
              </w:rPr>
            </w:pPr>
            <w:r>
              <w:rPr>
                <w:rFonts w:ascii="Verdana" w:cs="Verdana" w:eastAsia="Verdana" w:hAnsi="Verdana"/>
                <w:sz w:val="13"/>
                <w:szCs w:val="13"/>
                <w:color w:val="auto"/>
              </w:rPr>
              <w:t>Net income</w:t>
            </w: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1280" w:type="dxa"/>
            <w:vAlign w:val="bottom"/>
          </w:tcPr>
          <w:p>
            <w:pPr>
              <w:jc w:val="right"/>
              <w:ind w:right="17"/>
              <w:spacing w:after="0"/>
              <w:rPr>
                <w:sz w:val="20"/>
                <w:szCs w:val="20"/>
                <w:color w:val="auto"/>
              </w:rPr>
            </w:pPr>
            <w:r>
              <w:rPr>
                <w:rFonts w:ascii="Verdana" w:cs="Verdana" w:eastAsia="Verdana" w:hAnsi="Verdana"/>
                <w:sz w:val="13"/>
                <w:szCs w:val="13"/>
                <w:color w:val="auto"/>
              </w:rPr>
              <w:t>85,586</w:t>
            </w:r>
          </w:p>
        </w:tc>
        <w:tc>
          <w:tcPr>
            <w:tcW w:w="100" w:type="dxa"/>
            <w:vAlign w:val="bottom"/>
          </w:tcPr>
          <w:p>
            <w:pPr>
              <w:spacing w:after="0"/>
              <w:rPr>
                <w:sz w:val="14"/>
                <w:szCs w:val="14"/>
                <w:color w:val="auto"/>
              </w:rPr>
            </w:pPr>
          </w:p>
        </w:tc>
        <w:tc>
          <w:tcPr>
            <w:tcW w:w="320" w:type="dxa"/>
            <w:vAlign w:val="bottom"/>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96,816</w:t>
            </w:r>
          </w:p>
        </w:tc>
      </w:tr>
      <w:tr>
        <w:trPr>
          <w:trHeight w:val="181"/>
        </w:trPr>
        <w:tc>
          <w:tcPr>
            <w:tcW w:w="8180" w:type="dxa"/>
            <w:vAlign w:val="bottom"/>
            <w:gridSpan w:val="3"/>
            <w:shd w:val="clear" w:color="auto" w:fill="E0E7ED"/>
          </w:tcPr>
          <w:p>
            <w:pPr>
              <w:ind w:left="180"/>
              <w:spacing w:after="0"/>
              <w:rPr>
                <w:sz w:val="20"/>
                <w:szCs w:val="20"/>
                <w:color w:val="auto"/>
              </w:rPr>
            </w:pPr>
            <w:r>
              <w:rPr>
                <w:rFonts w:ascii="Verdana" w:cs="Verdana" w:eastAsia="Verdana" w:hAnsi="Verdana"/>
                <w:sz w:val="13"/>
                <w:szCs w:val="13"/>
                <w:color w:val="auto"/>
              </w:rPr>
              <w:t>Adjustments to reconcile net income to net cash provided by (used in) operating activities:</w:t>
            </w: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r>
      <w:tr>
        <w:trPr>
          <w:trHeight w:val="170"/>
        </w:trPr>
        <w:tc>
          <w:tcPr>
            <w:tcW w:w="8180" w:type="dxa"/>
            <w:vAlign w:val="bottom"/>
            <w:gridSpan w:val="3"/>
          </w:tcPr>
          <w:p>
            <w:pPr>
              <w:ind w:left="360"/>
              <w:spacing w:after="0"/>
              <w:rPr>
                <w:sz w:val="20"/>
                <w:szCs w:val="20"/>
                <w:color w:val="auto"/>
              </w:rPr>
            </w:pPr>
            <w:r>
              <w:rPr>
                <w:rFonts w:ascii="Verdana" w:cs="Verdana" w:eastAsia="Verdana" w:hAnsi="Verdana"/>
                <w:sz w:val="13"/>
                <w:szCs w:val="13"/>
                <w:color w:val="auto"/>
              </w:rPr>
              <w:t>Provision for credit losses</w:t>
            </w:r>
          </w:p>
        </w:tc>
        <w:tc>
          <w:tcPr>
            <w:tcW w:w="200" w:type="dxa"/>
            <w:vAlign w:val="bottom"/>
          </w:tcPr>
          <w:p>
            <w:pPr>
              <w:spacing w:after="0"/>
              <w:rPr>
                <w:sz w:val="14"/>
                <w:szCs w:val="14"/>
                <w:color w:val="auto"/>
              </w:rPr>
            </w:pPr>
          </w:p>
        </w:tc>
        <w:tc>
          <w:tcPr>
            <w:tcW w:w="1280" w:type="dxa"/>
            <w:vAlign w:val="bottom"/>
          </w:tcPr>
          <w:p>
            <w:pPr>
              <w:jc w:val="right"/>
              <w:ind w:right="17"/>
              <w:spacing w:after="0"/>
              <w:rPr>
                <w:sz w:val="20"/>
                <w:szCs w:val="20"/>
                <w:color w:val="auto"/>
              </w:rPr>
            </w:pPr>
            <w:r>
              <w:rPr>
                <w:rFonts w:ascii="Verdana" w:cs="Verdana" w:eastAsia="Verdana" w:hAnsi="Verdana"/>
                <w:sz w:val="13"/>
                <w:szCs w:val="13"/>
                <w:color w:val="auto"/>
              </w:rPr>
              <w:t>7,317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1,944</w:t>
            </w:r>
          </w:p>
        </w:tc>
      </w:tr>
      <w:tr>
        <w:trPr>
          <w:trHeight w:val="181"/>
        </w:trPr>
        <w:tc>
          <w:tcPr>
            <w:tcW w:w="8180" w:type="dxa"/>
            <w:vAlign w:val="bottom"/>
            <w:gridSpan w:val="3"/>
            <w:shd w:val="clear" w:color="auto" w:fill="E0E7ED"/>
          </w:tcPr>
          <w:p>
            <w:pPr>
              <w:ind w:left="360"/>
              <w:spacing w:after="0"/>
              <w:rPr>
                <w:sz w:val="20"/>
                <w:szCs w:val="20"/>
                <w:color w:val="auto"/>
              </w:rPr>
            </w:pPr>
            <w:r>
              <w:rPr>
                <w:rFonts w:ascii="Verdana" w:cs="Verdana" w:eastAsia="Verdana" w:hAnsi="Verdana"/>
                <w:sz w:val="13"/>
                <w:szCs w:val="13"/>
                <w:color w:val="auto"/>
              </w:rPr>
              <w:t>Amortization of intangible assets</w:t>
            </w: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7,586</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7,953</w:t>
            </w:r>
          </w:p>
        </w:tc>
      </w:tr>
      <w:tr>
        <w:trPr>
          <w:trHeight w:val="170"/>
        </w:trPr>
        <w:tc>
          <w:tcPr>
            <w:tcW w:w="8180" w:type="dxa"/>
            <w:vAlign w:val="bottom"/>
            <w:gridSpan w:val="3"/>
          </w:tcPr>
          <w:p>
            <w:pPr>
              <w:ind w:left="360"/>
              <w:spacing w:after="0"/>
              <w:rPr>
                <w:sz w:val="20"/>
                <w:szCs w:val="20"/>
                <w:color w:val="auto"/>
              </w:rPr>
            </w:pPr>
            <w:r>
              <w:rPr>
                <w:rFonts w:ascii="Verdana" w:cs="Verdana" w:eastAsia="Verdana" w:hAnsi="Verdana"/>
                <w:sz w:val="13"/>
                <w:szCs w:val="13"/>
                <w:color w:val="auto"/>
              </w:rPr>
              <w:t>Amortization of mortgage servicing rights</w:t>
            </w:r>
          </w:p>
        </w:tc>
        <w:tc>
          <w:tcPr>
            <w:tcW w:w="200" w:type="dxa"/>
            <w:vAlign w:val="bottom"/>
          </w:tcPr>
          <w:p>
            <w:pPr>
              <w:spacing w:after="0"/>
              <w:rPr>
                <w:sz w:val="14"/>
                <w:szCs w:val="14"/>
                <w:color w:val="auto"/>
              </w:rPr>
            </w:pPr>
          </w:p>
        </w:tc>
        <w:tc>
          <w:tcPr>
            <w:tcW w:w="1280" w:type="dxa"/>
            <w:vAlign w:val="bottom"/>
          </w:tcPr>
          <w:p>
            <w:pPr>
              <w:jc w:val="right"/>
              <w:ind w:right="17"/>
              <w:spacing w:after="0"/>
              <w:rPr>
                <w:sz w:val="20"/>
                <w:szCs w:val="20"/>
                <w:color w:val="auto"/>
              </w:rPr>
            </w:pPr>
            <w:r>
              <w:rPr>
                <w:rFonts w:ascii="Verdana" w:cs="Verdana" w:eastAsia="Verdana" w:hAnsi="Verdana"/>
                <w:sz w:val="13"/>
                <w:szCs w:val="13"/>
                <w:color w:val="auto"/>
              </w:rPr>
              <w:t>826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2,155</w:t>
            </w:r>
          </w:p>
        </w:tc>
      </w:tr>
      <w:tr>
        <w:trPr>
          <w:trHeight w:val="181"/>
        </w:trPr>
        <w:tc>
          <w:tcPr>
            <w:tcW w:w="8180" w:type="dxa"/>
            <w:vAlign w:val="bottom"/>
            <w:gridSpan w:val="3"/>
            <w:shd w:val="clear" w:color="auto" w:fill="E0E7ED"/>
          </w:tcPr>
          <w:p>
            <w:pPr>
              <w:ind w:left="360"/>
              <w:spacing w:after="0"/>
              <w:rPr>
                <w:sz w:val="20"/>
                <w:szCs w:val="20"/>
                <w:color w:val="auto"/>
              </w:rPr>
            </w:pPr>
            <w:r>
              <w:rPr>
                <w:rFonts w:ascii="Verdana" w:cs="Verdana" w:eastAsia="Verdana" w:hAnsi="Verdana"/>
                <w:sz w:val="13"/>
                <w:szCs w:val="13"/>
                <w:color w:val="auto"/>
              </w:rPr>
              <w:t>Amortization of NMTC</w:t>
            </w:r>
          </w:p>
        </w:tc>
        <w:tc>
          <w:tcPr>
            <w:tcW w:w="200" w:type="dxa"/>
            <w:vAlign w:val="bottom"/>
            <w:shd w:val="clear" w:color="auto" w:fill="E0E7ED"/>
          </w:tcPr>
          <w:p>
            <w:pPr>
              <w:spacing w:after="0"/>
              <w:rPr>
                <w:sz w:val="15"/>
                <w:szCs w:val="15"/>
                <w:color w:val="auto"/>
              </w:rPr>
            </w:pPr>
          </w:p>
        </w:tc>
        <w:tc>
          <w:tcPr>
            <w:tcW w:w="138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3"/>
                <w:szCs w:val="13"/>
                <w:color w:val="auto"/>
              </w:rPr>
              <w:t>—</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6,740</w:t>
            </w:r>
          </w:p>
        </w:tc>
      </w:tr>
      <w:tr>
        <w:trPr>
          <w:trHeight w:val="170"/>
        </w:trPr>
        <w:tc>
          <w:tcPr>
            <w:tcW w:w="8180" w:type="dxa"/>
            <w:vAlign w:val="bottom"/>
            <w:gridSpan w:val="3"/>
          </w:tcPr>
          <w:p>
            <w:pPr>
              <w:ind w:left="360"/>
              <w:spacing w:after="0"/>
              <w:rPr>
                <w:sz w:val="20"/>
                <w:szCs w:val="20"/>
                <w:color w:val="auto"/>
              </w:rPr>
            </w:pPr>
            <w:r>
              <w:rPr>
                <w:rFonts w:ascii="Verdana" w:cs="Verdana" w:eastAsia="Verdana" w:hAnsi="Verdana"/>
                <w:sz w:val="13"/>
                <w:szCs w:val="13"/>
                <w:color w:val="auto"/>
              </w:rPr>
              <w:t>Depreciation and amortization of premises and equipment</w:t>
            </w:r>
          </w:p>
        </w:tc>
        <w:tc>
          <w:tcPr>
            <w:tcW w:w="200" w:type="dxa"/>
            <w:vAlign w:val="bottom"/>
          </w:tcPr>
          <w:p>
            <w:pPr>
              <w:spacing w:after="0"/>
              <w:rPr>
                <w:sz w:val="14"/>
                <w:szCs w:val="14"/>
                <w:color w:val="auto"/>
              </w:rPr>
            </w:pPr>
          </w:p>
        </w:tc>
        <w:tc>
          <w:tcPr>
            <w:tcW w:w="1280" w:type="dxa"/>
            <w:vAlign w:val="bottom"/>
          </w:tcPr>
          <w:p>
            <w:pPr>
              <w:jc w:val="right"/>
              <w:ind w:right="17"/>
              <w:spacing w:after="0"/>
              <w:rPr>
                <w:sz w:val="20"/>
                <w:szCs w:val="20"/>
                <w:color w:val="auto"/>
              </w:rPr>
            </w:pPr>
            <w:r>
              <w:rPr>
                <w:rFonts w:ascii="Verdana" w:cs="Verdana" w:eastAsia="Verdana" w:hAnsi="Verdana"/>
                <w:sz w:val="13"/>
                <w:szCs w:val="13"/>
                <w:color w:val="auto"/>
              </w:rPr>
              <w:t>7,186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7,052</w:t>
            </w:r>
          </w:p>
        </w:tc>
      </w:tr>
      <w:tr>
        <w:trPr>
          <w:trHeight w:val="181"/>
        </w:trPr>
        <w:tc>
          <w:tcPr>
            <w:tcW w:w="8180" w:type="dxa"/>
            <w:vAlign w:val="bottom"/>
            <w:gridSpan w:val="3"/>
            <w:shd w:val="clear" w:color="auto" w:fill="E0E7ED"/>
          </w:tcPr>
          <w:p>
            <w:pPr>
              <w:ind w:left="360"/>
              <w:spacing w:after="0"/>
              <w:rPr>
                <w:sz w:val="20"/>
                <w:szCs w:val="20"/>
                <w:color w:val="auto"/>
              </w:rPr>
            </w:pPr>
            <w:r>
              <w:rPr>
                <w:rFonts w:ascii="Verdana" w:cs="Verdana" w:eastAsia="Verdana" w:hAnsi="Verdana"/>
                <w:sz w:val="13"/>
                <w:szCs w:val="13"/>
                <w:color w:val="auto"/>
              </w:rPr>
              <w:t>Net amortization (accretion) on portfolio loans</w:t>
            </w: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3,602</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5,399</w:t>
            </w:r>
          </w:p>
        </w:tc>
      </w:tr>
      <w:tr>
        <w:trPr>
          <w:trHeight w:val="170"/>
        </w:trPr>
        <w:tc>
          <w:tcPr>
            <w:tcW w:w="8180" w:type="dxa"/>
            <w:vAlign w:val="bottom"/>
            <w:gridSpan w:val="3"/>
          </w:tcPr>
          <w:p>
            <w:pPr>
              <w:ind w:left="360"/>
              <w:spacing w:after="0"/>
              <w:rPr>
                <w:sz w:val="20"/>
                <w:szCs w:val="20"/>
                <w:color w:val="auto"/>
              </w:rPr>
            </w:pPr>
            <w:r>
              <w:rPr>
                <w:rFonts w:ascii="Verdana" w:cs="Verdana" w:eastAsia="Verdana" w:hAnsi="Verdana"/>
                <w:sz w:val="13"/>
                <w:szCs w:val="13"/>
                <w:color w:val="auto"/>
              </w:rPr>
              <w:t>Net amortization (accretion) of premium (discount) on investment securities</w:t>
            </w:r>
          </w:p>
        </w:tc>
        <w:tc>
          <w:tcPr>
            <w:tcW w:w="200" w:type="dxa"/>
            <w:vAlign w:val="bottom"/>
          </w:tcPr>
          <w:p>
            <w:pPr>
              <w:spacing w:after="0"/>
              <w:rPr>
                <w:sz w:val="14"/>
                <w:szCs w:val="14"/>
                <w:color w:val="auto"/>
              </w:rPr>
            </w:pPr>
          </w:p>
        </w:tc>
        <w:tc>
          <w:tcPr>
            <w:tcW w:w="1280" w:type="dxa"/>
            <w:vAlign w:val="bottom"/>
          </w:tcPr>
          <w:p>
            <w:pPr>
              <w:jc w:val="right"/>
              <w:ind w:right="17"/>
              <w:spacing w:after="0"/>
              <w:rPr>
                <w:sz w:val="20"/>
                <w:szCs w:val="20"/>
                <w:color w:val="auto"/>
              </w:rPr>
            </w:pPr>
            <w:r>
              <w:rPr>
                <w:rFonts w:ascii="Verdana" w:cs="Verdana" w:eastAsia="Verdana" w:hAnsi="Verdana"/>
                <w:sz w:val="13"/>
                <w:szCs w:val="13"/>
                <w:color w:val="auto"/>
              </w:rPr>
              <w:t>6,848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11,351</w:t>
            </w:r>
          </w:p>
        </w:tc>
      </w:tr>
      <w:tr>
        <w:trPr>
          <w:trHeight w:val="181"/>
        </w:trPr>
        <w:tc>
          <w:tcPr>
            <w:tcW w:w="8180" w:type="dxa"/>
            <w:vAlign w:val="bottom"/>
            <w:gridSpan w:val="3"/>
            <w:shd w:val="clear" w:color="auto" w:fill="E0E7ED"/>
          </w:tcPr>
          <w:p>
            <w:pPr>
              <w:ind w:left="360"/>
              <w:spacing w:after="0"/>
              <w:rPr>
                <w:sz w:val="20"/>
                <w:szCs w:val="20"/>
                <w:color w:val="auto"/>
              </w:rPr>
            </w:pPr>
            <w:r>
              <w:rPr>
                <w:rFonts w:ascii="Verdana" w:cs="Verdana" w:eastAsia="Verdana" w:hAnsi="Verdana"/>
                <w:sz w:val="13"/>
                <w:szCs w:val="13"/>
                <w:color w:val="auto"/>
              </w:rPr>
              <w:t>Net amortization (accretion) of premium (discount) on time deposits</w:t>
            </w: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87</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(223)</w:t>
            </w:r>
          </w:p>
        </w:tc>
      </w:tr>
      <w:tr>
        <w:trPr>
          <w:trHeight w:val="170"/>
        </w:trPr>
        <w:tc>
          <w:tcPr>
            <w:tcW w:w="8180" w:type="dxa"/>
            <w:vAlign w:val="bottom"/>
            <w:gridSpan w:val="3"/>
          </w:tcPr>
          <w:p>
            <w:pPr>
              <w:ind w:left="360"/>
              <w:spacing w:after="0"/>
              <w:rPr>
                <w:sz w:val="20"/>
                <w:szCs w:val="20"/>
                <w:color w:val="auto"/>
              </w:rPr>
            </w:pPr>
            <w:r>
              <w:rPr>
                <w:rFonts w:ascii="Verdana" w:cs="Verdana" w:eastAsia="Verdana" w:hAnsi="Verdana"/>
                <w:sz w:val="13"/>
                <w:szCs w:val="13"/>
                <w:color w:val="auto"/>
              </w:rPr>
              <w:t>Net amortization (accretion) of premium (discount) on FHLB advances and other borrowings</w:t>
            </w:r>
          </w:p>
        </w:tc>
        <w:tc>
          <w:tcPr>
            <w:tcW w:w="200" w:type="dxa"/>
            <w:vAlign w:val="bottom"/>
          </w:tcPr>
          <w:p>
            <w:pPr>
              <w:spacing w:after="0"/>
              <w:rPr>
                <w:sz w:val="14"/>
                <w:szCs w:val="14"/>
                <w:color w:val="auto"/>
              </w:rPr>
            </w:pPr>
          </w:p>
        </w:tc>
        <w:tc>
          <w:tcPr>
            <w:tcW w:w="1280" w:type="dxa"/>
            <w:vAlign w:val="bottom"/>
          </w:tcPr>
          <w:p>
            <w:pPr>
              <w:jc w:val="right"/>
              <w:ind w:right="17"/>
              <w:spacing w:after="0"/>
              <w:rPr>
                <w:sz w:val="20"/>
                <w:szCs w:val="20"/>
                <w:color w:val="auto"/>
              </w:rPr>
            </w:pPr>
            <w:r>
              <w:rPr>
                <w:rFonts w:ascii="Verdana" w:cs="Verdana" w:eastAsia="Verdana" w:hAnsi="Verdana"/>
                <w:sz w:val="13"/>
                <w:szCs w:val="13"/>
                <w:color w:val="auto"/>
              </w:rPr>
              <w:t>856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764</w:t>
            </w:r>
          </w:p>
        </w:tc>
      </w:tr>
      <w:tr>
        <w:trPr>
          <w:trHeight w:val="181"/>
        </w:trPr>
        <w:tc>
          <w:tcPr>
            <w:tcW w:w="8180" w:type="dxa"/>
            <w:vAlign w:val="bottom"/>
            <w:gridSpan w:val="3"/>
            <w:shd w:val="clear" w:color="auto" w:fill="E0E7ED"/>
          </w:tcPr>
          <w:p>
            <w:pPr>
              <w:ind w:left="360"/>
              <w:spacing w:after="0"/>
              <w:rPr>
                <w:sz w:val="20"/>
                <w:szCs w:val="20"/>
                <w:color w:val="auto"/>
              </w:rPr>
            </w:pPr>
            <w:r>
              <w:rPr>
                <w:rFonts w:ascii="Verdana" w:cs="Verdana" w:eastAsia="Verdana" w:hAnsi="Verdana"/>
                <w:sz w:val="13"/>
                <w:szCs w:val="13"/>
                <w:color w:val="auto"/>
              </w:rPr>
              <w:t>Impairment of OREO and other repossessed assets</w:t>
            </w:r>
          </w:p>
        </w:tc>
        <w:tc>
          <w:tcPr>
            <w:tcW w:w="200" w:type="dxa"/>
            <w:vAlign w:val="bottom"/>
            <w:shd w:val="clear" w:color="auto" w:fill="E0E7ED"/>
          </w:tcPr>
          <w:p>
            <w:pPr>
              <w:spacing w:after="0"/>
              <w:rPr>
                <w:sz w:val="15"/>
                <w:szCs w:val="15"/>
                <w:color w:val="auto"/>
              </w:rPr>
            </w:pPr>
          </w:p>
        </w:tc>
        <w:tc>
          <w:tcPr>
            <w:tcW w:w="138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3"/>
                <w:szCs w:val="13"/>
                <w:color w:val="auto"/>
              </w:rPr>
              <w:t>—</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113</w:t>
            </w:r>
          </w:p>
        </w:tc>
      </w:tr>
      <w:tr>
        <w:trPr>
          <w:trHeight w:val="170"/>
        </w:trPr>
        <w:tc>
          <w:tcPr>
            <w:tcW w:w="8180" w:type="dxa"/>
            <w:vAlign w:val="bottom"/>
            <w:gridSpan w:val="3"/>
          </w:tcPr>
          <w:p>
            <w:pPr>
              <w:ind w:left="360"/>
              <w:spacing w:after="0"/>
              <w:rPr>
                <w:sz w:val="20"/>
                <w:szCs w:val="20"/>
                <w:color w:val="auto"/>
              </w:rPr>
            </w:pPr>
            <w:r>
              <w:rPr>
                <w:rFonts w:ascii="Verdana" w:cs="Verdana" w:eastAsia="Verdana" w:hAnsi="Verdana"/>
                <w:sz w:val="13"/>
                <w:szCs w:val="13"/>
                <w:color w:val="auto"/>
              </w:rPr>
              <w:t>Impairment of fixed assets held for sale</w:t>
            </w:r>
          </w:p>
        </w:tc>
        <w:tc>
          <w:tcPr>
            <w:tcW w:w="200" w:type="dxa"/>
            <w:vAlign w:val="bottom"/>
          </w:tcPr>
          <w:p>
            <w:pPr>
              <w:spacing w:after="0"/>
              <w:rPr>
                <w:sz w:val="14"/>
                <w:szCs w:val="14"/>
                <w:color w:val="auto"/>
              </w:rPr>
            </w:pPr>
          </w:p>
        </w:tc>
        <w:tc>
          <w:tcPr>
            <w:tcW w:w="1280" w:type="dxa"/>
            <w:vAlign w:val="bottom"/>
          </w:tcPr>
          <w:p>
            <w:pPr>
              <w:jc w:val="right"/>
              <w:ind w:right="17"/>
              <w:spacing w:after="0"/>
              <w:rPr>
                <w:sz w:val="20"/>
                <w:szCs w:val="20"/>
                <w:color w:val="auto"/>
              </w:rPr>
            </w:pPr>
            <w:r>
              <w:rPr>
                <w:rFonts w:ascii="Verdana" w:cs="Verdana" w:eastAsia="Verdana" w:hAnsi="Verdana"/>
                <w:sz w:val="13"/>
                <w:szCs w:val="13"/>
                <w:color w:val="auto"/>
              </w:rPr>
              <w:t>369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w:t>
            </w:r>
          </w:p>
        </w:tc>
      </w:tr>
      <w:tr>
        <w:trPr>
          <w:trHeight w:val="181"/>
        </w:trPr>
        <w:tc>
          <w:tcPr>
            <w:tcW w:w="8180" w:type="dxa"/>
            <w:vAlign w:val="bottom"/>
            <w:gridSpan w:val="3"/>
            <w:shd w:val="clear" w:color="auto" w:fill="E0E7ED"/>
          </w:tcPr>
          <w:p>
            <w:pPr>
              <w:ind w:left="360"/>
              <w:spacing w:after="0"/>
              <w:rPr>
                <w:sz w:val="20"/>
                <w:szCs w:val="20"/>
                <w:color w:val="auto"/>
              </w:rPr>
            </w:pPr>
            <w:r>
              <w:rPr>
                <w:rFonts w:ascii="Verdana" w:cs="Verdana" w:eastAsia="Verdana" w:hAnsi="Verdana"/>
                <w:sz w:val="13"/>
                <w:szCs w:val="13"/>
                <w:color w:val="auto"/>
              </w:rPr>
              <w:t>Impairment of mortgage servicing rights</w:t>
            </w: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233</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w:t>
            </w:r>
          </w:p>
        </w:tc>
      </w:tr>
      <w:tr>
        <w:trPr>
          <w:trHeight w:val="170"/>
        </w:trPr>
        <w:tc>
          <w:tcPr>
            <w:tcW w:w="8180" w:type="dxa"/>
            <w:vAlign w:val="bottom"/>
            <w:gridSpan w:val="3"/>
          </w:tcPr>
          <w:p>
            <w:pPr>
              <w:ind w:left="360"/>
              <w:spacing w:after="0"/>
              <w:rPr>
                <w:sz w:val="20"/>
                <w:szCs w:val="20"/>
                <w:color w:val="auto"/>
              </w:rPr>
            </w:pPr>
            <w:r>
              <w:rPr>
                <w:rFonts w:ascii="Verdana" w:cs="Verdana" w:eastAsia="Verdana" w:hAnsi="Verdana"/>
                <w:sz w:val="13"/>
                <w:szCs w:val="13"/>
                <w:color w:val="auto"/>
              </w:rPr>
              <w:t>Unrealized (gains) losses recognized on equity securities, net</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Verdana" w:cs="Verdana" w:eastAsia="Verdana" w:hAnsi="Verdana"/>
                <w:sz w:val="13"/>
                <w:szCs w:val="13"/>
                <w:color w:val="auto"/>
              </w:rPr>
              <w:t>(911)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2,753</w:t>
            </w:r>
          </w:p>
        </w:tc>
      </w:tr>
      <w:tr>
        <w:trPr>
          <w:trHeight w:val="181"/>
        </w:trPr>
        <w:tc>
          <w:tcPr>
            <w:tcW w:w="8180" w:type="dxa"/>
            <w:vAlign w:val="bottom"/>
            <w:gridSpan w:val="3"/>
            <w:shd w:val="clear" w:color="auto" w:fill="E0E7ED"/>
          </w:tcPr>
          <w:p>
            <w:pPr>
              <w:ind w:left="360"/>
              <w:spacing w:after="0"/>
              <w:rPr>
                <w:sz w:val="20"/>
                <w:szCs w:val="20"/>
                <w:color w:val="auto"/>
              </w:rPr>
            </w:pPr>
            <w:r>
              <w:rPr>
                <w:rFonts w:ascii="Verdana" w:cs="Verdana" w:eastAsia="Verdana" w:hAnsi="Verdana"/>
                <w:sz w:val="13"/>
                <w:szCs w:val="13"/>
                <w:color w:val="auto"/>
              </w:rPr>
              <w:t>(Gain) loss on sales of debt securities, net</w:t>
            </w: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6,817</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207</w:t>
            </w:r>
          </w:p>
        </w:tc>
      </w:tr>
      <w:tr>
        <w:trPr>
          <w:trHeight w:val="170"/>
        </w:trPr>
        <w:tc>
          <w:tcPr>
            <w:tcW w:w="8180" w:type="dxa"/>
            <w:vAlign w:val="bottom"/>
            <w:gridSpan w:val="3"/>
          </w:tcPr>
          <w:p>
            <w:pPr>
              <w:ind w:left="360"/>
              <w:spacing w:after="0"/>
              <w:rPr>
                <w:sz w:val="20"/>
                <w:szCs w:val="20"/>
                <w:color w:val="auto"/>
              </w:rPr>
            </w:pPr>
            <w:r>
              <w:rPr>
                <w:rFonts w:ascii="Verdana" w:cs="Verdana" w:eastAsia="Verdana" w:hAnsi="Verdana"/>
                <w:sz w:val="13"/>
                <w:szCs w:val="13"/>
                <w:color w:val="auto"/>
              </w:rPr>
              <w:t>(Gain) loss on sales of mortgage servicing rights</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Verdana" w:cs="Verdana" w:eastAsia="Verdana" w:hAnsi="Verdana"/>
                <w:sz w:val="13"/>
                <w:szCs w:val="13"/>
                <w:color w:val="auto"/>
              </w:rPr>
              <w:t>(7,724)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w:t>
            </w:r>
          </w:p>
        </w:tc>
      </w:tr>
      <w:tr>
        <w:trPr>
          <w:trHeight w:val="181"/>
        </w:trPr>
        <w:tc>
          <w:tcPr>
            <w:tcW w:w="8180" w:type="dxa"/>
            <w:vAlign w:val="bottom"/>
            <w:gridSpan w:val="3"/>
            <w:shd w:val="clear" w:color="auto" w:fill="E0E7ED"/>
          </w:tcPr>
          <w:p>
            <w:pPr>
              <w:ind w:left="360"/>
              <w:spacing w:after="0"/>
              <w:rPr>
                <w:sz w:val="20"/>
                <w:szCs w:val="20"/>
                <w:color w:val="auto"/>
              </w:rPr>
            </w:pPr>
            <w:r>
              <w:rPr>
                <w:rFonts w:ascii="Verdana" w:cs="Verdana" w:eastAsia="Verdana" w:hAnsi="Verdana"/>
                <w:sz w:val="13"/>
                <w:szCs w:val="13"/>
                <w:color w:val="auto"/>
              </w:rPr>
              <w:t>(Gain) loss on sales of loans, net</w:t>
            </w: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(1,307)</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(603)</w:t>
            </w:r>
          </w:p>
        </w:tc>
      </w:tr>
      <w:tr>
        <w:trPr>
          <w:trHeight w:val="170"/>
        </w:trPr>
        <w:tc>
          <w:tcPr>
            <w:tcW w:w="8180" w:type="dxa"/>
            <w:vAlign w:val="bottom"/>
            <w:gridSpan w:val="3"/>
          </w:tcPr>
          <w:p>
            <w:pPr>
              <w:ind w:left="360"/>
              <w:spacing w:after="0"/>
              <w:rPr>
                <w:sz w:val="20"/>
                <w:szCs w:val="20"/>
                <w:color w:val="auto"/>
              </w:rPr>
            </w:pPr>
            <w:r>
              <w:rPr>
                <w:rFonts w:ascii="Verdana" w:cs="Verdana" w:eastAsia="Verdana" w:hAnsi="Verdana"/>
                <w:sz w:val="13"/>
                <w:szCs w:val="13"/>
                <w:color w:val="auto"/>
              </w:rPr>
              <w:t>(Gain) loss on sales of OREO and other repossessed assets</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Verdana" w:cs="Verdana" w:eastAsia="Verdana" w:hAnsi="Verdana"/>
                <w:sz w:val="13"/>
                <w:szCs w:val="13"/>
                <w:color w:val="auto"/>
              </w:rPr>
              <w:t>(549)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4</w:t>
            </w:r>
          </w:p>
        </w:tc>
      </w:tr>
      <w:tr>
        <w:trPr>
          <w:trHeight w:val="181"/>
        </w:trPr>
        <w:tc>
          <w:tcPr>
            <w:tcW w:w="8180" w:type="dxa"/>
            <w:vAlign w:val="bottom"/>
            <w:gridSpan w:val="3"/>
            <w:shd w:val="clear" w:color="auto" w:fill="E0E7ED"/>
          </w:tcPr>
          <w:p>
            <w:pPr>
              <w:ind w:left="360"/>
              <w:spacing w:after="0"/>
              <w:rPr>
                <w:sz w:val="20"/>
                <w:szCs w:val="20"/>
                <w:color w:val="auto"/>
              </w:rPr>
            </w:pPr>
            <w:r>
              <w:rPr>
                <w:rFonts w:ascii="Verdana" w:cs="Verdana" w:eastAsia="Verdana" w:hAnsi="Verdana"/>
                <w:sz w:val="13"/>
                <w:szCs w:val="13"/>
                <w:color w:val="auto"/>
              </w:rPr>
              <w:t>(Gain) loss on sales of premises and equipment</w:t>
            </w: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(32)</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(197)</w:t>
            </w:r>
          </w:p>
        </w:tc>
      </w:tr>
      <w:tr>
        <w:trPr>
          <w:trHeight w:val="170"/>
        </w:trPr>
        <w:tc>
          <w:tcPr>
            <w:tcW w:w="8180" w:type="dxa"/>
            <w:vAlign w:val="bottom"/>
            <w:gridSpan w:val="3"/>
          </w:tcPr>
          <w:p>
            <w:pPr>
              <w:ind w:left="360"/>
              <w:spacing w:after="0"/>
              <w:rPr>
                <w:sz w:val="20"/>
                <w:szCs w:val="20"/>
                <w:color w:val="auto"/>
              </w:rPr>
            </w:pPr>
            <w:r>
              <w:rPr>
                <w:rFonts w:ascii="Verdana" w:cs="Verdana" w:eastAsia="Verdana" w:hAnsi="Verdana"/>
                <w:sz w:val="13"/>
                <w:szCs w:val="13"/>
                <w:color w:val="auto"/>
              </w:rPr>
              <w:t>(Gain) loss on life insurance proceeds</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Verdana" w:cs="Verdana" w:eastAsia="Verdana" w:hAnsi="Verdana"/>
                <w:sz w:val="13"/>
                <w:szCs w:val="13"/>
                <w:color w:val="auto"/>
              </w:rPr>
              <w:t>(895)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(759)</w:t>
            </w:r>
          </w:p>
        </w:tc>
      </w:tr>
      <w:tr>
        <w:trPr>
          <w:trHeight w:val="181"/>
        </w:trPr>
        <w:tc>
          <w:tcPr>
            <w:tcW w:w="8180" w:type="dxa"/>
            <w:vAlign w:val="bottom"/>
            <w:gridSpan w:val="3"/>
            <w:shd w:val="clear" w:color="auto" w:fill="E0E7ED"/>
          </w:tcPr>
          <w:p>
            <w:pPr>
              <w:ind w:left="360"/>
              <w:spacing w:after="0"/>
              <w:rPr>
                <w:sz w:val="20"/>
                <w:szCs w:val="20"/>
                <w:color w:val="auto"/>
              </w:rPr>
            </w:pPr>
            <w:r>
              <w:rPr>
                <w:rFonts w:ascii="Verdana" w:cs="Verdana" w:eastAsia="Verdana" w:hAnsi="Verdana"/>
                <w:sz w:val="13"/>
                <w:szCs w:val="13"/>
                <w:color w:val="auto"/>
              </w:rPr>
              <w:t>(Increase) decrease in cash surrender value of bank owned life insurance</w:t>
            </w: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(3,155)</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(2,923)</w:t>
            </w:r>
          </w:p>
        </w:tc>
      </w:tr>
      <w:tr>
        <w:trPr>
          <w:trHeight w:val="170"/>
        </w:trPr>
        <w:tc>
          <w:tcPr>
            <w:tcW w:w="8180" w:type="dxa"/>
            <w:vAlign w:val="bottom"/>
            <w:gridSpan w:val="3"/>
          </w:tcPr>
          <w:p>
            <w:pPr>
              <w:ind w:left="360"/>
              <w:spacing w:after="0"/>
              <w:rPr>
                <w:sz w:val="20"/>
                <w:szCs w:val="20"/>
                <w:color w:val="auto"/>
              </w:rPr>
            </w:pPr>
            <w:r>
              <w:rPr>
                <w:rFonts w:ascii="Verdana" w:cs="Verdana" w:eastAsia="Verdana" w:hAnsi="Verdana"/>
                <w:sz w:val="13"/>
                <w:szCs w:val="13"/>
                <w:color w:val="auto"/>
              </w:rPr>
              <w:t>Provision for deferred income taxes</w:t>
            </w:r>
          </w:p>
        </w:tc>
        <w:tc>
          <w:tcPr>
            <w:tcW w:w="200" w:type="dxa"/>
            <w:vAlign w:val="bottom"/>
          </w:tcPr>
          <w:p>
            <w:pPr>
              <w:spacing w:after="0"/>
              <w:rPr>
                <w:sz w:val="14"/>
                <w:szCs w:val="14"/>
                <w:color w:val="auto"/>
              </w:rPr>
            </w:pPr>
          </w:p>
        </w:tc>
        <w:tc>
          <w:tcPr>
            <w:tcW w:w="1280" w:type="dxa"/>
            <w:vAlign w:val="bottom"/>
          </w:tcPr>
          <w:p>
            <w:pPr>
              <w:jc w:val="right"/>
              <w:ind w:right="17"/>
              <w:spacing w:after="0"/>
              <w:rPr>
                <w:sz w:val="20"/>
                <w:szCs w:val="20"/>
                <w:color w:val="auto"/>
              </w:rPr>
            </w:pPr>
            <w:r>
              <w:rPr>
                <w:rFonts w:ascii="Verdana" w:cs="Verdana" w:eastAsia="Verdana" w:hAnsi="Verdana"/>
                <w:sz w:val="13"/>
                <w:szCs w:val="13"/>
                <w:color w:val="auto"/>
              </w:rPr>
              <w:t>1,905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(2,000)</w:t>
            </w:r>
          </w:p>
        </w:tc>
      </w:tr>
      <w:tr>
        <w:trPr>
          <w:trHeight w:val="181"/>
        </w:trPr>
        <w:tc>
          <w:tcPr>
            <w:tcW w:w="8180" w:type="dxa"/>
            <w:vAlign w:val="bottom"/>
            <w:gridSpan w:val="3"/>
            <w:shd w:val="clear" w:color="auto" w:fill="E0E7ED"/>
          </w:tcPr>
          <w:p>
            <w:pPr>
              <w:ind w:left="360"/>
              <w:spacing w:after="0"/>
              <w:rPr>
                <w:sz w:val="20"/>
                <w:szCs w:val="20"/>
                <w:color w:val="auto"/>
              </w:rPr>
            </w:pPr>
            <w:r>
              <w:rPr>
                <w:rFonts w:ascii="Verdana" w:cs="Verdana" w:eastAsia="Verdana" w:hAnsi="Verdana"/>
                <w:sz w:val="13"/>
                <w:szCs w:val="13"/>
                <w:color w:val="auto"/>
              </w:rPr>
              <w:t>Stock-based compensation</w:t>
            </w: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5,828</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6,928</w:t>
            </w:r>
          </w:p>
        </w:tc>
      </w:tr>
      <w:tr>
        <w:trPr>
          <w:trHeight w:val="170"/>
        </w:trPr>
        <w:tc>
          <w:tcPr>
            <w:tcW w:w="8180" w:type="dxa"/>
            <w:vAlign w:val="bottom"/>
            <w:gridSpan w:val="3"/>
          </w:tcPr>
          <w:p>
            <w:pPr>
              <w:ind w:left="360"/>
              <w:spacing w:after="0"/>
              <w:rPr>
                <w:sz w:val="20"/>
                <w:szCs w:val="20"/>
                <w:color w:val="auto"/>
              </w:rPr>
            </w:pPr>
            <w:r>
              <w:rPr>
                <w:rFonts w:ascii="Verdana" w:cs="Verdana" w:eastAsia="Verdana" w:hAnsi="Verdana"/>
                <w:sz w:val="13"/>
                <w:szCs w:val="13"/>
                <w:color w:val="auto"/>
              </w:rPr>
              <w:t>Proceeds from the sale of mortgage servicing rights</w:t>
            </w:r>
          </w:p>
        </w:tc>
        <w:tc>
          <w:tcPr>
            <w:tcW w:w="200" w:type="dxa"/>
            <w:vAlign w:val="bottom"/>
          </w:tcPr>
          <w:p>
            <w:pPr>
              <w:spacing w:after="0"/>
              <w:rPr>
                <w:sz w:val="14"/>
                <w:szCs w:val="14"/>
                <w:color w:val="auto"/>
              </w:rPr>
            </w:pPr>
          </w:p>
        </w:tc>
        <w:tc>
          <w:tcPr>
            <w:tcW w:w="1280" w:type="dxa"/>
            <w:vAlign w:val="bottom"/>
          </w:tcPr>
          <w:p>
            <w:pPr>
              <w:jc w:val="right"/>
              <w:ind w:right="17"/>
              <w:spacing w:after="0"/>
              <w:rPr>
                <w:sz w:val="20"/>
                <w:szCs w:val="20"/>
                <w:color w:val="auto"/>
              </w:rPr>
            </w:pPr>
            <w:r>
              <w:rPr>
                <w:rFonts w:ascii="Verdana" w:cs="Verdana" w:eastAsia="Verdana" w:hAnsi="Verdana"/>
                <w:sz w:val="13"/>
                <w:szCs w:val="13"/>
                <w:color w:val="auto"/>
              </w:rPr>
              <w:t>9,796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w:t>
            </w:r>
          </w:p>
        </w:tc>
      </w:tr>
      <w:tr>
        <w:trPr>
          <w:trHeight w:val="181"/>
        </w:trPr>
        <w:tc>
          <w:tcPr>
            <w:tcW w:w="8180" w:type="dxa"/>
            <w:vAlign w:val="bottom"/>
            <w:gridSpan w:val="3"/>
            <w:shd w:val="clear" w:color="auto" w:fill="E0E7ED"/>
          </w:tcPr>
          <w:p>
            <w:pPr>
              <w:ind w:left="360"/>
              <w:spacing w:after="0"/>
              <w:rPr>
                <w:sz w:val="20"/>
                <w:szCs w:val="20"/>
                <w:color w:val="auto"/>
              </w:rPr>
            </w:pPr>
            <w:r>
              <w:rPr>
                <w:rFonts w:ascii="Verdana" w:cs="Verdana" w:eastAsia="Verdana" w:hAnsi="Verdana"/>
                <w:sz w:val="13"/>
                <w:szCs w:val="13"/>
                <w:color w:val="auto"/>
              </w:rPr>
              <w:t>Mortgage loans originated for sale</w:t>
            </w: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(85,741)</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(28,663)</w:t>
            </w:r>
          </w:p>
        </w:tc>
      </w:tr>
      <w:tr>
        <w:trPr>
          <w:trHeight w:val="170"/>
        </w:trPr>
        <w:tc>
          <w:tcPr>
            <w:tcW w:w="8180" w:type="dxa"/>
            <w:vAlign w:val="bottom"/>
            <w:gridSpan w:val="3"/>
          </w:tcPr>
          <w:p>
            <w:pPr>
              <w:ind w:left="360"/>
              <w:spacing w:after="0"/>
              <w:rPr>
                <w:sz w:val="20"/>
                <w:szCs w:val="20"/>
                <w:color w:val="auto"/>
              </w:rPr>
            </w:pPr>
            <w:r>
              <w:rPr>
                <w:rFonts w:ascii="Verdana" w:cs="Verdana" w:eastAsia="Verdana" w:hAnsi="Verdana"/>
                <w:sz w:val="13"/>
                <w:szCs w:val="13"/>
                <w:color w:val="auto"/>
              </w:rPr>
              <w:t>Proceeds from sales of mortgage loans</w:t>
            </w:r>
          </w:p>
        </w:tc>
        <w:tc>
          <w:tcPr>
            <w:tcW w:w="200" w:type="dxa"/>
            <w:vAlign w:val="bottom"/>
          </w:tcPr>
          <w:p>
            <w:pPr>
              <w:spacing w:after="0"/>
              <w:rPr>
                <w:sz w:val="14"/>
                <w:szCs w:val="14"/>
                <w:color w:val="auto"/>
              </w:rPr>
            </w:pPr>
          </w:p>
        </w:tc>
        <w:tc>
          <w:tcPr>
            <w:tcW w:w="1280" w:type="dxa"/>
            <w:vAlign w:val="bottom"/>
          </w:tcPr>
          <w:p>
            <w:pPr>
              <w:jc w:val="right"/>
              <w:ind w:right="17"/>
              <w:spacing w:after="0"/>
              <w:rPr>
                <w:sz w:val="20"/>
                <w:szCs w:val="20"/>
                <w:color w:val="auto"/>
              </w:rPr>
            </w:pPr>
            <w:r>
              <w:rPr>
                <w:rFonts w:ascii="Verdana" w:cs="Verdana" w:eastAsia="Verdana" w:hAnsi="Verdana"/>
                <w:sz w:val="13"/>
                <w:szCs w:val="13"/>
                <w:color w:val="auto"/>
              </w:rPr>
              <w:t>78,006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27,418</w:t>
            </w:r>
          </w:p>
        </w:tc>
      </w:tr>
      <w:tr>
        <w:trPr>
          <w:trHeight w:val="181"/>
        </w:trPr>
        <w:tc>
          <w:tcPr>
            <w:tcW w:w="8180" w:type="dxa"/>
            <w:vAlign w:val="bottom"/>
            <w:gridSpan w:val="3"/>
            <w:shd w:val="clear" w:color="auto" w:fill="E0E7ED"/>
          </w:tcPr>
          <w:p>
            <w:pPr>
              <w:ind w:left="360"/>
              <w:spacing w:after="0"/>
              <w:rPr>
                <w:sz w:val="20"/>
                <w:szCs w:val="20"/>
                <w:color w:val="auto"/>
              </w:rPr>
            </w:pPr>
            <w:r>
              <w:rPr>
                <w:rFonts w:ascii="Verdana" w:cs="Verdana" w:eastAsia="Verdana" w:hAnsi="Verdana"/>
                <w:sz w:val="13"/>
                <w:szCs w:val="13"/>
                <w:color w:val="auto"/>
              </w:rPr>
              <w:t>(Increase) decrease in other assets</w:t>
            </w: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10,082</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(15,072)</w:t>
            </w:r>
          </w:p>
        </w:tc>
      </w:tr>
      <w:tr>
        <w:trPr>
          <w:trHeight w:val="170"/>
        </w:trPr>
        <w:tc>
          <w:tcPr>
            <w:tcW w:w="8180" w:type="dxa"/>
            <w:vAlign w:val="bottom"/>
            <w:tcBorders>
              <w:bottom w:val="single" w:sz="8" w:color="E0E7ED"/>
            </w:tcBorders>
            <w:gridSpan w:val="3"/>
          </w:tcPr>
          <w:p>
            <w:pPr>
              <w:ind w:left="360"/>
              <w:spacing w:after="0"/>
              <w:rPr>
                <w:sz w:val="20"/>
                <w:szCs w:val="20"/>
                <w:color w:val="auto"/>
              </w:rPr>
            </w:pPr>
            <w:r>
              <w:rPr>
                <w:rFonts w:ascii="Verdana" w:cs="Verdana" w:eastAsia="Verdana" w:hAnsi="Verdana"/>
                <w:sz w:val="13"/>
                <w:szCs w:val="13"/>
                <w:color w:val="auto"/>
              </w:rPr>
              <w:t>Increase (decrease) in other liabilities</w:t>
            </w: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(6,655)</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171</w:t>
            </w:r>
          </w:p>
        </w:tc>
      </w:tr>
      <w:tr>
        <w:trPr>
          <w:trHeight w:val="169"/>
        </w:trPr>
        <w:tc>
          <w:tcPr>
            <w:tcW w:w="8180" w:type="dxa"/>
            <w:vAlign w:val="bottom"/>
            <w:gridSpan w:val="3"/>
            <w:shd w:val="clear" w:color="auto" w:fill="E0E7ED"/>
          </w:tcPr>
          <w:p>
            <w:pPr>
              <w:ind w:left="20"/>
              <w:spacing w:after="0"/>
              <w:rPr>
                <w:sz w:val="20"/>
                <w:szCs w:val="20"/>
                <w:color w:val="auto"/>
              </w:rPr>
            </w:pPr>
            <w:r>
              <w:rPr>
                <w:rFonts w:ascii="Verdana" w:cs="Verdana" w:eastAsia="Verdana" w:hAnsi="Verdana"/>
                <w:sz w:val="13"/>
                <w:szCs w:val="13"/>
                <w:color w:val="auto"/>
              </w:rPr>
              <w:t>Net cash provided by (used in) operating activities</w:t>
            </w:r>
          </w:p>
        </w:tc>
        <w:tc>
          <w:tcPr>
            <w:tcW w:w="200" w:type="dxa"/>
            <w:vAlign w:val="bottom"/>
            <w:tcBorders>
              <w:bottom w:val="single" w:sz="8" w:color="auto"/>
            </w:tcBorders>
            <w:shd w:val="clear" w:color="auto" w:fill="E0E7ED"/>
          </w:tcPr>
          <w:p>
            <w:pPr>
              <w:spacing w:after="0"/>
              <w:rPr>
                <w:sz w:val="14"/>
                <w:szCs w:val="14"/>
                <w:color w:val="auto"/>
              </w:rPr>
            </w:pPr>
          </w:p>
        </w:tc>
        <w:tc>
          <w:tcPr>
            <w:tcW w:w="12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125,961</w:t>
            </w:r>
          </w:p>
        </w:tc>
        <w:tc>
          <w:tcPr>
            <w:tcW w:w="100" w:type="dxa"/>
            <w:vAlign w:val="bottom"/>
            <w:shd w:val="clear" w:color="auto" w:fill="E0E7ED"/>
          </w:tcPr>
          <w:p>
            <w:pPr>
              <w:spacing w:after="0"/>
              <w:rPr>
                <w:sz w:val="14"/>
                <w:szCs w:val="14"/>
                <w:color w:val="auto"/>
              </w:rPr>
            </w:pPr>
          </w:p>
        </w:tc>
        <w:tc>
          <w:tcPr>
            <w:tcW w:w="320" w:type="dxa"/>
            <w:vAlign w:val="bottom"/>
            <w:tcBorders>
              <w:bottom w:val="single" w:sz="8" w:color="auto"/>
            </w:tcBorders>
            <w:shd w:val="clear" w:color="auto" w:fill="E0E7ED"/>
          </w:tcPr>
          <w:p>
            <w:pPr>
              <w:spacing w:after="0"/>
              <w:rPr>
                <w:sz w:val="14"/>
                <w:szCs w:val="14"/>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127,329</w:t>
            </w:r>
          </w:p>
        </w:tc>
      </w:tr>
      <w:tr>
        <w:trPr>
          <w:trHeight w:val="188"/>
        </w:trPr>
        <w:tc>
          <w:tcPr>
            <w:tcW w:w="3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75"/>
        </w:trPr>
        <w:tc>
          <w:tcPr>
            <w:tcW w:w="8180" w:type="dxa"/>
            <w:vAlign w:val="bottom"/>
            <w:gridSpan w:val="3"/>
            <w:shd w:val="clear" w:color="auto" w:fill="E0E7ED"/>
          </w:tcPr>
          <w:p>
            <w:pPr>
              <w:ind w:left="20"/>
              <w:spacing w:after="0"/>
              <w:rPr>
                <w:sz w:val="20"/>
                <w:szCs w:val="20"/>
                <w:color w:val="auto"/>
              </w:rPr>
            </w:pPr>
            <w:r>
              <w:rPr>
                <w:rFonts w:ascii="Verdana" w:cs="Verdana" w:eastAsia="Verdana" w:hAnsi="Verdana"/>
                <w:sz w:val="13"/>
                <w:szCs w:val="13"/>
                <w:b w:val="1"/>
                <w:bCs w:val="1"/>
                <w:color w:val="auto"/>
              </w:rPr>
              <w:t>Cash flows provided by (used in) investing activities</w:t>
            </w: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r>
      <w:tr>
        <w:trPr>
          <w:trHeight w:val="170"/>
        </w:trPr>
        <w:tc>
          <w:tcPr>
            <w:tcW w:w="8180" w:type="dxa"/>
            <w:vAlign w:val="bottom"/>
            <w:gridSpan w:val="3"/>
          </w:tcPr>
          <w:p>
            <w:pPr>
              <w:ind w:left="180"/>
              <w:spacing w:after="0"/>
              <w:rPr>
                <w:sz w:val="20"/>
                <w:szCs w:val="20"/>
                <w:color w:val="auto"/>
              </w:rPr>
            </w:pPr>
            <w:r>
              <w:rPr>
                <w:rFonts w:ascii="Verdana" w:cs="Verdana" w:eastAsia="Verdana" w:hAnsi="Verdana"/>
                <w:sz w:val="13"/>
                <w:szCs w:val="13"/>
                <w:color w:val="auto"/>
              </w:rPr>
              <w:t>Purchases of equity securities</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Verdana" w:cs="Verdana" w:eastAsia="Verdana" w:hAnsi="Verdana"/>
                <w:sz w:val="13"/>
                <w:szCs w:val="13"/>
                <w:color w:val="auto"/>
              </w:rPr>
              <w:t>(647)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(6,169)</w:t>
            </w:r>
          </w:p>
        </w:tc>
      </w:tr>
      <w:tr>
        <w:trPr>
          <w:trHeight w:val="181"/>
        </w:trPr>
        <w:tc>
          <w:tcPr>
            <w:tcW w:w="8180" w:type="dxa"/>
            <w:vAlign w:val="bottom"/>
            <w:gridSpan w:val="3"/>
            <w:shd w:val="clear" w:color="auto" w:fill="E0E7ED"/>
          </w:tcPr>
          <w:p>
            <w:pPr>
              <w:ind w:left="180"/>
              <w:spacing w:after="0"/>
              <w:rPr>
                <w:sz w:val="20"/>
                <w:szCs w:val="20"/>
                <w:color w:val="auto"/>
              </w:rPr>
            </w:pPr>
            <w:r>
              <w:rPr>
                <w:rFonts w:ascii="Verdana" w:cs="Verdana" w:eastAsia="Verdana" w:hAnsi="Verdana"/>
                <w:sz w:val="13"/>
                <w:szCs w:val="13"/>
                <w:color w:val="auto"/>
              </w:rPr>
              <w:t>Purchases of debt securities available for sale</w:t>
            </w: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(31,149)</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(7,796)</w:t>
            </w:r>
          </w:p>
        </w:tc>
      </w:tr>
      <w:tr>
        <w:trPr>
          <w:trHeight w:val="170"/>
        </w:trPr>
        <w:tc>
          <w:tcPr>
            <w:tcW w:w="8180" w:type="dxa"/>
            <w:vAlign w:val="bottom"/>
            <w:gridSpan w:val="3"/>
          </w:tcPr>
          <w:p>
            <w:pPr>
              <w:ind w:left="180"/>
              <w:spacing w:after="0"/>
              <w:rPr>
                <w:sz w:val="20"/>
                <w:szCs w:val="20"/>
                <w:color w:val="auto"/>
              </w:rPr>
            </w:pPr>
            <w:r>
              <w:rPr>
                <w:rFonts w:ascii="Verdana" w:cs="Verdana" w:eastAsia="Verdana" w:hAnsi="Verdana"/>
                <w:sz w:val="13"/>
                <w:szCs w:val="13"/>
                <w:color w:val="auto"/>
              </w:rPr>
              <w:t>Proceeds from sales of equity securities</w:t>
            </w:r>
          </w:p>
        </w:tc>
        <w:tc>
          <w:tcPr>
            <w:tcW w:w="200" w:type="dxa"/>
            <w:vAlign w:val="bottom"/>
          </w:tcPr>
          <w:p>
            <w:pPr>
              <w:spacing w:after="0"/>
              <w:rPr>
                <w:sz w:val="14"/>
                <w:szCs w:val="14"/>
                <w:color w:val="auto"/>
              </w:rPr>
            </w:pPr>
          </w:p>
        </w:tc>
        <w:tc>
          <w:tcPr>
            <w:tcW w:w="1280" w:type="dxa"/>
            <w:vAlign w:val="bottom"/>
          </w:tcPr>
          <w:p>
            <w:pPr>
              <w:jc w:val="right"/>
              <w:ind w:right="17"/>
              <w:spacing w:after="0"/>
              <w:rPr>
                <w:sz w:val="20"/>
                <w:szCs w:val="20"/>
                <w:color w:val="auto"/>
              </w:rPr>
            </w:pPr>
            <w:r>
              <w:rPr>
                <w:rFonts w:ascii="Verdana" w:cs="Verdana" w:eastAsia="Verdana" w:hAnsi="Verdana"/>
                <w:sz w:val="13"/>
                <w:szCs w:val="13"/>
                <w:color w:val="auto"/>
              </w:rPr>
              <w:t>1,055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6,169</w:t>
            </w:r>
          </w:p>
        </w:tc>
      </w:tr>
      <w:tr>
        <w:trPr>
          <w:trHeight w:val="181"/>
        </w:trPr>
        <w:tc>
          <w:tcPr>
            <w:tcW w:w="8180" w:type="dxa"/>
            <w:vAlign w:val="bottom"/>
            <w:gridSpan w:val="3"/>
            <w:shd w:val="clear" w:color="auto" w:fill="E0E7ED"/>
          </w:tcPr>
          <w:p>
            <w:pPr>
              <w:ind w:left="180"/>
              <w:spacing w:after="0"/>
              <w:rPr>
                <w:sz w:val="20"/>
                <w:szCs w:val="20"/>
                <w:color w:val="auto"/>
              </w:rPr>
            </w:pPr>
            <w:r>
              <w:rPr>
                <w:rFonts w:ascii="Verdana" w:cs="Verdana" w:eastAsia="Verdana" w:hAnsi="Verdana"/>
                <w:sz w:val="13"/>
                <w:szCs w:val="13"/>
                <w:color w:val="auto"/>
              </w:rPr>
              <w:t>Proceeds from sales of debt securities available for sale</w:t>
            </w: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101,361</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r>
      <w:tr>
        <w:trPr>
          <w:trHeight w:val="170"/>
        </w:trPr>
        <w:tc>
          <w:tcPr>
            <w:tcW w:w="8180" w:type="dxa"/>
            <w:vAlign w:val="bottom"/>
            <w:gridSpan w:val="3"/>
          </w:tcPr>
          <w:p>
            <w:pPr>
              <w:ind w:left="180"/>
              <w:spacing w:after="0"/>
              <w:rPr>
                <w:sz w:val="20"/>
                <w:szCs w:val="20"/>
                <w:color w:val="auto"/>
              </w:rPr>
            </w:pPr>
            <w:r>
              <w:rPr>
                <w:rFonts w:ascii="Verdana" w:cs="Verdana" w:eastAsia="Verdana" w:hAnsi="Verdana"/>
                <w:sz w:val="13"/>
                <w:szCs w:val="13"/>
                <w:color w:val="auto"/>
              </w:rPr>
              <w:t>Proceeds from paydowns and maturities of debt securities held to maturity</w:t>
            </w:r>
          </w:p>
        </w:tc>
        <w:tc>
          <w:tcPr>
            <w:tcW w:w="200" w:type="dxa"/>
            <w:vAlign w:val="bottom"/>
          </w:tcPr>
          <w:p>
            <w:pPr>
              <w:spacing w:after="0"/>
              <w:rPr>
                <w:sz w:val="14"/>
                <w:szCs w:val="14"/>
                <w:color w:val="auto"/>
              </w:rPr>
            </w:pPr>
          </w:p>
        </w:tc>
        <w:tc>
          <w:tcPr>
            <w:tcW w:w="1280" w:type="dxa"/>
            <w:vAlign w:val="bottom"/>
          </w:tcPr>
          <w:p>
            <w:pPr>
              <w:jc w:val="right"/>
              <w:ind w:right="17"/>
              <w:spacing w:after="0"/>
              <w:rPr>
                <w:sz w:val="20"/>
                <w:szCs w:val="20"/>
                <w:color w:val="auto"/>
              </w:rPr>
            </w:pPr>
            <w:r>
              <w:rPr>
                <w:rFonts w:ascii="Verdana" w:cs="Verdana" w:eastAsia="Verdana" w:hAnsi="Verdana"/>
                <w:sz w:val="13"/>
                <w:szCs w:val="13"/>
                <w:color w:val="auto"/>
              </w:rPr>
              <w:t>35,932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38,172</w:t>
            </w:r>
          </w:p>
        </w:tc>
      </w:tr>
      <w:tr>
        <w:trPr>
          <w:trHeight w:val="181"/>
        </w:trPr>
        <w:tc>
          <w:tcPr>
            <w:tcW w:w="8180" w:type="dxa"/>
            <w:vAlign w:val="bottom"/>
            <w:gridSpan w:val="3"/>
            <w:shd w:val="clear" w:color="auto" w:fill="E0E7ED"/>
          </w:tcPr>
          <w:p>
            <w:pPr>
              <w:ind w:left="180"/>
              <w:spacing w:after="0"/>
              <w:rPr>
                <w:sz w:val="20"/>
                <w:szCs w:val="20"/>
                <w:color w:val="auto"/>
              </w:rPr>
            </w:pPr>
            <w:r>
              <w:rPr>
                <w:rFonts w:ascii="Verdana" w:cs="Verdana" w:eastAsia="Verdana" w:hAnsi="Verdana"/>
                <w:sz w:val="13"/>
                <w:szCs w:val="13"/>
                <w:color w:val="auto"/>
              </w:rPr>
              <w:t>Proceeds from paydowns and maturities of debt securities available for sale</w:t>
            </w: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251,175</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253,648</w:t>
            </w:r>
          </w:p>
        </w:tc>
      </w:tr>
      <w:tr>
        <w:trPr>
          <w:trHeight w:val="170"/>
        </w:trPr>
        <w:tc>
          <w:tcPr>
            <w:tcW w:w="8180" w:type="dxa"/>
            <w:vAlign w:val="bottom"/>
            <w:gridSpan w:val="3"/>
          </w:tcPr>
          <w:p>
            <w:pPr>
              <w:ind w:left="180"/>
              <w:spacing w:after="0"/>
              <w:rPr>
                <w:sz w:val="20"/>
                <w:szCs w:val="20"/>
                <w:color w:val="auto"/>
              </w:rPr>
            </w:pPr>
            <w:r>
              <w:rPr>
                <w:rFonts w:ascii="Verdana" w:cs="Verdana" w:eastAsia="Verdana" w:hAnsi="Verdana"/>
                <w:sz w:val="13"/>
                <w:szCs w:val="13"/>
                <w:color w:val="auto"/>
              </w:rPr>
              <w:t>Purchases of FHLB and other bank stock</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Verdana" w:cs="Verdana" w:eastAsia="Verdana" w:hAnsi="Verdana"/>
                <w:sz w:val="13"/>
                <w:szCs w:val="13"/>
                <w:color w:val="auto"/>
              </w:rPr>
              <w:t>(24)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(30,957)</w:t>
            </w:r>
          </w:p>
        </w:tc>
      </w:tr>
      <w:tr>
        <w:trPr>
          <w:trHeight w:val="181"/>
        </w:trPr>
        <w:tc>
          <w:tcPr>
            <w:tcW w:w="8180" w:type="dxa"/>
            <w:vAlign w:val="bottom"/>
            <w:gridSpan w:val="3"/>
            <w:shd w:val="clear" w:color="auto" w:fill="E0E7ED"/>
          </w:tcPr>
          <w:p>
            <w:pPr>
              <w:ind w:left="180"/>
              <w:spacing w:after="0"/>
              <w:rPr>
                <w:sz w:val="20"/>
                <w:szCs w:val="20"/>
                <w:color w:val="auto"/>
              </w:rPr>
            </w:pPr>
            <w:r>
              <w:rPr>
                <w:rFonts w:ascii="Verdana" w:cs="Verdana" w:eastAsia="Verdana" w:hAnsi="Verdana"/>
                <w:sz w:val="13"/>
                <w:szCs w:val="13"/>
                <w:color w:val="auto"/>
              </w:rPr>
              <w:t>Proceeds from the redemption of FHLB and other bank stock</w:t>
            </w: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884</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43,926</w:t>
            </w:r>
          </w:p>
        </w:tc>
      </w:tr>
      <w:tr>
        <w:trPr>
          <w:trHeight w:val="170"/>
        </w:trPr>
        <w:tc>
          <w:tcPr>
            <w:tcW w:w="8180" w:type="dxa"/>
            <w:vAlign w:val="bottom"/>
            <w:gridSpan w:val="3"/>
          </w:tcPr>
          <w:p>
            <w:pPr>
              <w:ind w:left="180"/>
              <w:spacing w:after="0"/>
              <w:rPr>
                <w:sz w:val="20"/>
                <w:szCs w:val="20"/>
                <w:color w:val="auto"/>
              </w:rPr>
            </w:pPr>
            <w:r>
              <w:rPr>
                <w:rFonts w:ascii="Verdana" w:cs="Verdana" w:eastAsia="Verdana" w:hAnsi="Verdana"/>
                <w:sz w:val="13"/>
                <w:szCs w:val="13"/>
                <w:color w:val="auto"/>
              </w:rPr>
              <w:t>Net (increase) decrease in loans</w:t>
            </w:r>
          </w:p>
        </w:tc>
        <w:tc>
          <w:tcPr>
            <w:tcW w:w="200" w:type="dxa"/>
            <w:vAlign w:val="bottom"/>
          </w:tcPr>
          <w:p>
            <w:pPr>
              <w:spacing w:after="0"/>
              <w:rPr>
                <w:sz w:val="14"/>
                <w:szCs w:val="14"/>
                <w:color w:val="auto"/>
              </w:rPr>
            </w:pPr>
          </w:p>
        </w:tc>
        <w:tc>
          <w:tcPr>
            <w:tcW w:w="1280" w:type="dxa"/>
            <w:vAlign w:val="bottom"/>
          </w:tcPr>
          <w:p>
            <w:pPr>
              <w:jc w:val="right"/>
              <w:ind w:right="17"/>
              <w:spacing w:after="0"/>
              <w:rPr>
                <w:sz w:val="20"/>
                <w:szCs w:val="20"/>
                <w:color w:val="auto"/>
              </w:rPr>
            </w:pPr>
            <w:r>
              <w:rPr>
                <w:rFonts w:ascii="Verdana" w:cs="Verdana" w:eastAsia="Verdana" w:hAnsi="Verdana"/>
                <w:sz w:val="13"/>
                <w:szCs w:val="13"/>
                <w:color w:val="auto"/>
              </w:rPr>
              <w:t>241,463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(137,843)</w:t>
            </w:r>
          </w:p>
        </w:tc>
      </w:tr>
      <w:tr>
        <w:trPr>
          <w:trHeight w:val="140"/>
        </w:trPr>
        <w:tc>
          <w:tcPr>
            <w:tcW w:w="8180" w:type="dxa"/>
            <w:vAlign w:val="bottom"/>
            <w:gridSpan w:val="3"/>
            <w:shd w:val="clear" w:color="auto" w:fill="E0E7ED"/>
          </w:tcPr>
          <w:p>
            <w:pPr>
              <w:ind w:left="180"/>
              <w:spacing w:after="0" w:line="141" w:lineRule="exact"/>
              <w:rPr>
                <w:sz w:val="20"/>
                <w:szCs w:val="20"/>
                <w:color w:val="auto"/>
              </w:rPr>
            </w:pPr>
            <w:r>
              <w:rPr>
                <w:rFonts w:ascii="Verdana" w:cs="Verdana" w:eastAsia="Verdana" w:hAnsi="Verdana"/>
                <w:sz w:val="13"/>
                <w:szCs w:val="13"/>
                <w:color w:val="auto"/>
              </w:rPr>
              <w:t xml:space="preserve">Net cash received in (paid for) acquisitions (see Note </w:t>
            </w:r>
            <w:r>
              <w:rPr>
                <w:rFonts w:ascii="Verdana" w:cs="Verdana" w:eastAsia="Verdana" w:hAnsi="Verdana"/>
                <w:sz w:val="13"/>
                <w:szCs w:val="13"/>
                <w:color w:val="0000FF"/>
              </w:rPr>
              <w:t>2</w:t>
            </w:r>
            <w:r>
              <w:rPr>
                <w:rFonts w:ascii="Verdana" w:cs="Verdana" w:eastAsia="Verdana" w:hAnsi="Verdana"/>
                <w:sz w:val="13"/>
                <w:szCs w:val="13"/>
                <w:color w:val="auto"/>
              </w:rPr>
              <w:t>)</w:t>
            </w:r>
          </w:p>
        </w:tc>
        <w:tc>
          <w:tcPr>
            <w:tcW w:w="200" w:type="dxa"/>
            <w:vAlign w:val="bottom"/>
            <w:shd w:val="clear" w:color="auto" w:fill="E0E7ED"/>
          </w:tcPr>
          <w:p>
            <w:pPr>
              <w:spacing w:after="0"/>
              <w:rPr>
                <w:sz w:val="12"/>
                <w:szCs w:val="12"/>
                <w:color w:val="auto"/>
              </w:rPr>
            </w:pPr>
          </w:p>
        </w:tc>
        <w:tc>
          <w:tcPr>
            <w:tcW w:w="1280" w:type="dxa"/>
            <w:vAlign w:val="bottom"/>
            <w:shd w:val="clear" w:color="auto" w:fill="E0E7ED"/>
          </w:tcPr>
          <w:p>
            <w:pPr>
              <w:jc w:val="right"/>
              <w:ind w:right="17"/>
              <w:spacing w:after="0" w:line="141" w:lineRule="exact"/>
              <w:rPr>
                <w:sz w:val="20"/>
                <w:szCs w:val="20"/>
                <w:color w:val="auto"/>
              </w:rPr>
            </w:pPr>
            <w:r>
              <w:rPr>
                <w:rFonts w:ascii="Verdana" w:cs="Verdana" w:eastAsia="Verdana" w:hAnsi="Verdana"/>
                <w:sz w:val="13"/>
                <w:szCs w:val="13"/>
                <w:color w:val="auto"/>
              </w:rPr>
              <w:t>18,377</w:t>
            </w: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160" w:type="dxa"/>
            <w:vAlign w:val="bottom"/>
            <w:shd w:val="clear" w:color="auto" w:fill="E0E7ED"/>
          </w:tcPr>
          <w:p>
            <w:pPr>
              <w:jc w:val="right"/>
              <w:ind w:right="17"/>
              <w:spacing w:after="0" w:line="141" w:lineRule="exact"/>
              <w:rPr>
                <w:sz w:val="20"/>
                <w:szCs w:val="20"/>
                <w:color w:val="auto"/>
              </w:rPr>
            </w:pPr>
            <w:r>
              <w:rPr>
                <w:rFonts w:ascii="Verdana" w:cs="Verdana" w:eastAsia="Verdana" w:hAnsi="Verdana"/>
                <w:sz w:val="13"/>
                <w:szCs w:val="13"/>
                <w:color w:val="auto"/>
              </w:rPr>
              <w:t>—</w:t>
            </w:r>
          </w:p>
        </w:tc>
      </w:tr>
      <w:tr>
        <w:trPr>
          <w:trHeight w:val="20"/>
        </w:trPr>
        <w:tc>
          <w:tcPr>
            <w:tcW w:w="3600" w:type="dxa"/>
            <w:vAlign w:val="bottom"/>
            <w:tcBorders>
              <w:top w:val="single" w:sz="8" w:color="E0E7ED"/>
            </w:tcBorders>
            <w:shd w:val="clear" w:color="auto" w:fill="E0E7ED"/>
          </w:tcPr>
          <w:p>
            <w:pPr>
              <w:spacing w:after="0" w:line="20" w:lineRule="exact"/>
              <w:rPr>
                <w:sz w:val="1"/>
                <w:szCs w:val="1"/>
                <w:color w:val="auto"/>
              </w:rPr>
            </w:pPr>
          </w:p>
        </w:tc>
        <w:tc>
          <w:tcPr>
            <w:tcW w:w="80" w:type="dxa"/>
            <w:vAlign w:val="bottom"/>
            <w:tcBorders>
              <w:top w:val="single" w:sz="8" w:color="0000FF"/>
            </w:tcBorders>
            <w:shd w:val="clear" w:color="auto" w:fill="E0E7ED"/>
          </w:tcPr>
          <w:p>
            <w:pPr>
              <w:spacing w:after="0" w:line="20" w:lineRule="exact"/>
              <w:rPr>
                <w:sz w:val="1"/>
                <w:szCs w:val="1"/>
                <w:color w:val="auto"/>
              </w:rPr>
            </w:pPr>
          </w:p>
        </w:tc>
        <w:tc>
          <w:tcPr>
            <w:tcW w:w="4500" w:type="dxa"/>
            <w:vAlign w:val="bottom"/>
            <w:tcBorders>
              <w:top w:val="single" w:sz="8" w:color="E0E7ED"/>
            </w:tcBorders>
            <w:shd w:val="clear" w:color="auto" w:fill="E0E7ED"/>
          </w:tcPr>
          <w:p>
            <w:pPr>
              <w:spacing w:after="0" w:line="20" w:lineRule="exact"/>
              <w:rPr>
                <w:sz w:val="1"/>
                <w:szCs w:val="1"/>
                <w:color w:val="auto"/>
              </w:rPr>
            </w:pPr>
          </w:p>
        </w:tc>
        <w:tc>
          <w:tcPr>
            <w:tcW w:w="200" w:type="dxa"/>
            <w:vAlign w:val="bottom"/>
            <w:tcBorders>
              <w:top w:val="single" w:sz="8" w:color="E0E7ED"/>
            </w:tcBorders>
            <w:shd w:val="clear" w:color="auto" w:fill="E0E7ED"/>
          </w:tcPr>
          <w:p>
            <w:pPr>
              <w:spacing w:after="0" w:line="20" w:lineRule="exact"/>
              <w:rPr>
                <w:sz w:val="1"/>
                <w:szCs w:val="1"/>
                <w:color w:val="auto"/>
              </w:rPr>
            </w:pPr>
          </w:p>
        </w:tc>
        <w:tc>
          <w:tcPr>
            <w:tcW w:w="1280" w:type="dxa"/>
            <w:vAlign w:val="bottom"/>
            <w:tcBorders>
              <w:top w:val="single" w:sz="8" w:color="E0E7ED"/>
            </w:tcBorders>
            <w:shd w:val="clear" w:color="auto" w:fill="E0E7ED"/>
          </w:tcPr>
          <w:p>
            <w:pPr>
              <w:spacing w:after="0" w:line="20" w:lineRule="exact"/>
              <w:rPr>
                <w:sz w:val="1"/>
                <w:szCs w:val="1"/>
                <w:color w:val="auto"/>
              </w:rPr>
            </w:pPr>
          </w:p>
        </w:tc>
        <w:tc>
          <w:tcPr>
            <w:tcW w:w="100" w:type="dxa"/>
            <w:vAlign w:val="bottom"/>
            <w:tcBorders>
              <w:top w:val="single" w:sz="8" w:color="E0E7ED"/>
            </w:tcBorders>
            <w:shd w:val="clear" w:color="auto" w:fill="E0E7ED"/>
          </w:tcPr>
          <w:p>
            <w:pPr>
              <w:spacing w:after="0" w:line="20" w:lineRule="exact"/>
              <w:rPr>
                <w:sz w:val="1"/>
                <w:szCs w:val="1"/>
                <w:color w:val="auto"/>
              </w:rPr>
            </w:pPr>
          </w:p>
        </w:tc>
        <w:tc>
          <w:tcPr>
            <w:tcW w:w="320" w:type="dxa"/>
            <w:vAlign w:val="bottom"/>
            <w:tcBorders>
              <w:top w:val="single" w:sz="8" w:color="E0E7ED"/>
            </w:tcBorders>
            <w:shd w:val="clear" w:color="auto" w:fill="E0E7ED"/>
          </w:tcPr>
          <w:p>
            <w:pPr>
              <w:spacing w:after="0" w:line="20" w:lineRule="exact"/>
              <w:rPr>
                <w:sz w:val="1"/>
                <w:szCs w:val="1"/>
                <w:color w:val="auto"/>
              </w:rPr>
            </w:pPr>
          </w:p>
        </w:tc>
        <w:tc>
          <w:tcPr>
            <w:tcW w:w="1160" w:type="dxa"/>
            <w:vAlign w:val="bottom"/>
            <w:tcBorders>
              <w:top w:val="single" w:sz="8" w:color="E0E7ED"/>
            </w:tcBorders>
            <w:shd w:val="clear" w:color="auto" w:fill="E0E7ED"/>
          </w:tcPr>
          <w:p>
            <w:pPr>
              <w:spacing w:after="0" w:line="20" w:lineRule="exact"/>
              <w:rPr>
                <w:sz w:val="1"/>
                <w:szCs w:val="1"/>
                <w:color w:val="auto"/>
              </w:rPr>
            </w:pPr>
          </w:p>
        </w:tc>
      </w:tr>
      <w:tr>
        <w:trPr>
          <w:trHeight w:val="170"/>
        </w:trPr>
        <w:tc>
          <w:tcPr>
            <w:tcW w:w="8180" w:type="dxa"/>
            <w:vAlign w:val="bottom"/>
            <w:gridSpan w:val="3"/>
          </w:tcPr>
          <w:p>
            <w:pPr>
              <w:ind w:left="180"/>
              <w:spacing w:after="0"/>
              <w:rPr>
                <w:sz w:val="20"/>
                <w:szCs w:val="20"/>
                <w:color w:val="auto"/>
              </w:rPr>
            </w:pPr>
            <w:r>
              <w:rPr>
                <w:rFonts w:ascii="Verdana" w:cs="Verdana" w:eastAsia="Verdana" w:hAnsi="Verdana"/>
                <w:sz w:val="13"/>
                <w:szCs w:val="13"/>
                <w:color w:val="auto"/>
              </w:rPr>
              <w:t>Cash paid for premiums on bank-owned life insurance</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Verdana" w:cs="Verdana" w:eastAsia="Verdana" w:hAnsi="Verdana"/>
                <w:sz w:val="13"/>
                <w:szCs w:val="13"/>
                <w:color w:val="auto"/>
              </w:rPr>
              <w:t>(74)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(80)</w:t>
            </w:r>
          </w:p>
        </w:tc>
      </w:tr>
      <w:tr>
        <w:trPr>
          <w:trHeight w:val="181"/>
        </w:trPr>
        <w:tc>
          <w:tcPr>
            <w:tcW w:w="8180" w:type="dxa"/>
            <w:vAlign w:val="bottom"/>
            <w:gridSpan w:val="3"/>
            <w:shd w:val="clear" w:color="auto" w:fill="E0E7ED"/>
          </w:tcPr>
          <w:p>
            <w:pPr>
              <w:ind w:left="180"/>
              <w:spacing w:after="0"/>
              <w:rPr>
                <w:sz w:val="20"/>
                <w:szCs w:val="20"/>
                <w:color w:val="auto"/>
              </w:rPr>
            </w:pPr>
            <w:r>
              <w:rPr>
                <w:rFonts w:ascii="Verdana" w:cs="Verdana" w:eastAsia="Verdana" w:hAnsi="Verdana"/>
                <w:sz w:val="13"/>
                <w:szCs w:val="13"/>
                <w:color w:val="auto"/>
              </w:rPr>
              <w:t>Proceeds from life insurance</w:t>
            </w: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3,092</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2,292</w:t>
            </w:r>
          </w:p>
        </w:tc>
      </w:tr>
      <w:tr>
        <w:trPr>
          <w:trHeight w:val="170"/>
        </w:trPr>
        <w:tc>
          <w:tcPr>
            <w:tcW w:w="8180" w:type="dxa"/>
            <w:vAlign w:val="bottom"/>
            <w:gridSpan w:val="3"/>
          </w:tcPr>
          <w:p>
            <w:pPr>
              <w:ind w:left="180"/>
              <w:spacing w:after="0"/>
              <w:rPr>
                <w:sz w:val="20"/>
                <w:szCs w:val="20"/>
                <w:color w:val="auto"/>
              </w:rPr>
            </w:pPr>
            <w:r>
              <w:rPr>
                <w:rFonts w:ascii="Verdana" w:cs="Verdana" w:eastAsia="Verdana" w:hAnsi="Verdana"/>
                <w:sz w:val="13"/>
                <w:szCs w:val="13"/>
                <w:color w:val="auto"/>
              </w:rPr>
              <w:t>Purchases of premises and equipment</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Verdana" w:cs="Verdana" w:eastAsia="Verdana" w:hAnsi="Verdana"/>
                <w:sz w:val="13"/>
                <w:szCs w:val="13"/>
                <w:color w:val="auto"/>
              </w:rPr>
              <w:t>(4,504)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(6,750)</w:t>
            </w:r>
          </w:p>
        </w:tc>
      </w:tr>
      <w:tr>
        <w:trPr>
          <w:trHeight w:val="181"/>
        </w:trPr>
        <w:tc>
          <w:tcPr>
            <w:tcW w:w="8180" w:type="dxa"/>
            <w:vAlign w:val="bottom"/>
            <w:gridSpan w:val="3"/>
            <w:shd w:val="clear" w:color="auto" w:fill="E0E7ED"/>
          </w:tcPr>
          <w:p>
            <w:pPr>
              <w:ind w:left="180"/>
              <w:spacing w:after="0"/>
              <w:rPr>
                <w:sz w:val="20"/>
                <w:szCs w:val="20"/>
                <w:color w:val="auto"/>
              </w:rPr>
            </w:pPr>
            <w:r>
              <w:rPr>
                <w:rFonts w:ascii="Verdana" w:cs="Verdana" w:eastAsia="Verdana" w:hAnsi="Verdana"/>
                <w:sz w:val="13"/>
                <w:szCs w:val="13"/>
                <w:color w:val="auto"/>
              </w:rPr>
              <w:t>Proceeds from disposition of premises and equipment</w:t>
            </w: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1,341</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3,881</w:t>
            </w:r>
          </w:p>
        </w:tc>
      </w:tr>
      <w:tr>
        <w:trPr>
          <w:trHeight w:val="170"/>
        </w:trPr>
        <w:tc>
          <w:tcPr>
            <w:tcW w:w="8180" w:type="dxa"/>
            <w:vAlign w:val="bottom"/>
            <w:tcBorders>
              <w:bottom w:val="single" w:sz="8" w:color="E0E7ED"/>
            </w:tcBorders>
            <w:gridSpan w:val="3"/>
          </w:tcPr>
          <w:p>
            <w:pPr>
              <w:ind w:left="180"/>
              <w:spacing w:after="0"/>
              <w:rPr>
                <w:sz w:val="20"/>
                <w:szCs w:val="20"/>
                <w:color w:val="auto"/>
              </w:rPr>
            </w:pPr>
            <w:r>
              <w:rPr>
                <w:rFonts w:ascii="Verdana" w:cs="Verdana" w:eastAsia="Verdana" w:hAnsi="Verdana"/>
                <w:sz w:val="13"/>
                <w:szCs w:val="13"/>
                <w:color w:val="auto"/>
              </w:rPr>
              <w:t>Proceeds from sales of OREO and other repossessed assets, including cash payments collected</w:t>
            </w: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636</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781</w:t>
            </w:r>
          </w:p>
        </w:tc>
      </w:tr>
      <w:tr>
        <w:trPr>
          <w:trHeight w:val="169"/>
        </w:trPr>
        <w:tc>
          <w:tcPr>
            <w:tcW w:w="8180" w:type="dxa"/>
            <w:vAlign w:val="bottom"/>
            <w:gridSpan w:val="3"/>
            <w:shd w:val="clear" w:color="auto" w:fill="E0E7ED"/>
          </w:tcPr>
          <w:p>
            <w:pPr>
              <w:ind w:left="20"/>
              <w:spacing w:after="0"/>
              <w:rPr>
                <w:sz w:val="20"/>
                <w:szCs w:val="20"/>
                <w:color w:val="auto"/>
              </w:rPr>
            </w:pPr>
            <w:r>
              <w:rPr>
                <w:rFonts w:ascii="Verdana" w:cs="Verdana" w:eastAsia="Verdana" w:hAnsi="Verdana"/>
                <w:sz w:val="13"/>
                <w:szCs w:val="13"/>
                <w:color w:val="auto"/>
              </w:rPr>
              <w:t>Net cash provided by (used in) investing activities</w:t>
            </w:r>
          </w:p>
        </w:tc>
        <w:tc>
          <w:tcPr>
            <w:tcW w:w="200" w:type="dxa"/>
            <w:vAlign w:val="bottom"/>
            <w:tcBorders>
              <w:bottom w:val="single" w:sz="8" w:color="auto"/>
            </w:tcBorders>
            <w:shd w:val="clear" w:color="auto" w:fill="E0E7ED"/>
          </w:tcPr>
          <w:p>
            <w:pPr>
              <w:spacing w:after="0"/>
              <w:rPr>
                <w:sz w:val="14"/>
                <w:szCs w:val="14"/>
                <w:color w:val="auto"/>
              </w:rPr>
            </w:pPr>
          </w:p>
        </w:tc>
        <w:tc>
          <w:tcPr>
            <w:tcW w:w="12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618,918</w:t>
            </w:r>
          </w:p>
        </w:tc>
        <w:tc>
          <w:tcPr>
            <w:tcW w:w="100" w:type="dxa"/>
            <w:vAlign w:val="bottom"/>
            <w:shd w:val="clear" w:color="auto" w:fill="E0E7ED"/>
          </w:tcPr>
          <w:p>
            <w:pPr>
              <w:spacing w:after="0"/>
              <w:rPr>
                <w:sz w:val="14"/>
                <w:szCs w:val="14"/>
                <w:color w:val="auto"/>
              </w:rPr>
            </w:pPr>
          </w:p>
        </w:tc>
        <w:tc>
          <w:tcPr>
            <w:tcW w:w="320" w:type="dxa"/>
            <w:vAlign w:val="bottom"/>
            <w:tcBorders>
              <w:bottom w:val="single" w:sz="8" w:color="auto"/>
            </w:tcBorders>
            <w:shd w:val="clear" w:color="auto" w:fill="E0E7ED"/>
          </w:tcPr>
          <w:p>
            <w:pPr>
              <w:spacing w:after="0"/>
              <w:rPr>
                <w:sz w:val="14"/>
                <w:szCs w:val="14"/>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159,274</w:t>
            </w:r>
          </w:p>
        </w:tc>
      </w:tr>
    </w:tbl>
    <w:p>
      <w:pPr>
        <w:spacing w:after="0" w:line="332"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(continued)</w:t>
      </w:r>
    </w:p>
    <w:p>
      <w:pPr>
        <w:spacing w:after="0" w:line="17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1" w:name="page12"/>
    <w:bookmarkEnd w:id="1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18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line="236" w:lineRule="auto"/>
        <w:rPr>
          <w:sz w:val="20"/>
          <w:szCs w:val="20"/>
          <w:color w:val="auto"/>
        </w:rPr>
      </w:pPr>
      <w:r>
        <w:rPr>
          <w:rFonts w:ascii="Verdana" w:cs="Verdana" w:eastAsia="Verdana" w:hAnsi="Verdana"/>
          <w:sz w:val="18"/>
          <w:szCs w:val="18"/>
          <w:b w:val="1"/>
          <w:bCs w:val="1"/>
          <w:color w:val="auto"/>
        </w:rPr>
        <w:t>CONSOLIDATED STATEMENTS OF CASH FLOWS (Unaudited) (Continued)</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257"/>
              <w:spacing w:after="0"/>
              <w:rPr>
                <w:sz w:val="20"/>
                <w:szCs w:val="20"/>
                <w:color w:val="auto"/>
              </w:rPr>
            </w:pPr>
            <w:r>
              <w:rPr>
                <w:rFonts w:ascii="Verdana" w:cs="Verdana" w:eastAsia="Verdana" w:hAnsi="Verdana"/>
                <w:sz w:val="13"/>
                <w:szCs w:val="13"/>
                <w:b w:val="1"/>
                <w:bCs w:val="1"/>
                <w:color w:val="auto"/>
                <w:w w:val="99"/>
              </w:rPr>
              <w:t>Nine Months Ended September 30,</w:t>
            </w:r>
          </w:p>
        </w:tc>
      </w:tr>
      <w:tr>
        <w:trPr>
          <w:trHeight w:val="169"/>
        </w:trPr>
        <w:tc>
          <w:tcPr>
            <w:tcW w:w="8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2023</w:t>
            </w:r>
          </w:p>
        </w:tc>
      </w:tr>
      <w:tr>
        <w:trPr>
          <w:trHeight w:val="154"/>
        </w:trPr>
        <w:tc>
          <w:tcPr>
            <w:tcW w:w="8180" w:type="dxa"/>
            <w:vAlign w:val="bottom"/>
          </w:tcPr>
          <w:p>
            <w:pPr>
              <w:ind w:left="20"/>
              <w:spacing w:after="0" w:line="146" w:lineRule="exact"/>
              <w:rPr>
                <w:sz w:val="20"/>
                <w:szCs w:val="20"/>
                <w:color w:val="auto"/>
              </w:rPr>
            </w:pPr>
            <w:r>
              <w:rPr>
                <w:rFonts w:ascii="Verdana" w:cs="Verdana" w:eastAsia="Verdana" w:hAnsi="Verdana"/>
                <w:sz w:val="13"/>
                <w:szCs w:val="13"/>
                <w:b w:val="1"/>
                <w:bCs w:val="1"/>
                <w:color w:val="auto"/>
              </w:rPr>
              <w:t>Cash flows provided by (used in) financing activities</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4"/>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Net increase (decrease) in deposits</w:t>
            </w:r>
          </w:p>
        </w:tc>
        <w:tc>
          <w:tcPr>
            <w:tcW w:w="200" w:type="dxa"/>
            <w:vAlign w:val="bottom"/>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(740,840)</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261,305</w:t>
            </w:r>
          </w:p>
        </w:tc>
      </w:tr>
      <w:tr>
        <w:trPr>
          <w:trHeight w:val="170"/>
        </w:trPr>
        <w:tc>
          <w:tcPr>
            <w:tcW w:w="8180" w:type="dxa"/>
            <w:vAlign w:val="bottom"/>
          </w:tcPr>
          <w:p>
            <w:pPr>
              <w:ind w:left="180"/>
              <w:spacing w:after="0"/>
              <w:rPr>
                <w:sz w:val="20"/>
                <w:szCs w:val="20"/>
                <w:color w:val="auto"/>
              </w:rPr>
            </w:pPr>
            <w:r>
              <w:rPr>
                <w:rFonts w:ascii="Verdana" w:cs="Verdana" w:eastAsia="Verdana" w:hAnsi="Verdana"/>
                <w:sz w:val="13"/>
                <w:szCs w:val="13"/>
                <w:color w:val="auto"/>
              </w:rPr>
              <w:t>Net increase (decrease) in federal funds purchased and securities sold under agreements to repurchase</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Verdana" w:cs="Verdana" w:eastAsia="Verdana" w:hAnsi="Verdana"/>
                <w:sz w:val="13"/>
                <w:szCs w:val="13"/>
                <w:color w:val="auto"/>
              </w:rPr>
              <w:t>(60,150)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(46,104)</w:t>
            </w:r>
          </w:p>
        </w:tc>
      </w:tr>
      <w:tr>
        <w:trPr>
          <w:trHeight w:val="181"/>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Net increase (decrease) in short-term borrowings</w:t>
            </w: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(36,000)</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(335,000)</w:t>
            </w:r>
          </w:p>
        </w:tc>
      </w:tr>
      <w:tr>
        <w:trPr>
          <w:trHeight w:val="170"/>
        </w:trPr>
        <w:tc>
          <w:tcPr>
            <w:tcW w:w="8180" w:type="dxa"/>
            <w:vAlign w:val="bottom"/>
          </w:tcPr>
          <w:p>
            <w:pPr>
              <w:ind w:left="180"/>
              <w:spacing w:after="0"/>
              <w:rPr>
                <w:sz w:val="20"/>
                <w:szCs w:val="20"/>
                <w:color w:val="auto"/>
              </w:rPr>
            </w:pPr>
            <w:r>
              <w:rPr>
                <w:rFonts w:ascii="Verdana" w:cs="Verdana" w:eastAsia="Verdana" w:hAnsi="Verdana"/>
                <w:sz w:val="13"/>
                <w:szCs w:val="13"/>
                <w:color w:val="auto"/>
              </w:rPr>
              <w:t>Repayment of other borrowings</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Verdana" w:cs="Verdana" w:eastAsia="Verdana" w:hAnsi="Verdana"/>
                <w:sz w:val="13"/>
                <w:szCs w:val="13"/>
                <w:color w:val="auto"/>
              </w:rPr>
              <w:t>(31,450)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(13,054)</w:t>
            </w:r>
          </w:p>
        </w:tc>
      </w:tr>
      <w:tr>
        <w:trPr>
          <w:trHeight w:val="181"/>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Cash dividends paid</w:t>
            </w: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(40,520)</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(39,806)</w:t>
            </w:r>
          </w:p>
        </w:tc>
      </w:tr>
      <w:tr>
        <w:trPr>
          <w:trHeight w:val="170"/>
        </w:trPr>
        <w:tc>
          <w:tcPr>
            <w:tcW w:w="8180" w:type="dxa"/>
            <w:vAlign w:val="bottom"/>
          </w:tcPr>
          <w:p>
            <w:pPr>
              <w:ind w:left="180"/>
              <w:spacing w:after="0"/>
              <w:rPr>
                <w:sz w:val="20"/>
                <w:szCs w:val="20"/>
                <w:color w:val="auto"/>
              </w:rPr>
            </w:pPr>
            <w:r>
              <w:rPr>
                <w:rFonts w:ascii="Verdana" w:cs="Verdana" w:eastAsia="Verdana" w:hAnsi="Verdana"/>
                <w:sz w:val="13"/>
                <w:szCs w:val="13"/>
                <w:color w:val="auto"/>
              </w:rPr>
              <w:t>Purchase of treasury stock</w:t>
            </w:r>
          </w:p>
        </w:tc>
        <w:tc>
          <w:tcPr>
            <w:tcW w:w="200" w:type="dxa"/>
            <w:vAlign w:val="bottom"/>
          </w:tcPr>
          <w:p>
            <w:pPr>
              <w:spacing w:after="0"/>
              <w:rPr>
                <w:sz w:val="14"/>
                <w:szCs w:val="14"/>
                <w:color w:val="auto"/>
              </w:rPr>
            </w:pPr>
          </w:p>
        </w:tc>
        <w:tc>
          <w:tcPr>
            <w:tcW w:w="1380" w:type="dxa"/>
            <w:vAlign w:val="bottom"/>
            <w:gridSpan w:val="2"/>
          </w:tcPr>
          <w:p>
            <w:pPr>
              <w:jc w:val="right"/>
              <w:ind w:right="180"/>
              <w:spacing w:after="0"/>
              <w:rPr>
                <w:sz w:val="20"/>
                <w:szCs w:val="20"/>
                <w:color w:val="auto"/>
              </w:rPr>
            </w:pPr>
            <w:r>
              <w:rPr>
                <w:rFonts w:ascii="Verdana" w:cs="Verdana" w:eastAsia="Verdana" w:hAnsi="Verdana"/>
                <w:sz w:val="13"/>
                <w:szCs w:val="13"/>
                <w:color w:val="auto"/>
              </w:rPr>
              <w:t>—</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(2,209)</w:t>
            </w:r>
          </w:p>
        </w:tc>
      </w:tr>
      <w:tr>
        <w:trPr>
          <w:trHeight w:val="181"/>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Cash paid for withholding taxes on stock-based payments</w:t>
            </w: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(1,650)</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(989)</w:t>
            </w:r>
          </w:p>
        </w:tc>
      </w:tr>
      <w:tr>
        <w:trPr>
          <w:trHeight w:val="170"/>
        </w:trPr>
        <w:tc>
          <w:tcPr>
            <w:tcW w:w="8180" w:type="dxa"/>
            <w:vAlign w:val="bottom"/>
          </w:tcPr>
          <w:p>
            <w:pPr>
              <w:ind w:left="180"/>
              <w:spacing w:after="0"/>
              <w:rPr>
                <w:sz w:val="20"/>
                <w:szCs w:val="20"/>
                <w:color w:val="auto"/>
              </w:rPr>
            </w:pPr>
            <w:r>
              <w:rPr>
                <w:rFonts w:ascii="Verdana" w:cs="Verdana" w:eastAsia="Verdana" w:hAnsi="Verdana"/>
                <w:sz w:val="13"/>
                <w:szCs w:val="13"/>
                <w:color w:val="auto"/>
              </w:rPr>
              <w:t>Proceeds from stock warrants exercised</w:t>
            </w:r>
          </w:p>
        </w:tc>
        <w:tc>
          <w:tcPr>
            <w:tcW w:w="200" w:type="dxa"/>
            <w:vAlign w:val="bottom"/>
          </w:tcPr>
          <w:p>
            <w:pPr>
              <w:spacing w:after="0"/>
              <w:rPr>
                <w:sz w:val="14"/>
                <w:szCs w:val="14"/>
                <w:color w:val="auto"/>
              </w:rPr>
            </w:pPr>
          </w:p>
        </w:tc>
        <w:tc>
          <w:tcPr>
            <w:tcW w:w="1380" w:type="dxa"/>
            <w:vAlign w:val="bottom"/>
            <w:gridSpan w:val="2"/>
          </w:tcPr>
          <w:p>
            <w:pPr>
              <w:jc w:val="right"/>
              <w:ind w:right="180"/>
              <w:spacing w:after="0"/>
              <w:rPr>
                <w:sz w:val="20"/>
                <w:szCs w:val="20"/>
                <w:color w:val="auto"/>
              </w:rPr>
            </w:pPr>
            <w:r>
              <w:rPr>
                <w:rFonts w:ascii="Verdana" w:cs="Verdana" w:eastAsia="Verdana" w:hAnsi="Verdana"/>
                <w:sz w:val="13"/>
                <w:szCs w:val="13"/>
                <w:color w:val="auto"/>
              </w:rPr>
              <w:t>—</w:t>
            </w: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9</w:t>
            </w:r>
          </w:p>
        </w:tc>
      </w:tr>
      <w:tr>
        <w:trPr>
          <w:trHeight w:val="181"/>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Common stock issuance costs</w:t>
            </w:r>
          </w:p>
        </w:tc>
        <w:tc>
          <w:tcPr>
            <w:tcW w:w="200" w:type="dxa"/>
            <w:vAlign w:val="bottom"/>
            <w:tcBorders>
              <w:bottom w:val="single" w:sz="8" w:color="auto"/>
            </w:tcBorders>
            <w:shd w:val="clear" w:color="auto" w:fill="E0E7ED"/>
          </w:tcPr>
          <w:p>
            <w:pPr>
              <w:spacing w:after="0"/>
              <w:rPr>
                <w:sz w:val="15"/>
                <w:szCs w:val="15"/>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(141)</w:t>
            </w:r>
          </w:p>
        </w:tc>
        <w:tc>
          <w:tcPr>
            <w:tcW w:w="100" w:type="dxa"/>
            <w:vAlign w:val="bottom"/>
            <w:shd w:val="clear" w:color="auto" w:fill="E0E7ED"/>
          </w:tcPr>
          <w:p>
            <w:pPr>
              <w:spacing w:after="0"/>
              <w:rPr>
                <w:sz w:val="15"/>
                <w:szCs w:val="15"/>
                <w:color w:val="auto"/>
              </w:rPr>
            </w:pPr>
          </w:p>
        </w:tc>
        <w:tc>
          <w:tcPr>
            <w:tcW w:w="32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r>
      <w:tr>
        <w:trPr>
          <w:trHeight w:val="164"/>
        </w:trPr>
        <w:tc>
          <w:tcPr>
            <w:tcW w:w="8180" w:type="dxa"/>
            <w:vAlign w:val="bottom"/>
            <w:tcBorders>
              <w:bottom w:val="single" w:sz="8" w:color="E0E7ED"/>
            </w:tcBorders>
          </w:tcPr>
          <w:p>
            <w:pPr>
              <w:ind w:left="20"/>
              <w:spacing w:after="0" w:line="153" w:lineRule="exact"/>
              <w:rPr>
                <w:sz w:val="20"/>
                <w:szCs w:val="20"/>
                <w:color w:val="auto"/>
              </w:rPr>
            </w:pPr>
            <w:r>
              <w:rPr>
                <w:rFonts w:ascii="Verdana" w:cs="Verdana" w:eastAsia="Verdana" w:hAnsi="Verdana"/>
                <w:sz w:val="13"/>
                <w:szCs w:val="13"/>
                <w:color w:val="auto"/>
              </w:rPr>
              <w:t>Net cash provided by (used in) financing activities</w:t>
            </w: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(910,751)</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(175,848)</w:t>
            </w:r>
          </w:p>
        </w:tc>
      </w:tr>
      <w:tr>
        <w:trPr>
          <w:trHeight w:val="188"/>
        </w:trPr>
        <w:tc>
          <w:tcPr>
            <w:tcW w:w="81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28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160" w:type="dxa"/>
            <w:vAlign w:val="bottom"/>
            <w:shd w:val="clear" w:color="auto" w:fill="E0E7ED"/>
          </w:tcPr>
          <w:p>
            <w:pPr>
              <w:spacing w:after="0"/>
              <w:rPr>
                <w:sz w:val="16"/>
                <w:szCs w:val="16"/>
                <w:color w:val="auto"/>
              </w:rPr>
            </w:pPr>
          </w:p>
        </w:tc>
      </w:tr>
      <w:tr>
        <w:trPr>
          <w:trHeight w:val="170"/>
        </w:trPr>
        <w:tc>
          <w:tcPr>
            <w:tcW w:w="8180" w:type="dxa"/>
            <w:vAlign w:val="bottom"/>
          </w:tcPr>
          <w:p>
            <w:pPr>
              <w:ind w:left="20"/>
              <w:spacing w:after="0"/>
              <w:rPr>
                <w:sz w:val="20"/>
                <w:szCs w:val="20"/>
                <w:color w:val="auto"/>
              </w:rPr>
            </w:pPr>
            <w:r>
              <w:rPr>
                <w:rFonts w:ascii="Verdana" w:cs="Verdana" w:eastAsia="Verdana" w:hAnsi="Verdana"/>
                <w:sz w:val="13"/>
                <w:szCs w:val="13"/>
                <w:b w:val="1"/>
                <w:bCs w:val="1"/>
                <w:color w:val="auto"/>
              </w:rPr>
              <w:t>Net increase (decrease) in cash and cash equivalents</w:t>
            </w: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1280" w:type="dxa"/>
            <w:vAlign w:val="bottom"/>
          </w:tcPr>
          <w:p>
            <w:pPr>
              <w:jc w:val="right"/>
              <w:spacing w:after="0"/>
              <w:rPr>
                <w:sz w:val="20"/>
                <w:szCs w:val="20"/>
                <w:color w:val="auto"/>
              </w:rPr>
            </w:pPr>
            <w:r>
              <w:rPr>
                <w:rFonts w:ascii="Verdana" w:cs="Verdana" w:eastAsia="Verdana" w:hAnsi="Verdana"/>
                <w:sz w:val="13"/>
                <w:szCs w:val="13"/>
                <w:color w:val="auto"/>
              </w:rPr>
              <w:t>(165,872)</w:t>
            </w:r>
          </w:p>
        </w:tc>
        <w:tc>
          <w:tcPr>
            <w:tcW w:w="100" w:type="dxa"/>
            <w:vAlign w:val="bottom"/>
          </w:tcPr>
          <w:p>
            <w:pPr>
              <w:spacing w:after="0"/>
              <w:rPr>
                <w:sz w:val="14"/>
                <w:szCs w:val="14"/>
                <w:color w:val="auto"/>
              </w:rPr>
            </w:pPr>
          </w:p>
        </w:tc>
        <w:tc>
          <w:tcPr>
            <w:tcW w:w="320" w:type="dxa"/>
            <w:vAlign w:val="bottom"/>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110,755</w:t>
            </w:r>
          </w:p>
        </w:tc>
      </w:tr>
      <w:tr>
        <w:trPr>
          <w:trHeight w:val="181"/>
        </w:trPr>
        <w:tc>
          <w:tcPr>
            <w:tcW w:w="8180" w:type="dxa"/>
            <w:vAlign w:val="bottom"/>
            <w:shd w:val="clear" w:color="auto" w:fill="E0E7ED"/>
          </w:tcPr>
          <w:p>
            <w:pPr>
              <w:ind w:left="20"/>
              <w:spacing w:after="0"/>
              <w:rPr>
                <w:sz w:val="20"/>
                <w:szCs w:val="20"/>
                <w:color w:val="auto"/>
              </w:rPr>
            </w:pPr>
            <w:r>
              <w:rPr>
                <w:rFonts w:ascii="Verdana" w:cs="Verdana" w:eastAsia="Verdana" w:hAnsi="Verdana"/>
                <w:sz w:val="13"/>
                <w:szCs w:val="13"/>
                <w:b w:val="1"/>
                <w:bCs w:val="1"/>
                <w:color w:val="auto"/>
              </w:rPr>
              <w:t>Cash and cash equivalents, beginning of period</w:t>
            </w:r>
          </w:p>
        </w:tc>
        <w:tc>
          <w:tcPr>
            <w:tcW w:w="200" w:type="dxa"/>
            <w:vAlign w:val="bottom"/>
            <w:tcBorders>
              <w:bottom w:val="single" w:sz="8" w:color="auto"/>
            </w:tcBorders>
            <w:shd w:val="clear" w:color="auto" w:fill="E0E7ED"/>
          </w:tcPr>
          <w:p>
            <w:pPr>
              <w:spacing w:after="0"/>
              <w:rPr>
                <w:sz w:val="15"/>
                <w:szCs w:val="15"/>
                <w:color w:val="auto"/>
              </w:rPr>
            </w:pPr>
          </w:p>
        </w:tc>
        <w:tc>
          <w:tcPr>
            <w:tcW w:w="12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719,581</w:t>
            </w:r>
          </w:p>
        </w:tc>
        <w:tc>
          <w:tcPr>
            <w:tcW w:w="100" w:type="dxa"/>
            <w:vAlign w:val="bottom"/>
            <w:shd w:val="clear" w:color="auto" w:fill="E0E7ED"/>
          </w:tcPr>
          <w:p>
            <w:pPr>
              <w:spacing w:after="0"/>
              <w:rPr>
                <w:sz w:val="15"/>
                <w:szCs w:val="15"/>
                <w:color w:val="auto"/>
              </w:rPr>
            </w:pPr>
          </w:p>
        </w:tc>
        <w:tc>
          <w:tcPr>
            <w:tcW w:w="32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227,164</w:t>
            </w:r>
          </w:p>
        </w:tc>
      </w:tr>
      <w:tr>
        <w:trPr>
          <w:trHeight w:val="164"/>
        </w:trPr>
        <w:tc>
          <w:tcPr>
            <w:tcW w:w="8180" w:type="dxa"/>
            <w:vAlign w:val="bottom"/>
          </w:tcPr>
          <w:p>
            <w:pPr>
              <w:ind w:left="20"/>
              <w:spacing w:after="0" w:line="153" w:lineRule="exact"/>
              <w:rPr>
                <w:sz w:val="20"/>
                <w:szCs w:val="20"/>
                <w:color w:val="auto"/>
              </w:rPr>
            </w:pPr>
            <w:r>
              <w:rPr>
                <w:rFonts w:ascii="Verdana" w:cs="Verdana" w:eastAsia="Verdana" w:hAnsi="Verdana"/>
                <w:sz w:val="13"/>
                <w:szCs w:val="13"/>
                <w:b w:val="1"/>
                <w:bCs w:val="1"/>
                <w:color w:val="auto"/>
              </w:rPr>
              <w:t>Cash and cash equivalents, ending of period</w:t>
            </w:r>
          </w:p>
        </w:tc>
        <w:tc>
          <w:tcPr>
            <w:tcW w:w="200" w:type="dxa"/>
            <w:vAlign w:val="bottom"/>
            <w:tcBorders>
              <w:bottom w:val="single" w:sz="8" w:color="auto"/>
            </w:tcBorders>
          </w:tcPr>
          <w:p>
            <w:pPr>
              <w:jc w:val="right"/>
              <w:ind w:right="37"/>
              <w:spacing w:after="0"/>
              <w:rPr>
                <w:sz w:val="20"/>
                <w:szCs w:val="20"/>
                <w:color w:val="auto"/>
              </w:rPr>
            </w:pPr>
            <w:r>
              <w:rPr>
                <w:rFonts w:ascii="Verdana" w:cs="Verdana" w:eastAsia="Verdana" w:hAnsi="Verdana"/>
                <w:sz w:val="13"/>
                <w:szCs w:val="13"/>
                <w:color w:val="auto"/>
                <w:w w:val="95"/>
              </w:rPr>
              <w:t>$</w:t>
            </w:r>
          </w:p>
        </w:tc>
        <w:tc>
          <w:tcPr>
            <w:tcW w:w="128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553,709</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337,919</w:t>
            </w:r>
          </w:p>
        </w:tc>
      </w:tr>
      <w:tr>
        <w:trPr>
          <w:trHeight w:val="20"/>
        </w:trPr>
        <w:tc>
          <w:tcPr>
            <w:tcW w:w="818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5"/>
        </w:trPr>
        <w:tc>
          <w:tcPr>
            <w:tcW w:w="81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r>
      <w:tr>
        <w:trPr>
          <w:trHeight w:val="170"/>
        </w:trPr>
        <w:tc>
          <w:tcPr>
            <w:tcW w:w="8180" w:type="dxa"/>
            <w:vAlign w:val="bottom"/>
          </w:tcPr>
          <w:p>
            <w:pPr>
              <w:ind w:left="20"/>
              <w:spacing w:after="0"/>
              <w:rPr>
                <w:sz w:val="20"/>
                <w:szCs w:val="20"/>
                <w:color w:val="auto"/>
              </w:rPr>
            </w:pPr>
            <w:r>
              <w:rPr>
                <w:rFonts w:ascii="Verdana" w:cs="Verdana" w:eastAsia="Verdana" w:hAnsi="Verdana"/>
                <w:sz w:val="13"/>
                <w:szCs w:val="13"/>
                <w:b w:val="1"/>
                <w:bCs w:val="1"/>
                <w:color w:val="auto"/>
              </w:rPr>
              <w:t>SUPPLEMENTAL DISCLOSURES OF CASH FLOW INFORMATION</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8"/>
        </w:trPr>
        <w:tc>
          <w:tcPr>
            <w:tcW w:w="818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128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160" w:type="dxa"/>
            <w:vAlign w:val="bottom"/>
            <w:shd w:val="clear" w:color="auto" w:fill="E0E7ED"/>
          </w:tcPr>
          <w:p>
            <w:pPr>
              <w:spacing w:after="0"/>
              <w:rPr>
                <w:sz w:val="18"/>
                <w:szCs w:val="18"/>
                <w:color w:val="auto"/>
              </w:rPr>
            </w:pPr>
          </w:p>
        </w:tc>
      </w:tr>
      <w:tr>
        <w:trPr>
          <w:trHeight w:val="170"/>
        </w:trPr>
        <w:tc>
          <w:tcPr>
            <w:tcW w:w="8180" w:type="dxa"/>
            <w:vAlign w:val="bottom"/>
          </w:tcPr>
          <w:p>
            <w:pPr>
              <w:ind w:left="20"/>
              <w:spacing w:after="0"/>
              <w:rPr>
                <w:sz w:val="20"/>
                <w:szCs w:val="20"/>
                <w:color w:val="auto"/>
              </w:rPr>
            </w:pPr>
            <w:r>
              <w:rPr>
                <w:rFonts w:ascii="Verdana" w:cs="Verdana" w:eastAsia="Verdana" w:hAnsi="Verdana"/>
                <w:sz w:val="13"/>
                <w:szCs w:val="13"/>
                <w:b w:val="1"/>
                <w:bCs w:val="1"/>
                <w:color w:val="auto"/>
              </w:rPr>
              <w:t>Cash payments for:</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1"/>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Interest</w:t>
            </w:r>
          </w:p>
        </w:tc>
        <w:tc>
          <w:tcPr>
            <w:tcW w:w="200" w:type="dxa"/>
            <w:vAlign w:val="bottom"/>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12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146,302</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89,572</w:t>
            </w:r>
          </w:p>
        </w:tc>
      </w:tr>
      <w:tr>
        <w:trPr>
          <w:trHeight w:val="170"/>
        </w:trPr>
        <w:tc>
          <w:tcPr>
            <w:tcW w:w="8180" w:type="dxa"/>
            <w:vAlign w:val="bottom"/>
          </w:tcPr>
          <w:p>
            <w:pPr>
              <w:ind w:left="180"/>
              <w:spacing w:after="0"/>
              <w:rPr>
                <w:sz w:val="20"/>
                <w:szCs w:val="20"/>
                <w:color w:val="auto"/>
              </w:rPr>
            </w:pPr>
            <w:r>
              <w:rPr>
                <w:rFonts w:ascii="Verdana" w:cs="Verdana" w:eastAsia="Verdana" w:hAnsi="Verdana"/>
                <w:sz w:val="13"/>
                <w:szCs w:val="13"/>
                <w:color w:val="auto"/>
              </w:rPr>
              <w:t>Income taxes</w:t>
            </w:r>
          </w:p>
        </w:tc>
        <w:tc>
          <w:tcPr>
            <w:tcW w:w="200" w:type="dxa"/>
            <w:vAlign w:val="bottom"/>
          </w:tcPr>
          <w:p>
            <w:pPr>
              <w:spacing w:after="0"/>
              <w:rPr>
                <w:sz w:val="14"/>
                <w:szCs w:val="14"/>
                <w:color w:val="auto"/>
              </w:rPr>
            </w:pPr>
          </w:p>
        </w:tc>
        <w:tc>
          <w:tcPr>
            <w:tcW w:w="1280" w:type="dxa"/>
            <w:vAlign w:val="bottom"/>
          </w:tcPr>
          <w:p>
            <w:pPr>
              <w:jc w:val="right"/>
              <w:ind w:right="17"/>
              <w:spacing w:after="0"/>
              <w:rPr>
                <w:sz w:val="20"/>
                <w:szCs w:val="20"/>
                <w:color w:val="auto"/>
              </w:rPr>
            </w:pPr>
            <w:r>
              <w:rPr>
                <w:rFonts w:ascii="Verdana" w:cs="Verdana" w:eastAsia="Verdana" w:hAnsi="Verdana"/>
                <w:sz w:val="13"/>
                <w:szCs w:val="13"/>
                <w:color w:val="auto"/>
              </w:rPr>
              <w:t>12,388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23,594</w:t>
            </w:r>
          </w:p>
        </w:tc>
      </w:tr>
      <w:tr>
        <w:trPr>
          <w:trHeight w:val="208"/>
        </w:trPr>
        <w:tc>
          <w:tcPr>
            <w:tcW w:w="818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128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160" w:type="dxa"/>
            <w:vAlign w:val="bottom"/>
            <w:shd w:val="clear" w:color="auto" w:fill="E0E7ED"/>
          </w:tcPr>
          <w:p>
            <w:pPr>
              <w:spacing w:after="0"/>
              <w:rPr>
                <w:sz w:val="18"/>
                <w:szCs w:val="18"/>
                <w:color w:val="auto"/>
              </w:rPr>
            </w:pPr>
          </w:p>
        </w:tc>
      </w:tr>
      <w:tr>
        <w:trPr>
          <w:trHeight w:val="170"/>
        </w:trPr>
        <w:tc>
          <w:tcPr>
            <w:tcW w:w="8180" w:type="dxa"/>
            <w:vAlign w:val="bottom"/>
          </w:tcPr>
          <w:p>
            <w:pPr>
              <w:ind w:left="20"/>
              <w:spacing w:after="0"/>
              <w:rPr>
                <w:sz w:val="20"/>
                <w:szCs w:val="20"/>
                <w:color w:val="auto"/>
              </w:rPr>
            </w:pPr>
            <w:r>
              <w:rPr>
                <w:rFonts w:ascii="Verdana" w:cs="Verdana" w:eastAsia="Verdana" w:hAnsi="Verdana"/>
                <w:sz w:val="13"/>
                <w:szCs w:val="13"/>
                <w:b w:val="1"/>
                <w:bCs w:val="1"/>
                <w:color w:val="auto"/>
              </w:rPr>
              <w:t>Non-cash investing and financing activities:</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1"/>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OREO acquired in settlement of loans</w:t>
            </w: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26</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144</w:t>
            </w:r>
          </w:p>
        </w:tc>
      </w:tr>
    </w:tbl>
    <w:p>
      <w:pPr>
        <w:spacing w:after="0" w:line="265"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 xml:space="preserve">See accompanying </w:t>
      </w:r>
      <w:r>
        <w:rPr>
          <w:rFonts w:ascii="Verdana" w:cs="Verdana" w:eastAsia="Verdana" w:hAnsi="Verdana"/>
          <w:sz w:val="18"/>
          <w:szCs w:val="18"/>
          <w:u w:val="single" w:color="auto"/>
          <w:color w:val="0000FF"/>
        </w:rPr>
        <w:t>Notes to Consolidated Financial Statements (Unaudited)</w:t>
      </w:r>
      <w:r>
        <w:rPr>
          <w:rFonts w:ascii="Verdana" w:cs="Verdana" w:eastAsia="Verdana" w:hAnsi="Verdana"/>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2" w:name="page13"/>
    <w:bookmarkEnd w:id="12"/>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1. SIGNIFICANT ACCOUNTING POLICIES</w:t>
      </w:r>
    </w:p>
    <w:p>
      <w:pPr>
        <w:spacing w:after="0" w:line="186"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Nature of Operations</w:t>
      </w:r>
    </w:p>
    <w:p>
      <w:pPr>
        <w:spacing w:after="0" w:line="21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First Busey Corporation, a Nevada corporation organized in 1980, is an $11.99 billion financial holding company headquartered in Champaign, Illinois. Busey’s common stock is traded on The Nasdaq Global Select Market under the symbol “BUSE.”</w:t>
      </w:r>
    </w:p>
    <w:p>
      <w:pPr>
        <w:spacing w:after="0" w:line="194" w:lineRule="exact"/>
        <w:rPr>
          <w:sz w:val="20"/>
          <w:szCs w:val="20"/>
          <w:color w:val="auto"/>
        </w:rPr>
      </w:pPr>
    </w:p>
    <w:p>
      <w:pPr>
        <w:spacing w:after="0"/>
        <w:rPr>
          <w:sz w:val="20"/>
          <w:szCs w:val="20"/>
          <w:color w:val="auto"/>
        </w:rPr>
      </w:pPr>
      <w:r>
        <w:rPr>
          <w:rFonts w:ascii="Verdana" w:cs="Verdana" w:eastAsia="Verdana" w:hAnsi="Verdana"/>
          <w:sz w:val="18"/>
          <w:szCs w:val="18"/>
          <w:color w:val="auto"/>
        </w:rPr>
        <w:t>Busey operates and reports its business in three segments: Banking, Wealth Management, and FirsTech.</w:t>
      </w:r>
    </w:p>
    <w:p>
      <w:pPr>
        <w:spacing w:after="0" w:line="213" w:lineRule="exact"/>
        <w:rPr>
          <w:sz w:val="20"/>
          <w:szCs w:val="20"/>
          <w:color w:val="auto"/>
        </w:rPr>
      </w:pPr>
    </w:p>
    <w:p>
      <w:pPr>
        <w:jc w:val="both"/>
        <w:ind w:left="660" w:hanging="328"/>
        <w:spacing w:after="0" w:line="245" w:lineRule="auto"/>
        <w:tabs>
          <w:tab w:leader="none" w:pos="650" w:val="left"/>
        </w:tabs>
        <w:numPr>
          <w:ilvl w:val="0"/>
          <w:numId w:val="3"/>
        </w:numPr>
        <w:rPr>
          <w:rFonts w:ascii="Verdana" w:cs="Verdana" w:eastAsia="Verdana" w:hAnsi="Verdana"/>
          <w:sz w:val="18"/>
          <w:szCs w:val="18"/>
          <w:color w:val="auto"/>
        </w:rPr>
      </w:pPr>
      <w:r>
        <w:rPr>
          <w:rFonts w:ascii="Verdana" w:cs="Verdana" w:eastAsia="Verdana" w:hAnsi="Verdana"/>
          <w:sz w:val="18"/>
          <w:szCs w:val="18"/>
          <w:color w:val="auto"/>
        </w:rPr>
        <w:t xml:space="preserve">The </w:t>
      </w:r>
      <w:r>
        <w:rPr>
          <w:rFonts w:ascii="Verdana" w:cs="Verdana" w:eastAsia="Verdana" w:hAnsi="Verdana"/>
          <w:sz w:val="18"/>
          <w:szCs w:val="18"/>
          <w:i w:val="1"/>
          <w:iCs w:val="1"/>
          <w:color w:val="auto"/>
        </w:rPr>
        <w:t>Banking</w:t>
      </w:r>
      <w:r>
        <w:rPr>
          <w:rFonts w:ascii="Verdana" w:cs="Verdana" w:eastAsia="Verdana" w:hAnsi="Verdana"/>
          <w:sz w:val="18"/>
          <w:szCs w:val="18"/>
          <w:color w:val="auto"/>
        </w:rPr>
        <w:t xml:space="preserve"> operating segment provides a full range of banking services to individual and corporate customers through its banking center network in Illinois; the St. Louis, Missouri metropolitan area; southwest Florida; and Indianapolis, Indiana.</w:t>
      </w:r>
    </w:p>
    <w:p>
      <w:pPr>
        <w:spacing w:after="0" w:line="194" w:lineRule="exact"/>
        <w:rPr>
          <w:rFonts w:ascii="Verdana" w:cs="Verdana" w:eastAsia="Verdana" w:hAnsi="Verdana"/>
          <w:sz w:val="18"/>
          <w:szCs w:val="18"/>
          <w:color w:val="auto"/>
        </w:rPr>
      </w:pPr>
    </w:p>
    <w:p>
      <w:pPr>
        <w:jc w:val="both"/>
        <w:ind w:left="660" w:hanging="328"/>
        <w:spacing w:after="0" w:line="245" w:lineRule="auto"/>
        <w:tabs>
          <w:tab w:leader="none" w:pos="650" w:val="left"/>
        </w:tabs>
        <w:numPr>
          <w:ilvl w:val="0"/>
          <w:numId w:val="3"/>
        </w:numPr>
        <w:rPr>
          <w:rFonts w:ascii="Verdana" w:cs="Verdana" w:eastAsia="Verdana" w:hAnsi="Verdana"/>
          <w:sz w:val="18"/>
          <w:szCs w:val="18"/>
          <w:color w:val="auto"/>
        </w:rPr>
      </w:pPr>
      <w:r>
        <w:rPr>
          <w:rFonts w:ascii="Verdana" w:cs="Verdana" w:eastAsia="Verdana" w:hAnsi="Verdana"/>
          <w:sz w:val="18"/>
          <w:szCs w:val="18"/>
          <w:color w:val="auto"/>
        </w:rPr>
        <w:t xml:space="preserve">The </w:t>
      </w:r>
      <w:r>
        <w:rPr>
          <w:rFonts w:ascii="Verdana" w:cs="Verdana" w:eastAsia="Verdana" w:hAnsi="Verdana"/>
          <w:sz w:val="18"/>
          <w:szCs w:val="18"/>
          <w:i w:val="1"/>
          <w:iCs w:val="1"/>
          <w:color w:val="auto"/>
        </w:rPr>
        <w:t>Wealth Management</w:t>
      </w:r>
      <w:r>
        <w:rPr>
          <w:rFonts w:ascii="Verdana" w:cs="Verdana" w:eastAsia="Verdana" w:hAnsi="Verdana"/>
          <w:sz w:val="18"/>
          <w:szCs w:val="18"/>
          <w:color w:val="auto"/>
        </w:rPr>
        <w:t xml:space="preserve"> operating segment provides a full range of asset management, investment, brokerage, fiduciary, philanthropic advisory, tax preparation, and farm management services to individuals, businesses, and foundations.</w:t>
      </w:r>
    </w:p>
    <w:p>
      <w:pPr>
        <w:spacing w:after="0" w:line="153" w:lineRule="exact"/>
        <w:rPr>
          <w:rFonts w:ascii="Verdana" w:cs="Verdana" w:eastAsia="Verdana" w:hAnsi="Verdana"/>
          <w:sz w:val="18"/>
          <w:szCs w:val="18"/>
          <w:color w:val="auto"/>
        </w:rPr>
      </w:pPr>
    </w:p>
    <w:p>
      <w:pPr>
        <w:jc w:val="both"/>
        <w:ind w:left="660" w:hanging="328"/>
        <w:spacing w:after="0" w:line="242" w:lineRule="auto"/>
        <w:tabs>
          <w:tab w:leader="none" w:pos="650" w:val="left"/>
        </w:tabs>
        <w:numPr>
          <w:ilvl w:val="0"/>
          <w:numId w:val="3"/>
        </w:numPr>
        <w:rPr>
          <w:rFonts w:ascii="Verdana" w:cs="Verdana" w:eastAsia="Verdana" w:hAnsi="Verdana"/>
          <w:sz w:val="18"/>
          <w:szCs w:val="18"/>
          <w:color w:val="auto"/>
        </w:rPr>
      </w:pPr>
      <w:r>
        <w:rPr>
          <w:rFonts w:ascii="Verdana" w:cs="Verdana" w:eastAsia="Verdana" w:hAnsi="Verdana"/>
          <w:sz w:val="18"/>
          <w:szCs w:val="18"/>
          <w:color w:val="auto"/>
        </w:rPr>
        <w:t xml:space="preserve">The </w:t>
      </w:r>
      <w:r>
        <w:rPr>
          <w:rFonts w:ascii="Verdana" w:cs="Verdana" w:eastAsia="Verdana" w:hAnsi="Verdana"/>
          <w:sz w:val="18"/>
          <w:szCs w:val="18"/>
          <w:i w:val="1"/>
          <w:iCs w:val="1"/>
          <w:color w:val="auto"/>
        </w:rPr>
        <w:t>FirsTech</w:t>
      </w:r>
      <w:r>
        <w:rPr>
          <w:rFonts w:ascii="Verdana" w:cs="Verdana" w:eastAsia="Verdana" w:hAnsi="Verdana"/>
          <w:sz w:val="18"/>
          <w:szCs w:val="18"/>
          <w:color w:val="auto"/>
        </w:rPr>
        <w:t xml:space="preserve"> operating segment provides comprehensive and innovative payment technology solutions including online, mobile, and voice-recognition bill payments; money management and credit card networks; direct debit services; lockbox remittance processing for payments made by mail; and walk-in payments. FirsTech also provides additional tools to help clients with billing, reconciliation, bill reminders, and treasury services.</w:t>
      </w:r>
    </w:p>
    <w:p>
      <w:pPr>
        <w:spacing w:after="0" w:line="157"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 xml:space="preserve">For additional information about First Busey's operating segments, see </w:t>
      </w:r>
      <w:r>
        <w:rPr>
          <w:rFonts w:ascii="Verdana" w:cs="Verdana" w:eastAsia="Verdana" w:hAnsi="Verdana"/>
          <w:sz w:val="18"/>
          <w:szCs w:val="18"/>
          <w:i w:val="1"/>
          <w:iCs w:val="1"/>
          <w:color w:val="auto"/>
        </w:rPr>
        <w:t>“</w:t>
      </w:r>
      <w:r>
        <w:rPr>
          <w:rFonts w:ascii="Verdana" w:cs="Verdana" w:eastAsia="Verdana" w:hAnsi="Verdana"/>
          <w:sz w:val="18"/>
          <w:szCs w:val="18"/>
          <w:i w:val="1"/>
          <w:iCs w:val="1"/>
          <w:u w:val="single" w:color="auto"/>
          <w:color w:val="0000FF"/>
        </w:rPr>
        <w:t>Note 16. Operating Segments and Related</w:t>
      </w:r>
      <w:r>
        <w:rPr>
          <w:rFonts w:ascii="Verdana" w:cs="Verdana" w:eastAsia="Verdana" w:hAnsi="Verdana"/>
          <w:sz w:val="18"/>
          <w:szCs w:val="18"/>
          <w:color w:val="auto"/>
        </w:rPr>
        <w:t xml:space="preserve"> </w:t>
      </w:r>
      <w:r>
        <w:rPr>
          <w:rFonts w:ascii="Verdana" w:cs="Verdana" w:eastAsia="Verdana" w:hAnsi="Verdana"/>
          <w:sz w:val="18"/>
          <w:szCs w:val="18"/>
          <w:i w:val="1"/>
          <w:iCs w:val="1"/>
          <w:u w:val="single" w:color="auto"/>
          <w:color w:val="0000FF"/>
        </w:rPr>
        <w:t>Information</w:t>
      </w:r>
      <w:r>
        <w:rPr>
          <w:rFonts w:ascii="Verdana" w:cs="Verdana" w:eastAsia="Verdana" w:hAnsi="Verdana"/>
          <w:sz w:val="18"/>
          <w:szCs w:val="18"/>
          <w:i w:val="1"/>
          <w:iCs w:val="1"/>
          <w:color w:val="000000"/>
        </w:rPr>
        <w:t>.”</w:t>
      </w:r>
    </w:p>
    <w:p>
      <w:pPr>
        <w:spacing w:after="0" w:line="158"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Basis of Financial Statement Presentation</w:t>
      </w:r>
    </w:p>
    <w:p>
      <w:pPr>
        <w:spacing w:after="0" w:line="173" w:lineRule="exact"/>
        <w:rPr>
          <w:sz w:val="20"/>
          <w:szCs w:val="20"/>
          <w:color w:val="auto"/>
        </w:rPr>
      </w:pPr>
    </w:p>
    <w:p>
      <w:pPr>
        <w:jc w:val="both"/>
        <w:spacing w:after="0" w:line="242" w:lineRule="auto"/>
        <w:rPr>
          <w:rFonts w:ascii="Verdana" w:cs="Verdana" w:eastAsia="Verdana" w:hAnsi="Verdana"/>
          <w:sz w:val="18"/>
          <w:szCs w:val="18"/>
          <w:color w:val="0000FF"/>
        </w:rPr>
      </w:pPr>
      <w:hyperlink r:id="rId24">
        <w:r>
          <w:rPr>
            <w:rFonts w:ascii="Verdana" w:cs="Verdana" w:eastAsia="Verdana" w:hAnsi="Verdana"/>
            <w:sz w:val="18"/>
            <w:szCs w:val="18"/>
            <w:color w:val="auto"/>
          </w:rPr>
          <w:t xml:space="preserve">These unaudited consolidated financial statements and related notes should be read in conjunction with the </w:t>
        </w:r>
        <w:r>
          <w:rPr>
            <w:rFonts w:ascii="Verdana" w:cs="Verdana" w:eastAsia="Verdana" w:hAnsi="Verdana"/>
            <w:sz w:val="18"/>
            <w:szCs w:val="18"/>
            <w:u w:val="single" w:color="auto"/>
            <w:color w:val="0000FF"/>
          </w:rPr>
          <w:t>audited</w:t>
        </w:r>
      </w:hyperlink>
      <w:r>
        <w:rPr>
          <w:rFonts w:ascii="Verdana" w:cs="Verdana" w:eastAsia="Verdana" w:hAnsi="Verdana"/>
          <w:sz w:val="18"/>
          <w:szCs w:val="18"/>
          <w:color w:val="auto"/>
        </w:rPr>
        <w:t xml:space="preserve"> </w:t>
      </w:r>
      <w:hyperlink r:id="rId24">
        <w:r>
          <w:rPr>
            <w:rFonts w:ascii="Verdana" w:cs="Verdana" w:eastAsia="Verdana" w:hAnsi="Verdana"/>
            <w:sz w:val="18"/>
            <w:szCs w:val="18"/>
            <w:u w:val="single" w:color="auto"/>
            <w:color w:val="0000FF"/>
          </w:rPr>
          <w:t>consolidated financial statements</w:t>
        </w:r>
        <w:r>
          <w:rPr>
            <w:rFonts w:ascii="Verdana" w:cs="Verdana" w:eastAsia="Verdana" w:hAnsi="Verdana"/>
            <w:sz w:val="18"/>
            <w:szCs w:val="18"/>
            <w:color w:val="0000FF"/>
          </w:rPr>
          <w:t xml:space="preserve"> </w:t>
        </w:r>
        <w:r>
          <w:rPr>
            <w:rFonts w:ascii="Verdana" w:cs="Verdana" w:eastAsia="Verdana" w:hAnsi="Verdana"/>
            <w:sz w:val="18"/>
            <w:szCs w:val="18"/>
            <w:color w:val="000000"/>
          </w:rPr>
          <w:t>included in</w:t>
        </w:r>
        <w:r>
          <w:rPr>
            <w:rFonts w:ascii="Verdana" w:cs="Verdana" w:eastAsia="Verdana" w:hAnsi="Verdana"/>
            <w:sz w:val="18"/>
            <w:szCs w:val="18"/>
            <w:color w:val="0000FF"/>
          </w:rPr>
          <w:t xml:space="preserve"> </w:t>
        </w:r>
      </w:hyperlink>
      <w:hyperlink r:id="rId25">
        <w:r>
          <w:rPr>
            <w:rFonts w:ascii="Verdana" w:cs="Verdana" w:eastAsia="Verdana" w:hAnsi="Verdana"/>
            <w:sz w:val="18"/>
            <w:szCs w:val="18"/>
            <w:u w:val="single" w:color="auto"/>
            <w:color w:val="0000FF"/>
          </w:rPr>
          <w:t>Busey's 2023 Annual Report</w:t>
        </w:r>
      </w:hyperlink>
      <w:hyperlink r:id="rId24">
        <w:r>
          <w:rPr>
            <w:rFonts w:ascii="Verdana" w:cs="Verdana" w:eastAsia="Verdana" w:hAnsi="Verdana"/>
            <w:sz w:val="18"/>
            <w:szCs w:val="18"/>
            <w:color w:val="000000"/>
          </w:rPr>
          <w:t>. These interim unaudited consolidated financial</w:t>
        </w:r>
      </w:hyperlink>
      <w:r>
        <w:rPr>
          <w:rFonts w:ascii="Verdana" w:cs="Verdana" w:eastAsia="Verdana" w:hAnsi="Verdana"/>
          <w:sz w:val="18"/>
          <w:szCs w:val="18"/>
          <w:color w:val="0000FF"/>
        </w:rPr>
        <w:t xml:space="preserve"> </w:t>
      </w:r>
      <w:r>
        <w:rPr>
          <w:rFonts w:ascii="Verdana" w:cs="Verdana" w:eastAsia="Verdana" w:hAnsi="Verdana"/>
          <w:sz w:val="18"/>
          <w:szCs w:val="18"/>
          <w:color w:val="000000"/>
        </w:rPr>
        <w:t>statements serve to update our 2023 Annual Report and may not include all information and notes necessary to constitute a complete set of financial statements.</w:t>
      </w:r>
    </w:p>
    <w:p>
      <w:pPr>
        <w:spacing w:after="0" w:line="157" w:lineRule="exact"/>
        <w:rPr>
          <w:rFonts w:ascii="Verdana" w:cs="Verdana" w:eastAsia="Verdana" w:hAnsi="Verdana"/>
          <w:sz w:val="18"/>
          <w:szCs w:val="18"/>
          <w:color w:val="0000FF"/>
        </w:rPr>
      </w:pPr>
    </w:p>
    <w:p>
      <w:pPr>
        <w:jc w:val="both"/>
        <w:spacing w:after="0" w:line="242" w:lineRule="auto"/>
        <w:rPr>
          <w:sz w:val="20"/>
          <w:szCs w:val="20"/>
          <w:color w:val="auto"/>
        </w:rPr>
      </w:pPr>
      <w:r>
        <w:rPr>
          <w:rFonts w:ascii="Verdana" w:cs="Verdana" w:eastAsia="Verdana" w:hAnsi="Verdana"/>
          <w:sz w:val="18"/>
          <w:szCs w:val="18"/>
          <w:color w:val="auto"/>
        </w:rPr>
        <w:t>We prepared these unaudited consolidated financial statements in conformity with GAAP. We have eliminated intercompany accounts and transactions. We have also reclassified certain prior year amounts to conform to the current period presentation. These reclassifications did not have a material impact on our consolidated financial condition or results of operations.</w:t>
      </w:r>
    </w:p>
    <w:p>
      <w:pPr>
        <w:spacing w:after="0" w:line="171" w:lineRule="exact"/>
        <w:rPr>
          <w:rFonts w:ascii="Verdana" w:cs="Verdana" w:eastAsia="Verdana" w:hAnsi="Verdana"/>
          <w:sz w:val="18"/>
          <w:szCs w:val="18"/>
          <w:color w:val="0000FF"/>
        </w:rPr>
      </w:pPr>
    </w:p>
    <w:p>
      <w:pPr>
        <w:jc w:val="both"/>
        <w:spacing w:after="0" w:line="245" w:lineRule="auto"/>
        <w:rPr>
          <w:sz w:val="20"/>
          <w:szCs w:val="20"/>
          <w:color w:val="auto"/>
        </w:rPr>
      </w:pPr>
      <w:r>
        <w:rPr>
          <w:rFonts w:ascii="Verdana" w:cs="Verdana" w:eastAsia="Verdana" w:hAnsi="Verdana"/>
          <w:sz w:val="18"/>
          <w:szCs w:val="18"/>
          <w:color w:val="auto"/>
        </w:rPr>
        <w:t>In our opinion, the unaudited consolidated financial statements reflect all normal, recurring adjustments needed to present fairly our results for the interim periods. The results of operations for interim periods are not necessarily indicative of the results that may be expected for the full year or any other interim period.</w:t>
      </w:r>
    </w:p>
    <w:p>
      <w:pPr>
        <w:spacing w:after="0" w:line="154" w:lineRule="exact"/>
        <w:rPr>
          <w:rFonts w:ascii="Verdana" w:cs="Verdana" w:eastAsia="Verdana" w:hAnsi="Verdana"/>
          <w:sz w:val="18"/>
          <w:szCs w:val="18"/>
          <w:color w:val="0000FF"/>
        </w:rPr>
      </w:pPr>
    </w:p>
    <w:p>
      <w:pPr>
        <w:spacing w:after="0"/>
        <w:rPr>
          <w:sz w:val="20"/>
          <w:szCs w:val="20"/>
          <w:color w:val="auto"/>
        </w:rPr>
      </w:pPr>
      <w:r>
        <w:rPr>
          <w:rFonts w:ascii="Verdana" w:cs="Verdana" w:eastAsia="Verdana" w:hAnsi="Verdana"/>
          <w:sz w:val="18"/>
          <w:szCs w:val="18"/>
          <w:b w:val="1"/>
          <w:bCs w:val="1"/>
          <w:i w:val="1"/>
          <w:iCs w:val="1"/>
          <w:color w:val="auto"/>
        </w:rPr>
        <w:t>Use of Estimates</w:t>
      </w:r>
    </w:p>
    <w:p>
      <w:pPr>
        <w:spacing w:after="0" w:line="173" w:lineRule="exact"/>
        <w:rPr>
          <w:rFonts w:ascii="Verdana" w:cs="Verdana" w:eastAsia="Verdana" w:hAnsi="Verdana"/>
          <w:sz w:val="18"/>
          <w:szCs w:val="18"/>
          <w:color w:val="0000FF"/>
        </w:rPr>
      </w:pPr>
    </w:p>
    <w:p>
      <w:pPr>
        <w:jc w:val="both"/>
        <w:spacing w:after="0" w:line="241" w:lineRule="auto"/>
        <w:rPr>
          <w:sz w:val="20"/>
          <w:szCs w:val="20"/>
          <w:color w:val="auto"/>
        </w:rPr>
      </w:pPr>
      <w:r>
        <w:rPr>
          <w:rFonts w:ascii="Verdana" w:cs="Verdana" w:eastAsia="Verdana" w:hAnsi="Verdana"/>
          <w:sz w:val="18"/>
          <w:szCs w:val="18"/>
          <w:color w:val="auto"/>
        </w:rPr>
        <w:t>In preparing the accompanying unaudited consolidated financial statements in conformity with GAAP, Busey’s management is required to make estimates and assumptions that affect the amounts reported in the financial statements and the disclosures provided. Actual results could differ from those estimates. Material estimates which are particularly susceptible to significant change in the near term relate to the fair value of debt securities available for sale, fair value of assets acquired and liabilities assumed in business combinations, goodwill, income taxes, and the determination of the ACL.</w:t>
      </w:r>
    </w:p>
    <w:p>
      <w:pPr>
        <w:spacing w:after="0" w:line="200" w:lineRule="exact"/>
        <w:rPr>
          <w:rFonts w:ascii="Verdana" w:cs="Verdana" w:eastAsia="Verdana" w:hAnsi="Verdana"/>
          <w:sz w:val="18"/>
          <w:szCs w:val="18"/>
          <w:color w:val="0000FF"/>
        </w:rPr>
      </w:pPr>
    </w:p>
    <w:p>
      <w:pPr>
        <w:spacing w:after="0" w:line="376" w:lineRule="exact"/>
        <w:rPr>
          <w:rFonts w:ascii="Verdana" w:cs="Verdana" w:eastAsia="Verdana" w:hAnsi="Verdana"/>
          <w:sz w:val="18"/>
          <w:szCs w:val="18"/>
          <w:color w:val="0000FF"/>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13</w:t>
      </w:r>
    </w:p>
    <w:p>
      <w:pPr>
        <w:spacing w:after="0" w:line="20" w:lineRule="exact"/>
        <w:rPr>
          <w:rFonts w:ascii="Verdana" w:cs="Verdana" w:eastAsia="Verdana" w:hAnsi="Verdana"/>
          <w:sz w:val="18"/>
          <w:szCs w:val="18"/>
          <w:color w:val="0000FF"/>
        </w:rPr>
      </w:pPr>
      <w:r>
        <w:rPr>
          <w:rFonts w:ascii="Verdana" w:cs="Verdana" w:eastAsia="Verdana" w:hAnsi="Verdana"/>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13" w:name="page14"/>
    <w:bookmarkEnd w:id="13"/>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Income Taxes</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During the nine months ended September 30, 2024, Busey recorded an estimated one-time deferred tax valuation adjustment of $1.4 million resulting from a change to our Illinois apportionment rate due to recently enacted regulations. These new regulations are expected to lower our ongoing tax obligation in future periods, but create a negative adjustment to the carrying value of our deferred tax asset in the current year.</w:t>
      </w:r>
    </w:p>
    <w:p>
      <w:pPr>
        <w:spacing w:after="0" w:line="171"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As of September 30, 2024, Busey Bank is under examination by the Florida Department of Revenue for its 2020 to 2022 corporate income tax filings.</w:t>
      </w:r>
    </w:p>
    <w:p>
      <w:pPr>
        <w:spacing w:after="0" w:line="144"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Impact of Recently Adopted Accounting Standards</w:t>
      </w:r>
    </w:p>
    <w:p>
      <w:pPr>
        <w:spacing w:after="0" w:line="133" w:lineRule="exact"/>
        <w:rPr>
          <w:sz w:val="20"/>
          <w:szCs w:val="20"/>
          <w:color w:val="auto"/>
        </w:rPr>
      </w:pPr>
    </w:p>
    <w:p>
      <w:pPr>
        <w:jc w:val="both"/>
        <w:spacing w:after="0" w:line="222" w:lineRule="exact"/>
        <w:rPr>
          <w:sz w:val="20"/>
          <w:szCs w:val="20"/>
          <w:color w:val="auto"/>
        </w:rPr>
      </w:pPr>
      <w:r>
        <w:rPr>
          <w:rFonts w:ascii="Verdana" w:cs="Verdana" w:eastAsia="Verdana" w:hAnsi="Verdana"/>
          <w:sz w:val="18"/>
          <w:szCs w:val="18"/>
          <w:color w:val="auto"/>
        </w:rPr>
        <w:t>In March 2023, the FASB issued ASU 2023</w:t>
      </w:r>
      <w:r>
        <w:rPr>
          <w:rFonts w:ascii="MS PGothic" w:cs="MS PGothic" w:eastAsia="MS PGothic" w:hAnsi="MS PGothic"/>
          <w:sz w:val="18"/>
          <w:szCs w:val="18"/>
          <w:color w:val="auto"/>
        </w:rPr>
        <w:t>‑</w:t>
      </w:r>
      <w:r>
        <w:rPr>
          <w:rFonts w:ascii="Verdana" w:cs="Verdana" w:eastAsia="Verdana" w:hAnsi="Verdana"/>
          <w:sz w:val="18"/>
          <w:szCs w:val="18"/>
          <w:color w:val="auto"/>
        </w:rPr>
        <w:t xml:space="preserve">02 </w:t>
      </w:r>
      <w:r>
        <w:rPr>
          <w:rFonts w:ascii="Verdana" w:cs="Verdana" w:eastAsia="Verdana" w:hAnsi="Verdana"/>
          <w:sz w:val="18"/>
          <w:szCs w:val="18"/>
          <w:i w:val="1"/>
          <w:iCs w:val="1"/>
          <w:color w:val="auto"/>
        </w:rPr>
        <w:t>“Investments—Equity Method and Joint Ventures (Topic 323),”</w:t>
      </w:r>
      <w:r>
        <w:rPr>
          <w:rFonts w:ascii="Verdana" w:cs="Verdana" w:eastAsia="Verdana" w:hAnsi="Verdana"/>
          <w:sz w:val="18"/>
          <w:szCs w:val="18"/>
          <w:color w:val="auto"/>
        </w:rPr>
        <w:t xml:space="preserve"> permitting an election to use the proportional amortization method to account for equity investments made primarily for the purpose of receiving income tax credits and other income tax benefits, regardless of the tax credit program from which the income tax credits are received, provided that certain conditions are met. The proportional amortization method results in the cost of the investment being amortized in proportion to the income tax credits and other income tax benefits received, with the amortization of the investment and the income tax credits being presented net in the income statement as a component of income tax expense. Busey adopted this standard on a modified retrospective basis on January 1, 2024. Upon adoption, Busey recorded an after-tax decrease to retained earnings of $1.4 million for the cumulative effect of adopting ASU 2023</w:t>
      </w:r>
      <w:r>
        <w:rPr>
          <w:rFonts w:ascii="MS PGothic" w:cs="MS PGothic" w:eastAsia="MS PGothic" w:hAnsi="MS PGothic"/>
          <w:sz w:val="18"/>
          <w:szCs w:val="18"/>
          <w:color w:val="auto"/>
        </w:rPr>
        <w:t>‑</w:t>
      </w:r>
      <w:r>
        <w:rPr>
          <w:rFonts w:ascii="Verdana" w:cs="Verdana" w:eastAsia="Verdana" w:hAnsi="Verdana"/>
          <w:sz w:val="18"/>
          <w:szCs w:val="18"/>
          <w:color w:val="auto"/>
        </w:rPr>
        <w:t>02. This transition adjustment included a $2.4 million decrease in other assets, a $0.5 million decrease in other liabilities, and a $0.5 million increase in deferred tax assets.</w:t>
      </w:r>
    </w:p>
    <w:p>
      <w:pPr>
        <w:spacing w:after="0" w:line="134" w:lineRule="exact"/>
        <w:rPr>
          <w:sz w:val="20"/>
          <w:szCs w:val="20"/>
          <w:color w:val="auto"/>
        </w:rPr>
      </w:pPr>
    </w:p>
    <w:p>
      <w:pPr>
        <w:jc w:val="both"/>
        <w:spacing w:after="0" w:line="227" w:lineRule="exact"/>
        <w:rPr>
          <w:sz w:val="20"/>
          <w:szCs w:val="20"/>
          <w:color w:val="auto"/>
        </w:rPr>
      </w:pPr>
      <w:r>
        <w:rPr>
          <w:rFonts w:ascii="Verdana" w:cs="Verdana" w:eastAsia="Verdana" w:hAnsi="Verdana"/>
          <w:sz w:val="18"/>
          <w:szCs w:val="18"/>
          <w:color w:val="auto"/>
        </w:rPr>
        <w:t>In March 2023, the FASB issued ASU 2023</w:t>
      </w:r>
      <w:r>
        <w:rPr>
          <w:rFonts w:ascii="MS PGothic" w:cs="MS PGothic" w:eastAsia="MS PGothic" w:hAnsi="MS PGothic"/>
          <w:sz w:val="18"/>
          <w:szCs w:val="18"/>
          <w:color w:val="auto"/>
        </w:rPr>
        <w:t>‑</w:t>
      </w:r>
      <w:r>
        <w:rPr>
          <w:rFonts w:ascii="Verdana" w:cs="Verdana" w:eastAsia="Verdana" w:hAnsi="Verdana"/>
          <w:sz w:val="18"/>
          <w:szCs w:val="18"/>
          <w:color w:val="auto"/>
        </w:rPr>
        <w:t>01 “Leases (Topic 842): Common Control Arrangements,” which requires amortization over the useful life of leasehold improvements (not the lease term) when the lease is between entities under common control, and any value of such leasehold improvements remaining at the end of the lease term is to be accounted for as a transfer between entities under common control. Busey adopted this standard on a prospective basis on January 1, 2024. Adoption of this standard did not have a material impact on Busey’s financial position or results of operations.</w:t>
      </w:r>
    </w:p>
    <w:p>
      <w:pPr>
        <w:spacing w:after="0" w:line="161"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 xml:space="preserve">In June 2022, the FASB issued ASU 2022-03 </w:t>
      </w:r>
      <w:r>
        <w:rPr>
          <w:rFonts w:ascii="Verdana" w:cs="Verdana" w:eastAsia="Verdana" w:hAnsi="Verdana"/>
          <w:sz w:val="18"/>
          <w:szCs w:val="18"/>
          <w:i w:val="1"/>
          <w:iCs w:val="1"/>
          <w:color w:val="auto"/>
        </w:rPr>
        <w:t>“Fair Value Measurements (Topic 820): Fair Value Measurement of Equity</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 xml:space="preserve">Securities Subject to Contractual Sale Restrictions,” </w:t>
      </w:r>
      <w:r>
        <w:rPr>
          <w:rFonts w:ascii="Verdana" w:cs="Verdana" w:eastAsia="Verdana" w:hAnsi="Verdana"/>
          <w:sz w:val="18"/>
          <w:szCs w:val="18"/>
          <w:color w:val="auto"/>
        </w:rPr>
        <w:t>which clarifies that contractual restrictions on the sale of equity</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securities are not considered in measuring the fair value of those equity securities, and further that contractual sale restrictions cannot be recognized and measured as a separate unit of account. Busey adopted this standard on a prospective basis on January 1, 2024. Adoption of this standard did not have a material impact on Busey’s financial position or results of operations.</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Recently Issued Accounting Standards Not Yet Adopted</w:t>
      </w:r>
    </w:p>
    <w:p>
      <w:pPr>
        <w:spacing w:after="0" w:line="186"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In March 2024, the FASB issued ASU 2024-01 “Compensation-Stock Compensation (Topic 718): Scope Application of Profits Interest and Similar Awards” to clarify that certain “profits interests” are within the scope of Topic 718 by amending the language and providing illustrative examples on how the scope guidance in paragraph 718-10-15-3 should be applied. This update is intended to improve clarity of the accounting standards codification, not to change the guidance. This update may be applied on a retrospective or prospective basis and will be effective for Busey for annual and interim periods beginning January 1, 2025. Early adoption is permitted. Busey is currently evaluating the potential effects of adoption of this ASU on its financial position and results of operations.</w:t>
      </w: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14" w:name="page15"/>
    <w:bookmarkEnd w:id="14"/>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26" w:lineRule="exact"/>
        <w:rPr>
          <w:sz w:val="20"/>
          <w:szCs w:val="20"/>
          <w:color w:val="auto"/>
        </w:rPr>
      </w:pPr>
      <w:r>
        <w:rPr>
          <w:rFonts w:ascii="Verdana" w:cs="Verdana" w:eastAsia="Verdana" w:hAnsi="Verdana"/>
          <w:sz w:val="18"/>
          <w:szCs w:val="18"/>
          <w:color w:val="auto"/>
        </w:rPr>
        <w:t>In December 2023, the FASB issued ASU 2023</w:t>
      </w:r>
      <w:r>
        <w:rPr>
          <w:rFonts w:ascii="MS PGothic" w:cs="MS PGothic" w:eastAsia="MS PGothic" w:hAnsi="MS PGothic"/>
          <w:sz w:val="18"/>
          <w:szCs w:val="18"/>
          <w:color w:val="auto"/>
        </w:rPr>
        <w:t>‑</w:t>
      </w:r>
      <w:r>
        <w:rPr>
          <w:rFonts w:ascii="Verdana" w:cs="Verdana" w:eastAsia="Verdana" w:hAnsi="Verdana"/>
          <w:sz w:val="18"/>
          <w:szCs w:val="18"/>
          <w:color w:val="auto"/>
        </w:rPr>
        <w:t>09 “Income Taxes (Topic 740): Improvements to Income Tax Disclosures,” which requires more detailed disclosures of income taxes paid net of refunds received, income from continuing operations before income tax expense or benefit, and income tax expense from continuing operations. This standard is to be applied on a prospective basis, with retrospective application permitted, and will be effective for Busey for annual reporting periods beginning with the fiscal year ending December 31, 2025. Busey does not expect adoption of this standard to have a material impact on its financial position or results of operations.</w:t>
      </w:r>
    </w:p>
    <w:p>
      <w:pPr>
        <w:spacing w:after="0" w:line="121" w:lineRule="exact"/>
        <w:rPr>
          <w:sz w:val="20"/>
          <w:szCs w:val="20"/>
          <w:color w:val="auto"/>
        </w:rPr>
      </w:pPr>
    </w:p>
    <w:p>
      <w:pPr>
        <w:jc w:val="both"/>
        <w:spacing w:after="0" w:line="227" w:lineRule="exact"/>
        <w:rPr>
          <w:sz w:val="20"/>
          <w:szCs w:val="20"/>
          <w:color w:val="auto"/>
        </w:rPr>
      </w:pPr>
      <w:r>
        <w:rPr>
          <w:rFonts w:ascii="Verdana" w:cs="Verdana" w:eastAsia="Verdana" w:hAnsi="Verdana"/>
          <w:sz w:val="18"/>
          <w:szCs w:val="18"/>
          <w:color w:val="auto"/>
        </w:rPr>
        <w:t>In November 2023, the FASB issued ASU 2023</w:t>
      </w:r>
      <w:r>
        <w:rPr>
          <w:rFonts w:ascii="MS PGothic" w:cs="MS PGothic" w:eastAsia="MS PGothic" w:hAnsi="MS PGothic"/>
          <w:sz w:val="18"/>
          <w:szCs w:val="18"/>
          <w:color w:val="auto"/>
        </w:rPr>
        <w:t>‑</w:t>
      </w:r>
      <w:r>
        <w:rPr>
          <w:rFonts w:ascii="Verdana" w:cs="Verdana" w:eastAsia="Verdana" w:hAnsi="Verdana"/>
          <w:sz w:val="18"/>
          <w:szCs w:val="18"/>
          <w:color w:val="auto"/>
        </w:rPr>
        <w:t>07 “Segment Reporting (Topic 820): Improvements to Reportable Segment Disclosures” requiring enhanced disclosures related to significant segment expenses. This standard is to be applied on a retrospective basis and is effective for Busey for annual reporting periods beginning with the fiscal year ending December 31, 2024, and for interim reporting periods within fiscal years starting January 1, 2025. Busey does not expect adoption of this standard to have a material impact on the Company’s financial position or results of operations.</w:t>
      </w:r>
    </w:p>
    <w:p>
      <w:pPr>
        <w:spacing w:after="0" w:line="134" w:lineRule="exact"/>
        <w:rPr>
          <w:sz w:val="20"/>
          <w:szCs w:val="20"/>
          <w:color w:val="auto"/>
        </w:rPr>
      </w:pPr>
    </w:p>
    <w:p>
      <w:pPr>
        <w:jc w:val="both"/>
        <w:spacing w:after="0" w:line="225" w:lineRule="exact"/>
        <w:rPr>
          <w:sz w:val="20"/>
          <w:szCs w:val="20"/>
          <w:color w:val="auto"/>
        </w:rPr>
      </w:pPr>
      <w:r>
        <w:rPr>
          <w:rFonts w:ascii="Verdana" w:cs="Verdana" w:eastAsia="Verdana" w:hAnsi="Verdana"/>
          <w:sz w:val="18"/>
          <w:szCs w:val="18"/>
          <w:color w:val="auto"/>
        </w:rPr>
        <w:t>In October 2023, the FASB issued ASU 2023</w:t>
      </w:r>
      <w:r>
        <w:rPr>
          <w:rFonts w:ascii="MS PGothic" w:cs="MS PGothic" w:eastAsia="MS PGothic" w:hAnsi="MS PGothic"/>
          <w:sz w:val="18"/>
          <w:szCs w:val="18"/>
          <w:color w:val="auto"/>
        </w:rPr>
        <w:t>‑</w:t>
      </w:r>
      <w:r>
        <w:rPr>
          <w:rFonts w:ascii="Verdana" w:cs="Verdana" w:eastAsia="Verdana" w:hAnsi="Verdana"/>
          <w:sz w:val="18"/>
          <w:szCs w:val="18"/>
          <w:color w:val="auto"/>
        </w:rPr>
        <w:t>06 “Disclosure Improvements: Codification Amendments in Response to the SEC’s Disclosure Update and Simplification Initiative” which aligns certain GAAP disclosure requirements with the SEC’s disclosure requirements, in order to better facilitate comparisons between entities that are subject to the SEC’s existing disclosures with entities that were not previously subject to the SEC’s requirements. Amendments in this update should be applied prospectively, and the effective date for Busey for each amendment in this ASU will be the date on which the SEC removes the related disclosure from Regulation S</w:t>
      </w:r>
      <w:r>
        <w:rPr>
          <w:rFonts w:ascii="MS PGothic" w:cs="MS PGothic" w:eastAsia="MS PGothic" w:hAnsi="MS PGothic"/>
          <w:sz w:val="18"/>
          <w:szCs w:val="18"/>
          <w:color w:val="auto"/>
        </w:rPr>
        <w:t>‑</w:t>
      </w:r>
      <w:r>
        <w:rPr>
          <w:rFonts w:ascii="Verdana" w:cs="Verdana" w:eastAsia="Verdana" w:hAnsi="Verdana"/>
          <w:sz w:val="18"/>
          <w:szCs w:val="18"/>
          <w:color w:val="auto"/>
        </w:rPr>
        <w:t>X or Regulation S</w:t>
      </w:r>
      <w:r>
        <w:rPr>
          <w:rFonts w:ascii="MS PGothic" w:cs="MS PGothic" w:eastAsia="MS PGothic" w:hAnsi="MS PGothic"/>
          <w:sz w:val="18"/>
          <w:szCs w:val="18"/>
          <w:color w:val="auto"/>
        </w:rPr>
        <w:t>‑</w:t>
      </w:r>
      <w:r>
        <w:rPr>
          <w:rFonts w:ascii="Verdana" w:cs="Verdana" w:eastAsia="Verdana" w:hAnsi="Verdana"/>
          <w:sz w:val="18"/>
          <w:szCs w:val="18"/>
          <w:color w:val="auto"/>
        </w:rPr>
        <w:t>K. Early adoption is prohibited. Busey does not expect adoption of this standard to have a material impact on its financial position or results of operations.</w:t>
      </w:r>
    </w:p>
    <w:p>
      <w:pPr>
        <w:spacing w:after="0" w:line="158"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Subsequent Events</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Busey has evaluated subsequent events for potential recognition and/or disclosure through the date the unaudited consolidated financial statements included in this Quarterly Report were issued. There were no significant events subsequent to the quarter ended September 30, 2024, through the filing date of these unaudited consolidated financial statements.</w:t>
      </w:r>
    </w:p>
    <w:p>
      <w:pPr>
        <w:spacing w:after="0" w:line="17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2. MERGERS AND ACQUISITIONS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CrossFirst Bankshares, Inc.</w:t>
      </w:r>
    </w:p>
    <w:p>
      <w:pPr>
        <w:spacing w:after="0" w:line="173"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On August 26, 2024, Busey and CrossFirst, a Kansas corporation, entered into an Agreement and Plan of Merger (the “Merger Agreement”). The Merger Agreement provides that, upon the terms and subject to the conditions set forth therein, CrossFirst will merge with and into Busey, with Busey as the surviving corporation in the merger (the “Merger”). The Merger Agreement further provides that at a date and time following the Merger as determined by Busey, CrossFirst Bank, a Kansas state-chartered bank and a wholly owned subsidiary of CrossFirst, will merge with and into Busey Bank, with Busey Bank as the surviving bank (the “Bank Merger”). Upon the terms and subject to the conditions set forth in the Merger Agreement, at the effective time of the Merger (the “Effective Time”), each share of CrossFirst common stock outstanding immediately prior to the Effective Time, other than certain shares held by CrossFirst or Busey, will be converted into the right to receive 0.6675 of a share of Busey common stock. Upon completion of the Merger, holders of Busey common stock (“Busey stockholders”) will own approximately 63.5% of the combined company and holders of CrossFirst common stock (“CrossFirst stockholders”) will own approximately 36.5% of the combined company, on a fully-diluted basis.</w:t>
      </w: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15" w:name="page16"/>
    <w:bookmarkEnd w:id="15"/>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Completion of the merger is subject to customary closing conditions, including the approval of both Busey stockholders and CrossFirst stockholders and the requisite regulatory approvals for the Merger and the Bank Merger. With approvals, the parties expect to close the merger in the first or second quarter of 2025. In connection with the Merger, Busey incurred one-time pre-tax acquisition-related expenses of $1.3 million and $1.5 million during the three and nine months months ended September 30, 2024, respectively.</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Merchants and Manufacturers Bank Corporation</w:t>
      </w:r>
    </w:p>
    <w:p>
      <w:pPr>
        <w:spacing w:after="0" w:line="186" w:lineRule="exact"/>
        <w:rPr>
          <w:sz w:val="20"/>
          <w:szCs w:val="20"/>
          <w:color w:val="auto"/>
        </w:rPr>
      </w:pPr>
    </w:p>
    <w:p>
      <w:pPr>
        <w:jc w:val="both"/>
        <w:spacing w:after="0" w:line="226" w:lineRule="auto"/>
        <w:rPr>
          <w:sz w:val="20"/>
          <w:szCs w:val="20"/>
          <w:color w:val="auto"/>
        </w:rPr>
      </w:pPr>
      <w:r>
        <w:rPr>
          <w:rFonts w:ascii="Verdana" w:cs="Verdana" w:eastAsia="Verdana" w:hAnsi="Verdana"/>
          <w:sz w:val="18"/>
          <w:szCs w:val="18"/>
          <w:color w:val="auto"/>
        </w:rPr>
        <w:t>Effective April 1, 2024, Busey completed its previously announced acquisition of M&amp;M, pursuant to which Busey acquired M&amp;M and its wholly-owned subsidiary, M&amp;M Bank, through a merger transaction. This partnership added M&amp;M’s Life Equity Loan</w:t>
      </w:r>
      <w:r>
        <w:rPr>
          <w:rFonts w:ascii="Verdana" w:cs="Verdana" w:eastAsia="Verdana" w:hAnsi="Verdana"/>
          <w:sz w:val="23"/>
          <w:szCs w:val="23"/>
          <w:color w:val="auto"/>
          <w:vertAlign w:val="superscript"/>
        </w:rPr>
        <w:t>®</w:t>
      </w:r>
      <w:r>
        <w:rPr>
          <w:rFonts w:ascii="Verdana" w:cs="Verdana" w:eastAsia="Verdana" w:hAnsi="Verdana"/>
          <w:sz w:val="18"/>
          <w:szCs w:val="18"/>
          <w:color w:val="auto"/>
        </w:rPr>
        <w:t xml:space="preserve"> products to Busey’s existing suite of services and expands Busey’s presence in the suburban Chicago market. M&amp;M’s results of operations were included in Busey’s results of operation beginning April 1, 2024.</w:t>
      </w:r>
    </w:p>
    <w:p>
      <w:pPr>
        <w:spacing w:after="0" w:line="158"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Merger of M&amp;M Bank into Busey Bank</w:t>
      </w:r>
    </w:p>
    <w:p>
      <w:pPr>
        <w:spacing w:after="0" w:line="173" w:lineRule="exact"/>
        <w:rPr>
          <w:sz w:val="20"/>
          <w:szCs w:val="20"/>
          <w:color w:val="auto"/>
        </w:rPr>
      </w:pPr>
    </w:p>
    <w:p>
      <w:pPr>
        <w:jc w:val="both"/>
        <w:ind w:right="20"/>
        <w:spacing w:after="0" w:line="245" w:lineRule="auto"/>
        <w:rPr>
          <w:sz w:val="20"/>
          <w:szCs w:val="20"/>
          <w:color w:val="auto"/>
        </w:rPr>
      </w:pPr>
      <w:r>
        <w:rPr>
          <w:rFonts w:ascii="Verdana" w:cs="Verdana" w:eastAsia="Verdana" w:hAnsi="Verdana"/>
          <w:sz w:val="18"/>
          <w:szCs w:val="18"/>
          <w:color w:val="auto"/>
        </w:rPr>
        <w:t>Busey operated M&amp;M Bank as a separate banking subsidiary of Busey until it was merged with Busey Bank on June 21, 2024. At the time of the bank merger, M&amp;M Bank’s banking centers became banking centers of Busey Bank, except for M&amp;M’s banking center located at 990 Essington Rd., Joliet, Illinois, which was closed in connection with the bank merger.</w:t>
      </w:r>
    </w:p>
    <w:p>
      <w:pPr>
        <w:spacing w:after="0" w:line="167"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Merger Consideration</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At the effective time of the Merger, each share of M&amp;M common stock converted to the right to receive, at the election of each stockholder and subject to proration and adjustment as provided in the Merger Agreement, either (1) $117.74 in cash (“Cash Election”), (2) 5.7294 shares of Busey common stock (“Share Election”), or (3) mixed consideration of $34.55 in cash and 4.0481 shares of Busey common stock (“Mixed Election”).</w:t>
      </w:r>
    </w:p>
    <w:p>
      <w:pPr>
        <w:spacing w:after="0" w:line="157"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Most of the M&amp;M common stockholders who submitted an election form by the election deadline made the Share Election to receive their Merger consideration solely in the form of shares of Busey common stock. As a result of the elections of M&amp;M common stockholders, and in accordance with the proration and adjustment provisions of the Merger Agreement, the Merger consideration paid to M&amp;M common stockholders was comprised of an aggregate of 1,429,304 shares of Busey common stock and an aggregate of $12.2 million in cash, allocated as follows for each share of M&amp;M stock: (1) $117.74 in cash for the Cash Election, (2) $5.3966 in cash and 5.4668 shares of Busey common stock for the Share Election, and</w:t>
      </w:r>
    </w:p>
    <w:p>
      <w:pPr>
        <w:spacing w:after="0" w:line="5" w:lineRule="exact"/>
        <w:rPr>
          <w:sz w:val="20"/>
          <w:szCs w:val="20"/>
          <w:color w:val="auto"/>
        </w:rPr>
      </w:pPr>
    </w:p>
    <w:p>
      <w:pPr>
        <w:jc w:val="both"/>
        <w:ind w:firstLine="8"/>
        <w:spacing w:after="0" w:line="241" w:lineRule="auto"/>
        <w:tabs>
          <w:tab w:leader="none" w:pos="348" w:val="left"/>
        </w:tabs>
        <w:numPr>
          <w:ilvl w:val="0"/>
          <w:numId w:val="4"/>
        </w:numPr>
        <w:rPr>
          <w:rFonts w:ascii="Verdana" w:cs="Verdana" w:eastAsia="Verdana" w:hAnsi="Verdana"/>
          <w:sz w:val="18"/>
          <w:szCs w:val="18"/>
          <w:color w:val="auto"/>
        </w:rPr>
      </w:pPr>
      <w:r>
        <w:rPr>
          <w:rFonts w:ascii="Verdana" w:cs="Verdana" w:eastAsia="Verdana" w:hAnsi="Verdana"/>
          <w:sz w:val="18"/>
          <w:szCs w:val="18"/>
          <w:color w:val="auto"/>
        </w:rPr>
        <w:t>$34.55 in cash and 4.0481 shares of Busey common stock for the Mixed Election. Pursuant to the terms of the Merger Agreement, M&amp;M common stockholders that did not make an election or submit a properly completed election form by the election deadline of March 29, 2024, received cash consideration of $117.74 for each share of M&amp;M common stock held. No fractional shares of Busey common stock were issued in the Merger. Fractional shares were paid in cash at the rate of $23.32 per share.</w:t>
      </w:r>
    </w:p>
    <w:p>
      <w:pPr>
        <w:spacing w:after="0" w:line="171" w:lineRule="exact"/>
        <w:rPr>
          <w:sz w:val="20"/>
          <w:szCs w:val="20"/>
          <w:color w:val="auto"/>
        </w:rPr>
      </w:pPr>
    </w:p>
    <w:p>
      <w:pPr>
        <w:ind w:right="1860"/>
        <w:spacing w:after="0" w:line="429" w:lineRule="auto"/>
        <w:rPr>
          <w:sz w:val="20"/>
          <w:szCs w:val="20"/>
          <w:color w:val="auto"/>
        </w:rPr>
      </w:pPr>
      <w:r>
        <w:rPr>
          <w:rFonts w:ascii="Verdana" w:cs="Verdana" w:eastAsia="Verdana" w:hAnsi="Verdana"/>
          <w:sz w:val="18"/>
          <w:szCs w:val="18"/>
          <w:color w:val="auto"/>
        </w:rPr>
        <w:t xml:space="preserve">Additional Merger consideration of $3.0 million was paid to redeem 300 shares of M&amp;M preferred stock. </w:t>
      </w:r>
      <w:r>
        <w:rPr>
          <w:rFonts w:ascii="Verdana" w:cs="Verdana" w:eastAsia="Verdana" w:hAnsi="Verdana"/>
          <w:sz w:val="18"/>
          <w:szCs w:val="18"/>
          <w:u w:val="single" w:color="auto"/>
          <w:color w:val="auto"/>
        </w:rPr>
        <w:t>Acquisition Accounting</w:t>
      </w:r>
    </w:p>
    <w:p>
      <w:pPr>
        <w:spacing w:after="0" w:line="1"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This transaction was accounted for using the acquisition method of accounting and, accordingly, assets acquired, liabilities assumed, and consideration exchanged were recorded at estimated fair values on April 1, 2024, the date of acquisition. Fair values, including initial accounting for deferred taxes, are subject to refinement for up to one year after the closing date as additional information regarding the closing date fair values becomes available.</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16" w:name="page17"/>
    <w:bookmarkEnd w:id="16"/>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As the total consideration paid for M&amp;M exceeded the estimated fair value of net assets acquired, goodwill of $15.6 million was recorded as a result of the acquisition. Goodwill recorded for this transaction reflects synergies expected from the acquisition and expansion within the Chicago metropolitan market, and was assigned to the Banking operating segment. None of the goodwill recognized in the M&amp;M acquisition is expected to be tax deductible.</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Acquisition Date Fair Values</w:t>
      </w:r>
    </w:p>
    <w:p>
      <w:pPr>
        <w:spacing w:after="0" w:line="186"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Estimated acquisition-date fair values of the assets acquired and liabilities assumed, as well as the fair value of consideration transferred, were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720" w:type="dxa"/>
            <w:vAlign w:val="bottom"/>
            <w:tcBorders>
              <w:bottom w:val="single" w:sz="8" w:color="E0E7ED"/>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11"/>
              <w:spacing w:after="0"/>
              <w:rPr>
                <w:sz w:val="20"/>
                <w:szCs w:val="20"/>
                <w:color w:val="auto"/>
              </w:rPr>
            </w:pPr>
            <w:r>
              <w:rPr>
                <w:rFonts w:ascii="Verdana" w:cs="Verdana" w:eastAsia="Verdana" w:hAnsi="Verdana"/>
                <w:sz w:val="13"/>
                <w:szCs w:val="13"/>
                <w:b w:val="1"/>
                <w:bCs w:val="1"/>
                <w:color w:val="auto"/>
              </w:rPr>
              <w:t>April 1, 2024</w:t>
            </w:r>
          </w:p>
        </w:tc>
      </w:tr>
      <w:tr>
        <w:trPr>
          <w:trHeight w:val="257"/>
        </w:trPr>
        <w:tc>
          <w:tcPr>
            <w:tcW w:w="97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Assets acquired</w:t>
            </w:r>
          </w:p>
        </w:tc>
        <w:tc>
          <w:tcPr>
            <w:tcW w:w="220" w:type="dxa"/>
            <w:vAlign w:val="bottom"/>
            <w:shd w:val="clear" w:color="auto" w:fill="E0E7ED"/>
          </w:tcPr>
          <w:p>
            <w:pPr>
              <w:spacing w:after="0"/>
              <w:rPr>
                <w:sz w:val="22"/>
                <w:szCs w:val="22"/>
                <w:color w:val="auto"/>
              </w:rPr>
            </w:pPr>
          </w:p>
        </w:tc>
        <w:tc>
          <w:tcPr>
            <w:tcW w:w="1300" w:type="dxa"/>
            <w:vAlign w:val="bottom"/>
            <w:shd w:val="clear" w:color="auto" w:fill="E0E7ED"/>
          </w:tcPr>
          <w:p>
            <w:pPr>
              <w:spacing w:after="0"/>
              <w:rPr>
                <w:sz w:val="22"/>
                <w:szCs w:val="22"/>
                <w:color w:val="auto"/>
              </w:rPr>
            </w:pPr>
          </w:p>
        </w:tc>
      </w:tr>
      <w:tr>
        <w:trPr>
          <w:trHeight w:val="263"/>
        </w:trPr>
        <w:tc>
          <w:tcPr>
            <w:tcW w:w="9720" w:type="dxa"/>
            <w:vAlign w:val="bottom"/>
          </w:tcPr>
          <w:p>
            <w:pPr>
              <w:ind w:left="180"/>
              <w:spacing w:after="0"/>
              <w:rPr>
                <w:sz w:val="20"/>
                <w:szCs w:val="20"/>
                <w:color w:val="auto"/>
              </w:rPr>
            </w:pPr>
            <w:r>
              <w:rPr>
                <w:rFonts w:ascii="Verdana" w:cs="Verdana" w:eastAsia="Verdana" w:hAnsi="Verdana"/>
                <w:sz w:val="18"/>
                <w:szCs w:val="18"/>
                <w:color w:val="auto"/>
              </w:rPr>
              <w:t>Cash and cash equivalents</w:t>
            </w: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00" w:type="dxa"/>
            <w:vAlign w:val="bottom"/>
          </w:tcPr>
          <w:p>
            <w:pPr>
              <w:jc w:val="right"/>
              <w:spacing w:after="0"/>
              <w:rPr>
                <w:sz w:val="20"/>
                <w:szCs w:val="20"/>
                <w:color w:val="auto"/>
              </w:rPr>
            </w:pPr>
            <w:r>
              <w:rPr>
                <w:rFonts w:ascii="Verdana" w:cs="Verdana" w:eastAsia="Verdana" w:hAnsi="Verdana"/>
                <w:sz w:val="18"/>
                <w:szCs w:val="18"/>
                <w:color w:val="auto"/>
              </w:rPr>
              <w:t>33,577</w:t>
            </w:r>
          </w:p>
        </w:tc>
      </w:tr>
      <w:tr>
        <w:trPr>
          <w:trHeight w:val="277"/>
        </w:trPr>
        <w:tc>
          <w:tcPr>
            <w:tcW w:w="97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Securities</w:t>
            </w:r>
          </w:p>
        </w:tc>
        <w:tc>
          <w:tcPr>
            <w:tcW w:w="220" w:type="dxa"/>
            <w:vAlign w:val="bottom"/>
            <w:shd w:val="clear" w:color="auto" w:fill="E0E7ED"/>
          </w:tcPr>
          <w:p>
            <w:pPr>
              <w:spacing w:after="0"/>
              <w:rPr>
                <w:sz w:val="24"/>
                <w:szCs w:val="24"/>
                <w:color w:val="auto"/>
              </w:rPr>
            </w:pPr>
          </w:p>
        </w:tc>
        <w:tc>
          <w:tcPr>
            <w:tcW w:w="1300" w:type="dxa"/>
            <w:vAlign w:val="bottom"/>
            <w:shd w:val="clear" w:color="auto" w:fill="E0E7ED"/>
          </w:tcPr>
          <w:p>
            <w:pPr>
              <w:jc w:val="right"/>
              <w:ind w:right="11"/>
              <w:spacing w:after="0"/>
              <w:rPr>
                <w:sz w:val="20"/>
                <w:szCs w:val="20"/>
                <w:color w:val="auto"/>
              </w:rPr>
            </w:pPr>
            <w:r>
              <w:rPr>
                <w:rFonts w:ascii="Verdana" w:cs="Verdana" w:eastAsia="Verdana" w:hAnsi="Verdana"/>
                <w:sz w:val="18"/>
                <w:szCs w:val="18"/>
                <w:color w:val="auto"/>
              </w:rPr>
              <w:t>8,086</w:t>
            </w:r>
          </w:p>
        </w:tc>
      </w:tr>
      <w:tr>
        <w:trPr>
          <w:trHeight w:val="263"/>
        </w:trPr>
        <w:tc>
          <w:tcPr>
            <w:tcW w:w="9720" w:type="dxa"/>
            <w:vAlign w:val="bottom"/>
          </w:tcPr>
          <w:p>
            <w:pPr>
              <w:ind w:left="180"/>
              <w:spacing w:after="0"/>
              <w:rPr>
                <w:sz w:val="20"/>
                <w:szCs w:val="20"/>
                <w:color w:val="auto"/>
              </w:rPr>
            </w:pPr>
            <w:r>
              <w:rPr>
                <w:rFonts w:ascii="Verdana" w:cs="Verdana" w:eastAsia="Verdana" w:hAnsi="Verdana"/>
                <w:sz w:val="18"/>
                <w:szCs w:val="18"/>
                <w:color w:val="auto"/>
              </w:rPr>
              <w:t>Portfolio loans, net of ACL</w:t>
            </w:r>
          </w:p>
        </w:tc>
        <w:tc>
          <w:tcPr>
            <w:tcW w:w="2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Verdana" w:cs="Verdana" w:eastAsia="Verdana" w:hAnsi="Verdana"/>
                <w:sz w:val="18"/>
                <w:szCs w:val="18"/>
                <w:color w:val="auto"/>
              </w:rPr>
              <w:t>417,230</w:t>
            </w:r>
          </w:p>
        </w:tc>
      </w:tr>
      <w:tr>
        <w:trPr>
          <w:trHeight w:val="277"/>
        </w:trPr>
        <w:tc>
          <w:tcPr>
            <w:tcW w:w="97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Right of use assets</w:t>
            </w:r>
          </w:p>
        </w:tc>
        <w:tc>
          <w:tcPr>
            <w:tcW w:w="22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253</w:t>
            </w:r>
          </w:p>
        </w:tc>
      </w:tr>
      <w:tr>
        <w:trPr>
          <w:trHeight w:val="263"/>
        </w:trPr>
        <w:tc>
          <w:tcPr>
            <w:tcW w:w="9720" w:type="dxa"/>
            <w:vAlign w:val="bottom"/>
          </w:tcPr>
          <w:p>
            <w:pPr>
              <w:ind w:left="180"/>
              <w:spacing w:after="0"/>
              <w:rPr>
                <w:sz w:val="20"/>
                <w:szCs w:val="20"/>
                <w:color w:val="auto"/>
              </w:rPr>
            </w:pPr>
            <w:r>
              <w:rPr>
                <w:rFonts w:ascii="Verdana" w:cs="Verdana" w:eastAsia="Verdana" w:hAnsi="Verdana"/>
                <w:sz w:val="18"/>
                <w:szCs w:val="18"/>
                <w:color w:val="auto"/>
              </w:rPr>
              <w:t>Premises and equipment</w:t>
            </w:r>
          </w:p>
        </w:tc>
        <w:tc>
          <w:tcPr>
            <w:tcW w:w="22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Verdana" w:cs="Verdana" w:eastAsia="Verdana" w:hAnsi="Verdana"/>
                <w:sz w:val="18"/>
                <w:szCs w:val="18"/>
                <w:color w:val="auto"/>
              </w:rPr>
              <w:t>2,045</w:t>
            </w:r>
          </w:p>
        </w:tc>
      </w:tr>
      <w:tr>
        <w:trPr>
          <w:trHeight w:val="277"/>
        </w:trPr>
        <w:tc>
          <w:tcPr>
            <w:tcW w:w="97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Other intangible assets</w:t>
            </w:r>
          </w:p>
        </w:tc>
        <w:tc>
          <w:tcPr>
            <w:tcW w:w="220" w:type="dxa"/>
            <w:vAlign w:val="bottom"/>
            <w:shd w:val="clear" w:color="auto" w:fill="E0E7ED"/>
          </w:tcPr>
          <w:p>
            <w:pPr>
              <w:spacing w:after="0"/>
              <w:rPr>
                <w:sz w:val="24"/>
                <w:szCs w:val="24"/>
                <w:color w:val="auto"/>
              </w:rPr>
            </w:pPr>
          </w:p>
        </w:tc>
        <w:tc>
          <w:tcPr>
            <w:tcW w:w="1300" w:type="dxa"/>
            <w:vAlign w:val="bottom"/>
            <w:shd w:val="clear" w:color="auto" w:fill="E0E7ED"/>
          </w:tcPr>
          <w:p>
            <w:pPr>
              <w:jc w:val="right"/>
              <w:ind w:right="11"/>
              <w:spacing w:after="0"/>
              <w:rPr>
                <w:sz w:val="20"/>
                <w:szCs w:val="20"/>
                <w:color w:val="auto"/>
              </w:rPr>
            </w:pPr>
            <w:r>
              <w:rPr>
                <w:rFonts w:ascii="Verdana" w:cs="Verdana" w:eastAsia="Verdana" w:hAnsi="Verdana"/>
                <w:sz w:val="18"/>
                <w:szCs w:val="18"/>
                <w:color w:val="auto"/>
              </w:rPr>
              <w:t>6,346</w:t>
            </w:r>
          </w:p>
        </w:tc>
      </w:tr>
      <w:tr>
        <w:trPr>
          <w:trHeight w:val="263"/>
        </w:trPr>
        <w:tc>
          <w:tcPr>
            <w:tcW w:w="9720" w:type="dxa"/>
            <w:vAlign w:val="bottom"/>
          </w:tcPr>
          <w:p>
            <w:pPr>
              <w:ind w:left="180"/>
              <w:spacing w:after="0"/>
              <w:rPr>
                <w:sz w:val="20"/>
                <w:szCs w:val="20"/>
                <w:color w:val="auto"/>
              </w:rPr>
            </w:pPr>
            <w:r>
              <w:rPr>
                <w:rFonts w:ascii="Verdana" w:cs="Verdana" w:eastAsia="Verdana" w:hAnsi="Verdana"/>
                <w:sz w:val="18"/>
                <w:szCs w:val="18"/>
                <w:color w:val="auto"/>
              </w:rPr>
              <w:t>Accrued interest receivable</w:t>
            </w:r>
          </w:p>
        </w:tc>
        <w:tc>
          <w:tcPr>
            <w:tcW w:w="22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Verdana" w:cs="Verdana" w:eastAsia="Verdana" w:hAnsi="Verdana"/>
                <w:sz w:val="18"/>
                <w:szCs w:val="18"/>
                <w:color w:val="auto"/>
              </w:rPr>
              <w:t>4,992</w:t>
            </w:r>
          </w:p>
        </w:tc>
      </w:tr>
      <w:tr>
        <w:trPr>
          <w:trHeight w:val="277"/>
        </w:trPr>
        <w:tc>
          <w:tcPr>
            <w:tcW w:w="97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Prepaid assets</w:t>
            </w:r>
          </w:p>
        </w:tc>
        <w:tc>
          <w:tcPr>
            <w:tcW w:w="22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185</w:t>
            </w:r>
          </w:p>
        </w:tc>
      </w:tr>
      <w:tr>
        <w:trPr>
          <w:trHeight w:val="263"/>
        </w:trPr>
        <w:tc>
          <w:tcPr>
            <w:tcW w:w="9720" w:type="dxa"/>
            <w:vAlign w:val="bottom"/>
          </w:tcPr>
          <w:p>
            <w:pPr>
              <w:ind w:left="180"/>
              <w:spacing w:after="0"/>
              <w:rPr>
                <w:sz w:val="20"/>
                <w:szCs w:val="20"/>
                <w:color w:val="auto"/>
              </w:rPr>
            </w:pPr>
            <w:r>
              <w:rPr>
                <w:rFonts w:ascii="Verdana" w:cs="Verdana" w:eastAsia="Verdana" w:hAnsi="Verdana"/>
                <w:sz w:val="18"/>
                <w:szCs w:val="18"/>
                <w:color w:val="auto"/>
              </w:rPr>
              <w:t>Deferred tax assets</w:t>
            </w:r>
          </w:p>
        </w:tc>
        <w:tc>
          <w:tcPr>
            <w:tcW w:w="2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Verdana" w:cs="Verdana" w:eastAsia="Verdana" w:hAnsi="Verdana"/>
                <w:sz w:val="18"/>
                <w:szCs w:val="18"/>
                <w:color w:val="auto"/>
              </w:rPr>
              <w:t>582</w:t>
            </w:r>
          </w:p>
        </w:tc>
      </w:tr>
      <w:tr>
        <w:trPr>
          <w:trHeight w:val="277"/>
        </w:trPr>
        <w:tc>
          <w:tcPr>
            <w:tcW w:w="97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Accounts receivable</w:t>
            </w:r>
          </w:p>
        </w:tc>
        <w:tc>
          <w:tcPr>
            <w:tcW w:w="22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42</w:t>
            </w:r>
          </w:p>
        </w:tc>
      </w:tr>
      <w:tr>
        <w:trPr>
          <w:trHeight w:val="263"/>
        </w:trPr>
        <w:tc>
          <w:tcPr>
            <w:tcW w:w="9720" w:type="dxa"/>
            <w:vAlign w:val="bottom"/>
          </w:tcPr>
          <w:p>
            <w:pPr>
              <w:ind w:left="180"/>
              <w:spacing w:after="0"/>
              <w:rPr>
                <w:sz w:val="20"/>
                <w:szCs w:val="20"/>
                <w:color w:val="auto"/>
              </w:rPr>
            </w:pPr>
            <w:r>
              <w:rPr>
                <w:rFonts w:ascii="Verdana" w:cs="Verdana" w:eastAsia="Verdana" w:hAnsi="Verdana"/>
                <w:sz w:val="18"/>
                <w:szCs w:val="18"/>
                <w:color w:val="auto"/>
              </w:rPr>
              <w:t>Mortgage servicing rights</w:t>
            </w:r>
          </w:p>
        </w:tc>
        <w:tc>
          <w:tcPr>
            <w:tcW w:w="2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Verdana" w:cs="Verdana" w:eastAsia="Verdana" w:hAnsi="Verdana"/>
                <w:sz w:val="18"/>
                <w:szCs w:val="18"/>
                <w:color w:val="auto"/>
              </w:rPr>
              <w:t>55</w:t>
            </w:r>
          </w:p>
        </w:tc>
      </w:tr>
      <w:tr>
        <w:trPr>
          <w:trHeight w:val="270"/>
        </w:trPr>
        <w:tc>
          <w:tcPr>
            <w:tcW w:w="97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Other assets</w:t>
            </w:r>
          </w:p>
        </w:tc>
        <w:tc>
          <w:tcPr>
            <w:tcW w:w="220" w:type="dxa"/>
            <w:vAlign w:val="bottom"/>
            <w:tcBorders>
              <w:bottom w:val="single" w:sz="8" w:color="auto"/>
            </w:tcBorders>
            <w:shd w:val="clear" w:color="auto" w:fill="E0E7ED"/>
          </w:tcPr>
          <w:p>
            <w:pPr>
              <w:spacing w:after="0"/>
              <w:rPr>
                <w:sz w:val="23"/>
                <w:szCs w:val="23"/>
                <w:color w:val="auto"/>
              </w:rPr>
            </w:pPr>
          </w:p>
        </w:tc>
        <w:tc>
          <w:tcPr>
            <w:tcW w:w="130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8"/>
                <w:szCs w:val="18"/>
                <w:color w:val="auto"/>
              </w:rPr>
              <w:t>4,632</w:t>
            </w:r>
          </w:p>
        </w:tc>
      </w:tr>
      <w:tr>
        <w:trPr>
          <w:trHeight w:val="264"/>
        </w:trPr>
        <w:tc>
          <w:tcPr>
            <w:tcW w:w="9720" w:type="dxa"/>
            <w:vAlign w:val="bottom"/>
            <w:tcBorders>
              <w:bottom w:val="single" w:sz="8" w:color="E0E7ED"/>
            </w:tcBorders>
          </w:tcPr>
          <w:p>
            <w:pPr>
              <w:ind w:left="20"/>
              <w:spacing w:after="0"/>
              <w:rPr>
                <w:sz w:val="20"/>
                <w:szCs w:val="20"/>
                <w:color w:val="auto"/>
              </w:rPr>
            </w:pPr>
            <w:r>
              <w:rPr>
                <w:rFonts w:ascii="Verdana" w:cs="Verdana" w:eastAsia="Verdana" w:hAnsi="Verdana"/>
                <w:sz w:val="18"/>
                <w:szCs w:val="18"/>
                <w:color w:val="auto"/>
              </w:rPr>
              <w:t>Total assets acquired</w:t>
            </w: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478,024</w:t>
            </w:r>
          </w:p>
        </w:tc>
      </w:tr>
      <w:tr>
        <w:trPr>
          <w:trHeight w:val="256"/>
        </w:trPr>
        <w:tc>
          <w:tcPr>
            <w:tcW w:w="9720" w:type="dxa"/>
            <w:vAlign w:val="bottom"/>
            <w:shd w:val="clear" w:color="auto" w:fill="E0E7ED"/>
          </w:tcPr>
          <w:p>
            <w:pPr>
              <w:spacing w:after="0"/>
              <w:rPr>
                <w:sz w:val="22"/>
                <w:szCs w:val="22"/>
                <w:color w:val="auto"/>
              </w:rPr>
            </w:pPr>
          </w:p>
        </w:tc>
        <w:tc>
          <w:tcPr>
            <w:tcW w:w="220" w:type="dxa"/>
            <w:vAlign w:val="bottom"/>
            <w:shd w:val="clear" w:color="auto" w:fill="E0E7ED"/>
          </w:tcPr>
          <w:p>
            <w:pPr>
              <w:spacing w:after="0"/>
              <w:rPr>
                <w:sz w:val="22"/>
                <w:szCs w:val="22"/>
                <w:color w:val="auto"/>
              </w:rPr>
            </w:pPr>
          </w:p>
        </w:tc>
        <w:tc>
          <w:tcPr>
            <w:tcW w:w="1300" w:type="dxa"/>
            <w:vAlign w:val="bottom"/>
            <w:shd w:val="clear" w:color="auto" w:fill="E0E7ED"/>
          </w:tcPr>
          <w:p>
            <w:pPr>
              <w:spacing w:after="0"/>
              <w:rPr>
                <w:sz w:val="22"/>
                <w:szCs w:val="22"/>
                <w:color w:val="auto"/>
              </w:rPr>
            </w:pPr>
          </w:p>
        </w:tc>
      </w:tr>
      <w:tr>
        <w:trPr>
          <w:trHeight w:val="263"/>
        </w:trPr>
        <w:tc>
          <w:tcPr>
            <w:tcW w:w="9720" w:type="dxa"/>
            <w:vAlign w:val="bottom"/>
          </w:tcPr>
          <w:p>
            <w:pPr>
              <w:ind w:left="20"/>
              <w:spacing w:after="0"/>
              <w:rPr>
                <w:sz w:val="20"/>
                <w:szCs w:val="20"/>
                <w:color w:val="auto"/>
              </w:rPr>
            </w:pPr>
            <w:r>
              <w:rPr>
                <w:rFonts w:ascii="Verdana" w:cs="Verdana" w:eastAsia="Verdana" w:hAnsi="Verdana"/>
                <w:sz w:val="18"/>
                <w:szCs w:val="18"/>
                <w:b w:val="1"/>
                <w:bCs w:val="1"/>
                <w:color w:val="auto"/>
              </w:rPr>
              <w:t>Liabilities assumed</w:t>
            </w: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7"/>
        </w:trPr>
        <w:tc>
          <w:tcPr>
            <w:tcW w:w="97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Deposits</w:t>
            </w:r>
          </w:p>
        </w:tc>
        <w:tc>
          <w:tcPr>
            <w:tcW w:w="22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392,838</w:t>
            </w:r>
          </w:p>
        </w:tc>
      </w:tr>
      <w:tr>
        <w:trPr>
          <w:trHeight w:val="263"/>
        </w:trPr>
        <w:tc>
          <w:tcPr>
            <w:tcW w:w="9720" w:type="dxa"/>
            <w:vAlign w:val="bottom"/>
          </w:tcPr>
          <w:p>
            <w:pPr>
              <w:ind w:left="180"/>
              <w:spacing w:after="0"/>
              <w:rPr>
                <w:sz w:val="20"/>
                <w:szCs w:val="20"/>
                <w:color w:val="auto"/>
              </w:rPr>
            </w:pPr>
            <w:r>
              <w:rPr>
                <w:rFonts w:ascii="Verdana" w:cs="Verdana" w:eastAsia="Verdana" w:hAnsi="Verdana"/>
                <w:sz w:val="18"/>
                <w:szCs w:val="18"/>
                <w:color w:val="auto"/>
              </w:rPr>
              <w:t>Borrowings</w:t>
            </w:r>
          </w:p>
        </w:tc>
        <w:tc>
          <w:tcPr>
            <w:tcW w:w="2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Verdana" w:cs="Verdana" w:eastAsia="Verdana" w:hAnsi="Verdana"/>
                <w:sz w:val="18"/>
                <w:szCs w:val="18"/>
                <w:color w:val="auto"/>
              </w:rPr>
              <w:t>43,887</w:t>
            </w:r>
          </w:p>
        </w:tc>
      </w:tr>
      <w:tr>
        <w:trPr>
          <w:trHeight w:val="277"/>
        </w:trPr>
        <w:tc>
          <w:tcPr>
            <w:tcW w:w="97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Lease liabilities</w:t>
            </w:r>
          </w:p>
        </w:tc>
        <w:tc>
          <w:tcPr>
            <w:tcW w:w="22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253</w:t>
            </w:r>
          </w:p>
        </w:tc>
      </w:tr>
      <w:tr>
        <w:trPr>
          <w:trHeight w:val="263"/>
        </w:trPr>
        <w:tc>
          <w:tcPr>
            <w:tcW w:w="97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Other liabilities</w:t>
            </w: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8"/>
                <w:szCs w:val="18"/>
                <w:color w:val="auto"/>
              </w:rPr>
              <w:t>7,096</w:t>
            </w:r>
          </w:p>
        </w:tc>
      </w:tr>
      <w:tr>
        <w:trPr>
          <w:trHeight w:val="264"/>
        </w:trPr>
        <w:tc>
          <w:tcPr>
            <w:tcW w:w="97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liabilities assumed</w:t>
            </w:r>
          </w:p>
        </w:tc>
        <w:tc>
          <w:tcPr>
            <w:tcW w:w="220" w:type="dxa"/>
            <w:vAlign w:val="bottom"/>
            <w:tcBorders>
              <w:bottom w:val="single" w:sz="8" w:color="auto"/>
            </w:tcBorders>
            <w:shd w:val="clear" w:color="auto" w:fill="E0E7ED"/>
          </w:tcPr>
          <w:p>
            <w:pPr>
              <w:spacing w:after="0"/>
              <w:rPr>
                <w:sz w:val="22"/>
                <w:szCs w:val="22"/>
                <w:color w:val="auto"/>
              </w:rPr>
            </w:pPr>
          </w:p>
        </w:tc>
        <w:tc>
          <w:tcPr>
            <w:tcW w:w="13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444,074</w:t>
            </w:r>
          </w:p>
        </w:tc>
      </w:tr>
      <w:tr>
        <w:trPr>
          <w:trHeight w:val="256"/>
        </w:trPr>
        <w:tc>
          <w:tcPr>
            <w:tcW w:w="9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95"/>
        </w:trPr>
        <w:tc>
          <w:tcPr>
            <w:tcW w:w="97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Net assets acquired</w:t>
            </w:r>
          </w:p>
        </w:tc>
        <w:tc>
          <w:tcPr>
            <w:tcW w:w="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33,950</w:t>
            </w:r>
          </w:p>
        </w:tc>
      </w:tr>
      <w:tr>
        <w:trPr>
          <w:trHeight w:val="20"/>
        </w:trPr>
        <w:tc>
          <w:tcPr>
            <w:tcW w:w="972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300" w:type="dxa"/>
            <w:vAlign w:val="bottom"/>
            <w:tcBorders>
              <w:top w:val="single" w:sz="8" w:color="E0E7ED"/>
              <w:bottom w:val="single" w:sz="8" w:color="auto"/>
            </w:tcBorders>
          </w:tcPr>
          <w:p>
            <w:pPr>
              <w:spacing w:after="0" w:line="20" w:lineRule="exact"/>
              <w:rPr>
                <w:sz w:val="1"/>
                <w:szCs w:val="1"/>
                <w:color w:val="auto"/>
              </w:rPr>
            </w:pPr>
          </w:p>
        </w:tc>
      </w:tr>
      <w:tr>
        <w:trPr>
          <w:trHeight w:val="217"/>
        </w:trPr>
        <w:tc>
          <w:tcPr>
            <w:tcW w:w="9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70"/>
        </w:trPr>
        <w:tc>
          <w:tcPr>
            <w:tcW w:w="97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Consideration paid</w:t>
            </w:r>
          </w:p>
        </w:tc>
        <w:tc>
          <w:tcPr>
            <w:tcW w:w="220" w:type="dxa"/>
            <w:vAlign w:val="bottom"/>
            <w:shd w:val="clear" w:color="auto" w:fill="E0E7ED"/>
          </w:tcPr>
          <w:p>
            <w:pPr>
              <w:spacing w:after="0"/>
              <w:rPr>
                <w:sz w:val="23"/>
                <w:szCs w:val="23"/>
                <w:color w:val="auto"/>
              </w:rPr>
            </w:pPr>
          </w:p>
        </w:tc>
        <w:tc>
          <w:tcPr>
            <w:tcW w:w="1300" w:type="dxa"/>
            <w:vAlign w:val="bottom"/>
            <w:shd w:val="clear" w:color="auto" w:fill="E0E7ED"/>
          </w:tcPr>
          <w:p>
            <w:pPr>
              <w:spacing w:after="0"/>
              <w:rPr>
                <w:sz w:val="23"/>
                <w:szCs w:val="23"/>
                <w:color w:val="auto"/>
              </w:rPr>
            </w:pPr>
          </w:p>
        </w:tc>
      </w:tr>
      <w:tr>
        <w:trPr>
          <w:trHeight w:val="263"/>
        </w:trPr>
        <w:tc>
          <w:tcPr>
            <w:tcW w:w="9720" w:type="dxa"/>
            <w:vAlign w:val="bottom"/>
          </w:tcPr>
          <w:p>
            <w:pPr>
              <w:ind w:left="180"/>
              <w:spacing w:after="0"/>
              <w:rPr>
                <w:sz w:val="20"/>
                <w:szCs w:val="20"/>
                <w:color w:val="auto"/>
              </w:rPr>
            </w:pPr>
            <w:r>
              <w:rPr>
                <w:rFonts w:ascii="Verdana" w:cs="Verdana" w:eastAsia="Verdana" w:hAnsi="Verdana"/>
                <w:sz w:val="18"/>
                <w:szCs w:val="18"/>
                <w:color w:val="auto"/>
              </w:rPr>
              <w:t>Cash</w:t>
            </w: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00" w:type="dxa"/>
            <w:vAlign w:val="bottom"/>
          </w:tcPr>
          <w:p>
            <w:pPr>
              <w:jc w:val="right"/>
              <w:spacing w:after="0"/>
              <w:rPr>
                <w:sz w:val="20"/>
                <w:szCs w:val="20"/>
                <w:color w:val="auto"/>
              </w:rPr>
            </w:pPr>
            <w:r>
              <w:rPr>
                <w:rFonts w:ascii="Verdana" w:cs="Verdana" w:eastAsia="Verdana" w:hAnsi="Verdana"/>
                <w:sz w:val="18"/>
                <w:szCs w:val="18"/>
                <w:color w:val="auto"/>
              </w:rPr>
              <w:t>15,200</w:t>
            </w:r>
          </w:p>
        </w:tc>
      </w:tr>
      <w:tr>
        <w:trPr>
          <w:trHeight w:val="270"/>
        </w:trPr>
        <w:tc>
          <w:tcPr>
            <w:tcW w:w="97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Common stock</w:t>
            </w:r>
          </w:p>
        </w:tc>
        <w:tc>
          <w:tcPr>
            <w:tcW w:w="220" w:type="dxa"/>
            <w:vAlign w:val="bottom"/>
            <w:tcBorders>
              <w:bottom w:val="single" w:sz="8" w:color="auto"/>
            </w:tcBorders>
            <w:shd w:val="clear" w:color="auto" w:fill="E0E7ED"/>
          </w:tcPr>
          <w:p>
            <w:pPr>
              <w:spacing w:after="0"/>
              <w:rPr>
                <w:sz w:val="23"/>
                <w:szCs w:val="23"/>
                <w:color w:val="auto"/>
              </w:rPr>
            </w:pPr>
          </w:p>
        </w:tc>
        <w:tc>
          <w:tcPr>
            <w:tcW w:w="13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34,375</w:t>
            </w:r>
          </w:p>
        </w:tc>
      </w:tr>
      <w:tr>
        <w:trPr>
          <w:trHeight w:val="270"/>
        </w:trPr>
        <w:tc>
          <w:tcPr>
            <w:tcW w:w="9720" w:type="dxa"/>
            <w:vAlign w:val="bottom"/>
          </w:tcPr>
          <w:p>
            <w:pPr>
              <w:ind w:left="20"/>
              <w:spacing w:after="0"/>
              <w:rPr>
                <w:sz w:val="20"/>
                <w:szCs w:val="20"/>
                <w:color w:val="auto"/>
              </w:rPr>
            </w:pPr>
            <w:r>
              <w:rPr>
                <w:rFonts w:ascii="Verdana" w:cs="Verdana" w:eastAsia="Verdana" w:hAnsi="Verdana"/>
                <w:sz w:val="18"/>
                <w:szCs w:val="18"/>
                <w:color w:val="auto"/>
              </w:rPr>
              <w:t>Total consideration paid</w:t>
            </w:r>
          </w:p>
        </w:tc>
        <w:tc>
          <w:tcPr>
            <w:tcW w:w="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49,575</w:t>
            </w:r>
          </w:p>
        </w:tc>
      </w:tr>
      <w:tr>
        <w:trPr>
          <w:trHeight w:val="20"/>
        </w:trPr>
        <w:tc>
          <w:tcPr>
            <w:tcW w:w="9720" w:type="dxa"/>
            <w:vAlign w:val="bottom"/>
            <w:tcBorders>
              <w:bottom w:val="single" w:sz="8" w:color="E0E7E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7"/>
        </w:trPr>
        <w:tc>
          <w:tcPr>
            <w:tcW w:w="972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1300" w:type="dxa"/>
            <w:vAlign w:val="bottom"/>
            <w:shd w:val="clear" w:color="auto" w:fill="E0E7ED"/>
          </w:tcPr>
          <w:p>
            <w:pPr>
              <w:spacing w:after="0"/>
              <w:rPr>
                <w:sz w:val="20"/>
                <w:szCs w:val="20"/>
                <w:color w:val="auto"/>
              </w:rPr>
            </w:pPr>
          </w:p>
        </w:tc>
      </w:tr>
      <w:tr>
        <w:trPr>
          <w:trHeight w:val="270"/>
        </w:trPr>
        <w:tc>
          <w:tcPr>
            <w:tcW w:w="9720" w:type="dxa"/>
            <w:vAlign w:val="bottom"/>
          </w:tcPr>
          <w:p>
            <w:pPr>
              <w:ind w:left="20"/>
              <w:spacing w:after="0"/>
              <w:rPr>
                <w:sz w:val="20"/>
                <w:szCs w:val="20"/>
                <w:color w:val="auto"/>
              </w:rPr>
            </w:pPr>
            <w:r>
              <w:rPr>
                <w:rFonts w:ascii="Verdana" w:cs="Verdana" w:eastAsia="Verdana" w:hAnsi="Verdana"/>
                <w:sz w:val="18"/>
                <w:szCs w:val="18"/>
                <w:b w:val="1"/>
                <w:bCs w:val="1"/>
                <w:color w:val="auto"/>
              </w:rPr>
              <w:t>Goodwill</w:t>
            </w:r>
          </w:p>
        </w:tc>
        <w:tc>
          <w:tcPr>
            <w:tcW w:w="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15,625</w:t>
            </w:r>
          </w:p>
        </w:tc>
      </w:tr>
      <w:tr>
        <w:trPr>
          <w:trHeight w:val="21"/>
        </w:trPr>
        <w:tc>
          <w:tcPr>
            <w:tcW w:w="9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17" w:name="page18"/>
    <w:bookmarkEnd w:id="17"/>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Loans Purchased with Credit Deterioration</w:t>
      </w:r>
    </w:p>
    <w:p>
      <w:pPr>
        <w:spacing w:after="0" w:line="17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A small portion of the acquired loans were PCD. The following table provides a reconciliation between the purchase price and the fair value of these loans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520" w:type="dxa"/>
            <w:vAlign w:val="bottom"/>
            <w:tcBorders>
              <w:bottom w:val="single" w:sz="8" w:color="E0E7ED"/>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ind w:left="40"/>
              <w:spacing w:after="0"/>
              <w:rPr>
                <w:sz w:val="20"/>
                <w:szCs w:val="20"/>
                <w:color w:val="auto"/>
              </w:rPr>
            </w:pPr>
            <w:r>
              <w:rPr>
                <w:rFonts w:ascii="Verdana" w:cs="Verdana" w:eastAsia="Verdana" w:hAnsi="Verdana"/>
                <w:sz w:val="13"/>
                <w:szCs w:val="13"/>
                <w:b w:val="1"/>
                <w:bCs w:val="1"/>
                <w:color w:val="auto"/>
              </w:rPr>
              <w:t>As of April 1, 2024</w:t>
            </w:r>
          </w:p>
        </w:tc>
      </w:tr>
      <w:tr>
        <w:trPr>
          <w:trHeight w:val="257"/>
        </w:trPr>
        <w:tc>
          <w:tcPr>
            <w:tcW w:w="95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PCD Financial Assets</w:t>
            </w:r>
          </w:p>
        </w:tc>
        <w:tc>
          <w:tcPr>
            <w:tcW w:w="160" w:type="dxa"/>
            <w:vAlign w:val="bottom"/>
            <w:shd w:val="clear" w:color="auto" w:fill="E0E7ED"/>
          </w:tcPr>
          <w:p>
            <w:pPr>
              <w:spacing w:after="0"/>
              <w:rPr>
                <w:sz w:val="22"/>
                <w:szCs w:val="22"/>
                <w:color w:val="auto"/>
              </w:rPr>
            </w:pPr>
          </w:p>
        </w:tc>
        <w:tc>
          <w:tcPr>
            <w:tcW w:w="1560" w:type="dxa"/>
            <w:vAlign w:val="bottom"/>
            <w:shd w:val="clear" w:color="auto" w:fill="E0E7ED"/>
          </w:tcPr>
          <w:p>
            <w:pPr>
              <w:spacing w:after="0"/>
              <w:rPr>
                <w:sz w:val="22"/>
                <w:szCs w:val="22"/>
                <w:color w:val="auto"/>
              </w:rPr>
            </w:pPr>
          </w:p>
        </w:tc>
      </w:tr>
      <w:tr>
        <w:trPr>
          <w:trHeight w:val="263"/>
        </w:trPr>
        <w:tc>
          <w:tcPr>
            <w:tcW w:w="9520" w:type="dxa"/>
            <w:vAlign w:val="bottom"/>
          </w:tcPr>
          <w:p>
            <w:pPr>
              <w:ind w:left="20"/>
              <w:spacing w:after="0"/>
              <w:rPr>
                <w:sz w:val="20"/>
                <w:szCs w:val="20"/>
                <w:color w:val="auto"/>
              </w:rPr>
            </w:pPr>
            <w:r>
              <w:rPr>
                <w:rFonts w:ascii="Verdana" w:cs="Verdana" w:eastAsia="Verdana" w:hAnsi="Verdana"/>
                <w:sz w:val="18"/>
                <w:szCs w:val="18"/>
                <w:color w:val="auto"/>
              </w:rPr>
              <w:t>Gross contractual receivable for PCD financial assets</w:t>
            </w:r>
          </w:p>
        </w:tc>
        <w:tc>
          <w:tcPr>
            <w:tcW w:w="16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560" w:type="dxa"/>
            <w:vAlign w:val="bottom"/>
          </w:tcPr>
          <w:p>
            <w:pPr>
              <w:ind w:left="840"/>
              <w:spacing w:after="0"/>
              <w:rPr>
                <w:sz w:val="20"/>
                <w:szCs w:val="20"/>
                <w:color w:val="auto"/>
              </w:rPr>
            </w:pPr>
            <w:r>
              <w:rPr>
                <w:rFonts w:ascii="Verdana" w:cs="Verdana" w:eastAsia="Verdana" w:hAnsi="Verdana"/>
                <w:sz w:val="18"/>
                <w:szCs w:val="18"/>
                <w:color w:val="auto"/>
              </w:rPr>
              <w:t>29,290</w:t>
            </w:r>
          </w:p>
        </w:tc>
      </w:tr>
      <w:tr>
        <w:trPr>
          <w:trHeight w:val="277"/>
        </w:trPr>
        <w:tc>
          <w:tcPr>
            <w:tcW w:w="95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ACL recorded for estimated uncollectible contractual cash flows specific to PCD financial assets</w:t>
            </w:r>
          </w:p>
        </w:tc>
        <w:tc>
          <w:tcPr>
            <w:tcW w:w="160" w:type="dxa"/>
            <w:vAlign w:val="bottom"/>
            <w:shd w:val="clear" w:color="auto" w:fill="E0E7ED"/>
          </w:tcPr>
          <w:p>
            <w:pPr>
              <w:spacing w:after="0"/>
              <w:rPr>
                <w:sz w:val="24"/>
                <w:szCs w:val="24"/>
                <w:color w:val="auto"/>
              </w:rPr>
            </w:pPr>
          </w:p>
        </w:tc>
        <w:tc>
          <w:tcPr>
            <w:tcW w:w="1560" w:type="dxa"/>
            <w:vAlign w:val="bottom"/>
            <w:shd w:val="clear" w:color="auto" w:fill="E0E7ED"/>
          </w:tcPr>
          <w:p>
            <w:pPr>
              <w:ind w:left="840"/>
              <w:spacing w:after="0"/>
              <w:rPr>
                <w:sz w:val="20"/>
                <w:szCs w:val="20"/>
                <w:color w:val="auto"/>
              </w:rPr>
            </w:pPr>
            <w:r>
              <w:rPr>
                <w:rFonts w:ascii="Verdana" w:cs="Verdana" w:eastAsia="Verdana" w:hAnsi="Verdana"/>
                <w:sz w:val="18"/>
                <w:szCs w:val="18"/>
                <w:color w:val="auto"/>
              </w:rPr>
              <w:t>(1,243)</w:t>
            </w:r>
          </w:p>
        </w:tc>
      </w:tr>
      <w:tr>
        <w:trPr>
          <w:trHeight w:val="263"/>
        </w:trPr>
        <w:tc>
          <w:tcPr>
            <w:tcW w:w="95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Interest premium (discount) specific to PCD financial assets</w:t>
            </w: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ind w:left="840"/>
              <w:spacing w:after="0"/>
              <w:rPr>
                <w:sz w:val="20"/>
                <w:szCs w:val="20"/>
                <w:color w:val="auto"/>
              </w:rPr>
            </w:pPr>
            <w:r>
              <w:rPr>
                <w:rFonts w:ascii="Verdana" w:cs="Verdana" w:eastAsia="Verdana" w:hAnsi="Verdana"/>
                <w:sz w:val="18"/>
                <w:szCs w:val="18"/>
                <w:color w:val="auto"/>
              </w:rPr>
              <w:t>(1,773)</w:t>
            </w:r>
          </w:p>
        </w:tc>
      </w:tr>
      <w:tr>
        <w:trPr>
          <w:trHeight w:val="295"/>
        </w:trPr>
        <w:tc>
          <w:tcPr>
            <w:tcW w:w="95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Fair value of PCD financial assets</w:t>
            </w:r>
          </w:p>
        </w:tc>
        <w:tc>
          <w:tcPr>
            <w:tcW w:w="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560" w:type="dxa"/>
            <w:vAlign w:val="bottom"/>
            <w:tcBorders>
              <w:bottom w:val="single" w:sz="8" w:color="auto"/>
            </w:tcBorders>
            <w:shd w:val="clear" w:color="auto" w:fill="E0E7ED"/>
          </w:tcPr>
          <w:p>
            <w:pPr>
              <w:ind w:left="840"/>
              <w:spacing w:after="0"/>
              <w:rPr>
                <w:sz w:val="20"/>
                <w:szCs w:val="20"/>
                <w:color w:val="auto"/>
              </w:rPr>
            </w:pPr>
            <w:r>
              <w:rPr>
                <w:rFonts w:ascii="Verdana" w:cs="Verdana" w:eastAsia="Verdana" w:hAnsi="Verdana"/>
                <w:sz w:val="18"/>
                <w:szCs w:val="18"/>
                <w:color w:val="auto"/>
              </w:rPr>
              <w:t>26,274</w:t>
            </w:r>
          </w:p>
        </w:tc>
      </w:tr>
      <w:tr>
        <w:trPr>
          <w:trHeight w:val="20"/>
        </w:trPr>
        <w:tc>
          <w:tcPr>
            <w:tcW w:w="952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1560" w:type="dxa"/>
            <w:vAlign w:val="bottom"/>
            <w:tcBorders>
              <w:top w:val="single" w:sz="8" w:color="E0E7ED"/>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Other Acquisition Costs</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 xml:space="preserve">In connection with the M&amp;M acquisition, Busey incurred $0.6 million and $2.9 million in pre-tax acquisition expenses during the three and nine months ended September 30, 2024, respectively, comprised primarily of salaries, wages and employee benefits; data processing; and professional fees, which are reported as components of noninterest expense on the accompanying </w:t>
      </w:r>
      <w:r>
        <w:rPr>
          <w:rFonts w:ascii="Verdana" w:cs="Verdana" w:eastAsia="Verdana" w:hAnsi="Verdana"/>
          <w:sz w:val="18"/>
          <w:szCs w:val="18"/>
          <w:u w:val="single" w:color="auto"/>
          <w:color w:val="0000FF"/>
        </w:rPr>
        <w:t>Consolidated Statements of Income (Unaudited)</w:t>
      </w:r>
      <w:r>
        <w:rPr>
          <w:rFonts w:ascii="Verdana" w:cs="Verdana" w:eastAsia="Verdana" w:hAnsi="Verdana"/>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18" w:name="page19"/>
    <w:bookmarkEnd w:id="18"/>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3. DEBT SECURITIES</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Busey's portfolio of debt securities includes both available for sale and held to maturity securities. The tables below provide the amortized cost, unrealized or unrecognized gains and losses, and fair values of debt securities summarized by major category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6"/>
          </w:tcPr>
          <w:p>
            <w:pPr>
              <w:jc w:val="center"/>
              <w:ind w:right="320"/>
              <w:spacing w:after="0"/>
              <w:rPr>
                <w:sz w:val="20"/>
                <w:szCs w:val="20"/>
                <w:color w:val="auto"/>
              </w:rPr>
            </w:pPr>
            <w:r>
              <w:rPr>
                <w:rFonts w:ascii="Verdana" w:cs="Verdana" w:eastAsia="Verdana" w:hAnsi="Verdana"/>
                <w:sz w:val="13"/>
                <w:szCs w:val="13"/>
                <w:b w:val="1"/>
                <w:bCs w:val="1"/>
                <w:color w:val="auto"/>
                <w:w w:val="96"/>
              </w:rPr>
              <w:t>As of September 30, 2024</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3"/>
            <w:vMerge w:val="restart"/>
          </w:tcPr>
          <w:p>
            <w:pPr>
              <w:jc w:val="center"/>
              <w:ind w:right="360"/>
              <w:spacing w:after="0"/>
              <w:rPr>
                <w:sz w:val="20"/>
                <w:szCs w:val="20"/>
                <w:color w:val="auto"/>
              </w:rPr>
            </w:pPr>
            <w:r>
              <w:rPr>
                <w:rFonts w:ascii="Verdana" w:cs="Verdana" w:eastAsia="Verdana" w:hAnsi="Verdana"/>
                <w:sz w:val="13"/>
                <w:szCs w:val="13"/>
                <w:b w:val="1"/>
                <w:bCs w:val="1"/>
                <w:color w:val="auto"/>
                <w:w w:val="98"/>
              </w:rPr>
              <w:t>Amortized</w:t>
            </w:r>
          </w:p>
        </w:tc>
        <w:tc>
          <w:tcPr>
            <w:tcW w:w="2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5"/>
          </w:tcPr>
          <w:p>
            <w:pPr>
              <w:jc w:val="center"/>
              <w:ind w:right="154"/>
              <w:spacing w:after="0"/>
              <w:rPr>
                <w:sz w:val="20"/>
                <w:szCs w:val="20"/>
                <w:color w:val="auto"/>
              </w:rPr>
            </w:pPr>
            <w:r>
              <w:rPr>
                <w:rFonts w:ascii="Verdana" w:cs="Verdana" w:eastAsia="Verdana" w:hAnsi="Verdana"/>
                <w:sz w:val="13"/>
                <w:szCs w:val="13"/>
                <w:b w:val="1"/>
                <w:bCs w:val="1"/>
                <w:color w:val="auto"/>
                <w:w w:val="97"/>
              </w:rPr>
              <w:t>Unrealized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vMerge w:val="restart"/>
          </w:tcPr>
          <w:p>
            <w:pPr>
              <w:jc w:val="center"/>
              <w:ind w:right="237"/>
              <w:spacing w:after="0"/>
              <w:rPr>
                <w:sz w:val="20"/>
                <w:szCs w:val="20"/>
                <w:color w:val="auto"/>
              </w:rPr>
            </w:pPr>
            <w:r>
              <w:rPr>
                <w:rFonts w:ascii="Verdana" w:cs="Verdana" w:eastAsia="Verdana" w:hAnsi="Verdana"/>
                <w:sz w:val="13"/>
                <w:szCs w:val="13"/>
                <w:b w:val="1"/>
                <w:bCs w:val="1"/>
                <w:color w:val="auto"/>
                <w:w w:val="99"/>
              </w:rPr>
              <w:t>Fair</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3"/>
            <w:vMerge w:val="restart"/>
          </w:tcPr>
          <w:p>
            <w:pPr>
              <w:ind w:left="80"/>
              <w:spacing w:after="0"/>
              <w:rPr>
                <w:sz w:val="20"/>
                <w:szCs w:val="20"/>
                <w:color w:val="auto"/>
              </w:rPr>
            </w:pPr>
            <w:r>
              <w:rPr>
                <w:rFonts w:ascii="Verdana" w:cs="Verdana" w:eastAsia="Verdana" w:hAnsi="Verdana"/>
                <w:sz w:val="13"/>
                <w:szCs w:val="13"/>
                <w:b w:val="1"/>
                <w:bCs w:val="1"/>
                <w:color w:val="auto"/>
              </w:rPr>
              <w:t>Gross Gains</w:t>
            </w:r>
          </w:p>
        </w:tc>
        <w:tc>
          <w:tcPr>
            <w:tcW w:w="220" w:type="dxa"/>
            <w:vAlign w:val="bottom"/>
          </w:tcPr>
          <w:p>
            <w:pPr>
              <w:spacing w:after="0"/>
              <w:rPr>
                <w:sz w:val="2"/>
                <w:szCs w:val="2"/>
                <w:color w:val="auto"/>
              </w:rPr>
            </w:pPr>
          </w:p>
        </w:tc>
        <w:tc>
          <w:tcPr>
            <w:tcW w:w="1360" w:type="dxa"/>
            <w:vAlign w:val="bottom"/>
            <w:gridSpan w:val="2"/>
            <w:vMerge w:val="restart"/>
          </w:tcPr>
          <w:p>
            <w:pPr>
              <w:ind w:left="60"/>
              <w:spacing w:after="0"/>
              <w:rPr>
                <w:sz w:val="20"/>
                <w:szCs w:val="20"/>
                <w:color w:val="auto"/>
              </w:rPr>
            </w:pPr>
            <w:r>
              <w:rPr>
                <w:rFonts w:ascii="Verdana" w:cs="Verdana" w:eastAsia="Verdana" w:hAnsi="Verdana"/>
                <w:sz w:val="13"/>
                <w:szCs w:val="13"/>
                <w:b w:val="1"/>
                <w:bCs w:val="1"/>
                <w:color w:val="auto"/>
              </w:rPr>
              <w:t>Gross Losses</w:t>
            </w: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tcPr>
          <w:p>
            <w:pPr>
              <w:jc w:val="center"/>
              <w:ind w:right="360"/>
              <w:spacing w:after="0"/>
              <w:rPr>
                <w:sz w:val="20"/>
                <w:szCs w:val="20"/>
                <w:color w:val="auto"/>
              </w:rPr>
            </w:pPr>
            <w:r>
              <w:rPr>
                <w:rFonts w:ascii="Verdana" w:cs="Verdana" w:eastAsia="Verdana" w:hAnsi="Verdana"/>
                <w:sz w:val="13"/>
                <w:szCs w:val="13"/>
                <w:b w:val="1"/>
                <w:bCs w:val="1"/>
                <w:color w:val="auto"/>
                <w:w w:val="93"/>
              </w:rPr>
              <w:t>Cost</w:t>
            </w:r>
          </w:p>
        </w:tc>
        <w:tc>
          <w:tcPr>
            <w:tcW w:w="2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center"/>
              <w:ind w:right="237"/>
              <w:spacing w:after="0"/>
              <w:rPr>
                <w:sz w:val="20"/>
                <w:szCs w:val="20"/>
                <w:color w:val="auto"/>
              </w:rPr>
            </w:pPr>
            <w:r>
              <w:rPr>
                <w:rFonts w:ascii="Verdana" w:cs="Verdana" w:eastAsia="Verdana" w:hAnsi="Verdana"/>
                <w:sz w:val="13"/>
                <w:szCs w:val="13"/>
                <w:b w:val="1"/>
                <w:bCs w:val="1"/>
                <w:color w:val="auto"/>
                <w:w w:val="97"/>
              </w:rPr>
              <w:t>Value</w:t>
            </w:r>
          </w:p>
        </w:tc>
        <w:tc>
          <w:tcPr>
            <w:tcW w:w="0" w:type="dxa"/>
            <w:vAlign w:val="bottom"/>
          </w:tcPr>
          <w:p>
            <w:pPr>
              <w:spacing w:after="0"/>
              <w:rPr>
                <w:sz w:val="1"/>
                <w:szCs w:val="1"/>
                <w:color w:val="auto"/>
              </w:rPr>
            </w:pPr>
          </w:p>
        </w:tc>
      </w:tr>
      <w:tr>
        <w:trPr>
          <w:trHeight w:val="255"/>
        </w:trPr>
        <w:tc>
          <w:tcPr>
            <w:tcW w:w="4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available for sale</w:t>
            </w:r>
          </w:p>
        </w:tc>
        <w:tc>
          <w:tcPr>
            <w:tcW w:w="20" w:type="dxa"/>
            <w:vAlign w:val="bottom"/>
            <w:tcBorders>
              <w:top w:val="single" w:sz="8" w:color="auto"/>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2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2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0" w:type="dxa"/>
            <w:vAlign w:val="bottom"/>
            <w:tcBorders>
              <w:top w:val="single" w:sz="8" w:color="auto"/>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180"/>
              <w:spacing w:after="0" w:line="270" w:lineRule="exact"/>
              <w:rPr>
                <w:sz w:val="20"/>
                <w:szCs w:val="20"/>
                <w:color w:val="auto"/>
              </w:rPr>
            </w:pPr>
            <w:r>
              <w:rPr>
                <w:rFonts w:ascii="Verdana" w:cs="Verdana" w:eastAsia="Verdana" w:hAnsi="Verdana"/>
                <w:sz w:val="18"/>
                <w:szCs w:val="18"/>
                <w:color w:val="auto"/>
              </w:rPr>
              <w:t>U.S. Treasury securities</w:t>
            </w:r>
            <w:r>
              <w:rPr>
                <w:rFonts w:ascii="Verdana" w:cs="Verdana" w:eastAsia="Verdana" w:hAnsi="Verdana"/>
                <w:sz w:val="23"/>
                <w:szCs w:val="23"/>
                <w:color w:val="auto"/>
                <w:vertAlign w:val="superscript"/>
              </w:rPr>
              <w:t>1</w:t>
            </w:r>
          </w:p>
        </w:tc>
        <w:tc>
          <w:tcPr>
            <w:tcW w:w="260" w:type="dxa"/>
            <w:vAlign w:val="bottom"/>
            <w:gridSpan w:val="2"/>
          </w:tcPr>
          <w:p>
            <w:pPr>
              <w:jc w:val="right"/>
              <w:ind w:right="12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250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Verdana" w:cs="Verdana" w:eastAsia="Verdana" w:hAnsi="Verdana"/>
                <w:sz w:val="18"/>
                <w:szCs w:val="18"/>
                <w:color w:val="auto"/>
                <w:w w:val="86"/>
              </w:rPr>
              <w:t>$</w:t>
            </w:r>
          </w:p>
        </w:tc>
        <w:tc>
          <w:tcPr>
            <w:tcW w:w="1340" w:type="dxa"/>
            <w:vAlign w:val="bottom"/>
            <w:gridSpan w:val="3"/>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36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250</w:t>
            </w:r>
          </w:p>
        </w:tc>
        <w:tc>
          <w:tcPr>
            <w:tcW w:w="0" w:type="dxa"/>
            <w:vAlign w:val="bottom"/>
          </w:tcPr>
          <w:p>
            <w:pPr>
              <w:spacing w:after="0"/>
              <w:rPr>
                <w:sz w:val="1"/>
                <w:szCs w:val="1"/>
                <w:color w:val="auto"/>
              </w:rPr>
            </w:pPr>
          </w:p>
        </w:tc>
      </w:tr>
      <w:tr>
        <w:trPr>
          <w:trHeight w:val="234"/>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Obligations of U.S. government corporations and</w:t>
            </w:r>
          </w:p>
        </w:tc>
        <w:tc>
          <w:tcPr>
            <w:tcW w:w="2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1240" w:type="dxa"/>
            <w:vAlign w:val="bottom"/>
            <w:shd w:val="clear" w:color="auto" w:fill="E0E7ED"/>
          </w:tcPr>
          <w:p>
            <w:pPr>
              <w:spacing w:after="0"/>
              <w:rPr>
                <w:sz w:val="20"/>
                <w:szCs w:val="20"/>
                <w:color w:val="auto"/>
              </w:rPr>
            </w:pPr>
          </w:p>
        </w:tc>
        <w:tc>
          <w:tcPr>
            <w:tcW w:w="2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1240" w:type="dxa"/>
            <w:vAlign w:val="bottom"/>
            <w:shd w:val="clear" w:color="auto" w:fill="E0E7ED"/>
          </w:tcPr>
          <w:p>
            <w:pPr>
              <w:spacing w:after="0"/>
              <w:rPr>
                <w:sz w:val="20"/>
                <w:szCs w:val="20"/>
                <w:color w:val="auto"/>
              </w:rPr>
            </w:pPr>
          </w:p>
        </w:tc>
        <w:tc>
          <w:tcPr>
            <w:tcW w:w="2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128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20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960" w:type="dxa"/>
            <w:vAlign w:val="bottom"/>
            <w:shd w:val="clear" w:color="auto" w:fill="E0E7ED"/>
          </w:tcPr>
          <w:p>
            <w:pPr>
              <w:ind w:left="180"/>
              <w:spacing w:after="0" w:line="252" w:lineRule="exact"/>
              <w:rPr>
                <w:sz w:val="20"/>
                <w:szCs w:val="20"/>
                <w:color w:val="auto"/>
              </w:rPr>
            </w:pPr>
            <w:r>
              <w:rPr>
                <w:rFonts w:ascii="Verdana" w:cs="Verdana" w:eastAsia="Verdana" w:hAnsi="Verdana"/>
                <w:sz w:val="18"/>
                <w:szCs w:val="18"/>
                <w:color w:val="auto"/>
              </w:rPr>
              <w:t>agencies</w:t>
            </w:r>
            <w:r>
              <w:rPr>
                <w:rFonts w:ascii="Verdana" w:cs="Verdana" w:eastAsia="Verdana" w:hAnsi="Verdana"/>
                <w:sz w:val="23"/>
                <w:szCs w:val="23"/>
                <w:color w:val="auto"/>
                <w:vertAlign w:val="superscript"/>
              </w:rPr>
              <w:t>2</w:t>
            </w:r>
          </w:p>
        </w:tc>
        <w:tc>
          <w:tcPr>
            <w:tcW w:w="2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1,515</w:t>
            </w: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340" w:type="dxa"/>
            <w:vAlign w:val="bottom"/>
            <w:gridSpan w:val="3"/>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shd w:val="clear" w:color="auto" w:fill="E0E7ED"/>
          </w:tcPr>
          <w:p>
            <w:pPr>
              <w:spacing w:after="0"/>
              <w:rPr>
                <w:sz w:val="21"/>
                <w:szCs w:val="21"/>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w:t>
            </w: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1,508</w:t>
            </w:r>
          </w:p>
        </w:tc>
        <w:tc>
          <w:tcPr>
            <w:tcW w:w="0" w:type="dxa"/>
            <w:vAlign w:val="bottom"/>
          </w:tcPr>
          <w:p>
            <w:pPr>
              <w:spacing w:after="0"/>
              <w:rPr>
                <w:sz w:val="1"/>
                <w:szCs w:val="1"/>
                <w:color w:val="auto"/>
              </w:rPr>
            </w:pPr>
          </w:p>
        </w:tc>
      </w:tr>
      <w:tr>
        <w:trPr>
          <w:trHeight w:val="270"/>
        </w:trPr>
        <w:tc>
          <w:tcPr>
            <w:tcW w:w="4960" w:type="dxa"/>
            <w:vAlign w:val="bottom"/>
          </w:tcPr>
          <w:p>
            <w:pPr>
              <w:ind w:left="180"/>
              <w:spacing w:after="0" w:line="270" w:lineRule="exact"/>
              <w:rPr>
                <w:sz w:val="20"/>
                <w:szCs w:val="20"/>
                <w:color w:val="auto"/>
              </w:rPr>
            </w:pPr>
            <w:r>
              <w:rPr>
                <w:rFonts w:ascii="Verdana" w:cs="Verdana" w:eastAsia="Verdana" w:hAnsi="Verdana"/>
                <w:sz w:val="18"/>
                <w:szCs w:val="18"/>
                <w:color w:val="auto"/>
              </w:rPr>
              <w:t>Obligations of states and political subdivisions</w:t>
            </w:r>
            <w:r>
              <w:rPr>
                <w:rFonts w:ascii="Verdana" w:cs="Verdana" w:eastAsia="Verdana" w:hAnsi="Verdana"/>
                <w:sz w:val="23"/>
                <w:szCs w:val="23"/>
                <w:color w:val="auto"/>
                <w:vertAlign w:val="superscript"/>
              </w:rPr>
              <w:t>3</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168,052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144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(13,144)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155,052</w:t>
            </w:r>
          </w:p>
        </w:tc>
        <w:tc>
          <w:tcPr>
            <w:tcW w:w="0" w:type="dxa"/>
            <w:vAlign w:val="bottom"/>
          </w:tcPr>
          <w:p>
            <w:pPr>
              <w:spacing w:after="0"/>
              <w:rPr>
                <w:sz w:val="1"/>
                <w:szCs w:val="1"/>
                <w:color w:val="auto"/>
              </w:rPr>
            </w:pPr>
          </w:p>
        </w:tc>
      </w:tr>
      <w:tr>
        <w:trPr>
          <w:trHeight w:val="270"/>
        </w:trPr>
        <w:tc>
          <w:tcPr>
            <w:tcW w:w="4960" w:type="dxa"/>
            <w:vAlign w:val="bottom"/>
            <w:shd w:val="clear" w:color="auto" w:fill="E0E7ED"/>
          </w:tcPr>
          <w:p>
            <w:pPr>
              <w:ind w:left="180"/>
              <w:spacing w:after="0" w:line="270" w:lineRule="exact"/>
              <w:rPr>
                <w:sz w:val="20"/>
                <w:szCs w:val="20"/>
                <w:color w:val="auto"/>
              </w:rPr>
            </w:pPr>
            <w:r>
              <w:rPr>
                <w:rFonts w:ascii="Verdana" w:cs="Verdana" w:eastAsia="Verdana" w:hAnsi="Verdana"/>
                <w:sz w:val="18"/>
                <w:szCs w:val="18"/>
                <w:color w:val="auto"/>
              </w:rPr>
              <w:t>Asset-backed securities</w:t>
            </w:r>
            <w:r>
              <w:rPr>
                <w:rFonts w:ascii="Verdana" w:cs="Verdana" w:eastAsia="Verdana" w:hAnsi="Verdana"/>
                <w:sz w:val="23"/>
                <w:szCs w:val="23"/>
                <w:color w:val="auto"/>
                <w:vertAlign w:val="superscript"/>
              </w:rPr>
              <w:t>3</w:t>
            </w:r>
          </w:p>
        </w:tc>
        <w:tc>
          <w:tcPr>
            <w:tcW w:w="2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405,280</w:t>
            </w:r>
          </w:p>
        </w:tc>
        <w:tc>
          <w:tcPr>
            <w:tcW w:w="2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92</w:t>
            </w:r>
          </w:p>
        </w:tc>
        <w:tc>
          <w:tcPr>
            <w:tcW w:w="2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20" w:type="dxa"/>
            <w:vAlign w:val="bottom"/>
            <w:shd w:val="clear" w:color="auto" w:fill="E0E7ED"/>
          </w:tcPr>
          <w:p>
            <w:pPr>
              <w:spacing w:after="0"/>
              <w:rPr>
                <w:sz w:val="23"/>
                <w:szCs w:val="23"/>
                <w:color w:val="auto"/>
              </w:rPr>
            </w:pPr>
          </w:p>
        </w:tc>
        <w:tc>
          <w:tcPr>
            <w:tcW w:w="136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405,372</w:t>
            </w:r>
          </w:p>
        </w:tc>
        <w:tc>
          <w:tcPr>
            <w:tcW w:w="0" w:type="dxa"/>
            <w:vAlign w:val="bottom"/>
          </w:tcPr>
          <w:p>
            <w:pPr>
              <w:spacing w:after="0"/>
              <w:rPr>
                <w:sz w:val="1"/>
                <w:szCs w:val="1"/>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Commercial mortgage-backed securities</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106,543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228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(12,492)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94,279</w:t>
            </w:r>
          </w:p>
        </w:tc>
        <w:tc>
          <w:tcPr>
            <w:tcW w:w="0" w:type="dxa"/>
            <w:vAlign w:val="bottom"/>
          </w:tcPr>
          <w:p>
            <w:pPr>
              <w:spacing w:after="0"/>
              <w:rPr>
                <w:sz w:val="1"/>
                <w:szCs w:val="1"/>
                <w:color w:val="auto"/>
              </w:rPr>
            </w:pPr>
          </w:p>
        </w:tc>
      </w:tr>
      <w:tr>
        <w:trPr>
          <w:trHeight w:val="277"/>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Residential mortgage-backed securities</w:t>
            </w:r>
          </w:p>
        </w:tc>
        <w:tc>
          <w:tcPr>
            <w:tcW w:w="2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1,161,213</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179</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(159,225)</w:t>
            </w: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1,002,167</w:t>
            </w:r>
          </w:p>
        </w:tc>
        <w:tc>
          <w:tcPr>
            <w:tcW w:w="0" w:type="dxa"/>
            <w:vAlign w:val="bottom"/>
          </w:tcPr>
          <w:p>
            <w:pPr>
              <w:spacing w:after="0"/>
              <w:rPr>
                <w:sz w:val="1"/>
                <w:szCs w:val="1"/>
                <w:color w:val="auto"/>
              </w:rPr>
            </w:pPr>
          </w:p>
        </w:tc>
      </w:tr>
      <w:tr>
        <w:trPr>
          <w:trHeight w:val="263"/>
        </w:trPr>
        <w:tc>
          <w:tcPr>
            <w:tcW w:w="49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Corporate debt securities</w:t>
            </w: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166,818</w:t>
            </w:r>
          </w:p>
        </w:tc>
        <w:tc>
          <w:tcPr>
            <w:tcW w:w="20" w:type="dxa"/>
            <w:vAlign w:val="bottom"/>
            <w:tcBorders>
              <w:bottom w:val="single" w:sz="8" w:color="E0E7ED"/>
            </w:tcBorders>
          </w:tcPr>
          <w:p>
            <w:pPr>
              <w:spacing w:after="0"/>
              <w:rPr>
                <w:sz w:val="22"/>
                <w:szCs w:val="22"/>
                <w:color w:val="auto"/>
              </w:rPr>
            </w:pPr>
          </w:p>
        </w:tc>
        <w:tc>
          <w:tcPr>
            <w:tcW w:w="80" w:type="dxa"/>
            <w:vAlign w:val="bottom"/>
            <w:tcBorders>
              <w:bottom w:val="single" w:sz="8" w:color="E0E7ED"/>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118</w:t>
            </w:r>
          </w:p>
        </w:tc>
        <w:tc>
          <w:tcPr>
            <w:tcW w:w="20" w:type="dxa"/>
            <w:vAlign w:val="bottom"/>
            <w:tcBorders>
              <w:bottom w:val="single" w:sz="8" w:color="E0E7ED"/>
            </w:tcBorders>
          </w:tcPr>
          <w:p>
            <w:pPr>
              <w:spacing w:after="0"/>
              <w:rPr>
                <w:sz w:val="22"/>
                <w:szCs w:val="22"/>
                <w:color w:val="auto"/>
              </w:rPr>
            </w:pPr>
          </w:p>
        </w:tc>
        <w:tc>
          <w:tcPr>
            <w:tcW w:w="80" w:type="dxa"/>
            <w:vAlign w:val="bottom"/>
            <w:tcBorders>
              <w:bottom w:val="single" w:sz="8" w:color="E0E7E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(7,447)</w:t>
            </w:r>
          </w:p>
        </w:tc>
        <w:tc>
          <w:tcPr>
            <w:tcW w:w="80" w:type="dxa"/>
            <w:vAlign w:val="bottom"/>
            <w:tcBorders>
              <w:bottom w:val="single" w:sz="8" w:color="E0E7ED"/>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159,489</w:t>
            </w:r>
          </w:p>
        </w:tc>
        <w:tc>
          <w:tcPr>
            <w:tcW w:w="0" w:type="dxa"/>
            <w:vAlign w:val="bottom"/>
          </w:tcPr>
          <w:p>
            <w:pPr>
              <w:spacing w:after="0"/>
              <w:rPr>
                <w:sz w:val="1"/>
                <w:szCs w:val="1"/>
                <w:color w:val="auto"/>
              </w:rPr>
            </w:pPr>
          </w:p>
        </w:tc>
      </w:tr>
      <w:tr>
        <w:trPr>
          <w:trHeight w:val="295"/>
        </w:trPr>
        <w:tc>
          <w:tcPr>
            <w:tcW w:w="49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debt securities available for sale</w:t>
            </w:r>
          </w:p>
        </w:tc>
        <w:tc>
          <w:tcPr>
            <w:tcW w:w="260" w:type="dxa"/>
            <w:vAlign w:val="bottom"/>
            <w:tcBorders>
              <w:bottom w:val="single" w:sz="8" w:color="auto"/>
            </w:tcBorders>
            <w:gridSpan w:val="2"/>
            <w:shd w:val="clear" w:color="auto" w:fill="E0E7ED"/>
          </w:tcPr>
          <w:p>
            <w:pPr>
              <w:jc w:val="right"/>
              <w:ind w:right="12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2,009,671</w:t>
            </w:r>
          </w:p>
        </w:tc>
        <w:tc>
          <w:tcPr>
            <w:tcW w:w="20" w:type="dxa"/>
            <w:vAlign w:val="bottom"/>
            <w:tcBorders>
              <w:bottom w:val="single" w:sz="8" w:color="E0E7ED"/>
            </w:tcBorders>
            <w:shd w:val="clear" w:color="auto" w:fill="E0E7ED"/>
          </w:tcPr>
          <w:p>
            <w:pPr>
              <w:spacing w:after="0"/>
              <w:rPr>
                <w:sz w:val="24"/>
                <w:szCs w:val="24"/>
                <w:color w:val="auto"/>
              </w:rPr>
            </w:pPr>
          </w:p>
        </w:tc>
        <w:tc>
          <w:tcPr>
            <w:tcW w:w="80" w:type="dxa"/>
            <w:vAlign w:val="bottom"/>
            <w:tcBorders>
              <w:bottom w:val="single" w:sz="8" w:color="E0E7ED"/>
            </w:tcBorders>
            <w:shd w:val="clear" w:color="auto" w:fill="E0E7ED"/>
          </w:tcPr>
          <w:p>
            <w:pPr>
              <w:spacing w:after="0"/>
              <w:rPr>
                <w:sz w:val="24"/>
                <w:szCs w:val="24"/>
                <w:color w:val="auto"/>
              </w:rPr>
            </w:pPr>
          </w:p>
        </w:tc>
        <w:tc>
          <w:tcPr>
            <w:tcW w:w="240" w:type="dxa"/>
            <w:vAlign w:val="bottom"/>
            <w:tcBorders>
              <w:bottom w:val="single" w:sz="8" w:color="auto"/>
            </w:tcBorders>
            <w:shd w:val="clear" w:color="auto" w:fill="E0E7ED"/>
          </w:tcPr>
          <w:p>
            <w:pPr>
              <w:jc w:val="right"/>
              <w:ind w:right="30"/>
              <w:spacing w:after="0"/>
              <w:rPr>
                <w:sz w:val="20"/>
                <w:szCs w:val="20"/>
                <w:color w:val="auto"/>
              </w:rPr>
            </w:pPr>
            <w:r>
              <w:rPr>
                <w:rFonts w:ascii="Verdana" w:cs="Verdana" w:eastAsia="Verdana" w:hAnsi="Verdana"/>
                <w:sz w:val="18"/>
                <w:szCs w:val="18"/>
                <w:color w:val="auto"/>
                <w:w w:val="86"/>
              </w:rPr>
              <w:t>$</w:t>
            </w: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761</w:t>
            </w:r>
          </w:p>
        </w:tc>
        <w:tc>
          <w:tcPr>
            <w:tcW w:w="20" w:type="dxa"/>
            <w:vAlign w:val="bottom"/>
            <w:tcBorders>
              <w:bottom w:val="single" w:sz="8" w:color="E0E7ED"/>
            </w:tcBorders>
            <w:shd w:val="clear" w:color="auto" w:fill="E0E7ED"/>
          </w:tcPr>
          <w:p>
            <w:pPr>
              <w:spacing w:after="0"/>
              <w:rPr>
                <w:sz w:val="24"/>
                <w:szCs w:val="24"/>
                <w:color w:val="auto"/>
              </w:rPr>
            </w:pPr>
          </w:p>
        </w:tc>
        <w:tc>
          <w:tcPr>
            <w:tcW w:w="80" w:type="dxa"/>
            <w:vAlign w:val="bottom"/>
            <w:tcBorders>
              <w:bottom w:val="single" w:sz="8" w:color="E0E7ED"/>
            </w:tcBorders>
            <w:shd w:val="clear" w:color="auto" w:fill="E0E7ED"/>
          </w:tcPr>
          <w:p>
            <w:pPr>
              <w:spacing w:after="0"/>
              <w:rPr>
                <w:sz w:val="24"/>
                <w:szCs w:val="24"/>
                <w:color w:val="auto"/>
              </w:rPr>
            </w:pPr>
          </w:p>
        </w:tc>
        <w:tc>
          <w:tcPr>
            <w:tcW w:w="220" w:type="dxa"/>
            <w:vAlign w:val="bottom"/>
            <w:tcBorders>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(192,315)</w:t>
            </w:r>
          </w:p>
        </w:tc>
        <w:tc>
          <w:tcPr>
            <w:tcW w:w="80" w:type="dxa"/>
            <w:vAlign w:val="bottom"/>
            <w:tcBorders>
              <w:bottom w:val="single" w:sz="8" w:color="E0E7ED"/>
            </w:tcBorders>
            <w:shd w:val="clear" w:color="auto" w:fill="E0E7ED"/>
          </w:tcPr>
          <w:p>
            <w:pPr>
              <w:spacing w:after="0"/>
              <w:rPr>
                <w:sz w:val="24"/>
                <w:szCs w:val="24"/>
                <w:color w:val="auto"/>
              </w:rPr>
            </w:pPr>
          </w:p>
        </w:tc>
        <w:tc>
          <w:tcPr>
            <w:tcW w:w="320" w:type="dxa"/>
            <w:vAlign w:val="bottom"/>
            <w:tcBorders>
              <w:bottom w:val="single" w:sz="8" w:color="auto"/>
            </w:tcBorders>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1,818,117</w:t>
            </w:r>
          </w:p>
        </w:tc>
        <w:tc>
          <w:tcPr>
            <w:tcW w:w="0" w:type="dxa"/>
            <w:vAlign w:val="bottom"/>
          </w:tcPr>
          <w:p>
            <w:pPr>
              <w:spacing w:after="0"/>
              <w:rPr>
                <w:sz w:val="1"/>
                <w:szCs w:val="1"/>
                <w:color w:val="auto"/>
              </w:rPr>
            </w:pPr>
          </w:p>
        </w:tc>
      </w:tr>
      <w:tr>
        <w:trPr>
          <w:trHeight w:val="20"/>
        </w:trPr>
        <w:tc>
          <w:tcPr>
            <w:tcW w:w="4960" w:type="dxa"/>
            <w:vAlign w:val="bottom"/>
            <w:tcBorders>
              <w:top w:val="single" w:sz="8" w:color="E0E7ED"/>
            </w:tcBorders>
          </w:tcPr>
          <w:p>
            <w:pPr>
              <w:spacing w:after="0" w:line="20" w:lineRule="exact"/>
              <w:rPr>
                <w:sz w:val="1"/>
                <w:szCs w:val="1"/>
                <w:color w:val="auto"/>
              </w:rPr>
            </w:pPr>
          </w:p>
        </w:tc>
        <w:tc>
          <w:tcPr>
            <w:tcW w:w="20" w:type="dxa"/>
            <w:vAlign w:val="bottom"/>
            <w:tcBorders>
              <w:top w:val="single" w:sz="8" w:color="E0E7ED"/>
              <w:bottom w:val="single" w:sz="8" w:color="auto"/>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2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2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500" w:type="dxa"/>
            <w:vAlign w:val="bottom"/>
            <w:tcBorders>
              <w:top w:val="single" w:sz="8" w:color="E0E7ED"/>
              <w:bottom w:val="single" w:sz="8" w:color="auto"/>
            </w:tcBorders>
            <w:gridSpan w:val="2"/>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 w:type="dxa"/>
            <w:vAlign w:val="bottom"/>
            <w:tcBorders>
              <w:top w:val="single" w:sz="8" w:color="E0E7ED"/>
              <w:bottom w:val="single" w:sz="8" w:color="auto"/>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3"/>
            <w:vMerge w:val="restart"/>
          </w:tcPr>
          <w:p>
            <w:pPr>
              <w:jc w:val="center"/>
              <w:ind w:right="340"/>
              <w:spacing w:after="0"/>
              <w:rPr>
                <w:sz w:val="20"/>
                <w:szCs w:val="20"/>
                <w:color w:val="auto"/>
              </w:rPr>
            </w:pPr>
            <w:r>
              <w:rPr>
                <w:rFonts w:ascii="Verdana" w:cs="Verdana" w:eastAsia="Verdana" w:hAnsi="Verdana"/>
                <w:sz w:val="13"/>
                <w:szCs w:val="13"/>
                <w:b w:val="1"/>
                <w:bCs w:val="1"/>
                <w:color w:val="auto"/>
                <w:w w:val="95"/>
              </w:rPr>
              <w:t>Amortized</w:t>
            </w:r>
          </w:p>
        </w:tc>
        <w:tc>
          <w:tcPr>
            <w:tcW w:w="2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center"/>
              <w:ind w:right="134"/>
              <w:spacing w:after="0"/>
              <w:rPr>
                <w:sz w:val="20"/>
                <w:szCs w:val="20"/>
                <w:color w:val="auto"/>
              </w:rPr>
            </w:pPr>
            <w:r>
              <w:rPr>
                <w:rFonts w:ascii="Verdana" w:cs="Verdana" w:eastAsia="Verdana" w:hAnsi="Verdana"/>
                <w:sz w:val="13"/>
                <w:szCs w:val="13"/>
                <w:b w:val="1"/>
                <w:bCs w:val="1"/>
                <w:color w:val="auto"/>
                <w:w w:val="98"/>
              </w:rPr>
              <w:t>Unrecognized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vMerge w:val="restart"/>
          </w:tcPr>
          <w:p>
            <w:pPr>
              <w:jc w:val="center"/>
              <w:ind w:right="217"/>
              <w:spacing w:after="0"/>
              <w:rPr>
                <w:sz w:val="20"/>
                <w:szCs w:val="20"/>
                <w:color w:val="auto"/>
              </w:rPr>
            </w:pPr>
            <w:r>
              <w:rPr>
                <w:rFonts w:ascii="Verdana" w:cs="Verdana" w:eastAsia="Verdana" w:hAnsi="Verdana"/>
                <w:sz w:val="13"/>
                <w:szCs w:val="13"/>
                <w:b w:val="1"/>
                <w:bCs w:val="1"/>
                <w:color w:val="auto"/>
                <w:w w:val="92"/>
              </w:rPr>
              <w:t>Fair</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3"/>
            <w:vMerge w:val="restart"/>
          </w:tcPr>
          <w:p>
            <w:pPr>
              <w:ind w:left="100"/>
              <w:spacing w:after="0"/>
              <w:rPr>
                <w:sz w:val="20"/>
                <w:szCs w:val="20"/>
                <w:color w:val="auto"/>
              </w:rPr>
            </w:pPr>
            <w:r>
              <w:rPr>
                <w:rFonts w:ascii="Verdana" w:cs="Verdana" w:eastAsia="Verdana" w:hAnsi="Verdana"/>
                <w:sz w:val="13"/>
                <w:szCs w:val="13"/>
                <w:b w:val="1"/>
                <w:bCs w:val="1"/>
                <w:color w:val="auto"/>
              </w:rPr>
              <w:t>Gross Gains</w:t>
            </w:r>
          </w:p>
        </w:tc>
        <w:tc>
          <w:tcPr>
            <w:tcW w:w="220" w:type="dxa"/>
            <w:vAlign w:val="bottom"/>
          </w:tcPr>
          <w:p>
            <w:pPr>
              <w:spacing w:after="0"/>
              <w:rPr>
                <w:sz w:val="2"/>
                <w:szCs w:val="2"/>
                <w:color w:val="auto"/>
              </w:rPr>
            </w:pPr>
          </w:p>
        </w:tc>
        <w:tc>
          <w:tcPr>
            <w:tcW w:w="1360" w:type="dxa"/>
            <w:vAlign w:val="bottom"/>
            <w:gridSpan w:val="2"/>
            <w:vMerge w:val="restart"/>
          </w:tcPr>
          <w:p>
            <w:pPr>
              <w:ind w:left="80"/>
              <w:spacing w:after="0"/>
              <w:rPr>
                <w:sz w:val="20"/>
                <w:szCs w:val="20"/>
                <w:color w:val="auto"/>
              </w:rPr>
            </w:pPr>
            <w:r>
              <w:rPr>
                <w:rFonts w:ascii="Verdana" w:cs="Verdana" w:eastAsia="Verdana" w:hAnsi="Verdana"/>
                <w:sz w:val="13"/>
                <w:szCs w:val="13"/>
                <w:b w:val="1"/>
                <w:bCs w:val="1"/>
                <w:color w:val="auto"/>
              </w:rPr>
              <w:t>Gross Losses</w:t>
            </w: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tcPr>
          <w:p>
            <w:pPr>
              <w:jc w:val="center"/>
              <w:ind w:right="320"/>
              <w:spacing w:after="0"/>
              <w:rPr>
                <w:sz w:val="20"/>
                <w:szCs w:val="20"/>
                <w:color w:val="auto"/>
              </w:rPr>
            </w:pPr>
            <w:r>
              <w:rPr>
                <w:rFonts w:ascii="Verdana" w:cs="Verdana" w:eastAsia="Verdana" w:hAnsi="Verdana"/>
                <w:sz w:val="13"/>
                <w:szCs w:val="13"/>
                <w:b w:val="1"/>
                <w:bCs w:val="1"/>
                <w:color w:val="auto"/>
                <w:w w:val="93"/>
              </w:rPr>
              <w:t>Cost</w:t>
            </w:r>
          </w:p>
        </w:tc>
        <w:tc>
          <w:tcPr>
            <w:tcW w:w="2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center"/>
              <w:ind w:right="217"/>
              <w:spacing w:after="0"/>
              <w:rPr>
                <w:sz w:val="20"/>
                <w:szCs w:val="20"/>
                <w:color w:val="auto"/>
              </w:rPr>
            </w:pPr>
            <w:r>
              <w:rPr>
                <w:rFonts w:ascii="Verdana" w:cs="Verdana" w:eastAsia="Verdana" w:hAnsi="Verdana"/>
                <w:sz w:val="13"/>
                <w:szCs w:val="13"/>
                <w:b w:val="1"/>
                <w:bCs w:val="1"/>
                <w:color w:val="auto"/>
                <w:w w:val="92"/>
              </w:rPr>
              <w:t>Value</w:t>
            </w:r>
          </w:p>
        </w:tc>
        <w:tc>
          <w:tcPr>
            <w:tcW w:w="0" w:type="dxa"/>
            <w:vAlign w:val="bottom"/>
          </w:tcPr>
          <w:p>
            <w:pPr>
              <w:spacing w:after="0"/>
              <w:rPr>
                <w:sz w:val="1"/>
                <w:szCs w:val="1"/>
                <w:color w:val="auto"/>
              </w:rPr>
            </w:pPr>
          </w:p>
        </w:tc>
      </w:tr>
      <w:tr>
        <w:trPr>
          <w:trHeight w:val="255"/>
        </w:trPr>
        <w:tc>
          <w:tcPr>
            <w:tcW w:w="4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held to maturity</w:t>
            </w:r>
          </w:p>
        </w:tc>
        <w:tc>
          <w:tcPr>
            <w:tcW w:w="2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Commercial mortgage-backed securities</w:t>
            </w:r>
          </w:p>
        </w:tc>
        <w:tc>
          <w:tcPr>
            <w:tcW w:w="260" w:type="dxa"/>
            <w:vAlign w:val="bottom"/>
            <w:gridSpan w:val="2"/>
          </w:tcPr>
          <w:p>
            <w:pPr>
              <w:jc w:val="right"/>
              <w:ind w:right="12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419,685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340" w:type="dxa"/>
            <w:vAlign w:val="bottom"/>
            <w:gridSpan w:val="3"/>
          </w:tcPr>
          <w:p>
            <w:pPr>
              <w:ind w:left="980"/>
              <w:spacing w:after="0"/>
              <w:rPr>
                <w:sz w:val="20"/>
                <w:szCs w:val="20"/>
                <w:color w:val="auto"/>
              </w:rPr>
            </w:pPr>
            <w:r>
              <w:rPr>
                <w:rFonts w:ascii="Verdana" w:cs="Verdana" w:eastAsia="Verdana" w:hAnsi="Verdana"/>
                <w:sz w:val="18"/>
                <w:szCs w:val="18"/>
                <w:color w:val="auto"/>
              </w:rPr>
              <w:t>—</w:t>
            </w: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(64,780)</w:t>
            </w:r>
          </w:p>
        </w:tc>
        <w:tc>
          <w:tcPr>
            <w:tcW w:w="80" w:type="dxa"/>
            <w:vAlign w:val="bottom"/>
          </w:tcPr>
          <w:p>
            <w:pPr>
              <w:spacing w:after="0"/>
              <w:rPr>
                <w:sz w:val="22"/>
                <w:szCs w:val="22"/>
                <w:color w:val="auto"/>
              </w:rPr>
            </w:pPr>
          </w:p>
        </w:tc>
        <w:tc>
          <w:tcPr>
            <w:tcW w:w="320" w:type="dxa"/>
            <w:vAlign w:val="bottom"/>
            <w:gridSpan w:val="2"/>
          </w:tcPr>
          <w:p>
            <w:pPr>
              <w:jc w:val="right"/>
              <w:ind w:right="16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354,905</w:t>
            </w:r>
          </w:p>
        </w:tc>
        <w:tc>
          <w:tcPr>
            <w:tcW w:w="0" w:type="dxa"/>
            <w:vAlign w:val="bottom"/>
          </w:tcPr>
          <w:p>
            <w:pPr>
              <w:spacing w:after="0"/>
              <w:rPr>
                <w:sz w:val="1"/>
                <w:szCs w:val="1"/>
                <w:color w:val="auto"/>
              </w:rPr>
            </w:pPr>
          </w:p>
        </w:tc>
      </w:tr>
      <w:tr>
        <w:trPr>
          <w:trHeight w:val="270"/>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Residential mortgage-backed securities</w:t>
            </w:r>
          </w:p>
        </w:tc>
        <w:tc>
          <w:tcPr>
            <w:tcW w:w="2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419,198</w:t>
            </w:r>
          </w:p>
        </w:tc>
        <w:tc>
          <w:tcPr>
            <w:tcW w:w="20" w:type="dxa"/>
            <w:vAlign w:val="bottom"/>
            <w:tcBorders>
              <w:bottom w:val="single" w:sz="8" w:color="auto"/>
            </w:tcBorders>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gridSpan w:val="2"/>
            <w:shd w:val="clear" w:color="auto" w:fill="E0E7ED"/>
          </w:tcPr>
          <w:p>
            <w:pPr>
              <w:ind w:left="980"/>
              <w:spacing w:after="0"/>
              <w:rPr>
                <w:sz w:val="20"/>
                <w:szCs w:val="20"/>
                <w:color w:val="auto"/>
              </w:rPr>
            </w:pPr>
            <w:r>
              <w:rPr>
                <w:rFonts w:ascii="Verdana" w:cs="Verdana" w:eastAsia="Verdana" w:hAnsi="Verdana"/>
                <w:sz w:val="18"/>
                <w:szCs w:val="18"/>
                <w:color w:val="auto"/>
              </w:rPr>
              <w:t>—</w:t>
            </w:r>
          </w:p>
        </w:tc>
        <w:tc>
          <w:tcPr>
            <w:tcW w:w="80" w:type="dxa"/>
            <w:vAlign w:val="bottom"/>
            <w:shd w:val="clear" w:color="auto" w:fill="E0E7ED"/>
          </w:tcPr>
          <w:p>
            <w:pPr>
              <w:spacing w:after="0"/>
              <w:rPr>
                <w:sz w:val="23"/>
                <w:szCs w:val="23"/>
                <w:color w:val="auto"/>
              </w:rPr>
            </w:pPr>
          </w:p>
        </w:tc>
        <w:tc>
          <w:tcPr>
            <w:tcW w:w="220" w:type="dxa"/>
            <w:vAlign w:val="bottom"/>
            <w:tcBorders>
              <w:bottom w:val="single" w:sz="8" w:color="auto"/>
            </w:tcBorders>
            <w:shd w:val="clear" w:color="auto" w:fill="E0E7ED"/>
          </w:tcPr>
          <w:p>
            <w:pPr>
              <w:spacing w:after="0"/>
              <w:rPr>
                <w:sz w:val="23"/>
                <w:szCs w:val="23"/>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(61,734)</w:t>
            </w:r>
          </w:p>
        </w:tc>
        <w:tc>
          <w:tcPr>
            <w:tcW w:w="80" w:type="dxa"/>
            <w:vAlign w:val="bottom"/>
            <w:shd w:val="clear" w:color="auto" w:fill="E0E7ED"/>
          </w:tcPr>
          <w:p>
            <w:pPr>
              <w:spacing w:after="0"/>
              <w:rPr>
                <w:sz w:val="23"/>
                <w:szCs w:val="23"/>
                <w:color w:val="auto"/>
              </w:rPr>
            </w:pPr>
          </w:p>
        </w:tc>
        <w:tc>
          <w:tcPr>
            <w:tcW w:w="20" w:type="dxa"/>
            <w:vAlign w:val="bottom"/>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357,464</w:t>
            </w:r>
          </w:p>
        </w:tc>
        <w:tc>
          <w:tcPr>
            <w:tcW w:w="0" w:type="dxa"/>
            <w:vAlign w:val="bottom"/>
          </w:tcPr>
          <w:p>
            <w:pPr>
              <w:spacing w:after="0"/>
              <w:rPr>
                <w:sz w:val="1"/>
                <w:szCs w:val="1"/>
                <w:color w:val="auto"/>
              </w:rPr>
            </w:pPr>
          </w:p>
        </w:tc>
      </w:tr>
      <w:tr>
        <w:trPr>
          <w:trHeight w:val="270"/>
        </w:trPr>
        <w:tc>
          <w:tcPr>
            <w:tcW w:w="4960" w:type="dxa"/>
            <w:vAlign w:val="bottom"/>
          </w:tcPr>
          <w:p>
            <w:pPr>
              <w:ind w:left="20"/>
              <w:spacing w:after="0"/>
              <w:rPr>
                <w:sz w:val="20"/>
                <w:szCs w:val="20"/>
                <w:color w:val="auto"/>
              </w:rPr>
            </w:pPr>
            <w:r>
              <w:rPr>
                <w:rFonts w:ascii="Verdana" w:cs="Verdana" w:eastAsia="Verdana" w:hAnsi="Verdana"/>
                <w:sz w:val="18"/>
                <w:szCs w:val="18"/>
                <w:color w:val="auto"/>
              </w:rPr>
              <w:t>Total debt securities held to maturity</w:t>
            </w:r>
          </w:p>
        </w:tc>
        <w:tc>
          <w:tcPr>
            <w:tcW w:w="260" w:type="dxa"/>
            <w:vAlign w:val="bottom"/>
            <w:gridSpan w:val="2"/>
          </w:tcPr>
          <w:p>
            <w:pPr>
              <w:jc w:val="right"/>
              <w:ind w:right="12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838,883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340" w:type="dxa"/>
            <w:vAlign w:val="bottom"/>
            <w:gridSpan w:val="3"/>
          </w:tcPr>
          <w:p>
            <w:pPr>
              <w:ind w:left="980"/>
              <w:spacing w:after="0"/>
              <w:rPr>
                <w:sz w:val="20"/>
                <w:szCs w:val="20"/>
                <w:color w:val="auto"/>
              </w:rPr>
            </w:pPr>
            <w:r>
              <w:rPr>
                <w:rFonts w:ascii="Verdana" w:cs="Verdana" w:eastAsia="Verdana" w:hAnsi="Verdana"/>
                <w:sz w:val="18"/>
                <w:szCs w:val="18"/>
                <w:color w:val="auto"/>
              </w:rPr>
              <w:t>—</w:t>
            </w: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(126,514)</w:t>
            </w:r>
          </w:p>
        </w:tc>
        <w:tc>
          <w:tcPr>
            <w:tcW w:w="80" w:type="dxa"/>
            <w:vAlign w:val="bottom"/>
          </w:tcPr>
          <w:p>
            <w:pPr>
              <w:spacing w:after="0"/>
              <w:rPr>
                <w:sz w:val="23"/>
                <w:szCs w:val="23"/>
                <w:color w:val="auto"/>
              </w:rPr>
            </w:pPr>
          </w:p>
        </w:tc>
        <w:tc>
          <w:tcPr>
            <w:tcW w:w="320" w:type="dxa"/>
            <w:vAlign w:val="bottom"/>
            <w:gridSpan w:val="2"/>
          </w:tcPr>
          <w:p>
            <w:pPr>
              <w:jc w:val="right"/>
              <w:ind w:right="16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712,369</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line="231" w:lineRule="auto"/>
        <w:tabs>
          <w:tab w:leader="none" w:pos="480" w:val="left"/>
        </w:tabs>
        <w:numPr>
          <w:ilvl w:val="0"/>
          <w:numId w:val="5"/>
        </w:numPr>
        <w:rPr>
          <w:rFonts w:ascii="Verdana" w:cs="Verdana" w:eastAsia="Verdana" w:hAnsi="Verdana"/>
          <w:sz w:val="13"/>
          <w:szCs w:val="13"/>
          <w:color w:val="auto"/>
        </w:rPr>
      </w:pPr>
      <w:r>
        <w:rPr>
          <w:rFonts w:ascii="Verdana" w:cs="Verdana" w:eastAsia="Verdana" w:hAnsi="Verdana"/>
          <w:sz w:val="13"/>
          <w:szCs w:val="13"/>
          <w:color w:val="auto"/>
        </w:rPr>
        <w:t>Gross losses were insignificant, rounding to zero thousand.</w:t>
      </w:r>
    </w:p>
    <w:p>
      <w:pPr>
        <w:ind w:left="480" w:hanging="310"/>
        <w:spacing w:after="0" w:line="225" w:lineRule="auto"/>
        <w:tabs>
          <w:tab w:leader="none" w:pos="480" w:val="left"/>
        </w:tabs>
        <w:numPr>
          <w:ilvl w:val="0"/>
          <w:numId w:val="5"/>
        </w:numPr>
        <w:rPr>
          <w:rFonts w:ascii="Verdana" w:cs="Verdana" w:eastAsia="Verdana" w:hAnsi="Verdana"/>
          <w:sz w:val="13"/>
          <w:szCs w:val="13"/>
          <w:color w:val="auto"/>
        </w:rPr>
      </w:pPr>
      <w:r>
        <w:rPr>
          <w:rFonts w:ascii="Verdana" w:cs="Verdana" w:eastAsia="Verdana" w:hAnsi="Verdana"/>
          <w:sz w:val="13"/>
          <w:szCs w:val="13"/>
          <w:color w:val="auto"/>
        </w:rPr>
        <w:t>Gross gains were insignificant, rounding to zero thousand.</w:t>
      </w:r>
    </w:p>
    <w:p>
      <w:pPr>
        <w:ind w:left="480" w:hanging="310"/>
        <w:spacing w:after="0"/>
        <w:tabs>
          <w:tab w:leader="none" w:pos="480" w:val="left"/>
        </w:tabs>
        <w:numPr>
          <w:ilvl w:val="0"/>
          <w:numId w:val="5"/>
        </w:numPr>
        <w:rPr>
          <w:rFonts w:ascii="Verdana" w:cs="Verdana" w:eastAsia="Verdana" w:hAnsi="Verdana"/>
          <w:sz w:val="13"/>
          <w:szCs w:val="13"/>
          <w:color w:val="auto"/>
        </w:rPr>
      </w:pPr>
      <w:r>
        <w:rPr>
          <w:rFonts w:ascii="Verdana" w:cs="Verdana" w:eastAsia="Verdana" w:hAnsi="Verdana"/>
          <w:sz w:val="13"/>
          <w:szCs w:val="13"/>
          <w:color w:val="auto"/>
        </w:rPr>
        <w:t>Includes securities marked at par, with no gain or loss to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19" w:name="page20"/>
    <w:bookmarkEnd w:id="19"/>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6"/>
          </w:tcPr>
          <w:p>
            <w:pPr>
              <w:jc w:val="center"/>
              <w:ind w:right="300"/>
              <w:spacing w:after="0"/>
              <w:rPr>
                <w:sz w:val="20"/>
                <w:szCs w:val="20"/>
                <w:color w:val="auto"/>
              </w:rPr>
            </w:pPr>
            <w:r>
              <w:rPr>
                <w:rFonts w:ascii="Verdana" w:cs="Verdana" w:eastAsia="Verdana" w:hAnsi="Verdana"/>
                <w:sz w:val="13"/>
                <w:szCs w:val="13"/>
                <w:b w:val="1"/>
                <w:bCs w:val="1"/>
                <w:color w:val="auto"/>
                <w:w w:val="96"/>
              </w:rPr>
              <w:t>As of December 31, 2023</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3"/>
            <w:vMerge w:val="restart"/>
          </w:tcPr>
          <w:p>
            <w:pPr>
              <w:jc w:val="center"/>
              <w:ind w:right="360"/>
              <w:spacing w:after="0"/>
              <w:rPr>
                <w:sz w:val="20"/>
                <w:szCs w:val="20"/>
                <w:color w:val="auto"/>
              </w:rPr>
            </w:pPr>
            <w:r>
              <w:rPr>
                <w:rFonts w:ascii="Verdana" w:cs="Verdana" w:eastAsia="Verdana" w:hAnsi="Verdana"/>
                <w:sz w:val="13"/>
                <w:szCs w:val="13"/>
                <w:b w:val="1"/>
                <w:bCs w:val="1"/>
                <w:color w:val="auto"/>
                <w:w w:val="98"/>
              </w:rPr>
              <w:t>Amortized</w:t>
            </w:r>
          </w:p>
        </w:tc>
        <w:tc>
          <w:tcPr>
            <w:tcW w:w="2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5"/>
          </w:tcPr>
          <w:p>
            <w:pPr>
              <w:jc w:val="center"/>
              <w:ind w:right="154"/>
              <w:spacing w:after="0"/>
              <w:rPr>
                <w:sz w:val="20"/>
                <w:szCs w:val="20"/>
                <w:color w:val="auto"/>
              </w:rPr>
            </w:pPr>
            <w:r>
              <w:rPr>
                <w:rFonts w:ascii="Verdana" w:cs="Verdana" w:eastAsia="Verdana" w:hAnsi="Verdana"/>
                <w:sz w:val="13"/>
                <w:szCs w:val="13"/>
                <w:b w:val="1"/>
                <w:bCs w:val="1"/>
                <w:color w:val="auto"/>
                <w:w w:val="97"/>
              </w:rPr>
              <w:t>Unrealized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vMerge w:val="restart"/>
          </w:tcPr>
          <w:p>
            <w:pPr>
              <w:jc w:val="center"/>
              <w:ind w:right="237"/>
              <w:spacing w:after="0"/>
              <w:rPr>
                <w:sz w:val="20"/>
                <w:szCs w:val="20"/>
                <w:color w:val="auto"/>
              </w:rPr>
            </w:pPr>
            <w:r>
              <w:rPr>
                <w:rFonts w:ascii="Verdana" w:cs="Verdana" w:eastAsia="Verdana" w:hAnsi="Verdana"/>
                <w:sz w:val="13"/>
                <w:szCs w:val="13"/>
                <w:b w:val="1"/>
                <w:bCs w:val="1"/>
                <w:color w:val="auto"/>
                <w:w w:val="99"/>
              </w:rPr>
              <w:t>Fair</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3"/>
            <w:vMerge w:val="restart"/>
          </w:tcPr>
          <w:p>
            <w:pPr>
              <w:ind w:left="80"/>
              <w:spacing w:after="0"/>
              <w:rPr>
                <w:sz w:val="20"/>
                <w:szCs w:val="20"/>
                <w:color w:val="auto"/>
              </w:rPr>
            </w:pPr>
            <w:r>
              <w:rPr>
                <w:rFonts w:ascii="Verdana" w:cs="Verdana" w:eastAsia="Verdana" w:hAnsi="Verdana"/>
                <w:sz w:val="13"/>
                <w:szCs w:val="13"/>
                <w:b w:val="1"/>
                <w:bCs w:val="1"/>
                <w:color w:val="auto"/>
              </w:rPr>
              <w:t>Gross Gains</w:t>
            </w:r>
          </w:p>
        </w:tc>
        <w:tc>
          <w:tcPr>
            <w:tcW w:w="220" w:type="dxa"/>
            <w:vAlign w:val="bottom"/>
          </w:tcPr>
          <w:p>
            <w:pPr>
              <w:spacing w:after="0"/>
              <w:rPr>
                <w:sz w:val="2"/>
                <w:szCs w:val="2"/>
                <w:color w:val="auto"/>
              </w:rPr>
            </w:pPr>
          </w:p>
        </w:tc>
        <w:tc>
          <w:tcPr>
            <w:tcW w:w="1360" w:type="dxa"/>
            <w:vAlign w:val="bottom"/>
            <w:gridSpan w:val="2"/>
            <w:vMerge w:val="restart"/>
          </w:tcPr>
          <w:p>
            <w:pPr>
              <w:ind w:left="60"/>
              <w:spacing w:after="0"/>
              <w:rPr>
                <w:sz w:val="20"/>
                <w:szCs w:val="20"/>
                <w:color w:val="auto"/>
              </w:rPr>
            </w:pPr>
            <w:r>
              <w:rPr>
                <w:rFonts w:ascii="Verdana" w:cs="Verdana" w:eastAsia="Verdana" w:hAnsi="Verdana"/>
                <w:sz w:val="13"/>
                <w:szCs w:val="13"/>
                <w:b w:val="1"/>
                <w:bCs w:val="1"/>
                <w:color w:val="auto"/>
              </w:rPr>
              <w:t>Gross Losses</w:t>
            </w: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tcPr>
          <w:p>
            <w:pPr>
              <w:jc w:val="center"/>
              <w:ind w:right="360"/>
              <w:spacing w:after="0"/>
              <w:rPr>
                <w:sz w:val="20"/>
                <w:szCs w:val="20"/>
                <w:color w:val="auto"/>
              </w:rPr>
            </w:pPr>
            <w:r>
              <w:rPr>
                <w:rFonts w:ascii="Verdana" w:cs="Verdana" w:eastAsia="Verdana" w:hAnsi="Verdana"/>
                <w:sz w:val="13"/>
                <w:szCs w:val="13"/>
                <w:b w:val="1"/>
                <w:bCs w:val="1"/>
                <w:color w:val="auto"/>
                <w:w w:val="93"/>
              </w:rPr>
              <w:t>Cost</w:t>
            </w:r>
          </w:p>
        </w:tc>
        <w:tc>
          <w:tcPr>
            <w:tcW w:w="2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center"/>
              <w:ind w:right="237"/>
              <w:spacing w:after="0"/>
              <w:rPr>
                <w:sz w:val="20"/>
                <w:szCs w:val="20"/>
                <w:color w:val="auto"/>
              </w:rPr>
            </w:pPr>
            <w:r>
              <w:rPr>
                <w:rFonts w:ascii="Verdana" w:cs="Verdana" w:eastAsia="Verdana" w:hAnsi="Verdana"/>
                <w:sz w:val="13"/>
                <w:szCs w:val="13"/>
                <w:b w:val="1"/>
                <w:bCs w:val="1"/>
                <w:color w:val="auto"/>
                <w:w w:val="97"/>
              </w:rPr>
              <w:t>Value</w:t>
            </w:r>
          </w:p>
        </w:tc>
        <w:tc>
          <w:tcPr>
            <w:tcW w:w="0" w:type="dxa"/>
            <w:vAlign w:val="bottom"/>
          </w:tcPr>
          <w:p>
            <w:pPr>
              <w:spacing w:after="0"/>
              <w:rPr>
                <w:sz w:val="1"/>
                <w:szCs w:val="1"/>
                <w:color w:val="auto"/>
              </w:rPr>
            </w:pPr>
          </w:p>
        </w:tc>
      </w:tr>
      <w:tr>
        <w:trPr>
          <w:trHeight w:val="255"/>
        </w:trPr>
        <w:tc>
          <w:tcPr>
            <w:tcW w:w="4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available for sale</w:t>
            </w:r>
          </w:p>
        </w:tc>
        <w:tc>
          <w:tcPr>
            <w:tcW w:w="20" w:type="dxa"/>
            <w:vAlign w:val="bottom"/>
            <w:tcBorders>
              <w:top w:val="single" w:sz="8" w:color="auto"/>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2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2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0" w:type="dxa"/>
            <w:vAlign w:val="bottom"/>
            <w:tcBorders>
              <w:top w:val="single" w:sz="8" w:color="auto"/>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U.S. Treasury securities</w:t>
            </w:r>
          </w:p>
        </w:tc>
        <w:tc>
          <w:tcPr>
            <w:tcW w:w="260" w:type="dxa"/>
            <w:vAlign w:val="bottom"/>
            <w:gridSpan w:val="2"/>
          </w:tcPr>
          <w:p>
            <w:pPr>
              <w:jc w:val="right"/>
              <w:ind w:right="12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16,031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Verdana" w:cs="Verdana" w:eastAsia="Verdana" w:hAnsi="Verdana"/>
                <w:sz w:val="18"/>
                <w:szCs w:val="18"/>
                <w:color w:val="auto"/>
                <w:w w:val="86"/>
              </w:rPr>
              <w:t>$</w:t>
            </w:r>
          </w:p>
        </w:tc>
        <w:tc>
          <w:tcPr>
            <w:tcW w:w="1340" w:type="dxa"/>
            <w:vAlign w:val="bottom"/>
            <w:gridSpan w:val="3"/>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(85)</w:t>
            </w:r>
          </w:p>
        </w:tc>
        <w:tc>
          <w:tcPr>
            <w:tcW w:w="80" w:type="dxa"/>
            <w:vAlign w:val="bottom"/>
          </w:tcPr>
          <w:p>
            <w:pPr>
              <w:spacing w:after="0"/>
              <w:rPr>
                <w:sz w:val="22"/>
                <w:szCs w:val="22"/>
                <w:color w:val="auto"/>
              </w:rPr>
            </w:pPr>
          </w:p>
        </w:tc>
        <w:tc>
          <w:tcPr>
            <w:tcW w:w="32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15,946</w:t>
            </w:r>
          </w:p>
        </w:tc>
        <w:tc>
          <w:tcPr>
            <w:tcW w:w="0" w:type="dxa"/>
            <w:vAlign w:val="bottom"/>
          </w:tcPr>
          <w:p>
            <w:pPr>
              <w:spacing w:after="0"/>
              <w:rPr>
                <w:sz w:val="1"/>
                <w:szCs w:val="1"/>
                <w:color w:val="auto"/>
              </w:rPr>
            </w:pPr>
          </w:p>
        </w:tc>
      </w:tr>
      <w:tr>
        <w:trPr>
          <w:trHeight w:val="244"/>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Obligations of U.S. government corporations and</w:t>
            </w:r>
          </w:p>
        </w:tc>
        <w:tc>
          <w:tcPr>
            <w:tcW w:w="2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agencies</w:t>
            </w:r>
          </w:p>
        </w:tc>
        <w:tc>
          <w:tcPr>
            <w:tcW w:w="2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5,889</w:t>
            </w: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w:t>
            </w: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(58)</w:t>
            </w: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5,832</w:t>
            </w:r>
          </w:p>
        </w:tc>
        <w:tc>
          <w:tcPr>
            <w:tcW w:w="0" w:type="dxa"/>
            <w:vAlign w:val="bottom"/>
          </w:tcPr>
          <w:p>
            <w:pPr>
              <w:spacing w:after="0"/>
              <w:rPr>
                <w:sz w:val="1"/>
                <w:szCs w:val="1"/>
                <w:color w:val="auto"/>
              </w:rPr>
            </w:pPr>
          </w:p>
        </w:tc>
      </w:tr>
      <w:tr>
        <w:trPr>
          <w:trHeight w:val="270"/>
        </w:trPr>
        <w:tc>
          <w:tcPr>
            <w:tcW w:w="4960" w:type="dxa"/>
            <w:vAlign w:val="bottom"/>
          </w:tcPr>
          <w:p>
            <w:pPr>
              <w:ind w:left="180"/>
              <w:spacing w:after="0" w:line="270" w:lineRule="exact"/>
              <w:rPr>
                <w:sz w:val="20"/>
                <w:szCs w:val="20"/>
                <w:color w:val="auto"/>
              </w:rPr>
            </w:pPr>
            <w:r>
              <w:rPr>
                <w:rFonts w:ascii="Verdana" w:cs="Verdana" w:eastAsia="Verdana" w:hAnsi="Verdana"/>
                <w:sz w:val="18"/>
                <w:szCs w:val="18"/>
                <w:color w:val="auto"/>
              </w:rPr>
              <w:t>Obligations of states and political subdivisions</w:t>
            </w:r>
            <w:r>
              <w:rPr>
                <w:rFonts w:ascii="Verdana" w:cs="Verdana" w:eastAsia="Verdana" w:hAnsi="Verdana"/>
                <w:sz w:val="23"/>
                <w:szCs w:val="23"/>
                <w:color w:val="auto"/>
                <w:vertAlign w:val="superscript"/>
              </w:rPr>
              <w:t>1</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190,819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52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(18,026)</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172,845</w:t>
            </w:r>
          </w:p>
        </w:tc>
        <w:tc>
          <w:tcPr>
            <w:tcW w:w="0" w:type="dxa"/>
            <w:vAlign w:val="bottom"/>
          </w:tcPr>
          <w:p>
            <w:pPr>
              <w:spacing w:after="0"/>
              <w:rPr>
                <w:sz w:val="1"/>
                <w:szCs w:val="1"/>
                <w:color w:val="auto"/>
              </w:rPr>
            </w:pPr>
          </w:p>
        </w:tc>
      </w:tr>
      <w:tr>
        <w:trPr>
          <w:trHeight w:val="270"/>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Asset-backed securities</w:t>
            </w:r>
          </w:p>
        </w:tc>
        <w:tc>
          <w:tcPr>
            <w:tcW w:w="2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470,046</w:t>
            </w:r>
          </w:p>
        </w:tc>
        <w:tc>
          <w:tcPr>
            <w:tcW w:w="2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340" w:type="dxa"/>
            <w:vAlign w:val="bottom"/>
            <w:gridSpan w:val="3"/>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shd w:val="clear" w:color="auto" w:fill="E0E7ED"/>
          </w:tcPr>
          <w:p>
            <w:pPr>
              <w:spacing w:after="0"/>
              <w:rPr>
                <w:sz w:val="23"/>
                <w:szCs w:val="23"/>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(1,823)</w:t>
            </w:r>
          </w:p>
        </w:tc>
        <w:tc>
          <w:tcPr>
            <w:tcW w:w="80" w:type="dxa"/>
            <w:vAlign w:val="bottom"/>
            <w:shd w:val="clear" w:color="auto" w:fill="E0E7ED"/>
          </w:tcPr>
          <w:p>
            <w:pPr>
              <w:spacing w:after="0"/>
              <w:rPr>
                <w:sz w:val="23"/>
                <w:szCs w:val="23"/>
                <w:color w:val="auto"/>
              </w:rPr>
            </w:pPr>
          </w:p>
        </w:tc>
        <w:tc>
          <w:tcPr>
            <w:tcW w:w="2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468,223</w:t>
            </w:r>
          </w:p>
        </w:tc>
        <w:tc>
          <w:tcPr>
            <w:tcW w:w="0" w:type="dxa"/>
            <w:vAlign w:val="bottom"/>
          </w:tcPr>
          <w:p>
            <w:pPr>
              <w:spacing w:after="0"/>
              <w:rPr>
                <w:sz w:val="1"/>
                <w:szCs w:val="1"/>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Commercial mortgage-backed securities</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119,044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3"/>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(15,535)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103,509</w:t>
            </w:r>
          </w:p>
        </w:tc>
        <w:tc>
          <w:tcPr>
            <w:tcW w:w="0" w:type="dxa"/>
            <w:vAlign w:val="bottom"/>
          </w:tcPr>
          <w:p>
            <w:pPr>
              <w:spacing w:after="0"/>
              <w:rPr>
                <w:sz w:val="1"/>
                <w:szCs w:val="1"/>
                <w:color w:val="auto"/>
              </w:rPr>
            </w:pPr>
          </w:p>
        </w:tc>
      </w:tr>
      <w:tr>
        <w:trPr>
          <w:trHeight w:val="277"/>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Residential mortgage-backed securities</w:t>
            </w:r>
          </w:p>
        </w:tc>
        <w:tc>
          <w:tcPr>
            <w:tcW w:w="2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1,306,854</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(195,547)</w:t>
            </w: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1,111,312</w:t>
            </w:r>
          </w:p>
        </w:tc>
        <w:tc>
          <w:tcPr>
            <w:tcW w:w="0" w:type="dxa"/>
            <w:vAlign w:val="bottom"/>
          </w:tcPr>
          <w:p>
            <w:pPr>
              <w:spacing w:after="0"/>
              <w:rPr>
                <w:sz w:val="1"/>
                <w:szCs w:val="1"/>
                <w:color w:val="auto"/>
              </w:rPr>
            </w:pPr>
          </w:p>
        </w:tc>
      </w:tr>
      <w:tr>
        <w:trPr>
          <w:trHeight w:val="264"/>
        </w:trPr>
        <w:tc>
          <w:tcPr>
            <w:tcW w:w="49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Corporate debt securities</w:t>
            </w: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225,947</w:t>
            </w:r>
          </w:p>
        </w:tc>
        <w:tc>
          <w:tcPr>
            <w:tcW w:w="20" w:type="dxa"/>
            <w:vAlign w:val="bottom"/>
            <w:tcBorders>
              <w:bottom w:val="single" w:sz="8" w:color="E0E7ED"/>
            </w:tcBorders>
          </w:tcPr>
          <w:p>
            <w:pPr>
              <w:spacing w:after="0"/>
              <w:rPr>
                <w:sz w:val="22"/>
                <w:szCs w:val="22"/>
                <w:color w:val="auto"/>
              </w:rPr>
            </w:pPr>
          </w:p>
        </w:tc>
        <w:tc>
          <w:tcPr>
            <w:tcW w:w="80" w:type="dxa"/>
            <w:vAlign w:val="bottom"/>
            <w:tcBorders>
              <w:bottom w:val="single" w:sz="8" w:color="E0E7ED"/>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128</w:t>
            </w:r>
          </w:p>
        </w:tc>
        <w:tc>
          <w:tcPr>
            <w:tcW w:w="20" w:type="dxa"/>
            <w:vAlign w:val="bottom"/>
            <w:tcBorders>
              <w:bottom w:val="single" w:sz="8" w:color="E0E7ED"/>
            </w:tcBorders>
          </w:tcPr>
          <w:p>
            <w:pPr>
              <w:spacing w:after="0"/>
              <w:rPr>
                <w:sz w:val="22"/>
                <w:szCs w:val="22"/>
                <w:color w:val="auto"/>
              </w:rPr>
            </w:pPr>
          </w:p>
        </w:tc>
        <w:tc>
          <w:tcPr>
            <w:tcW w:w="80" w:type="dxa"/>
            <w:vAlign w:val="bottom"/>
            <w:tcBorders>
              <w:bottom w:val="single" w:sz="8" w:color="E0E7E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(16,171)</w:t>
            </w:r>
          </w:p>
        </w:tc>
        <w:tc>
          <w:tcPr>
            <w:tcW w:w="80" w:type="dxa"/>
            <w:vAlign w:val="bottom"/>
            <w:tcBorders>
              <w:bottom w:val="single" w:sz="8" w:color="E0E7ED"/>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209,904</w:t>
            </w:r>
          </w:p>
        </w:tc>
        <w:tc>
          <w:tcPr>
            <w:tcW w:w="0" w:type="dxa"/>
            <w:vAlign w:val="bottom"/>
          </w:tcPr>
          <w:p>
            <w:pPr>
              <w:spacing w:after="0"/>
              <w:rPr>
                <w:sz w:val="1"/>
                <w:szCs w:val="1"/>
                <w:color w:val="auto"/>
              </w:rPr>
            </w:pPr>
          </w:p>
        </w:tc>
      </w:tr>
      <w:tr>
        <w:trPr>
          <w:trHeight w:val="295"/>
        </w:trPr>
        <w:tc>
          <w:tcPr>
            <w:tcW w:w="49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debt securities available for sale</w:t>
            </w:r>
          </w:p>
        </w:tc>
        <w:tc>
          <w:tcPr>
            <w:tcW w:w="260" w:type="dxa"/>
            <w:vAlign w:val="bottom"/>
            <w:tcBorders>
              <w:bottom w:val="single" w:sz="8" w:color="auto"/>
            </w:tcBorders>
            <w:gridSpan w:val="2"/>
            <w:shd w:val="clear" w:color="auto" w:fill="E0E7ED"/>
          </w:tcPr>
          <w:p>
            <w:pPr>
              <w:jc w:val="right"/>
              <w:ind w:right="12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2,334,630</w:t>
            </w:r>
          </w:p>
        </w:tc>
        <w:tc>
          <w:tcPr>
            <w:tcW w:w="20" w:type="dxa"/>
            <w:vAlign w:val="bottom"/>
            <w:tcBorders>
              <w:bottom w:val="single" w:sz="8" w:color="E0E7ED"/>
            </w:tcBorders>
            <w:shd w:val="clear" w:color="auto" w:fill="E0E7ED"/>
          </w:tcPr>
          <w:p>
            <w:pPr>
              <w:spacing w:after="0"/>
              <w:rPr>
                <w:sz w:val="24"/>
                <w:szCs w:val="24"/>
                <w:color w:val="auto"/>
              </w:rPr>
            </w:pPr>
          </w:p>
        </w:tc>
        <w:tc>
          <w:tcPr>
            <w:tcW w:w="80" w:type="dxa"/>
            <w:vAlign w:val="bottom"/>
            <w:tcBorders>
              <w:bottom w:val="single" w:sz="8" w:color="E0E7ED"/>
            </w:tcBorders>
            <w:shd w:val="clear" w:color="auto" w:fill="E0E7ED"/>
          </w:tcPr>
          <w:p>
            <w:pPr>
              <w:spacing w:after="0"/>
              <w:rPr>
                <w:sz w:val="24"/>
                <w:szCs w:val="24"/>
                <w:color w:val="auto"/>
              </w:rPr>
            </w:pPr>
          </w:p>
        </w:tc>
        <w:tc>
          <w:tcPr>
            <w:tcW w:w="240" w:type="dxa"/>
            <w:vAlign w:val="bottom"/>
            <w:tcBorders>
              <w:bottom w:val="single" w:sz="8" w:color="auto"/>
            </w:tcBorders>
            <w:shd w:val="clear" w:color="auto" w:fill="E0E7ED"/>
          </w:tcPr>
          <w:p>
            <w:pPr>
              <w:jc w:val="right"/>
              <w:ind w:right="30"/>
              <w:spacing w:after="0"/>
              <w:rPr>
                <w:sz w:val="20"/>
                <w:szCs w:val="20"/>
                <w:color w:val="auto"/>
              </w:rPr>
            </w:pPr>
            <w:r>
              <w:rPr>
                <w:rFonts w:ascii="Verdana" w:cs="Verdana" w:eastAsia="Verdana" w:hAnsi="Verdana"/>
                <w:sz w:val="18"/>
                <w:szCs w:val="18"/>
                <w:color w:val="auto"/>
                <w:w w:val="86"/>
              </w:rPr>
              <w:t>$</w:t>
            </w: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186</w:t>
            </w:r>
          </w:p>
        </w:tc>
        <w:tc>
          <w:tcPr>
            <w:tcW w:w="20" w:type="dxa"/>
            <w:vAlign w:val="bottom"/>
            <w:tcBorders>
              <w:bottom w:val="single" w:sz="8" w:color="E0E7ED"/>
            </w:tcBorders>
            <w:shd w:val="clear" w:color="auto" w:fill="E0E7ED"/>
          </w:tcPr>
          <w:p>
            <w:pPr>
              <w:spacing w:after="0"/>
              <w:rPr>
                <w:sz w:val="24"/>
                <w:szCs w:val="24"/>
                <w:color w:val="auto"/>
              </w:rPr>
            </w:pPr>
          </w:p>
        </w:tc>
        <w:tc>
          <w:tcPr>
            <w:tcW w:w="80" w:type="dxa"/>
            <w:vAlign w:val="bottom"/>
            <w:tcBorders>
              <w:bottom w:val="single" w:sz="8" w:color="E0E7ED"/>
            </w:tcBorders>
            <w:shd w:val="clear" w:color="auto" w:fill="E0E7ED"/>
          </w:tcPr>
          <w:p>
            <w:pPr>
              <w:spacing w:after="0"/>
              <w:rPr>
                <w:sz w:val="24"/>
                <w:szCs w:val="24"/>
                <w:color w:val="auto"/>
              </w:rPr>
            </w:pPr>
          </w:p>
        </w:tc>
        <w:tc>
          <w:tcPr>
            <w:tcW w:w="220" w:type="dxa"/>
            <w:vAlign w:val="bottom"/>
            <w:tcBorders>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(247,245)</w:t>
            </w:r>
          </w:p>
        </w:tc>
        <w:tc>
          <w:tcPr>
            <w:tcW w:w="80" w:type="dxa"/>
            <w:vAlign w:val="bottom"/>
            <w:tcBorders>
              <w:bottom w:val="single" w:sz="8" w:color="E0E7ED"/>
            </w:tcBorders>
            <w:shd w:val="clear" w:color="auto" w:fill="E0E7ED"/>
          </w:tcPr>
          <w:p>
            <w:pPr>
              <w:spacing w:after="0"/>
              <w:rPr>
                <w:sz w:val="24"/>
                <w:szCs w:val="24"/>
                <w:color w:val="auto"/>
              </w:rPr>
            </w:pPr>
          </w:p>
        </w:tc>
        <w:tc>
          <w:tcPr>
            <w:tcW w:w="320" w:type="dxa"/>
            <w:vAlign w:val="bottom"/>
            <w:tcBorders>
              <w:bottom w:val="single" w:sz="8" w:color="auto"/>
            </w:tcBorders>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2,087,571</w:t>
            </w:r>
          </w:p>
        </w:tc>
        <w:tc>
          <w:tcPr>
            <w:tcW w:w="0" w:type="dxa"/>
            <w:vAlign w:val="bottom"/>
          </w:tcPr>
          <w:p>
            <w:pPr>
              <w:spacing w:after="0"/>
              <w:rPr>
                <w:sz w:val="1"/>
                <w:szCs w:val="1"/>
                <w:color w:val="auto"/>
              </w:rPr>
            </w:pPr>
          </w:p>
        </w:tc>
      </w:tr>
      <w:tr>
        <w:trPr>
          <w:trHeight w:val="20"/>
        </w:trPr>
        <w:tc>
          <w:tcPr>
            <w:tcW w:w="4960" w:type="dxa"/>
            <w:vAlign w:val="bottom"/>
            <w:tcBorders>
              <w:top w:val="single" w:sz="8" w:color="E0E7ED"/>
            </w:tcBorders>
          </w:tcPr>
          <w:p>
            <w:pPr>
              <w:spacing w:after="0" w:line="20" w:lineRule="exact"/>
              <w:rPr>
                <w:sz w:val="1"/>
                <w:szCs w:val="1"/>
                <w:color w:val="auto"/>
              </w:rPr>
            </w:pPr>
          </w:p>
        </w:tc>
        <w:tc>
          <w:tcPr>
            <w:tcW w:w="20" w:type="dxa"/>
            <w:vAlign w:val="bottom"/>
            <w:tcBorders>
              <w:top w:val="single" w:sz="8" w:color="E0E7ED"/>
              <w:bottom w:val="single" w:sz="8" w:color="auto"/>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2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2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500" w:type="dxa"/>
            <w:vAlign w:val="bottom"/>
            <w:tcBorders>
              <w:top w:val="single" w:sz="8" w:color="E0E7ED"/>
              <w:bottom w:val="single" w:sz="8" w:color="auto"/>
            </w:tcBorders>
            <w:gridSpan w:val="2"/>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 w:type="dxa"/>
            <w:vAlign w:val="bottom"/>
            <w:tcBorders>
              <w:top w:val="single" w:sz="8" w:color="E0E7ED"/>
              <w:bottom w:val="single" w:sz="8" w:color="auto"/>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3"/>
            <w:vMerge w:val="restart"/>
          </w:tcPr>
          <w:p>
            <w:pPr>
              <w:jc w:val="center"/>
              <w:ind w:right="340"/>
              <w:spacing w:after="0"/>
              <w:rPr>
                <w:sz w:val="20"/>
                <w:szCs w:val="20"/>
                <w:color w:val="auto"/>
              </w:rPr>
            </w:pPr>
            <w:r>
              <w:rPr>
                <w:rFonts w:ascii="Verdana" w:cs="Verdana" w:eastAsia="Verdana" w:hAnsi="Verdana"/>
                <w:sz w:val="13"/>
                <w:szCs w:val="13"/>
                <w:b w:val="1"/>
                <w:bCs w:val="1"/>
                <w:color w:val="auto"/>
                <w:w w:val="95"/>
              </w:rPr>
              <w:t>Amortized</w:t>
            </w:r>
          </w:p>
        </w:tc>
        <w:tc>
          <w:tcPr>
            <w:tcW w:w="2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center"/>
              <w:ind w:right="134"/>
              <w:spacing w:after="0"/>
              <w:rPr>
                <w:sz w:val="20"/>
                <w:szCs w:val="20"/>
                <w:color w:val="auto"/>
              </w:rPr>
            </w:pPr>
            <w:r>
              <w:rPr>
                <w:rFonts w:ascii="Verdana" w:cs="Verdana" w:eastAsia="Verdana" w:hAnsi="Verdana"/>
                <w:sz w:val="13"/>
                <w:szCs w:val="13"/>
                <w:b w:val="1"/>
                <w:bCs w:val="1"/>
                <w:color w:val="auto"/>
                <w:w w:val="98"/>
              </w:rPr>
              <w:t>Unrecognized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vMerge w:val="restart"/>
          </w:tcPr>
          <w:p>
            <w:pPr>
              <w:jc w:val="center"/>
              <w:ind w:right="217"/>
              <w:spacing w:after="0"/>
              <w:rPr>
                <w:sz w:val="20"/>
                <w:szCs w:val="20"/>
                <w:color w:val="auto"/>
              </w:rPr>
            </w:pPr>
            <w:r>
              <w:rPr>
                <w:rFonts w:ascii="Verdana" w:cs="Verdana" w:eastAsia="Verdana" w:hAnsi="Verdana"/>
                <w:sz w:val="13"/>
                <w:szCs w:val="13"/>
                <w:b w:val="1"/>
                <w:bCs w:val="1"/>
                <w:color w:val="auto"/>
                <w:w w:val="92"/>
              </w:rPr>
              <w:t>Fair</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3"/>
            <w:vMerge w:val="restart"/>
          </w:tcPr>
          <w:p>
            <w:pPr>
              <w:ind w:left="100"/>
              <w:spacing w:after="0"/>
              <w:rPr>
                <w:sz w:val="20"/>
                <w:szCs w:val="20"/>
                <w:color w:val="auto"/>
              </w:rPr>
            </w:pPr>
            <w:r>
              <w:rPr>
                <w:rFonts w:ascii="Verdana" w:cs="Verdana" w:eastAsia="Verdana" w:hAnsi="Verdana"/>
                <w:sz w:val="13"/>
                <w:szCs w:val="13"/>
                <w:b w:val="1"/>
                <w:bCs w:val="1"/>
                <w:color w:val="auto"/>
              </w:rPr>
              <w:t>Gross Gains</w:t>
            </w:r>
          </w:p>
        </w:tc>
        <w:tc>
          <w:tcPr>
            <w:tcW w:w="220" w:type="dxa"/>
            <w:vAlign w:val="bottom"/>
          </w:tcPr>
          <w:p>
            <w:pPr>
              <w:spacing w:after="0"/>
              <w:rPr>
                <w:sz w:val="2"/>
                <w:szCs w:val="2"/>
                <w:color w:val="auto"/>
              </w:rPr>
            </w:pPr>
          </w:p>
        </w:tc>
        <w:tc>
          <w:tcPr>
            <w:tcW w:w="1360" w:type="dxa"/>
            <w:vAlign w:val="bottom"/>
            <w:gridSpan w:val="2"/>
            <w:vMerge w:val="restart"/>
          </w:tcPr>
          <w:p>
            <w:pPr>
              <w:ind w:left="80"/>
              <w:spacing w:after="0"/>
              <w:rPr>
                <w:sz w:val="20"/>
                <w:szCs w:val="20"/>
                <w:color w:val="auto"/>
              </w:rPr>
            </w:pPr>
            <w:r>
              <w:rPr>
                <w:rFonts w:ascii="Verdana" w:cs="Verdana" w:eastAsia="Verdana" w:hAnsi="Verdana"/>
                <w:sz w:val="13"/>
                <w:szCs w:val="13"/>
                <w:b w:val="1"/>
                <w:bCs w:val="1"/>
                <w:color w:val="auto"/>
              </w:rPr>
              <w:t>Gross Losses</w:t>
            </w: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tcPr>
          <w:p>
            <w:pPr>
              <w:jc w:val="center"/>
              <w:ind w:right="320"/>
              <w:spacing w:after="0"/>
              <w:rPr>
                <w:sz w:val="20"/>
                <w:szCs w:val="20"/>
                <w:color w:val="auto"/>
              </w:rPr>
            </w:pPr>
            <w:r>
              <w:rPr>
                <w:rFonts w:ascii="Verdana" w:cs="Verdana" w:eastAsia="Verdana" w:hAnsi="Verdana"/>
                <w:sz w:val="13"/>
                <w:szCs w:val="13"/>
                <w:b w:val="1"/>
                <w:bCs w:val="1"/>
                <w:color w:val="auto"/>
                <w:w w:val="93"/>
              </w:rPr>
              <w:t>Cost</w:t>
            </w:r>
          </w:p>
        </w:tc>
        <w:tc>
          <w:tcPr>
            <w:tcW w:w="2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center"/>
              <w:ind w:right="217"/>
              <w:spacing w:after="0"/>
              <w:rPr>
                <w:sz w:val="20"/>
                <w:szCs w:val="20"/>
                <w:color w:val="auto"/>
              </w:rPr>
            </w:pPr>
            <w:r>
              <w:rPr>
                <w:rFonts w:ascii="Verdana" w:cs="Verdana" w:eastAsia="Verdana" w:hAnsi="Verdana"/>
                <w:sz w:val="13"/>
                <w:szCs w:val="13"/>
                <w:b w:val="1"/>
                <w:bCs w:val="1"/>
                <w:color w:val="auto"/>
                <w:w w:val="92"/>
              </w:rPr>
              <w:t>Value</w:t>
            </w:r>
          </w:p>
        </w:tc>
        <w:tc>
          <w:tcPr>
            <w:tcW w:w="0" w:type="dxa"/>
            <w:vAlign w:val="bottom"/>
          </w:tcPr>
          <w:p>
            <w:pPr>
              <w:spacing w:after="0"/>
              <w:rPr>
                <w:sz w:val="1"/>
                <w:szCs w:val="1"/>
                <w:color w:val="auto"/>
              </w:rPr>
            </w:pPr>
          </w:p>
        </w:tc>
      </w:tr>
      <w:tr>
        <w:trPr>
          <w:trHeight w:val="255"/>
        </w:trPr>
        <w:tc>
          <w:tcPr>
            <w:tcW w:w="4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held to maturity</w:t>
            </w:r>
          </w:p>
        </w:tc>
        <w:tc>
          <w:tcPr>
            <w:tcW w:w="2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Commercial mortgage-backed securities</w:t>
            </w:r>
          </w:p>
        </w:tc>
        <w:tc>
          <w:tcPr>
            <w:tcW w:w="260" w:type="dxa"/>
            <w:vAlign w:val="bottom"/>
            <w:gridSpan w:val="2"/>
          </w:tcPr>
          <w:p>
            <w:pPr>
              <w:jc w:val="right"/>
              <w:ind w:right="12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428,526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340" w:type="dxa"/>
            <w:vAlign w:val="bottom"/>
            <w:gridSpan w:val="3"/>
          </w:tcPr>
          <w:p>
            <w:pPr>
              <w:ind w:left="980"/>
              <w:spacing w:after="0"/>
              <w:rPr>
                <w:sz w:val="20"/>
                <w:szCs w:val="20"/>
                <w:color w:val="auto"/>
              </w:rPr>
            </w:pPr>
            <w:r>
              <w:rPr>
                <w:rFonts w:ascii="Verdana" w:cs="Verdana" w:eastAsia="Verdana" w:hAnsi="Verdana"/>
                <w:sz w:val="18"/>
                <w:szCs w:val="18"/>
                <w:color w:val="auto"/>
              </w:rPr>
              <w:t>—</w:t>
            </w: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(71,000)</w:t>
            </w:r>
          </w:p>
        </w:tc>
        <w:tc>
          <w:tcPr>
            <w:tcW w:w="80" w:type="dxa"/>
            <w:vAlign w:val="bottom"/>
          </w:tcPr>
          <w:p>
            <w:pPr>
              <w:spacing w:after="0"/>
              <w:rPr>
                <w:sz w:val="22"/>
                <w:szCs w:val="22"/>
                <w:color w:val="auto"/>
              </w:rPr>
            </w:pPr>
          </w:p>
        </w:tc>
        <w:tc>
          <w:tcPr>
            <w:tcW w:w="320" w:type="dxa"/>
            <w:vAlign w:val="bottom"/>
            <w:gridSpan w:val="2"/>
          </w:tcPr>
          <w:p>
            <w:pPr>
              <w:jc w:val="right"/>
              <w:ind w:right="16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357,526</w:t>
            </w:r>
          </w:p>
        </w:tc>
        <w:tc>
          <w:tcPr>
            <w:tcW w:w="0" w:type="dxa"/>
            <w:vAlign w:val="bottom"/>
          </w:tcPr>
          <w:p>
            <w:pPr>
              <w:spacing w:after="0"/>
              <w:rPr>
                <w:sz w:val="1"/>
                <w:szCs w:val="1"/>
                <w:color w:val="auto"/>
              </w:rPr>
            </w:pPr>
          </w:p>
        </w:tc>
      </w:tr>
      <w:tr>
        <w:trPr>
          <w:trHeight w:val="270"/>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Residential mortgage-backed securities</w:t>
            </w:r>
          </w:p>
        </w:tc>
        <w:tc>
          <w:tcPr>
            <w:tcW w:w="2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444,102</w:t>
            </w:r>
          </w:p>
        </w:tc>
        <w:tc>
          <w:tcPr>
            <w:tcW w:w="20" w:type="dxa"/>
            <w:vAlign w:val="bottom"/>
            <w:tcBorders>
              <w:bottom w:val="single" w:sz="8" w:color="auto"/>
            </w:tcBorders>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gridSpan w:val="2"/>
            <w:shd w:val="clear" w:color="auto" w:fill="E0E7ED"/>
          </w:tcPr>
          <w:p>
            <w:pPr>
              <w:ind w:left="980"/>
              <w:spacing w:after="0"/>
              <w:rPr>
                <w:sz w:val="20"/>
                <w:szCs w:val="20"/>
                <w:color w:val="auto"/>
              </w:rPr>
            </w:pPr>
            <w:r>
              <w:rPr>
                <w:rFonts w:ascii="Verdana" w:cs="Verdana" w:eastAsia="Verdana" w:hAnsi="Verdana"/>
                <w:sz w:val="18"/>
                <w:szCs w:val="18"/>
                <w:color w:val="auto"/>
              </w:rPr>
              <w:t>—</w:t>
            </w:r>
          </w:p>
        </w:tc>
        <w:tc>
          <w:tcPr>
            <w:tcW w:w="80" w:type="dxa"/>
            <w:vAlign w:val="bottom"/>
            <w:shd w:val="clear" w:color="auto" w:fill="E0E7ED"/>
          </w:tcPr>
          <w:p>
            <w:pPr>
              <w:spacing w:after="0"/>
              <w:rPr>
                <w:sz w:val="23"/>
                <w:szCs w:val="23"/>
                <w:color w:val="auto"/>
              </w:rPr>
            </w:pPr>
          </w:p>
        </w:tc>
        <w:tc>
          <w:tcPr>
            <w:tcW w:w="220" w:type="dxa"/>
            <w:vAlign w:val="bottom"/>
            <w:tcBorders>
              <w:bottom w:val="single" w:sz="8" w:color="auto"/>
            </w:tcBorders>
            <w:shd w:val="clear" w:color="auto" w:fill="E0E7ED"/>
          </w:tcPr>
          <w:p>
            <w:pPr>
              <w:spacing w:after="0"/>
              <w:rPr>
                <w:sz w:val="23"/>
                <w:szCs w:val="23"/>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(71,231)</w:t>
            </w:r>
          </w:p>
        </w:tc>
        <w:tc>
          <w:tcPr>
            <w:tcW w:w="80" w:type="dxa"/>
            <w:vAlign w:val="bottom"/>
            <w:shd w:val="clear" w:color="auto" w:fill="E0E7ED"/>
          </w:tcPr>
          <w:p>
            <w:pPr>
              <w:spacing w:after="0"/>
              <w:rPr>
                <w:sz w:val="23"/>
                <w:szCs w:val="23"/>
                <w:color w:val="auto"/>
              </w:rPr>
            </w:pPr>
          </w:p>
        </w:tc>
        <w:tc>
          <w:tcPr>
            <w:tcW w:w="20" w:type="dxa"/>
            <w:vAlign w:val="bottom"/>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372,871</w:t>
            </w:r>
          </w:p>
        </w:tc>
        <w:tc>
          <w:tcPr>
            <w:tcW w:w="0" w:type="dxa"/>
            <w:vAlign w:val="bottom"/>
          </w:tcPr>
          <w:p>
            <w:pPr>
              <w:spacing w:after="0"/>
              <w:rPr>
                <w:sz w:val="1"/>
                <w:szCs w:val="1"/>
                <w:color w:val="auto"/>
              </w:rPr>
            </w:pPr>
          </w:p>
        </w:tc>
      </w:tr>
      <w:tr>
        <w:trPr>
          <w:trHeight w:val="270"/>
        </w:trPr>
        <w:tc>
          <w:tcPr>
            <w:tcW w:w="4960" w:type="dxa"/>
            <w:vAlign w:val="bottom"/>
          </w:tcPr>
          <w:p>
            <w:pPr>
              <w:ind w:left="20"/>
              <w:spacing w:after="0"/>
              <w:rPr>
                <w:sz w:val="20"/>
                <w:szCs w:val="20"/>
                <w:color w:val="auto"/>
              </w:rPr>
            </w:pPr>
            <w:r>
              <w:rPr>
                <w:rFonts w:ascii="Verdana" w:cs="Verdana" w:eastAsia="Verdana" w:hAnsi="Verdana"/>
                <w:sz w:val="18"/>
                <w:szCs w:val="18"/>
                <w:color w:val="auto"/>
              </w:rPr>
              <w:t>Total debt securities held to maturity</w:t>
            </w:r>
          </w:p>
        </w:tc>
        <w:tc>
          <w:tcPr>
            <w:tcW w:w="260" w:type="dxa"/>
            <w:vAlign w:val="bottom"/>
            <w:gridSpan w:val="2"/>
          </w:tcPr>
          <w:p>
            <w:pPr>
              <w:jc w:val="right"/>
              <w:ind w:right="12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872,628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340" w:type="dxa"/>
            <w:vAlign w:val="bottom"/>
            <w:gridSpan w:val="3"/>
          </w:tcPr>
          <w:p>
            <w:pPr>
              <w:ind w:left="980"/>
              <w:spacing w:after="0"/>
              <w:rPr>
                <w:sz w:val="20"/>
                <w:szCs w:val="20"/>
                <w:color w:val="auto"/>
              </w:rPr>
            </w:pPr>
            <w:r>
              <w:rPr>
                <w:rFonts w:ascii="Verdana" w:cs="Verdana" w:eastAsia="Verdana" w:hAnsi="Verdana"/>
                <w:sz w:val="18"/>
                <w:szCs w:val="18"/>
                <w:color w:val="auto"/>
              </w:rPr>
              <w:t>—</w:t>
            </w: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(142,231)</w:t>
            </w:r>
          </w:p>
        </w:tc>
        <w:tc>
          <w:tcPr>
            <w:tcW w:w="80" w:type="dxa"/>
            <w:vAlign w:val="bottom"/>
          </w:tcPr>
          <w:p>
            <w:pPr>
              <w:spacing w:after="0"/>
              <w:rPr>
                <w:sz w:val="23"/>
                <w:szCs w:val="23"/>
                <w:color w:val="auto"/>
              </w:rPr>
            </w:pPr>
          </w:p>
        </w:tc>
        <w:tc>
          <w:tcPr>
            <w:tcW w:w="320" w:type="dxa"/>
            <w:vAlign w:val="bottom"/>
            <w:gridSpan w:val="2"/>
          </w:tcPr>
          <w:p>
            <w:pPr>
              <w:jc w:val="right"/>
              <w:ind w:right="16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730,397</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spacing w:after="0" w:line="4" w:lineRule="exact"/>
        <w:rPr>
          <w:sz w:val="20"/>
          <w:szCs w:val="20"/>
          <w:color w:val="auto"/>
        </w:rPr>
      </w:pPr>
    </w:p>
    <w:p>
      <w:pPr>
        <w:ind w:left="480" w:hanging="310"/>
        <w:spacing w:after="0"/>
        <w:tabs>
          <w:tab w:leader="none" w:pos="480" w:val="left"/>
        </w:tabs>
        <w:numPr>
          <w:ilvl w:val="0"/>
          <w:numId w:val="6"/>
        </w:numPr>
        <w:rPr>
          <w:rFonts w:ascii="Verdana" w:cs="Verdana" w:eastAsia="Verdana" w:hAnsi="Verdana"/>
          <w:sz w:val="13"/>
          <w:szCs w:val="13"/>
          <w:color w:val="auto"/>
        </w:rPr>
      </w:pPr>
      <w:r>
        <w:rPr>
          <w:rFonts w:ascii="Verdana" w:cs="Verdana" w:eastAsia="Verdana" w:hAnsi="Verdana"/>
          <w:sz w:val="13"/>
          <w:szCs w:val="13"/>
          <w:color w:val="auto"/>
        </w:rPr>
        <w:t>Includes securities marked at par, with no gain or loss to report.</w:t>
      </w:r>
    </w:p>
    <w:p>
      <w:pPr>
        <w:spacing w:after="0" w:line="166"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Maturities of Debt Securities</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 xml:space="preserve">Amortized cost and fair value of debt securities, by contractual maturity or pre-refunded date, are shown below. Mortgages underlying mortgage-backed securities and asset-backed securities may be called or prepaid; therefore, actual maturities could differ from the contractual maturities. All mortgage-backed securities were issued by U.S. government corporations and agencies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555"/>
              <w:spacing w:after="0"/>
              <w:rPr>
                <w:sz w:val="20"/>
                <w:szCs w:val="20"/>
                <w:color w:val="auto"/>
              </w:rPr>
            </w:pPr>
            <w:r>
              <w:rPr>
                <w:rFonts w:ascii="Verdana" w:cs="Verdana" w:eastAsia="Verdana" w:hAnsi="Verdana"/>
                <w:sz w:val="13"/>
                <w:szCs w:val="13"/>
                <w:b w:val="1"/>
                <w:bCs w:val="1"/>
                <w:color w:val="auto"/>
              </w:rPr>
              <w:t>As of September 30, 2024</w:t>
            </w:r>
          </w:p>
        </w:tc>
      </w:tr>
      <w:tr>
        <w:trPr>
          <w:trHeight w:val="121"/>
        </w:trPr>
        <w:tc>
          <w:tcPr>
            <w:tcW w:w="8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gridSpan w:val="2"/>
          </w:tcPr>
          <w:p>
            <w:pPr>
              <w:jc w:val="center"/>
              <w:ind w:right="340"/>
              <w:spacing w:after="0" w:line="122" w:lineRule="exact"/>
              <w:rPr>
                <w:sz w:val="20"/>
                <w:szCs w:val="20"/>
                <w:color w:val="auto"/>
              </w:rPr>
            </w:pPr>
            <w:r>
              <w:rPr>
                <w:rFonts w:ascii="Verdana" w:cs="Verdana" w:eastAsia="Verdana" w:hAnsi="Verdana"/>
                <w:sz w:val="13"/>
                <w:szCs w:val="13"/>
                <w:b w:val="1"/>
                <w:bCs w:val="1"/>
                <w:color w:val="auto"/>
                <w:w w:val="95"/>
              </w:rPr>
              <w:t>Amortized</w:t>
            </w:r>
          </w:p>
        </w:tc>
        <w:tc>
          <w:tcPr>
            <w:tcW w:w="320" w:type="dxa"/>
            <w:vAlign w:val="bottom"/>
          </w:tcPr>
          <w:p>
            <w:pPr>
              <w:spacing w:after="0"/>
              <w:rPr>
                <w:sz w:val="10"/>
                <w:szCs w:val="10"/>
                <w:color w:val="auto"/>
              </w:rPr>
            </w:pPr>
          </w:p>
        </w:tc>
        <w:tc>
          <w:tcPr>
            <w:tcW w:w="1200" w:type="dxa"/>
            <w:vAlign w:val="bottom"/>
          </w:tcPr>
          <w:p>
            <w:pPr>
              <w:jc w:val="right"/>
              <w:ind w:right="535"/>
              <w:spacing w:after="0" w:line="122" w:lineRule="exact"/>
              <w:rPr>
                <w:sz w:val="20"/>
                <w:szCs w:val="20"/>
                <w:color w:val="auto"/>
              </w:rPr>
            </w:pPr>
            <w:r>
              <w:rPr>
                <w:rFonts w:ascii="Verdana" w:cs="Verdana" w:eastAsia="Verdana" w:hAnsi="Verdana"/>
                <w:sz w:val="13"/>
                <w:szCs w:val="13"/>
                <w:b w:val="1"/>
                <w:bCs w:val="1"/>
                <w:color w:val="auto"/>
              </w:rPr>
              <w:t>Fair</w:t>
            </w:r>
          </w:p>
        </w:tc>
      </w:tr>
      <w:tr>
        <w:trPr>
          <w:trHeight w:val="170"/>
        </w:trPr>
        <w:tc>
          <w:tcPr>
            <w:tcW w:w="8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Verdana" w:cs="Verdana" w:eastAsia="Verdana" w:hAnsi="Verdana"/>
                <w:sz w:val="13"/>
                <w:szCs w:val="13"/>
                <w:b w:val="1"/>
                <w:bCs w:val="1"/>
                <w:color w:val="auto"/>
                <w:w w:val="99"/>
              </w:rPr>
              <w:t>Cost</w:t>
            </w:r>
          </w:p>
        </w:tc>
        <w:tc>
          <w:tcPr>
            <w:tcW w:w="320" w:type="dxa"/>
            <w:vAlign w:val="bottom"/>
          </w:tcPr>
          <w:p>
            <w:pPr>
              <w:spacing w:after="0"/>
              <w:rPr>
                <w:sz w:val="14"/>
                <w:szCs w:val="14"/>
                <w:color w:val="auto"/>
              </w:rPr>
            </w:pPr>
          </w:p>
        </w:tc>
        <w:tc>
          <w:tcPr>
            <w:tcW w:w="1200" w:type="dxa"/>
            <w:vAlign w:val="bottom"/>
          </w:tcPr>
          <w:p>
            <w:pPr>
              <w:jc w:val="right"/>
              <w:ind w:right="475"/>
              <w:spacing w:after="0"/>
              <w:rPr>
                <w:sz w:val="20"/>
                <w:szCs w:val="20"/>
                <w:color w:val="auto"/>
              </w:rPr>
            </w:pPr>
            <w:r>
              <w:rPr>
                <w:rFonts w:ascii="Verdana" w:cs="Verdana" w:eastAsia="Verdana" w:hAnsi="Verdana"/>
                <w:sz w:val="13"/>
                <w:szCs w:val="13"/>
                <w:b w:val="1"/>
                <w:bCs w:val="1"/>
                <w:color w:val="auto"/>
              </w:rPr>
              <w:t>Value</w:t>
            </w:r>
          </w:p>
        </w:tc>
      </w:tr>
      <w:tr>
        <w:trPr>
          <w:trHeight w:val="255"/>
        </w:trPr>
        <w:tc>
          <w:tcPr>
            <w:tcW w:w="812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available for sale</w:t>
            </w:r>
          </w:p>
        </w:tc>
        <w:tc>
          <w:tcPr>
            <w:tcW w:w="26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32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Due in one year or less</w:t>
            </w: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ind w:right="17"/>
              <w:spacing w:after="0"/>
              <w:rPr>
                <w:sz w:val="20"/>
                <w:szCs w:val="20"/>
                <w:color w:val="auto"/>
              </w:rPr>
            </w:pPr>
            <w:r>
              <w:rPr>
                <w:rFonts w:ascii="Verdana" w:cs="Verdana" w:eastAsia="Verdana" w:hAnsi="Verdana"/>
                <w:sz w:val="18"/>
                <w:szCs w:val="18"/>
                <w:color w:val="auto"/>
              </w:rPr>
              <w:t>86,812</w:t>
            </w:r>
          </w:p>
        </w:tc>
        <w:tc>
          <w:tcPr>
            <w:tcW w:w="8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85,513</w:t>
            </w: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Due after one year through five years</w:t>
            </w:r>
          </w:p>
        </w:tc>
        <w:tc>
          <w:tcPr>
            <w:tcW w:w="26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128,399</w:t>
            </w:r>
          </w:p>
        </w:tc>
        <w:tc>
          <w:tcPr>
            <w:tcW w:w="8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123,444</w:t>
            </w: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Due after five years through ten years</w:t>
            </w:r>
          </w:p>
        </w:tc>
        <w:tc>
          <w:tcPr>
            <w:tcW w:w="260" w:type="dxa"/>
            <w:vAlign w:val="bottom"/>
          </w:tcPr>
          <w:p>
            <w:pPr>
              <w:spacing w:after="0"/>
              <w:rPr>
                <w:sz w:val="22"/>
                <w:szCs w:val="22"/>
                <w:color w:val="auto"/>
              </w:rPr>
            </w:pPr>
          </w:p>
        </w:tc>
        <w:tc>
          <w:tcPr>
            <w:tcW w:w="1260" w:type="dxa"/>
            <w:vAlign w:val="bottom"/>
          </w:tcPr>
          <w:p>
            <w:pPr>
              <w:jc w:val="right"/>
              <w:ind w:right="17"/>
              <w:spacing w:after="0"/>
              <w:rPr>
                <w:sz w:val="20"/>
                <w:szCs w:val="20"/>
                <w:color w:val="auto"/>
              </w:rPr>
            </w:pPr>
            <w:r>
              <w:rPr>
                <w:rFonts w:ascii="Verdana" w:cs="Verdana" w:eastAsia="Verdana" w:hAnsi="Verdana"/>
                <w:sz w:val="18"/>
                <w:szCs w:val="18"/>
                <w:color w:val="auto"/>
              </w:rPr>
              <w:t>558,784</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539,952</w:t>
            </w:r>
          </w:p>
        </w:tc>
      </w:tr>
      <w:tr>
        <w:trPr>
          <w:trHeight w:val="270"/>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Due after ten years</w:t>
            </w:r>
          </w:p>
        </w:tc>
        <w:tc>
          <w:tcPr>
            <w:tcW w:w="26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8"/>
                <w:szCs w:val="18"/>
                <w:color w:val="auto"/>
              </w:rPr>
              <w:t>1,235,676</w:t>
            </w:r>
          </w:p>
        </w:tc>
        <w:tc>
          <w:tcPr>
            <w:tcW w:w="80" w:type="dxa"/>
            <w:vAlign w:val="bottom"/>
            <w:shd w:val="clear" w:color="auto" w:fill="E0E7ED"/>
          </w:tcPr>
          <w:p>
            <w:pPr>
              <w:spacing w:after="0"/>
              <w:rPr>
                <w:sz w:val="23"/>
                <w:szCs w:val="23"/>
                <w:color w:val="auto"/>
              </w:rPr>
            </w:pPr>
          </w:p>
        </w:tc>
        <w:tc>
          <w:tcPr>
            <w:tcW w:w="320" w:type="dxa"/>
            <w:vAlign w:val="bottom"/>
            <w:tcBorders>
              <w:bottom w:val="single" w:sz="8" w:color="auto"/>
            </w:tcBorders>
            <w:shd w:val="clear" w:color="auto" w:fill="E0E7ED"/>
          </w:tcPr>
          <w:p>
            <w:pPr>
              <w:spacing w:after="0"/>
              <w:rPr>
                <w:sz w:val="23"/>
                <w:szCs w:val="23"/>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1,069,208</w:t>
            </w:r>
          </w:p>
        </w:tc>
      </w:tr>
      <w:tr>
        <w:trPr>
          <w:trHeight w:val="270"/>
        </w:trPr>
        <w:tc>
          <w:tcPr>
            <w:tcW w:w="8120" w:type="dxa"/>
            <w:vAlign w:val="bottom"/>
          </w:tcPr>
          <w:p>
            <w:pPr>
              <w:ind w:left="20"/>
              <w:spacing w:after="0"/>
              <w:rPr>
                <w:sz w:val="20"/>
                <w:szCs w:val="20"/>
                <w:color w:val="auto"/>
              </w:rPr>
            </w:pPr>
            <w:r>
              <w:rPr>
                <w:rFonts w:ascii="Verdana" w:cs="Verdana" w:eastAsia="Verdana" w:hAnsi="Verdana"/>
                <w:sz w:val="18"/>
                <w:szCs w:val="18"/>
                <w:color w:val="auto"/>
              </w:rPr>
              <w:t>Debt securities available for sale</w:t>
            </w:r>
          </w:p>
        </w:tc>
        <w:tc>
          <w:tcPr>
            <w:tcW w:w="260" w:type="dxa"/>
            <w:vAlign w:val="bottom"/>
            <w:tcBorders>
              <w:bottom w:val="single" w:sz="8" w:color="auto"/>
            </w:tcBorders>
          </w:tcPr>
          <w:p>
            <w:pPr>
              <w:jc w:val="right"/>
              <w:ind w:right="3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8"/>
                <w:szCs w:val="18"/>
                <w:color w:val="auto"/>
              </w:rPr>
              <w:t>2,009,671</w:t>
            </w:r>
          </w:p>
        </w:tc>
        <w:tc>
          <w:tcPr>
            <w:tcW w:w="80" w:type="dxa"/>
            <w:vAlign w:val="bottom"/>
          </w:tcPr>
          <w:p>
            <w:pPr>
              <w:spacing w:after="0"/>
              <w:rPr>
                <w:sz w:val="23"/>
                <w:szCs w:val="23"/>
                <w:color w:val="auto"/>
              </w:rPr>
            </w:pPr>
          </w:p>
        </w:tc>
        <w:tc>
          <w:tcPr>
            <w:tcW w:w="320" w:type="dxa"/>
            <w:vAlign w:val="bottom"/>
            <w:tcBorders>
              <w:bottom w:val="single" w:sz="8" w:color="auto"/>
            </w:tcBorders>
          </w:tcPr>
          <w:p>
            <w:pPr>
              <w:jc w:val="right"/>
              <w:ind w:right="90"/>
              <w:spacing w:after="0"/>
              <w:rPr>
                <w:sz w:val="20"/>
                <w:szCs w:val="20"/>
                <w:color w:val="auto"/>
              </w:rPr>
            </w:pPr>
            <w:r>
              <w:rPr>
                <w:rFonts w:ascii="Verdana" w:cs="Verdana" w:eastAsia="Verdana" w:hAnsi="Verdana"/>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1,818,117</w:t>
            </w: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31"/>
        </w:trPr>
        <w:tc>
          <w:tcPr>
            <w:tcW w:w="8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held to maturity</w:t>
            </w:r>
          </w:p>
        </w:tc>
        <w:tc>
          <w:tcPr>
            <w:tcW w:w="260" w:type="dxa"/>
            <w:vAlign w:val="bottom"/>
            <w:shd w:val="clear" w:color="auto" w:fill="E0E7ED"/>
          </w:tcPr>
          <w:p>
            <w:pPr>
              <w:spacing w:after="0"/>
              <w:rPr>
                <w:sz w:val="23"/>
                <w:szCs w:val="23"/>
                <w:color w:val="auto"/>
              </w:rPr>
            </w:pPr>
          </w:p>
        </w:tc>
        <w:tc>
          <w:tcPr>
            <w:tcW w:w="126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320" w:type="dxa"/>
            <w:vAlign w:val="bottom"/>
            <w:shd w:val="clear" w:color="auto" w:fill="E0E7ED"/>
          </w:tcPr>
          <w:p>
            <w:pPr>
              <w:spacing w:after="0"/>
              <w:rPr>
                <w:sz w:val="23"/>
                <w:szCs w:val="23"/>
                <w:color w:val="auto"/>
              </w:rPr>
            </w:pPr>
          </w:p>
        </w:tc>
        <w:tc>
          <w:tcPr>
            <w:tcW w:w="1200" w:type="dxa"/>
            <w:vAlign w:val="bottom"/>
            <w:shd w:val="clear" w:color="auto" w:fill="E0E7ED"/>
          </w:tcPr>
          <w:p>
            <w:pPr>
              <w:spacing w:after="0"/>
              <w:rPr>
                <w:sz w:val="23"/>
                <w:szCs w:val="23"/>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Due after one year through five years</w:t>
            </w: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ind w:right="17"/>
              <w:spacing w:after="0"/>
              <w:rPr>
                <w:sz w:val="20"/>
                <w:szCs w:val="20"/>
                <w:color w:val="auto"/>
              </w:rPr>
            </w:pPr>
            <w:r>
              <w:rPr>
                <w:rFonts w:ascii="Verdana" w:cs="Verdana" w:eastAsia="Verdana" w:hAnsi="Verdana"/>
                <w:sz w:val="18"/>
                <w:szCs w:val="18"/>
                <w:color w:val="auto"/>
              </w:rPr>
              <w:t>83,464</w:t>
            </w:r>
          </w:p>
        </w:tc>
        <w:tc>
          <w:tcPr>
            <w:tcW w:w="8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80,274</w:t>
            </w: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Due after five years through ten years</w:t>
            </w:r>
          </w:p>
        </w:tc>
        <w:tc>
          <w:tcPr>
            <w:tcW w:w="26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14,678</w:t>
            </w:r>
          </w:p>
        </w:tc>
        <w:tc>
          <w:tcPr>
            <w:tcW w:w="8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13,103</w:t>
            </w:r>
          </w:p>
        </w:tc>
      </w:tr>
      <w:tr>
        <w:trPr>
          <w:trHeight w:val="263"/>
        </w:trPr>
        <w:tc>
          <w:tcPr>
            <w:tcW w:w="81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Due after ten years</w:t>
            </w: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8"/>
                <w:szCs w:val="18"/>
                <w:color w:val="auto"/>
              </w:rPr>
              <w:t>740,741</w:t>
            </w:r>
          </w:p>
        </w:tc>
        <w:tc>
          <w:tcPr>
            <w:tcW w:w="80" w:type="dxa"/>
            <w:vAlign w:val="bottom"/>
            <w:tcBorders>
              <w:bottom w:val="single" w:sz="8" w:color="E0E7E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618,992</w:t>
            </w:r>
          </w:p>
        </w:tc>
      </w:tr>
      <w:tr>
        <w:trPr>
          <w:trHeight w:val="295"/>
        </w:trPr>
        <w:tc>
          <w:tcPr>
            <w:tcW w:w="81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Debt securities held to maturity</w:t>
            </w:r>
          </w:p>
        </w:tc>
        <w:tc>
          <w:tcPr>
            <w:tcW w:w="260" w:type="dxa"/>
            <w:vAlign w:val="bottom"/>
            <w:tcBorders>
              <w:bottom w:val="single" w:sz="8" w:color="auto"/>
            </w:tcBorders>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8"/>
                <w:szCs w:val="18"/>
                <w:color w:val="auto"/>
              </w:rPr>
              <w:t>838,883</w:t>
            </w:r>
          </w:p>
        </w:tc>
        <w:tc>
          <w:tcPr>
            <w:tcW w:w="80" w:type="dxa"/>
            <w:vAlign w:val="bottom"/>
            <w:tcBorders>
              <w:bottom w:val="single" w:sz="8" w:color="E0E7ED"/>
            </w:tcBorders>
            <w:shd w:val="clear" w:color="auto" w:fill="E0E7ED"/>
          </w:tcPr>
          <w:p>
            <w:pPr>
              <w:spacing w:after="0"/>
              <w:rPr>
                <w:sz w:val="24"/>
                <w:szCs w:val="24"/>
                <w:color w:val="auto"/>
              </w:rPr>
            </w:pPr>
          </w:p>
        </w:tc>
        <w:tc>
          <w:tcPr>
            <w:tcW w:w="320" w:type="dxa"/>
            <w:vAlign w:val="bottom"/>
            <w:tcBorders>
              <w:bottom w:val="single" w:sz="8" w:color="auto"/>
            </w:tcBorders>
            <w:shd w:val="clear" w:color="auto" w:fill="E0E7ED"/>
          </w:tcPr>
          <w:p>
            <w:pPr>
              <w:jc w:val="right"/>
              <w:ind w:right="90"/>
              <w:spacing w:after="0"/>
              <w:rPr>
                <w:sz w:val="20"/>
                <w:szCs w:val="20"/>
                <w:color w:val="auto"/>
              </w:rPr>
            </w:pPr>
            <w:r>
              <w:rPr>
                <w:rFonts w:ascii="Verdana" w:cs="Verdana" w:eastAsia="Verdana" w:hAnsi="Verdana"/>
                <w:sz w:val="18"/>
                <w:szCs w:val="18"/>
                <w:color w:val="auto"/>
              </w:rPr>
              <w:t>$</w:t>
            </w: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712,369</w:t>
            </w:r>
          </w:p>
        </w:tc>
      </w:tr>
      <w:tr>
        <w:trPr>
          <w:trHeight w:val="20"/>
        </w:trPr>
        <w:tc>
          <w:tcPr>
            <w:tcW w:w="812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bottom w:val="single" w:sz="8" w:color="auto"/>
            </w:tcBorders>
          </w:tcPr>
          <w:p>
            <w:pPr>
              <w:spacing w:after="0" w:line="20" w:lineRule="exact"/>
              <w:rPr>
                <w:sz w:val="1"/>
                <w:szCs w:val="1"/>
                <w:color w:val="auto"/>
              </w:rPr>
            </w:pPr>
          </w:p>
        </w:tc>
        <w:tc>
          <w:tcPr>
            <w:tcW w:w="12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07" w:right="3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ind w:left="7940"/>
        <w:spacing w:after="0"/>
        <w:rPr>
          <w:sz w:val="20"/>
          <w:szCs w:val="20"/>
          <w:color w:val="auto"/>
        </w:rPr>
      </w:pPr>
      <w:r>
        <w:rPr>
          <w:rFonts w:ascii="Verdana" w:cs="Verdana" w:eastAsia="Verdana" w:hAnsi="Verdana"/>
          <w:sz w:val="17"/>
          <w:szCs w:val="17"/>
          <w:color w:val="808285"/>
        </w:rPr>
        <w:t xml:space="preserve">First Busey Corporation (BUSE) | </w:t>
      </w:r>
      <w:r>
        <w:rPr>
          <w:rFonts w:ascii="Verdana" w:cs="Verdana" w:eastAsia="Verdana" w:hAnsi="Verdana"/>
          <w:sz w:val="17"/>
          <w:szCs w:val="17"/>
          <w:b w:val="1"/>
          <w:bCs w:val="1"/>
          <w:color w:val="376484"/>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type w:val="continuous"/>
        </w:sectPr>
      </w:pPr>
    </w:p>
    <w:bookmarkStart w:id="20" w:name="page21"/>
    <w:bookmarkEnd w:id="20"/>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Gains and Losses on Debt Securities Available for Sale</w:t>
      </w:r>
    </w:p>
    <w:p>
      <w:pPr>
        <w:spacing w:after="0" w:line="173" w:lineRule="exact"/>
        <w:rPr>
          <w:sz w:val="20"/>
          <w:szCs w:val="20"/>
          <w:color w:val="auto"/>
        </w:rPr>
      </w:pPr>
    </w:p>
    <w:p>
      <w:pPr>
        <w:ind w:right="20"/>
        <w:spacing w:after="0" w:line="254" w:lineRule="auto"/>
        <w:rPr>
          <w:sz w:val="20"/>
          <w:szCs w:val="20"/>
          <w:color w:val="auto"/>
        </w:rPr>
      </w:pPr>
      <w:r>
        <w:rPr>
          <w:rFonts w:ascii="Verdana" w:cs="Verdana" w:eastAsia="Verdana" w:hAnsi="Verdana"/>
          <w:sz w:val="18"/>
          <w:szCs w:val="18"/>
          <w:color w:val="auto"/>
        </w:rPr>
        <w:t xml:space="preserve">Realized gains and losses related to sales and calls of debt securities available for sale are summarized as follows </w:t>
      </w:r>
      <w:r>
        <w:rPr>
          <w:rFonts w:ascii="Verdana" w:cs="Verdana" w:eastAsia="Verdana" w:hAnsi="Verdana"/>
          <w:sz w:val="18"/>
          <w:szCs w:val="18"/>
          <w:i w:val="1"/>
          <w:iCs w:val="1"/>
          <w:color w:val="auto"/>
        </w:rPr>
        <w:t>(dollars</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in thousands)</w:t>
      </w:r>
      <w:r>
        <w:rPr>
          <w:rFonts w:ascii="Verdana" w:cs="Verdana" w:eastAsia="Verdana" w:hAnsi="Verdana"/>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60" w:type="dxa"/>
            <w:vAlign w:val="bottom"/>
          </w:tcPr>
          <w:p>
            <w:pPr>
              <w:spacing w:after="0"/>
              <w:rPr>
                <w:sz w:val="15"/>
                <w:szCs w:val="15"/>
                <w:color w:val="auto"/>
              </w:rPr>
            </w:pPr>
          </w:p>
        </w:tc>
        <w:tc>
          <w:tcPr>
            <w:tcW w:w="3180" w:type="dxa"/>
            <w:vAlign w:val="bottom"/>
            <w:gridSpan w:val="6"/>
          </w:tcPr>
          <w:p>
            <w:pPr>
              <w:ind w:left="280"/>
              <w:spacing w:after="0"/>
              <w:rPr>
                <w:sz w:val="20"/>
                <w:szCs w:val="20"/>
                <w:color w:val="auto"/>
              </w:rPr>
            </w:pPr>
            <w:r>
              <w:rPr>
                <w:rFonts w:ascii="Verdana" w:cs="Verdana" w:eastAsia="Verdana" w:hAnsi="Verdana"/>
                <w:sz w:val="13"/>
                <w:szCs w:val="13"/>
                <w:b w:val="1"/>
                <w:bCs w:val="1"/>
                <w:color w:val="auto"/>
              </w:rPr>
              <w:t>Three Months Ended September 30,</w:t>
            </w:r>
          </w:p>
        </w:tc>
        <w:tc>
          <w:tcPr>
            <w:tcW w:w="240" w:type="dxa"/>
            <w:vAlign w:val="bottom"/>
          </w:tcPr>
          <w:p>
            <w:pPr>
              <w:spacing w:after="0"/>
              <w:rPr>
                <w:sz w:val="15"/>
                <w:szCs w:val="15"/>
                <w:color w:val="auto"/>
              </w:rPr>
            </w:pPr>
          </w:p>
        </w:tc>
        <w:tc>
          <w:tcPr>
            <w:tcW w:w="2860" w:type="dxa"/>
            <w:vAlign w:val="bottom"/>
            <w:gridSpan w:val="4"/>
          </w:tcPr>
          <w:p>
            <w:pPr>
              <w:jc w:val="right"/>
              <w:ind w:right="237"/>
              <w:spacing w:after="0"/>
              <w:rPr>
                <w:sz w:val="20"/>
                <w:szCs w:val="20"/>
                <w:color w:val="auto"/>
              </w:rPr>
            </w:pPr>
            <w:r>
              <w:rPr>
                <w:rFonts w:ascii="Verdana" w:cs="Verdana" w:eastAsia="Verdana" w:hAnsi="Verdana"/>
                <w:sz w:val="13"/>
                <w:szCs w:val="13"/>
                <w:b w:val="1"/>
                <w:bCs w:val="1"/>
                <w:color w:val="auto"/>
                <w:w w:val="99"/>
              </w:rPr>
              <w:t>Nine Months Ended September 30,</w:t>
            </w:r>
          </w:p>
        </w:tc>
      </w:tr>
      <w:tr>
        <w:trPr>
          <w:trHeight w:val="170"/>
        </w:trPr>
        <w:tc>
          <w:tcPr>
            <w:tcW w:w="4960" w:type="dxa"/>
            <w:vAlign w:val="bottom"/>
            <w:tcBorders>
              <w:bottom w:val="single" w:sz="8" w:color="E0E7ED"/>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b w:val="1"/>
                <w:bCs w:val="1"/>
                <w:color w:val="auto"/>
              </w:rPr>
              <w:t>2024</w:t>
            </w:r>
          </w:p>
        </w:tc>
        <w:tc>
          <w:tcPr>
            <w:tcW w:w="5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E0E7ED"/>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E0E7ED"/>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481"/>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49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Realized gains and losses on debt securities</w:t>
            </w:r>
          </w:p>
        </w:tc>
        <w:tc>
          <w:tcPr>
            <w:tcW w:w="1000" w:type="dxa"/>
            <w:vAlign w:val="bottom"/>
            <w:shd w:val="clear" w:color="auto" w:fill="E0E7ED"/>
          </w:tcPr>
          <w:p>
            <w:pPr>
              <w:spacing w:after="0"/>
              <w:rPr>
                <w:sz w:val="22"/>
                <w:szCs w:val="22"/>
                <w:color w:val="auto"/>
              </w:rPr>
            </w:pPr>
          </w:p>
        </w:tc>
        <w:tc>
          <w:tcPr>
            <w:tcW w:w="50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40" w:type="dxa"/>
            <w:vAlign w:val="bottom"/>
            <w:shd w:val="clear" w:color="auto" w:fill="E0E7ED"/>
          </w:tcPr>
          <w:p>
            <w:pPr>
              <w:spacing w:after="0"/>
              <w:rPr>
                <w:sz w:val="22"/>
                <w:szCs w:val="22"/>
                <w:color w:val="auto"/>
              </w:rPr>
            </w:pPr>
          </w:p>
        </w:tc>
        <w:tc>
          <w:tcPr>
            <w:tcW w:w="116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40" w:type="dxa"/>
            <w:vAlign w:val="bottom"/>
            <w:shd w:val="clear" w:color="auto" w:fill="E0E7ED"/>
          </w:tcPr>
          <w:p>
            <w:pPr>
              <w:spacing w:after="0"/>
              <w:rPr>
                <w:sz w:val="22"/>
                <w:szCs w:val="22"/>
                <w:color w:val="auto"/>
              </w:rPr>
            </w:pPr>
          </w:p>
        </w:tc>
        <w:tc>
          <w:tcPr>
            <w:tcW w:w="12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1140" w:type="dxa"/>
            <w:vAlign w:val="bottom"/>
            <w:shd w:val="clear" w:color="auto" w:fill="E0E7ED"/>
          </w:tcPr>
          <w:p>
            <w:pPr>
              <w:spacing w:after="0"/>
              <w:rPr>
                <w:sz w:val="22"/>
                <w:szCs w:val="22"/>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Gross gains on debt securities</w:t>
            </w:r>
          </w:p>
        </w:tc>
        <w:tc>
          <w:tcPr>
            <w:tcW w:w="1000" w:type="dxa"/>
            <w:vAlign w:val="bottom"/>
          </w:tcPr>
          <w:p>
            <w:pPr>
              <w:jc w:val="right"/>
              <w:ind w:right="784"/>
              <w:spacing w:after="0"/>
              <w:rPr>
                <w:sz w:val="20"/>
                <w:szCs w:val="20"/>
                <w:color w:val="auto"/>
              </w:rPr>
            </w:pPr>
            <w:r>
              <w:rPr>
                <w:rFonts w:ascii="Verdana" w:cs="Verdana" w:eastAsia="Verdana" w:hAnsi="Verdana"/>
                <w:sz w:val="18"/>
                <w:szCs w:val="18"/>
                <w:color w:val="auto"/>
              </w:rPr>
              <w:t>$</w:t>
            </w:r>
          </w:p>
        </w:tc>
        <w:tc>
          <w:tcPr>
            <w:tcW w:w="600" w:type="dxa"/>
            <w:vAlign w:val="bottom"/>
            <w:gridSpan w:val="2"/>
          </w:tcPr>
          <w:p>
            <w:pPr>
              <w:ind w:left="240"/>
              <w:spacing w:after="0"/>
              <w:rPr>
                <w:sz w:val="20"/>
                <w:szCs w:val="20"/>
                <w:color w:val="auto"/>
              </w:rPr>
            </w:pPr>
            <w:r>
              <w:rPr>
                <w:rFonts w:ascii="Verdana" w:cs="Verdana" w:eastAsia="Verdana" w:hAnsi="Verdana"/>
                <w:sz w:val="18"/>
                <w:szCs w:val="18"/>
                <w:color w:val="auto"/>
              </w:rPr>
              <w:t>—</w:t>
            </w: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tcPr>
          <w:p>
            <w:pPr>
              <w:jc w:val="center"/>
              <w:ind w:left="657"/>
              <w:spacing w:after="0"/>
              <w:rPr>
                <w:sz w:val="20"/>
                <w:szCs w:val="20"/>
                <w:color w:val="auto"/>
              </w:rPr>
            </w:pPr>
            <w:r>
              <w:rPr>
                <w:rFonts w:ascii="Verdana" w:cs="Verdana" w:eastAsia="Verdana" w:hAnsi="Verdana"/>
                <w:sz w:val="18"/>
                <w:szCs w:val="18"/>
                <w:color w:val="auto"/>
                <w:w w:val="95"/>
              </w:rPr>
              <w:t>10</w:t>
            </w:r>
          </w:p>
        </w:tc>
        <w:tc>
          <w:tcPr>
            <w:tcW w:w="8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ind w:right="1"/>
              <w:spacing w:after="0"/>
              <w:rPr>
                <w:sz w:val="20"/>
                <w:szCs w:val="20"/>
                <w:color w:val="auto"/>
              </w:rPr>
            </w:pPr>
            <w:r>
              <w:rPr>
                <w:rFonts w:ascii="Verdana" w:cs="Verdana" w:eastAsia="Verdana" w:hAnsi="Verdana"/>
                <w:sz w:val="18"/>
                <w:szCs w:val="18"/>
                <w:color w:val="auto"/>
              </w:rPr>
              <w:t>1</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Pr>
          <w:p>
            <w:pPr>
              <w:jc w:val="right"/>
              <w:spacing w:after="0"/>
              <w:rPr>
                <w:sz w:val="20"/>
                <w:szCs w:val="20"/>
                <w:color w:val="auto"/>
              </w:rPr>
            </w:pPr>
            <w:r>
              <w:rPr>
                <w:rFonts w:ascii="Verdana" w:cs="Verdana" w:eastAsia="Verdana" w:hAnsi="Verdana"/>
                <w:sz w:val="18"/>
                <w:szCs w:val="18"/>
                <w:color w:val="auto"/>
              </w:rPr>
              <w:t>20</w:t>
            </w:r>
          </w:p>
        </w:tc>
      </w:tr>
      <w:tr>
        <w:trPr>
          <w:trHeight w:val="277"/>
        </w:trPr>
        <w:tc>
          <w:tcPr>
            <w:tcW w:w="4960" w:type="dxa"/>
            <w:vAlign w:val="bottom"/>
            <w:shd w:val="clear" w:color="auto" w:fill="E0E7ED"/>
          </w:tcPr>
          <w:p>
            <w:pPr>
              <w:ind w:left="180"/>
              <w:spacing w:after="0" w:line="277" w:lineRule="exact"/>
              <w:rPr>
                <w:sz w:val="20"/>
                <w:szCs w:val="20"/>
                <w:color w:val="auto"/>
              </w:rPr>
            </w:pPr>
            <w:r>
              <w:rPr>
                <w:rFonts w:ascii="Verdana" w:cs="Verdana" w:eastAsia="Verdana" w:hAnsi="Verdana"/>
                <w:sz w:val="18"/>
                <w:szCs w:val="18"/>
                <w:color w:val="auto"/>
              </w:rPr>
              <w:t>Gross (losses) on debt securities</w:t>
            </w:r>
            <w:r>
              <w:rPr>
                <w:rFonts w:ascii="Verdana" w:cs="Verdana" w:eastAsia="Verdana" w:hAnsi="Verdana"/>
                <w:sz w:val="23"/>
                <w:szCs w:val="23"/>
                <w:color w:val="auto"/>
                <w:vertAlign w:val="superscript"/>
              </w:rPr>
              <w:t>1</w:t>
            </w:r>
          </w:p>
        </w:tc>
        <w:tc>
          <w:tcPr>
            <w:tcW w:w="1000" w:type="dxa"/>
            <w:vAlign w:val="bottom"/>
            <w:tcBorders>
              <w:bottom w:val="single" w:sz="8" w:color="auto"/>
            </w:tcBorders>
            <w:shd w:val="clear" w:color="auto" w:fill="E0E7ED"/>
          </w:tcPr>
          <w:p>
            <w:pPr>
              <w:spacing w:after="0"/>
              <w:rPr>
                <w:sz w:val="24"/>
                <w:szCs w:val="24"/>
                <w:color w:val="auto"/>
              </w:rPr>
            </w:pPr>
          </w:p>
        </w:tc>
        <w:tc>
          <w:tcPr>
            <w:tcW w:w="5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(11)</w:t>
            </w:r>
          </w:p>
        </w:tc>
        <w:tc>
          <w:tcPr>
            <w:tcW w:w="100" w:type="dxa"/>
            <w:vAlign w:val="bottom"/>
            <w:shd w:val="clear" w:color="auto" w:fill="E0E7ED"/>
          </w:tcPr>
          <w:p>
            <w:pPr>
              <w:spacing w:after="0"/>
              <w:rPr>
                <w:sz w:val="24"/>
                <w:szCs w:val="24"/>
                <w:color w:val="auto"/>
              </w:rPr>
            </w:pPr>
          </w:p>
        </w:tc>
        <w:tc>
          <w:tcPr>
            <w:tcW w:w="340" w:type="dxa"/>
            <w:vAlign w:val="bottom"/>
            <w:tcBorders>
              <w:bottom w:val="single" w:sz="8" w:color="auto"/>
            </w:tcBorders>
            <w:shd w:val="clear" w:color="auto" w:fill="E0E7ED"/>
          </w:tcPr>
          <w:p>
            <w:pPr>
              <w:spacing w:after="0"/>
              <w:rPr>
                <w:sz w:val="24"/>
                <w:szCs w:val="24"/>
                <w:color w:val="auto"/>
              </w:rPr>
            </w:pPr>
          </w:p>
        </w:tc>
        <w:tc>
          <w:tcPr>
            <w:tcW w:w="1160" w:type="dxa"/>
            <w:vAlign w:val="bottom"/>
            <w:tcBorders>
              <w:bottom w:val="single" w:sz="8" w:color="auto"/>
            </w:tcBorders>
            <w:shd w:val="clear" w:color="auto" w:fill="E0E7ED"/>
          </w:tcPr>
          <w:p>
            <w:pPr>
              <w:jc w:val="center"/>
              <w:ind w:left="637"/>
              <w:spacing w:after="0"/>
              <w:rPr>
                <w:sz w:val="20"/>
                <w:szCs w:val="20"/>
                <w:color w:val="auto"/>
              </w:rPr>
            </w:pPr>
            <w:r>
              <w:rPr>
                <w:rFonts w:ascii="Verdana" w:cs="Verdana" w:eastAsia="Verdana" w:hAnsi="Verdana"/>
                <w:sz w:val="18"/>
                <w:szCs w:val="18"/>
                <w:color w:val="auto"/>
              </w:rPr>
              <w:t>(43)</w:t>
            </w:r>
          </w:p>
        </w:tc>
        <w:tc>
          <w:tcPr>
            <w:tcW w:w="80" w:type="dxa"/>
            <w:vAlign w:val="bottom"/>
            <w:shd w:val="clear" w:color="auto" w:fill="E0E7ED"/>
          </w:tcPr>
          <w:p>
            <w:pPr>
              <w:spacing w:after="0"/>
              <w:rPr>
                <w:sz w:val="24"/>
                <w:szCs w:val="24"/>
                <w:color w:val="auto"/>
              </w:rPr>
            </w:pPr>
          </w:p>
        </w:tc>
        <w:tc>
          <w:tcPr>
            <w:tcW w:w="240" w:type="dxa"/>
            <w:vAlign w:val="bottom"/>
            <w:tcBorders>
              <w:bottom w:val="single" w:sz="8" w:color="auto"/>
            </w:tcBorders>
            <w:shd w:val="clear" w:color="auto" w:fill="E0E7ED"/>
          </w:tcPr>
          <w:p>
            <w:pPr>
              <w:spacing w:after="0"/>
              <w:rPr>
                <w:sz w:val="24"/>
                <w:szCs w:val="24"/>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(6,818)</w:t>
            </w:r>
          </w:p>
        </w:tc>
        <w:tc>
          <w:tcPr>
            <w:tcW w:w="100" w:type="dxa"/>
            <w:vAlign w:val="bottom"/>
            <w:shd w:val="clear" w:color="auto" w:fill="E0E7ED"/>
          </w:tcPr>
          <w:p>
            <w:pPr>
              <w:spacing w:after="0"/>
              <w:rPr>
                <w:sz w:val="24"/>
                <w:szCs w:val="24"/>
                <w:color w:val="auto"/>
              </w:rPr>
            </w:pPr>
          </w:p>
        </w:tc>
        <w:tc>
          <w:tcPr>
            <w:tcW w:w="360" w:type="dxa"/>
            <w:vAlign w:val="bottom"/>
            <w:tcBorders>
              <w:bottom w:val="single" w:sz="8" w:color="auto"/>
            </w:tcBorders>
            <w:shd w:val="clear" w:color="auto" w:fill="E0E7ED"/>
          </w:tcPr>
          <w:p>
            <w:pPr>
              <w:spacing w:after="0"/>
              <w:rPr>
                <w:sz w:val="24"/>
                <w:szCs w:val="24"/>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(227)</w:t>
            </w:r>
          </w:p>
        </w:tc>
      </w:tr>
      <w:tr>
        <w:trPr>
          <w:trHeight w:val="263"/>
        </w:trPr>
        <w:tc>
          <w:tcPr>
            <w:tcW w:w="4960" w:type="dxa"/>
            <w:vAlign w:val="bottom"/>
          </w:tcPr>
          <w:p>
            <w:pPr>
              <w:ind w:left="20"/>
              <w:spacing w:after="0"/>
              <w:rPr>
                <w:sz w:val="20"/>
                <w:szCs w:val="20"/>
                <w:color w:val="auto"/>
              </w:rPr>
            </w:pPr>
            <w:r>
              <w:rPr>
                <w:rFonts w:ascii="Verdana" w:cs="Verdana" w:eastAsia="Verdana" w:hAnsi="Verdana"/>
                <w:sz w:val="18"/>
                <w:szCs w:val="18"/>
                <w:color w:val="auto"/>
              </w:rPr>
              <w:t>Realized net gains (losses) on debt securities</w:t>
            </w:r>
          </w:p>
        </w:tc>
        <w:tc>
          <w:tcPr>
            <w:tcW w:w="1000" w:type="dxa"/>
            <w:vAlign w:val="bottom"/>
            <w:tcBorders>
              <w:bottom w:val="single" w:sz="8" w:color="auto"/>
            </w:tcBorders>
          </w:tcPr>
          <w:p>
            <w:pPr>
              <w:jc w:val="right"/>
              <w:ind w:right="784"/>
              <w:spacing w:after="0"/>
              <w:rPr>
                <w:sz w:val="20"/>
                <w:szCs w:val="20"/>
                <w:color w:val="auto"/>
              </w:rPr>
            </w:pPr>
            <w:r>
              <w:rPr>
                <w:rFonts w:ascii="Verdana" w:cs="Verdana" w:eastAsia="Verdana" w:hAnsi="Verdana"/>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(11)</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tcBorders>
              <w:bottom w:val="single" w:sz="8" w:color="auto"/>
            </w:tcBorders>
          </w:tcPr>
          <w:p>
            <w:pPr>
              <w:jc w:val="center"/>
              <w:ind w:left="617"/>
              <w:spacing w:after="0"/>
              <w:rPr>
                <w:sz w:val="20"/>
                <w:szCs w:val="20"/>
                <w:color w:val="auto"/>
              </w:rPr>
            </w:pPr>
            <w:r>
              <w:rPr>
                <w:rFonts w:ascii="Verdana" w:cs="Verdana" w:eastAsia="Verdana" w:hAnsi="Verdana"/>
                <w:sz w:val="18"/>
                <w:szCs w:val="18"/>
                <w:color w:val="auto"/>
                <w:w w:val="96"/>
              </w:rPr>
              <w:t>(33)</w:t>
            </w:r>
          </w:p>
        </w:tc>
        <w:tc>
          <w:tcPr>
            <w:tcW w:w="80" w:type="dxa"/>
            <w:vAlign w:val="bottom"/>
          </w:tcPr>
          <w:p>
            <w:pPr>
              <w:spacing w:after="0"/>
              <w:rPr>
                <w:sz w:val="22"/>
                <w:szCs w:val="22"/>
                <w:color w:val="auto"/>
              </w:rPr>
            </w:pPr>
          </w:p>
        </w:tc>
        <w:tc>
          <w:tcPr>
            <w:tcW w:w="24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(6,817)</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(207)</w:t>
            </w:r>
          </w:p>
        </w:tc>
      </w:tr>
      <w:tr>
        <w:trPr>
          <w:trHeight w:val="21"/>
        </w:trPr>
        <w:tc>
          <w:tcPr>
            <w:tcW w:w="49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spacing w:after="0" w:line="4" w:lineRule="exact"/>
        <w:rPr>
          <w:sz w:val="20"/>
          <w:szCs w:val="20"/>
          <w:color w:val="auto"/>
        </w:rPr>
      </w:pPr>
    </w:p>
    <w:p>
      <w:pPr>
        <w:jc w:val="both"/>
        <w:ind w:left="500" w:right="20" w:hanging="330"/>
        <w:spacing w:after="0" w:line="233" w:lineRule="auto"/>
        <w:tabs>
          <w:tab w:leader="none" w:pos="491" w:val="left"/>
        </w:tabs>
        <w:numPr>
          <w:ilvl w:val="0"/>
          <w:numId w:val="7"/>
        </w:numPr>
        <w:rPr>
          <w:rFonts w:ascii="Verdana" w:cs="Verdana" w:eastAsia="Verdana" w:hAnsi="Verdana"/>
          <w:sz w:val="13"/>
          <w:szCs w:val="13"/>
          <w:color w:val="auto"/>
        </w:rPr>
      </w:pPr>
      <w:r>
        <w:rPr>
          <w:rFonts w:ascii="Verdana" w:cs="Verdana" w:eastAsia="Verdana" w:hAnsi="Verdana"/>
          <w:sz w:val="13"/>
          <w:szCs w:val="13"/>
          <w:color w:val="auto"/>
        </w:rPr>
        <w:t>During the first quarter of 2024, Busey sold available-for-sale debt securities with a book value of approximately $108.2 million for a pre-tax loss of $6.8 million, as part of a balance sheet repositioning strategy. The loss on the sale of securities was offset by a pre-tax gain of $7.5 million realized on the sale of mortgage servicing rights on approximately $923.5 million of one- to four-family mortgage loans.</w:t>
      </w:r>
    </w:p>
    <w:p>
      <w:pPr>
        <w:spacing w:after="0" w:line="161"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Debt securities with carrying amounts of $906.8 million on September 30, 2024, and $837.4 million on December 31, 2023, were pledged as collateral for public deposits, securities sold under agreements to repurchase, and for other purposes as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21" w:name="page22"/>
    <w:bookmarkEnd w:id="21"/>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Debt Securities in an Unrealized or Unrecognized Loss Position</w:t>
      </w:r>
    </w:p>
    <w:p>
      <w:pPr>
        <w:spacing w:after="0" w:line="173" w:lineRule="exact"/>
        <w:rPr>
          <w:sz w:val="20"/>
          <w:szCs w:val="20"/>
          <w:color w:val="auto"/>
        </w:rPr>
      </w:pPr>
    </w:p>
    <w:p>
      <w:pPr>
        <w:jc w:val="both"/>
        <w:ind w:right="20"/>
        <w:spacing w:after="0" w:line="245" w:lineRule="auto"/>
        <w:rPr>
          <w:sz w:val="20"/>
          <w:szCs w:val="20"/>
          <w:color w:val="auto"/>
        </w:rPr>
      </w:pPr>
      <w:r>
        <w:rPr>
          <w:rFonts w:ascii="Verdana" w:cs="Verdana" w:eastAsia="Verdana" w:hAnsi="Verdana"/>
          <w:sz w:val="18"/>
          <w:szCs w:val="18"/>
          <w:color w:val="auto"/>
        </w:rPr>
        <w:t xml:space="preserve">The following information pertains to debt securities with gross unrealized or unrecognized losses, aggregated by investment category and the length of time that individual securities have been in a continuous loss position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gridSpan w:val="9"/>
          </w:tcPr>
          <w:p>
            <w:pPr>
              <w:jc w:val="center"/>
              <w:ind w:right="60"/>
              <w:spacing w:after="0"/>
              <w:rPr>
                <w:sz w:val="20"/>
                <w:szCs w:val="20"/>
                <w:color w:val="auto"/>
              </w:rPr>
            </w:pPr>
            <w:r>
              <w:rPr>
                <w:rFonts w:ascii="Verdana" w:cs="Verdana" w:eastAsia="Verdana" w:hAnsi="Verdana"/>
                <w:sz w:val="14"/>
                <w:szCs w:val="14"/>
                <w:b w:val="1"/>
                <w:bCs w:val="1"/>
                <w:color w:val="auto"/>
              </w:rPr>
              <w:t>As of September 30, 2024</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4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5"/>
          </w:tcPr>
          <w:p>
            <w:pPr>
              <w:ind w:left="140"/>
              <w:spacing w:after="0"/>
              <w:rPr>
                <w:sz w:val="20"/>
                <w:szCs w:val="20"/>
                <w:color w:val="auto"/>
              </w:rPr>
            </w:pPr>
            <w:r>
              <w:rPr>
                <w:rFonts w:ascii="Verdana" w:cs="Verdana" w:eastAsia="Verdana" w:hAnsi="Verdana"/>
                <w:sz w:val="13"/>
                <w:szCs w:val="13"/>
                <w:b w:val="1"/>
                <w:bCs w:val="1"/>
                <w:color w:val="auto"/>
              </w:rPr>
              <w:t>Less than 12 months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8"/>
          </w:tcPr>
          <w:p>
            <w:pPr>
              <w:ind w:left="240"/>
              <w:spacing w:after="0"/>
              <w:rPr>
                <w:sz w:val="20"/>
                <w:szCs w:val="20"/>
                <w:color w:val="auto"/>
              </w:rPr>
            </w:pPr>
            <w:r>
              <w:rPr>
                <w:rFonts w:ascii="Verdana" w:cs="Verdana" w:eastAsia="Verdana" w:hAnsi="Verdana"/>
                <w:sz w:val="13"/>
                <w:szCs w:val="13"/>
                <w:b w:val="1"/>
                <w:bCs w:val="1"/>
                <w:color w:val="auto"/>
              </w:rPr>
              <w:t>12 months or more</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Verdana" w:cs="Verdana" w:eastAsia="Verdana" w:hAnsi="Verdana"/>
                <w:sz w:val="13"/>
                <w:szCs w:val="13"/>
                <w:b w:val="1"/>
                <w:bCs w:val="1"/>
                <w:color w:val="auto"/>
              </w:rPr>
              <w:t>Total</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ind w:left="160"/>
              <w:spacing w:after="0" w:line="120" w:lineRule="exact"/>
              <w:rPr>
                <w:sz w:val="20"/>
                <w:szCs w:val="20"/>
                <w:color w:val="auto"/>
              </w:rPr>
            </w:pPr>
            <w:r>
              <w:rPr>
                <w:rFonts w:ascii="Verdana" w:cs="Verdana" w:eastAsia="Verdana" w:hAnsi="Verdana"/>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96"/>
              <w:spacing w:after="0" w:line="120" w:lineRule="exact"/>
              <w:rPr>
                <w:sz w:val="20"/>
                <w:szCs w:val="20"/>
                <w:color w:val="auto"/>
              </w:rPr>
            </w:pPr>
            <w:r>
              <w:rPr>
                <w:rFonts w:ascii="Verdana" w:cs="Verdana" w:eastAsia="Verdana" w:hAnsi="Verdana"/>
                <w:sz w:val="13"/>
                <w:szCs w:val="13"/>
                <w:b w:val="1"/>
                <w:bCs w:val="1"/>
                <w:color w:val="auto"/>
                <w:w w:val="97"/>
              </w:rPr>
              <w:t>Unrealized</w:t>
            </w: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3"/>
          </w:tcPr>
          <w:p>
            <w:pPr>
              <w:ind w:left="180"/>
              <w:spacing w:after="0" w:line="120" w:lineRule="exact"/>
              <w:rPr>
                <w:sz w:val="20"/>
                <w:szCs w:val="20"/>
                <w:color w:val="auto"/>
              </w:rPr>
            </w:pPr>
            <w:r>
              <w:rPr>
                <w:rFonts w:ascii="Verdana" w:cs="Verdana" w:eastAsia="Verdana" w:hAnsi="Verdana"/>
                <w:sz w:val="13"/>
                <w:szCs w:val="13"/>
                <w:b w:val="1"/>
                <w:bCs w:val="1"/>
                <w:color w:val="auto"/>
              </w:rPr>
              <w:t>Fair</w:t>
            </w: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97"/>
              <w:spacing w:after="0" w:line="120" w:lineRule="exact"/>
              <w:rPr>
                <w:sz w:val="20"/>
                <w:szCs w:val="20"/>
                <w:color w:val="auto"/>
              </w:rPr>
            </w:pPr>
            <w:r>
              <w:rPr>
                <w:rFonts w:ascii="Verdana" w:cs="Verdana" w:eastAsia="Verdana" w:hAnsi="Verdana"/>
                <w:sz w:val="13"/>
                <w:szCs w:val="13"/>
                <w:b w:val="1"/>
                <w:bCs w:val="1"/>
                <w:color w:val="auto"/>
                <w:w w:val="97"/>
              </w:rPr>
              <w:t>Unrealized</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320"/>
              <w:spacing w:after="0" w:line="120" w:lineRule="exact"/>
              <w:rPr>
                <w:sz w:val="20"/>
                <w:szCs w:val="20"/>
                <w:color w:val="auto"/>
              </w:rPr>
            </w:pPr>
            <w:r>
              <w:rPr>
                <w:rFonts w:ascii="Verdana" w:cs="Verdana" w:eastAsia="Verdana" w:hAnsi="Verdana"/>
                <w:sz w:val="13"/>
                <w:szCs w:val="13"/>
                <w:b w:val="1"/>
                <w:bCs w:val="1"/>
                <w:color w:val="auto"/>
                <w:w w:val="99"/>
              </w:rPr>
              <w:t>Fair</w:t>
            </w: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77"/>
              <w:spacing w:after="0" w:line="120" w:lineRule="exact"/>
              <w:rPr>
                <w:sz w:val="20"/>
                <w:szCs w:val="20"/>
                <w:color w:val="auto"/>
              </w:rPr>
            </w:pPr>
            <w:r>
              <w:rPr>
                <w:rFonts w:ascii="Verdana" w:cs="Verdana" w:eastAsia="Verdana" w:hAnsi="Verdana"/>
                <w:sz w:val="13"/>
                <w:szCs w:val="13"/>
                <w:b w:val="1"/>
                <w:bCs w:val="1"/>
                <w:color w:val="auto"/>
                <w:w w:val="97"/>
              </w:rPr>
              <w:t>Unrealized</w:t>
            </w:r>
          </w:p>
        </w:tc>
        <w:tc>
          <w:tcPr>
            <w:tcW w:w="0" w:type="dxa"/>
            <w:vAlign w:val="bottom"/>
          </w:tcPr>
          <w:p>
            <w:pPr>
              <w:spacing w:after="0"/>
              <w:rPr>
                <w:sz w:val="1"/>
                <w:szCs w:val="1"/>
                <w:color w:val="auto"/>
              </w:rPr>
            </w:pPr>
          </w:p>
        </w:tc>
      </w:tr>
      <w:tr>
        <w:trPr>
          <w:trHeight w:val="170"/>
        </w:trPr>
        <w:tc>
          <w:tcPr>
            <w:tcW w:w="4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Verdana" w:cs="Verdana" w:eastAsia="Verdana" w:hAnsi="Verdana"/>
                <w:sz w:val="13"/>
                <w:szCs w:val="13"/>
                <w:b w:val="1"/>
                <w:bCs w:val="1"/>
                <w:color w:val="auto"/>
              </w:rPr>
              <w:t>Value</w:t>
            </w:r>
          </w:p>
        </w:tc>
        <w:tc>
          <w:tcPr>
            <w:tcW w:w="1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Verdana" w:cs="Verdana" w:eastAsia="Verdana" w:hAnsi="Verdana"/>
                <w:sz w:val="13"/>
                <w:szCs w:val="13"/>
                <w:b w:val="1"/>
                <w:bCs w:val="1"/>
                <w:color w:val="auto"/>
                <w:w w:val="97"/>
              </w:rPr>
              <w:t>Losses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tcPr>
          <w:p>
            <w:pPr>
              <w:jc w:val="right"/>
              <w:ind w:right="460"/>
              <w:spacing w:after="0"/>
              <w:rPr>
                <w:sz w:val="20"/>
                <w:szCs w:val="20"/>
                <w:color w:val="auto"/>
              </w:rPr>
            </w:pPr>
            <w:r>
              <w:rPr>
                <w:rFonts w:ascii="Verdana" w:cs="Verdana" w:eastAsia="Verdana" w:hAnsi="Verdana"/>
                <w:sz w:val="13"/>
                <w:szCs w:val="13"/>
                <w:b w:val="1"/>
                <w:bCs w:val="1"/>
                <w:color w:val="auto"/>
              </w:rPr>
              <w:t>Value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260"/>
              <w:spacing w:after="0"/>
              <w:rPr>
                <w:sz w:val="20"/>
                <w:szCs w:val="20"/>
                <w:color w:val="auto"/>
              </w:rPr>
            </w:pPr>
            <w:r>
              <w:rPr>
                <w:rFonts w:ascii="Verdana" w:cs="Verdana" w:eastAsia="Verdana" w:hAnsi="Verdana"/>
                <w:sz w:val="13"/>
                <w:szCs w:val="13"/>
                <w:b w:val="1"/>
                <w:bCs w:val="1"/>
                <w:color w:val="auto"/>
                <w:w w:val="97"/>
              </w:rPr>
              <w:t>Losses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Verdana" w:cs="Verdana" w:eastAsia="Verdana" w:hAnsi="Verdana"/>
                <w:sz w:val="13"/>
                <w:szCs w:val="13"/>
                <w:b w:val="1"/>
                <w:bCs w:val="1"/>
                <w:color w:val="auto"/>
                <w:w w:val="97"/>
              </w:rPr>
              <w:t>Value</w:t>
            </w:r>
          </w:p>
        </w:tc>
        <w:tc>
          <w:tcPr>
            <w:tcW w:w="160" w:type="dxa"/>
            <w:vAlign w:val="bottom"/>
          </w:tcPr>
          <w:p>
            <w:pPr>
              <w:spacing w:after="0"/>
              <w:rPr>
                <w:sz w:val="14"/>
                <w:szCs w:val="14"/>
                <w:color w:val="auto"/>
              </w:rPr>
            </w:pPr>
          </w:p>
        </w:tc>
        <w:tc>
          <w:tcPr>
            <w:tcW w:w="960" w:type="dxa"/>
            <w:vAlign w:val="bottom"/>
          </w:tcPr>
          <w:p>
            <w:pPr>
              <w:jc w:val="center"/>
              <w:ind w:right="77"/>
              <w:spacing w:after="0"/>
              <w:rPr>
                <w:sz w:val="20"/>
                <w:szCs w:val="20"/>
                <w:color w:val="auto"/>
              </w:rPr>
            </w:pPr>
            <w:r>
              <w:rPr>
                <w:rFonts w:ascii="Verdana" w:cs="Verdana" w:eastAsia="Verdana" w:hAnsi="Verdana"/>
                <w:sz w:val="13"/>
                <w:szCs w:val="13"/>
                <w:b w:val="1"/>
                <w:bCs w:val="1"/>
                <w:color w:val="auto"/>
                <w:w w:val="97"/>
              </w:rPr>
              <w:t>Losses</w:t>
            </w:r>
          </w:p>
        </w:tc>
        <w:tc>
          <w:tcPr>
            <w:tcW w:w="0" w:type="dxa"/>
            <w:vAlign w:val="bottom"/>
          </w:tcPr>
          <w:p>
            <w:pPr>
              <w:spacing w:after="0"/>
              <w:rPr>
                <w:sz w:val="1"/>
                <w:szCs w:val="1"/>
                <w:color w:val="auto"/>
              </w:rPr>
            </w:pPr>
          </w:p>
        </w:tc>
      </w:tr>
      <w:tr>
        <w:trPr>
          <w:trHeight w:val="255"/>
        </w:trPr>
        <w:tc>
          <w:tcPr>
            <w:tcW w:w="410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available for sale</w:t>
            </w:r>
          </w:p>
        </w:tc>
        <w:tc>
          <w:tcPr>
            <w:tcW w:w="240" w:type="dxa"/>
            <w:vAlign w:val="bottom"/>
            <w:tcBorders>
              <w:top w:val="single" w:sz="8" w:color="auto"/>
            </w:tcBorders>
            <w:shd w:val="clear" w:color="auto" w:fill="E0E7ED"/>
          </w:tcPr>
          <w:p>
            <w:pPr>
              <w:spacing w:after="0"/>
              <w:rPr>
                <w:sz w:val="22"/>
                <w:szCs w:val="22"/>
                <w:color w:val="auto"/>
              </w:rPr>
            </w:pPr>
          </w:p>
        </w:tc>
        <w:tc>
          <w:tcPr>
            <w:tcW w:w="84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94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auto"/>
            </w:tcBorders>
            <w:shd w:val="clear" w:color="auto" w:fill="E0E7ED"/>
          </w:tcPr>
          <w:p>
            <w:pPr>
              <w:spacing w:after="0"/>
              <w:rPr>
                <w:sz w:val="22"/>
                <w:szCs w:val="22"/>
                <w:color w:val="auto"/>
              </w:rPr>
            </w:pPr>
          </w:p>
        </w:tc>
        <w:tc>
          <w:tcPr>
            <w:tcW w:w="180" w:type="dxa"/>
            <w:vAlign w:val="bottom"/>
            <w:tcBorders>
              <w:top w:val="single" w:sz="8" w:color="auto"/>
            </w:tcBorders>
            <w:shd w:val="clear" w:color="auto" w:fill="E0E7ED"/>
          </w:tcPr>
          <w:p>
            <w:pPr>
              <w:spacing w:after="0"/>
              <w:rPr>
                <w:sz w:val="22"/>
                <w:szCs w:val="22"/>
                <w:color w:val="auto"/>
              </w:rPr>
            </w:pPr>
          </w:p>
        </w:tc>
        <w:tc>
          <w:tcPr>
            <w:tcW w:w="900" w:type="dxa"/>
            <w:vAlign w:val="bottom"/>
            <w:tcBorders>
              <w:top w:val="single" w:sz="8" w:color="auto"/>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40" w:type="dxa"/>
            <w:vAlign w:val="bottom"/>
            <w:tcBorders>
              <w:top w:val="single" w:sz="8" w:color="auto"/>
            </w:tcBorders>
            <w:shd w:val="clear" w:color="auto" w:fill="E0E7ED"/>
          </w:tcPr>
          <w:p>
            <w:pPr>
              <w:spacing w:after="0"/>
              <w:rPr>
                <w:sz w:val="22"/>
                <w:szCs w:val="22"/>
                <w:color w:val="auto"/>
              </w:rPr>
            </w:pPr>
          </w:p>
        </w:tc>
        <w:tc>
          <w:tcPr>
            <w:tcW w:w="140" w:type="dxa"/>
            <w:vAlign w:val="bottom"/>
            <w:tcBorders>
              <w:top w:val="single" w:sz="8" w:color="auto"/>
            </w:tcBorders>
            <w:shd w:val="clear" w:color="auto" w:fill="E0E7ED"/>
          </w:tcPr>
          <w:p>
            <w:pPr>
              <w:spacing w:after="0"/>
              <w:rPr>
                <w:sz w:val="22"/>
                <w:szCs w:val="22"/>
                <w:color w:val="auto"/>
              </w:rPr>
            </w:pPr>
          </w:p>
        </w:tc>
        <w:tc>
          <w:tcPr>
            <w:tcW w:w="940" w:type="dxa"/>
            <w:vAlign w:val="bottom"/>
            <w:tcBorders>
              <w:top w:val="single" w:sz="8" w:color="auto"/>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40" w:type="dxa"/>
            <w:vAlign w:val="bottom"/>
            <w:tcBorders>
              <w:top w:val="single" w:sz="8" w:color="auto"/>
            </w:tcBorders>
            <w:shd w:val="clear" w:color="auto" w:fill="E0E7ED"/>
          </w:tcPr>
          <w:p>
            <w:pPr>
              <w:spacing w:after="0"/>
              <w:rPr>
                <w:sz w:val="22"/>
                <w:szCs w:val="22"/>
                <w:color w:val="auto"/>
              </w:rPr>
            </w:pPr>
          </w:p>
        </w:tc>
        <w:tc>
          <w:tcPr>
            <w:tcW w:w="200" w:type="dxa"/>
            <w:vAlign w:val="bottom"/>
            <w:tcBorders>
              <w:top w:val="single" w:sz="8" w:color="auto"/>
            </w:tcBorders>
            <w:shd w:val="clear" w:color="auto" w:fill="E0E7ED"/>
          </w:tcPr>
          <w:p>
            <w:pPr>
              <w:spacing w:after="0"/>
              <w:rPr>
                <w:sz w:val="22"/>
                <w:szCs w:val="22"/>
                <w:color w:val="auto"/>
              </w:rPr>
            </w:pPr>
          </w:p>
        </w:tc>
        <w:tc>
          <w:tcPr>
            <w:tcW w:w="9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96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100" w:type="dxa"/>
            <w:vAlign w:val="bottom"/>
          </w:tcPr>
          <w:p>
            <w:pPr>
              <w:ind w:left="180"/>
              <w:spacing w:after="0" w:line="270" w:lineRule="exact"/>
              <w:rPr>
                <w:sz w:val="20"/>
                <w:szCs w:val="20"/>
                <w:color w:val="auto"/>
              </w:rPr>
            </w:pPr>
            <w:r>
              <w:rPr>
                <w:rFonts w:ascii="Verdana" w:cs="Verdana" w:eastAsia="Verdana" w:hAnsi="Verdana"/>
                <w:sz w:val="18"/>
                <w:szCs w:val="18"/>
                <w:color w:val="auto"/>
              </w:rPr>
              <w:t>U.S. Treasury securities</w:t>
            </w:r>
            <w:r>
              <w:rPr>
                <w:rFonts w:ascii="Verdana" w:cs="Verdana" w:eastAsia="Verdana" w:hAnsi="Verdana"/>
                <w:sz w:val="23"/>
                <w:szCs w:val="23"/>
                <w:color w:val="auto"/>
                <w:vertAlign w:val="superscript"/>
              </w:rPr>
              <w:t>1</w:t>
            </w: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92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020" w:type="dxa"/>
            <w:vAlign w:val="bottom"/>
            <w:gridSpan w:val="2"/>
          </w:tcPr>
          <w:p>
            <w:pPr>
              <w:ind w:left="660"/>
              <w:spacing w:after="0"/>
              <w:rPr>
                <w:sz w:val="20"/>
                <w:szCs w:val="20"/>
                <w:color w:val="auto"/>
              </w:rPr>
            </w:pPr>
            <w:r>
              <w:rPr>
                <w:rFonts w:ascii="Verdana" w:cs="Verdana" w:eastAsia="Verdana" w:hAnsi="Verdana"/>
                <w:sz w:val="18"/>
                <w:szCs w:val="18"/>
                <w:color w:val="auto"/>
              </w:rPr>
              <w:t>—</w:t>
            </w:r>
          </w:p>
        </w:tc>
        <w:tc>
          <w:tcPr>
            <w:tcW w:w="260" w:type="dxa"/>
            <w:vAlign w:val="bottom"/>
            <w:gridSpan w:val="2"/>
          </w:tcPr>
          <w:p>
            <w:pPr>
              <w:jc w:val="right"/>
              <w:ind w:right="68"/>
              <w:spacing w:after="0"/>
              <w:rPr>
                <w:sz w:val="20"/>
                <w:szCs w:val="20"/>
                <w:color w:val="auto"/>
              </w:rPr>
            </w:pPr>
            <w:r>
              <w:rPr>
                <w:rFonts w:ascii="Verdana" w:cs="Verdana" w:eastAsia="Verdana" w:hAnsi="Verdana"/>
                <w:sz w:val="18"/>
                <w:szCs w:val="18"/>
                <w:color w:val="auto"/>
                <w:w w:val="86"/>
              </w:rPr>
              <w:t>$</w:t>
            </w:r>
          </w:p>
        </w:tc>
        <w:tc>
          <w:tcPr>
            <w:tcW w:w="900" w:type="dxa"/>
            <w:vAlign w:val="bottom"/>
          </w:tcPr>
          <w:p>
            <w:pPr>
              <w:jc w:val="right"/>
              <w:ind w:right="21"/>
              <w:spacing w:after="0"/>
              <w:rPr>
                <w:sz w:val="20"/>
                <w:szCs w:val="20"/>
                <w:color w:val="auto"/>
              </w:rPr>
            </w:pPr>
            <w:r>
              <w:rPr>
                <w:rFonts w:ascii="Verdana" w:cs="Verdana" w:eastAsia="Verdana" w:hAnsi="Verdana"/>
                <w:sz w:val="18"/>
                <w:szCs w:val="18"/>
                <w:color w:val="auto"/>
              </w:rPr>
              <w:t>250</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Verdana" w:cs="Verdana" w:eastAsia="Verdana" w:hAnsi="Verdana"/>
                <w:sz w:val="18"/>
                <w:szCs w:val="18"/>
                <w:color w:val="auto"/>
                <w:w w:val="86"/>
              </w:rPr>
              <w:t>$</w:t>
            </w:r>
          </w:p>
        </w:tc>
        <w:tc>
          <w:tcPr>
            <w:tcW w:w="1020" w:type="dxa"/>
            <w:vAlign w:val="bottom"/>
            <w:gridSpan w:val="3"/>
          </w:tcPr>
          <w:p>
            <w:pPr>
              <w:ind w:left="660"/>
              <w:spacing w:after="0"/>
              <w:rPr>
                <w:sz w:val="20"/>
                <w:szCs w:val="20"/>
                <w:color w:val="auto"/>
              </w:rPr>
            </w:pPr>
            <w:r>
              <w:rPr>
                <w:rFonts w:ascii="Verdana" w:cs="Verdana" w:eastAsia="Verdana" w:hAnsi="Verdana"/>
                <w:sz w:val="18"/>
                <w:szCs w:val="18"/>
                <w:color w:val="auto"/>
              </w:rPr>
              <w:t>—</w:t>
            </w:r>
          </w:p>
        </w:tc>
        <w:tc>
          <w:tcPr>
            <w:tcW w:w="240" w:type="dxa"/>
            <w:vAlign w:val="bottom"/>
            <w:gridSpan w:val="2"/>
          </w:tcPr>
          <w:p>
            <w:pPr>
              <w:jc w:val="right"/>
              <w:ind w:right="120"/>
              <w:spacing w:after="0"/>
              <w:rPr>
                <w:sz w:val="20"/>
                <w:szCs w:val="20"/>
                <w:color w:val="auto"/>
              </w:rPr>
            </w:pPr>
            <w:r>
              <w:rPr>
                <w:rFonts w:ascii="Verdana" w:cs="Verdana" w:eastAsia="Verdana" w:hAnsi="Verdana"/>
                <w:sz w:val="18"/>
                <w:szCs w:val="18"/>
                <w:color w:val="auto"/>
                <w:w w:val="86"/>
              </w:rPr>
              <w:t>$</w:t>
            </w:r>
          </w:p>
        </w:tc>
        <w:tc>
          <w:tcPr>
            <w:tcW w:w="920" w:type="dxa"/>
            <w:vAlign w:val="bottom"/>
          </w:tcPr>
          <w:p>
            <w:pPr>
              <w:jc w:val="right"/>
              <w:ind w:right="21"/>
              <w:spacing w:after="0"/>
              <w:rPr>
                <w:sz w:val="20"/>
                <w:szCs w:val="20"/>
                <w:color w:val="auto"/>
              </w:rPr>
            </w:pPr>
            <w:r>
              <w:rPr>
                <w:rFonts w:ascii="Verdana" w:cs="Verdana" w:eastAsia="Verdana" w:hAnsi="Verdana"/>
                <w:sz w:val="18"/>
                <w:szCs w:val="18"/>
                <w:color w:val="auto"/>
              </w:rPr>
              <w:t>250</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0" w:type="dxa"/>
            <w:vAlign w:val="bottom"/>
          </w:tcPr>
          <w:p>
            <w:pPr>
              <w:spacing w:after="0"/>
              <w:rPr>
                <w:sz w:val="1"/>
                <w:szCs w:val="1"/>
                <w:color w:val="auto"/>
              </w:rPr>
            </w:pPr>
          </w:p>
        </w:tc>
      </w:tr>
      <w:tr>
        <w:trPr>
          <w:trHeight w:val="238"/>
        </w:trPr>
        <w:tc>
          <w:tcPr>
            <w:tcW w:w="41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Obligations of U.S. government</w:t>
            </w:r>
          </w:p>
        </w:tc>
        <w:tc>
          <w:tcPr>
            <w:tcW w:w="240" w:type="dxa"/>
            <w:vAlign w:val="bottom"/>
            <w:shd w:val="clear" w:color="auto" w:fill="E0E7ED"/>
          </w:tcPr>
          <w:p>
            <w:pPr>
              <w:spacing w:after="0"/>
              <w:rPr>
                <w:sz w:val="20"/>
                <w:szCs w:val="20"/>
                <w:color w:val="auto"/>
              </w:rPr>
            </w:pPr>
          </w:p>
        </w:tc>
        <w:tc>
          <w:tcPr>
            <w:tcW w:w="84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60" w:type="dxa"/>
            <w:vAlign w:val="bottom"/>
            <w:shd w:val="clear" w:color="auto" w:fill="E0E7ED"/>
          </w:tcPr>
          <w:p>
            <w:pPr>
              <w:spacing w:after="0"/>
              <w:rPr>
                <w:sz w:val="20"/>
                <w:szCs w:val="20"/>
                <w:color w:val="auto"/>
              </w:rPr>
            </w:pPr>
          </w:p>
        </w:tc>
        <w:tc>
          <w:tcPr>
            <w:tcW w:w="94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80" w:type="dxa"/>
            <w:vAlign w:val="bottom"/>
            <w:shd w:val="clear" w:color="auto" w:fill="E0E7ED"/>
          </w:tcPr>
          <w:p>
            <w:pPr>
              <w:spacing w:after="0"/>
              <w:rPr>
                <w:sz w:val="20"/>
                <w:szCs w:val="20"/>
                <w:color w:val="auto"/>
              </w:rPr>
            </w:pPr>
          </w:p>
        </w:tc>
        <w:tc>
          <w:tcPr>
            <w:tcW w:w="900" w:type="dxa"/>
            <w:vAlign w:val="bottom"/>
            <w:shd w:val="clear" w:color="auto" w:fill="E0E7ED"/>
          </w:tcPr>
          <w:p>
            <w:pPr>
              <w:spacing w:after="0"/>
              <w:rPr>
                <w:sz w:val="20"/>
                <w:szCs w:val="20"/>
                <w:color w:val="auto"/>
              </w:rPr>
            </w:pPr>
          </w:p>
        </w:tc>
        <w:tc>
          <w:tcPr>
            <w:tcW w:w="40" w:type="dxa"/>
            <w:vAlign w:val="bottom"/>
            <w:shd w:val="clear" w:color="auto" w:fill="E0E7ED"/>
          </w:tcPr>
          <w:p>
            <w:pPr>
              <w:spacing w:after="0"/>
              <w:rPr>
                <w:sz w:val="20"/>
                <w:szCs w:val="20"/>
                <w:color w:val="auto"/>
              </w:rPr>
            </w:pPr>
          </w:p>
        </w:tc>
        <w:tc>
          <w:tcPr>
            <w:tcW w:w="40" w:type="dxa"/>
            <w:vAlign w:val="bottom"/>
            <w:shd w:val="clear" w:color="auto" w:fill="E0E7ED"/>
          </w:tcPr>
          <w:p>
            <w:pPr>
              <w:spacing w:after="0"/>
              <w:rPr>
                <w:sz w:val="20"/>
                <w:szCs w:val="20"/>
                <w:color w:val="auto"/>
              </w:rPr>
            </w:pPr>
          </w:p>
        </w:tc>
        <w:tc>
          <w:tcPr>
            <w:tcW w:w="40" w:type="dxa"/>
            <w:vAlign w:val="bottom"/>
            <w:shd w:val="clear" w:color="auto" w:fill="E0E7ED"/>
          </w:tcPr>
          <w:p>
            <w:pPr>
              <w:spacing w:after="0"/>
              <w:rPr>
                <w:sz w:val="20"/>
                <w:szCs w:val="20"/>
                <w:color w:val="auto"/>
              </w:rPr>
            </w:pPr>
          </w:p>
        </w:tc>
        <w:tc>
          <w:tcPr>
            <w:tcW w:w="140" w:type="dxa"/>
            <w:vAlign w:val="bottom"/>
            <w:shd w:val="clear" w:color="auto" w:fill="E0E7ED"/>
          </w:tcPr>
          <w:p>
            <w:pPr>
              <w:spacing w:after="0"/>
              <w:rPr>
                <w:sz w:val="20"/>
                <w:szCs w:val="20"/>
                <w:color w:val="auto"/>
              </w:rPr>
            </w:pPr>
          </w:p>
        </w:tc>
        <w:tc>
          <w:tcPr>
            <w:tcW w:w="940" w:type="dxa"/>
            <w:vAlign w:val="bottom"/>
            <w:shd w:val="clear" w:color="auto" w:fill="E0E7ED"/>
          </w:tcPr>
          <w:p>
            <w:pPr>
              <w:spacing w:after="0"/>
              <w:rPr>
                <w:sz w:val="20"/>
                <w:szCs w:val="20"/>
                <w:color w:val="auto"/>
              </w:rPr>
            </w:pPr>
          </w:p>
        </w:tc>
        <w:tc>
          <w:tcPr>
            <w:tcW w:w="40" w:type="dxa"/>
            <w:vAlign w:val="bottom"/>
            <w:shd w:val="clear" w:color="auto" w:fill="E0E7ED"/>
          </w:tcPr>
          <w:p>
            <w:pPr>
              <w:spacing w:after="0"/>
              <w:rPr>
                <w:sz w:val="20"/>
                <w:szCs w:val="20"/>
                <w:color w:val="auto"/>
              </w:rPr>
            </w:pPr>
          </w:p>
        </w:tc>
        <w:tc>
          <w:tcPr>
            <w:tcW w:w="40" w:type="dxa"/>
            <w:vAlign w:val="bottom"/>
            <w:shd w:val="clear" w:color="auto" w:fill="E0E7ED"/>
          </w:tcPr>
          <w:p>
            <w:pPr>
              <w:spacing w:after="0"/>
              <w:rPr>
                <w:sz w:val="20"/>
                <w:szCs w:val="20"/>
                <w:color w:val="auto"/>
              </w:rPr>
            </w:pPr>
          </w:p>
        </w:tc>
        <w:tc>
          <w:tcPr>
            <w:tcW w:w="40" w:type="dxa"/>
            <w:vAlign w:val="bottom"/>
            <w:shd w:val="clear" w:color="auto" w:fill="E0E7ED"/>
          </w:tcPr>
          <w:p>
            <w:pPr>
              <w:spacing w:after="0"/>
              <w:rPr>
                <w:sz w:val="20"/>
                <w:szCs w:val="20"/>
                <w:color w:val="auto"/>
              </w:rPr>
            </w:pPr>
          </w:p>
        </w:tc>
        <w:tc>
          <w:tcPr>
            <w:tcW w:w="200" w:type="dxa"/>
            <w:vAlign w:val="bottom"/>
            <w:shd w:val="clear" w:color="auto" w:fill="E0E7ED"/>
          </w:tcPr>
          <w:p>
            <w:pPr>
              <w:spacing w:after="0"/>
              <w:rPr>
                <w:sz w:val="20"/>
                <w:szCs w:val="20"/>
                <w:color w:val="auto"/>
              </w:rPr>
            </w:pPr>
          </w:p>
        </w:tc>
        <w:tc>
          <w:tcPr>
            <w:tcW w:w="92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60" w:type="dxa"/>
            <w:vAlign w:val="bottom"/>
            <w:shd w:val="clear" w:color="auto" w:fill="E0E7ED"/>
          </w:tcPr>
          <w:p>
            <w:pPr>
              <w:spacing w:after="0"/>
              <w:rPr>
                <w:sz w:val="20"/>
                <w:szCs w:val="20"/>
                <w:color w:val="auto"/>
              </w:rPr>
            </w:pPr>
          </w:p>
        </w:tc>
        <w:tc>
          <w:tcPr>
            <w:tcW w:w="96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1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corporations and agencies</w:t>
            </w:r>
          </w:p>
        </w:tc>
        <w:tc>
          <w:tcPr>
            <w:tcW w:w="240" w:type="dxa"/>
            <w:vAlign w:val="bottom"/>
            <w:shd w:val="clear" w:color="auto" w:fill="E0E7ED"/>
          </w:tcPr>
          <w:p>
            <w:pPr>
              <w:spacing w:after="0"/>
              <w:rPr>
                <w:sz w:val="21"/>
                <w:szCs w:val="21"/>
                <w:color w:val="auto"/>
              </w:rPr>
            </w:pPr>
          </w:p>
        </w:tc>
        <w:tc>
          <w:tcPr>
            <w:tcW w:w="92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160" w:type="dxa"/>
            <w:vAlign w:val="bottom"/>
            <w:shd w:val="clear" w:color="auto" w:fill="E0E7ED"/>
          </w:tcPr>
          <w:p>
            <w:pPr>
              <w:spacing w:after="0"/>
              <w:rPr>
                <w:sz w:val="21"/>
                <w:szCs w:val="21"/>
                <w:color w:val="auto"/>
              </w:rPr>
            </w:pPr>
          </w:p>
        </w:tc>
        <w:tc>
          <w:tcPr>
            <w:tcW w:w="1020" w:type="dxa"/>
            <w:vAlign w:val="bottom"/>
            <w:gridSpan w:val="2"/>
            <w:shd w:val="clear" w:color="auto" w:fill="E0E7ED"/>
          </w:tcPr>
          <w:p>
            <w:pPr>
              <w:ind w:left="660"/>
              <w:spacing w:after="0"/>
              <w:rPr>
                <w:sz w:val="20"/>
                <w:szCs w:val="20"/>
                <w:color w:val="auto"/>
              </w:rPr>
            </w:pPr>
            <w:r>
              <w:rPr>
                <w:rFonts w:ascii="Verdana" w:cs="Verdana" w:eastAsia="Verdana" w:hAnsi="Verdana"/>
                <w:sz w:val="18"/>
                <w:szCs w:val="18"/>
                <w:color w:val="auto"/>
              </w:rPr>
              <w:t>—</w:t>
            </w:r>
          </w:p>
        </w:tc>
        <w:tc>
          <w:tcPr>
            <w:tcW w:w="8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90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1,425</w:t>
            </w: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w:t>
            </w: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92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1,425</w:t>
            </w: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w:t>
            </w:r>
          </w:p>
        </w:tc>
        <w:tc>
          <w:tcPr>
            <w:tcW w:w="0" w:type="dxa"/>
            <w:vAlign w:val="bottom"/>
          </w:tcPr>
          <w:p>
            <w:pPr>
              <w:spacing w:after="0"/>
              <w:rPr>
                <w:sz w:val="1"/>
                <w:szCs w:val="1"/>
                <w:color w:val="auto"/>
              </w:rPr>
            </w:pPr>
          </w:p>
        </w:tc>
      </w:tr>
      <w:tr>
        <w:trPr>
          <w:trHeight w:val="238"/>
        </w:trPr>
        <w:tc>
          <w:tcPr>
            <w:tcW w:w="4100" w:type="dxa"/>
            <w:vAlign w:val="bottom"/>
          </w:tcPr>
          <w:p>
            <w:pPr>
              <w:ind w:left="180"/>
              <w:spacing w:after="0"/>
              <w:rPr>
                <w:sz w:val="20"/>
                <w:szCs w:val="20"/>
                <w:color w:val="auto"/>
              </w:rPr>
            </w:pPr>
            <w:r>
              <w:rPr>
                <w:rFonts w:ascii="Verdana" w:cs="Verdana" w:eastAsia="Verdana" w:hAnsi="Verdana"/>
                <w:sz w:val="18"/>
                <w:szCs w:val="18"/>
                <w:color w:val="auto"/>
              </w:rPr>
              <w:t>Obligations of states and political</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100" w:type="dxa"/>
            <w:vAlign w:val="bottom"/>
          </w:tcPr>
          <w:p>
            <w:pPr>
              <w:ind w:left="180"/>
              <w:spacing w:after="0"/>
              <w:rPr>
                <w:sz w:val="20"/>
                <w:szCs w:val="20"/>
                <w:color w:val="auto"/>
              </w:rPr>
            </w:pPr>
            <w:r>
              <w:rPr>
                <w:rFonts w:ascii="Verdana" w:cs="Verdana" w:eastAsia="Verdana" w:hAnsi="Verdana"/>
                <w:sz w:val="18"/>
                <w:szCs w:val="18"/>
                <w:color w:val="auto"/>
              </w:rPr>
              <w:t>subdivisions</w:t>
            </w:r>
          </w:p>
        </w:tc>
        <w:tc>
          <w:tcPr>
            <w:tcW w:w="240" w:type="dxa"/>
            <w:vAlign w:val="bottom"/>
          </w:tcPr>
          <w:p>
            <w:pPr>
              <w:spacing w:after="0"/>
              <w:rPr>
                <w:sz w:val="21"/>
                <w:szCs w:val="21"/>
                <w:color w:val="auto"/>
              </w:rPr>
            </w:pPr>
          </w:p>
        </w:tc>
        <w:tc>
          <w:tcPr>
            <w:tcW w:w="840" w:type="dxa"/>
            <w:vAlign w:val="bottom"/>
          </w:tcPr>
          <w:p>
            <w:pPr>
              <w:jc w:val="right"/>
              <w:ind w:right="18"/>
              <w:spacing w:after="0"/>
              <w:rPr>
                <w:sz w:val="20"/>
                <w:szCs w:val="20"/>
                <w:color w:val="auto"/>
              </w:rPr>
            </w:pPr>
            <w:r>
              <w:rPr>
                <w:rFonts w:ascii="Verdana" w:cs="Verdana" w:eastAsia="Verdana" w:hAnsi="Verdana"/>
                <w:sz w:val="18"/>
                <w:szCs w:val="18"/>
                <w:color w:val="auto"/>
              </w:rPr>
              <w:t>2,518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Verdana" w:cs="Verdana" w:eastAsia="Verdana" w:hAnsi="Verdana"/>
                <w:sz w:val="18"/>
                <w:szCs w:val="18"/>
                <w:color w:val="auto"/>
              </w:rPr>
              <w:t>(97)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21"/>
              <w:spacing w:after="0"/>
              <w:rPr>
                <w:sz w:val="20"/>
                <w:szCs w:val="20"/>
                <w:color w:val="auto"/>
              </w:rPr>
            </w:pPr>
            <w:r>
              <w:rPr>
                <w:rFonts w:ascii="Verdana" w:cs="Verdana" w:eastAsia="Verdana" w:hAnsi="Verdana"/>
                <w:sz w:val="18"/>
                <w:szCs w:val="18"/>
                <w:color w:val="auto"/>
              </w:rPr>
              <w:t>134,373</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Verdana" w:cs="Verdana" w:eastAsia="Verdana" w:hAnsi="Verdana"/>
                <w:sz w:val="18"/>
                <w:szCs w:val="18"/>
                <w:color w:val="auto"/>
              </w:rPr>
              <w:t>(13,047)</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21"/>
              <w:spacing w:after="0"/>
              <w:rPr>
                <w:sz w:val="20"/>
                <w:szCs w:val="20"/>
                <w:color w:val="auto"/>
              </w:rPr>
            </w:pPr>
            <w:r>
              <w:rPr>
                <w:rFonts w:ascii="Verdana" w:cs="Verdana" w:eastAsia="Verdana" w:hAnsi="Verdana"/>
                <w:sz w:val="18"/>
                <w:szCs w:val="18"/>
                <w:color w:val="auto"/>
              </w:rPr>
              <w:t>136,891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Verdana" w:cs="Verdana" w:eastAsia="Verdana" w:hAnsi="Verdana"/>
                <w:sz w:val="18"/>
                <w:szCs w:val="18"/>
                <w:color w:val="auto"/>
              </w:rPr>
              <w:t>(13,144)</w:t>
            </w:r>
          </w:p>
        </w:tc>
        <w:tc>
          <w:tcPr>
            <w:tcW w:w="0" w:type="dxa"/>
            <w:vAlign w:val="bottom"/>
          </w:tcPr>
          <w:p>
            <w:pPr>
              <w:spacing w:after="0"/>
              <w:rPr>
                <w:sz w:val="1"/>
                <w:szCs w:val="1"/>
                <w:color w:val="auto"/>
              </w:rPr>
            </w:pPr>
          </w:p>
        </w:tc>
      </w:tr>
      <w:tr>
        <w:trPr>
          <w:trHeight w:val="277"/>
        </w:trPr>
        <w:tc>
          <w:tcPr>
            <w:tcW w:w="41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mortgage-backed securities</w:t>
            </w:r>
          </w:p>
        </w:tc>
        <w:tc>
          <w:tcPr>
            <w:tcW w:w="240" w:type="dxa"/>
            <w:vAlign w:val="bottom"/>
            <w:shd w:val="clear" w:color="auto" w:fill="E0E7ED"/>
          </w:tcPr>
          <w:p>
            <w:pPr>
              <w:spacing w:after="0"/>
              <w:rPr>
                <w:sz w:val="24"/>
                <w:szCs w:val="24"/>
                <w:color w:val="auto"/>
              </w:rPr>
            </w:pPr>
          </w:p>
        </w:tc>
        <w:tc>
          <w:tcPr>
            <w:tcW w:w="92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160" w:type="dxa"/>
            <w:vAlign w:val="bottom"/>
            <w:shd w:val="clear" w:color="auto" w:fill="E0E7ED"/>
          </w:tcPr>
          <w:p>
            <w:pPr>
              <w:spacing w:after="0"/>
              <w:rPr>
                <w:sz w:val="24"/>
                <w:szCs w:val="24"/>
                <w:color w:val="auto"/>
              </w:rPr>
            </w:pPr>
          </w:p>
        </w:tc>
        <w:tc>
          <w:tcPr>
            <w:tcW w:w="1020" w:type="dxa"/>
            <w:vAlign w:val="bottom"/>
            <w:gridSpan w:val="2"/>
            <w:shd w:val="clear" w:color="auto" w:fill="E0E7ED"/>
          </w:tcPr>
          <w:p>
            <w:pPr>
              <w:ind w:left="660"/>
              <w:spacing w:after="0"/>
              <w:rPr>
                <w:sz w:val="20"/>
                <w:szCs w:val="20"/>
                <w:color w:val="auto"/>
              </w:rPr>
            </w:pPr>
            <w:r>
              <w:rPr>
                <w:rFonts w:ascii="Verdana" w:cs="Verdana" w:eastAsia="Verdana" w:hAnsi="Verdana"/>
                <w:sz w:val="18"/>
                <w:szCs w:val="18"/>
                <w:color w:val="auto"/>
              </w:rPr>
              <w:t>—</w:t>
            </w:r>
          </w:p>
        </w:tc>
        <w:tc>
          <w:tcPr>
            <w:tcW w:w="8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90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89,272</w:t>
            </w: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(12,492)</w:t>
            </w: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92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89,272</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(12,492)</w:t>
            </w:r>
          </w:p>
        </w:tc>
        <w:tc>
          <w:tcPr>
            <w:tcW w:w="0" w:type="dxa"/>
            <w:vAlign w:val="bottom"/>
          </w:tcPr>
          <w:p>
            <w:pPr>
              <w:spacing w:after="0"/>
              <w:rPr>
                <w:sz w:val="1"/>
                <w:szCs w:val="1"/>
                <w:color w:val="auto"/>
              </w:rPr>
            </w:pPr>
          </w:p>
        </w:tc>
      </w:tr>
      <w:tr>
        <w:trPr>
          <w:trHeight w:val="263"/>
        </w:trPr>
        <w:tc>
          <w:tcPr>
            <w:tcW w:w="4100" w:type="dxa"/>
            <w:vAlign w:val="bottom"/>
          </w:tcPr>
          <w:p>
            <w:pPr>
              <w:ind w:left="180"/>
              <w:spacing w:after="0"/>
              <w:rPr>
                <w:sz w:val="20"/>
                <w:szCs w:val="20"/>
                <w:color w:val="auto"/>
              </w:rPr>
            </w:pPr>
            <w:r>
              <w:rPr>
                <w:rFonts w:ascii="Verdana" w:cs="Verdana" w:eastAsia="Verdana" w:hAnsi="Verdana"/>
                <w:sz w:val="18"/>
                <w:szCs w:val="18"/>
                <w:color w:val="auto"/>
              </w:rPr>
              <w:t>Residential mortgage-backed securities</w:t>
            </w:r>
          </w:p>
        </w:tc>
        <w:tc>
          <w:tcPr>
            <w:tcW w:w="240" w:type="dxa"/>
            <w:vAlign w:val="bottom"/>
          </w:tcPr>
          <w:p>
            <w:pPr>
              <w:spacing w:after="0"/>
              <w:rPr>
                <w:sz w:val="22"/>
                <w:szCs w:val="22"/>
                <w:color w:val="auto"/>
              </w:rPr>
            </w:pPr>
          </w:p>
        </w:tc>
        <w:tc>
          <w:tcPr>
            <w:tcW w:w="840" w:type="dxa"/>
            <w:vAlign w:val="bottom"/>
          </w:tcPr>
          <w:p>
            <w:pPr>
              <w:jc w:val="right"/>
              <w:ind w:right="18"/>
              <w:spacing w:after="0"/>
              <w:rPr>
                <w:sz w:val="20"/>
                <w:szCs w:val="20"/>
                <w:color w:val="auto"/>
              </w:rPr>
            </w:pPr>
            <w:r>
              <w:rPr>
                <w:rFonts w:ascii="Verdana" w:cs="Verdana" w:eastAsia="Verdana" w:hAnsi="Verdana"/>
                <w:sz w:val="18"/>
                <w:szCs w:val="18"/>
                <w:color w:val="auto"/>
              </w:rPr>
              <w:t>877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Verdana" w:cs="Verdana" w:eastAsia="Verdana" w:hAnsi="Verdana"/>
                <w:sz w:val="18"/>
                <w:szCs w:val="18"/>
                <w:color w:val="auto"/>
              </w:rPr>
              <w:t>(2)</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Verdana" w:cs="Verdana" w:eastAsia="Verdana" w:hAnsi="Verdana"/>
                <w:sz w:val="18"/>
                <w:szCs w:val="18"/>
                <w:color w:val="auto"/>
              </w:rPr>
              <w:t>993,631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Verdana" w:cs="Verdana" w:eastAsia="Verdana" w:hAnsi="Verdana"/>
                <w:sz w:val="18"/>
                <w:szCs w:val="18"/>
                <w:color w:val="auto"/>
                <w:w w:val="95"/>
              </w:rPr>
              <w:t>(159,223)</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Verdana" w:cs="Verdana" w:eastAsia="Verdana" w:hAnsi="Verdana"/>
                <w:sz w:val="18"/>
                <w:szCs w:val="18"/>
                <w:color w:val="auto"/>
              </w:rPr>
              <w:t>994,508</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Verdana" w:cs="Verdana" w:eastAsia="Verdana" w:hAnsi="Verdana"/>
                <w:sz w:val="18"/>
                <w:szCs w:val="18"/>
                <w:color w:val="auto"/>
              </w:rPr>
              <w:t>(159,225)</w:t>
            </w:r>
          </w:p>
        </w:tc>
        <w:tc>
          <w:tcPr>
            <w:tcW w:w="0" w:type="dxa"/>
            <w:vAlign w:val="bottom"/>
          </w:tcPr>
          <w:p>
            <w:pPr>
              <w:spacing w:after="0"/>
              <w:rPr>
                <w:sz w:val="1"/>
                <w:szCs w:val="1"/>
                <w:color w:val="auto"/>
              </w:rPr>
            </w:pPr>
          </w:p>
        </w:tc>
      </w:tr>
      <w:tr>
        <w:trPr>
          <w:trHeight w:val="277"/>
        </w:trPr>
        <w:tc>
          <w:tcPr>
            <w:tcW w:w="41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Corporate debt securities</w:t>
            </w:r>
          </w:p>
        </w:tc>
        <w:tc>
          <w:tcPr>
            <w:tcW w:w="240" w:type="dxa"/>
            <w:vAlign w:val="bottom"/>
            <w:tcBorders>
              <w:bottom w:val="single" w:sz="8" w:color="auto"/>
            </w:tcBorders>
            <w:shd w:val="clear" w:color="auto" w:fill="E0E7ED"/>
          </w:tcPr>
          <w:p>
            <w:pPr>
              <w:spacing w:after="0"/>
              <w:rPr>
                <w:sz w:val="24"/>
                <w:szCs w:val="24"/>
                <w:color w:val="auto"/>
              </w:rPr>
            </w:pPr>
          </w:p>
        </w:tc>
        <w:tc>
          <w:tcPr>
            <w:tcW w:w="840" w:type="dxa"/>
            <w:vAlign w:val="bottom"/>
            <w:tcBorders>
              <w:bottom w:val="single" w:sz="8" w:color="auto"/>
            </w:tcBorders>
            <w:shd w:val="clear" w:color="auto" w:fill="E0E7ED"/>
          </w:tcPr>
          <w:p>
            <w:pPr>
              <w:jc w:val="right"/>
              <w:ind w:right="18"/>
              <w:spacing w:after="0"/>
              <w:rPr>
                <w:sz w:val="20"/>
                <w:szCs w:val="20"/>
                <w:color w:val="auto"/>
              </w:rPr>
            </w:pPr>
            <w:r>
              <w:rPr>
                <w:rFonts w:ascii="Verdana" w:cs="Verdana" w:eastAsia="Verdana" w:hAnsi="Verdana"/>
                <w:sz w:val="18"/>
                <w:szCs w:val="18"/>
                <w:color w:val="auto"/>
              </w:rPr>
              <w:t>784</w:t>
            </w:r>
          </w:p>
        </w:tc>
        <w:tc>
          <w:tcPr>
            <w:tcW w:w="80" w:type="dxa"/>
            <w:vAlign w:val="bottom"/>
            <w:shd w:val="clear" w:color="auto" w:fill="E0E7ED"/>
          </w:tcPr>
          <w:p>
            <w:pPr>
              <w:spacing w:after="0"/>
              <w:rPr>
                <w:sz w:val="24"/>
                <w:szCs w:val="24"/>
                <w:color w:val="auto"/>
              </w:rPr>
            </w:pPr>
          </w:p>
        </w:tc>
        <w:tc>
          <w:tcPr>
            <w:tcW w:w="160" w:type="dxa"/>
            <w:vAlign w:val="bottom"/>
            <w:tcBorders>
              <w:bottom w:val="single" w:sz="8" w:color="auto"/>
            </w:tcBorders>
            <w:shd w:val="clear" w:color="auto" w:fill="E0E7ED"/>
          </w:tcPr>
          <w:p>
            <w:pPr>
              <w:spacing w:after="0"/>
              <w:rPr>
                <w:sz w:val="24"/>
                <w:szCs w:val="24"/>
                <w:color w:val="auto"/>
              </w:rPr>
            </w:pP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w:t>
            </w:r>
          </w:p>
        </w:tc>
        <w:tc>
          <w:tcPr>
            <w:tcW w:w="80" w:type="dxa"/>
            <w:vAlign w:val="bottom"/>
            <w:shd w:val="clear" w:color="auto" w:fill="E0E7ED"/>
          </w:tcPr>
          <w:p>
            <w:pPr>
              <w:spacing w:after="0"/>
              <w:rPr>
                <w:sz w:val="24"/>
                <w:szCs w:val="24"/>
                <w:color w:val="auto"/>
              </w:rPr>
            </w:pPr>
          </w:p>
        </w:tc>
        <w:tc>
          <w:tcPr>
            <w:tcW w:w="80" w:type="dxa"/>
            <w:vAlign w:val="bottom"/>
            <w:tcBorders>
              <w:bottom w:val="single" w:sz="8" w:color="auto"/>
            </w:tcBorders>
            <w:shd w:val="clear" w:color="auto" w:fill="E0E7ED"/>
          </w:tcPr>
          <w:p>
            <w:pPr>
              <w:spacing w:after="0"/>
              <w:rPr>
                <w:sz w:val="24"/>
                <w:szCs w:val="24"/>
                <w:color w:val="auto"/>
              </w:rPr>
            </w:pPr>
          </w:p>
        </w:tc>
        <w:tc>
          <w:tcPr>
            <w:tcW w:w="180" w:type="dxa"/>
            <w:vAlign w:val="bottom"/>
            <w:tcBorders>
              <w:bottom w:val="single" w:sz="8" w:color="auto"/>
            </w:tcBorders>
            <w:shd w:val="clear" w:color="auto" w:fill="E0E7ED"/>
          </w:tcPr>
          <w:p>
            <w:pPr>
              <w:spacing w:after="0"/>
              <w:rPr>
                <w:sz w:val="24"/>
                <w:szCs w:val="24"/>
                <w:color w:val="auto"/>
              </w:rPr>
            </w:pPr>
          </w:p>
        </w:tc>
        <w:tc>
          <w:tcPr>
            <w:tcW w:w="900" w:type="dxa"/>
            <w:vAlign w:val="bottom"/>
            <w:tcBorders>
              <w:bottom w:val="single" w:sz="8" w:color="auto"/>
            </w:tcBorders>
            <w:shd w:val="clear" w:color="auto" w:fill="E0E7ED"/>
          </w:tcPr>
          <w:p>
            <w:pPr>
              <w:jc w:val="right"/>
              <w:ind w:right="21"/>
              <w:spacing w:after="0"/>
              <w:rPr>
                <w:sz w:val="20"/>
                <w:szCs w:val="20"/>
                <w:color w:val="auto"/>
              </w:rPr>
            </w:pPr>
            <w:r>
              <w:rPr>
                <w:rFonts w:ascii="Verdana" w:cs="Verdana" w:eastAsia="Verdana" w:hAnsi="Verdana"/>
                <w:sz w:val="18"/>
                <w:szCs w:val="18"/>
                <w:color w:val="auto"/>
              </w:rPr>
              <w:t>150,295</w:t>
            </w: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40" w:type="dxa"/>
            <w:vAlign w:val="bottom"/>
            <w:tcBorders>
              <w:bottom w:val="single" w:sz="8" w:color="auto"/>
            </w:tcBorders>
            <w:shd w:val="clear" w:color="auto" w:fill="E0E7ED"/>
          </w:tcPr>
          <w:p>
            <w:pPr>
              <w:spacing w:after="0"/>
              <w:rPr>
                <w:sz w:val="24"/>
                <w:szCs w:val="24"/>
                <w:color w:val="auto"/>
              </w:rPr>
            </w:pPr>
          </w:p>
        </w:tc>
        <w:tc>
          <w:tcPr>
            <w:tcW w:w="140" w:type="dxa"/>
            <w:vAlign w:val="bottom"/>
            <w:tcBorders>
              <w:bottom w:val="single" w:sz="8" w:color="auto"/>
            </w:tcBorders>
            <w:shd w:val="clear" w:color="auto" w:fill="E0E7ED"/>
          </w:tcPr>
          <w:p>
            <w:pPr>
              <w:spacing w:after="0"/>
              <w:rPr>
                <w:sz w:val="24"/>
                <w:szCs w:val="24"/>
                <w:color w:val="auto"/>
              </w:rPr>
            </w:pP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(7,438)</w:t>
            </w: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40" w:type="dxa"/>
            <w:vAlign w:val="bottom"/>
            <w:tcBorders>
              <w:bottom w:val="single" w:sz="8" w:color="auto"/>
            </w:tcBorders>
            <w:shd w:val="clear" w:color="auto" w:fill="E0E7ED"/>
          </w:tcPr>
          <w:p>
            <w:pPr>
              <w:spacing w:after="0"/>
              <w:rPr>
                <w:sz w:val="24"/>
                <w:szCs w:val="24"/>
                <w:color w:val="auto"/>
              </w:rPr>
            </w:pPr>
          </w:p>
        </w:tc>
        <w:tc>
          <w:tcPr>
            <w:tcW w:w="200" w:type="dxa"/>
            <w:vAlign w:val="bottom"/>
            <w:tcBorders>
              <w:bottom w:val="single" w:sz="8" w:color="auto"/>
            </w:tcBorders>
            <w:shd w:val="clear" w:color="auto" w:fill="E0E7ED"/>
          </w:tcPr>
          <w:p>
            <w:pPr>
              <w:spacing w:after="0"/>
              <w:rPr>
                <w:sz w:val="24"/>
                <w:szCs w:val="24"/>
                <w:color w:val="auto"/>
              </w:rPr>
            </w:pPr>
          </w:p>
        </w:tc>
        <w:tc>
          <w:tcPr>
            <w:tcW w:w="920" w:type="dxa"/>
            <w:vAlign w:val="bottom"/>
            <w:tcBorders>
              <w:bottom w:val="single" w:sz="8" w:color="auto"/>
            </w:tcBorders>
            <w:shd w:val="clear" w:color="auto" w:fill="E0E7ED"/>
          </w:tcPr>
          <w:p>
            <w:pPr>
              <w:jc w:val="right"/>
              <w:ind w:right="21"/>
              <w:spacing w:after="0"/>
              <w:rPr>
                <w:sz w:val="20"/>
                <w:szCs w:val="20"/>
                <w:color w:val="auto"/>
              </w:rPr>
            </w:pPr>
            <w:r>
              <w:rPr>
                <w:rFonts w:ascii="Verdana" w:cs="Verdana" w:eastAsia="Verdana" w:hAnsi="Verdana"/>
                <w:sz w:val="18"/>
                <w:szCs w:val="18"/>
                <w:color w:val="auto"/>
              </w:rPr>
              <w:t>151,079</w:t>
            </w:r>
          </w:p>
        </w:tc>
        <w:tc>
          <w:tcPr>
            <w:tcW w:w="80" w:type="dxa"/>
            <w:vAlign w:val="bottom"/>
            <w:shd w:val="clear" w:color="auto" w:fill="E0E7ED"/>
          </w:tcPr>
          <w:p>
            <w:pPr>
              <w:spacing w:after="0"/>
              <w:rPr>
                <w:sz w:val="24"/>
                <w:szCs w:val="24"/>
                <w:color w:val="auto"/>
              </w:rPr>
            </w:pPr>
          </w:p>
        </w:tc>
        <w:tc>
          <w:tcPr>
            <w:tcW w:w="160" w:type="dxa"/>
            <w:vAlign w:val="bottom"/>
            <w:tcBorders>
              <w:bottom w:val="single" w:sz="8" w:color="auto"/>
            </w:tcBorders>
            <w:shd w:val="clear" w:color="auto" w:fill="E0E7ED"/>
          </w:tcPr>
          <w:p>
            <w:pPr>
              <w:spacing w:after="0"/>
              <w:rPr>
                <w:sz w:val="24"/>
                <w:szCs w:val="24"/>
                <w:color w:val="auto"/>
              </w:rPr>
            </w:pPr>
          </w:p>
        </w:tc>
        <w:tc>
          <w:tcPr>
            <w:tcW w:w="9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(7,447)</w:t>
            </w:r>
          </w:p>
        </w:tc>
        <w:tc>
          <w:tcPr>
            <w:tcW w:w="0" w:type="dxa"/>
            <w:vAlign w:val="bottom"/>
          </w:tcPr>
          <w:p>
            <w:pPr>
              <w:spacing w:after="0"/>
              <w:rPr>
                <w:sz w:val="1"/>
                <w:szCs w:val="1"/>
                <w:color w:val="auto"/>
              </w:rPr>
            </w:pPr>
          </w:p>
        </w:tc>
      </w:tr>
      <w:tr>
        <w:trPr>
          <w:trHeight w:val="218"/>
        </w:trPr>
        <w:tc>
          <w:tcPr>
            <w:tcW w:w="4100" w:type="dxa"/>
            <w:vAlign w:val="bottom"/>
          </w:tcPr>
          <w:p>
            <w:pPr>
              <w:ind w:left="20"/>
              <w:spacing w:after="0" w:line="217" w:lineRule="exact"/>
              <w:rPr>
                <w:sz w:val="20"/>
                <w:szCs w:val="20"/>
                <w:color w:val="auto"/>
              </w:rPr>
            </w:pPr>
            <w:r>
              <w:rPr>
                <w:rFonts w:ascii="Verdana" w:cs="Verdana" w:eastAsia="Verdana" w:hAnsi="Verdana"/>
                <w:sz w:val="18"/>
                <w:szCs w:val="18"/>
                <w:color w:val="auto"/>
              </w:rPr>
              <w:t>Debt securities available for sale with gross</w:t>
            </w:r>
          </w:p>
        </w:tc>
        <w:tc>
          <w:tcPr>
            <w:tcW w:w="240" w:type="dxa"/>
            <w:vAlign w:val="bottom"/>
            <w:vMerge w:val="restart"/>
          </w:tcPr>
          <w:p>
            <w:pPr>
              <w:jc w:val="right"/>
              <w:ind w:right="10"/>
              <w:spacing w:after="0"/>
              <w:rPr>
                <w:sz w:val="20"/>
                <w:szCs w:val="20"/>
                <w:color w:val="auto"/>
              </w:rPr>
            </w:pPr>
            <w:r>
              <w:rPr>
                <w:rFonts w:ascii="Verdana" w:cs="Verdana" w:eastAsia="Verdana" w:hAnsi="Verdana"/>
                <w:sz w:val="18"/>
                <w:szCs w:val="18"/>
                <w:color w:val="auto"/>
              </w:rPr>
              <w:t>$</w:t>
            </w:r>
          </w:p>
        </w:tc>
        <w:tc>
          <w:tcPr>
            <w:tcW w:w="840" w:type="dxa"/>
            <w:vAlign w:val="bottom"/>
            <w:vMerge w:val="restart"/>
          </w:tcPr>
          <w:p>
            <w:pPr>
              <w:jc w:val="right"/>
              <w:ind w:right="18"/>
              <w:spacing w:after="0"/>
              <w:rPr>
                <w:sz w:val="20"/>
                <w:szCs w:val="20"/>
                <w:color w:val="auto"/>
              </w:rPr>
            </w:pPr>
            <w:r>
              <w:rPr>
                <w:rFonts w:ascii="Verdana" w:cs="Verdana" w:eastAsia="Verdana" w:hAnsi="Verdana"/>
                <w:sz w:val="18"/>
                <w:szCs w:val="18"/>
                <w:color w:val="auto"/>
              </w:rPr>
              <w:t>4,179</w:t>
            </w:r>
          </w:p>
        </w:tc>
        <w:tc>
          <w:tcPr>
            <w:tcW w:w="8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Verdana" w:cs="Verdana" w:eastAsia="Verdana" w:hAnsi="Verdana"/>
                <w:sz w:val="18"/>
                <w:szCs w:val="18"/>
                <w:color w:val="auto"/>
              </w:rPr>
              <w:t>$</w:t>
            </w:r>
          </w:p>
        </w:tc>
        <w:tc>
          <w:tcPr>
            <w:tcW w:w="940" w:type="dxa"/>
            <w:vAlign w:val="bottom"/>
            <w:vMerge w:val="restart"/>
          </w:tcPr>
          <w:p>
            <w:pPr>
              <w:jc w:val="right"/>
              <w:spacing w:after="0"/>
              <w:rPr>
                <w:sz w:val="20"/>
                <w:szCs w:val="20"/>
                <w:color w:val="auto"/>
              </w:rPr>
            </w:pPr>
            <w:r>
              <w:rPr>
                <w:rFonts w:ascii="Verdana" w:cs="Verdana" w:eastAsia="Verdana" w:hAnsi="Verdana"/>
                <w:sz w:val="18"/>
                <w:szCs w:val="18"/>
                <w:color w:val="auto"/>
              </w:rPr>
              <w:t>(108)</w:t>
            </w:r>
          </w:p>
        </w:tc>
        <w:tc>
          <w:tcPr>
            <w:tcW w:w="80" w:type="dxa"/>
            <w:vAlign w:val="bottom"/>
          </w:tcPr>
          <w:p>
            <w:pPr>
              <w:spacing w:after="0"/>
              <w:rPr>
                <w:sz w:val="18"/>
                <w:szCs w:val="18"/>
                <w:color w:val="auto"/>
              </w:rPr>
            </w:pPr>
          </w:p>
        </w:tc>
        <w:tc>
          <w:tcPr>
            <w:tcW w:w="1160" w:type="dxa"/>
            <w:vAlign w:val="bottom"/>
            <w:gridSpan w:val="3"/>
            <w:vMerge w:val="restart"/>
          </w:tcPr>
          <w:p>
            <w:pPr>
              <w:jc w:val="right"/>
              <w:ind w:right="21"/>
              <w:spacing w:after="0"/>
              <w:rPr>
                <w:sz w:val="20"/>
                <w:szCs w:val="20"/>
                <w:color w:val="auto"/>
              </w:rPr>
            </w:pPr>
            <w:r>
              <w:rPr>
                <w:rFonts w:ascii="Verdana" w:cs="Verdana" w:eastAsia="Verdana" w:hAnsi="Verdana"/>
                <w:sz w:val="18"/>
                <w:szCs w:val="18"/>
                <w:u w:val="single" w:color="auto"/>
                <w:color w:val="auto"/>
                <w:w w:val="99"/>
              </w:rPr>
              <w:t>$</w:t>
            </w:r>
            <w:r>
              <w:rPr>
                <w:rFonts w:ascii="Verdana" w:cs="Verdana" w:eastAsia="Verdana" w:hAnsi="Verdana"/>
                <w:sz w:val="18"/>
                <w:szCs w:val="18"/>
                <w:color w:val="auto"/>
                <w:w w:val="99"/>
              </w:rPr>
              <w:t>1,369,246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3"/>
            <w:vMerge w:val="restart"/>
          </w:tcPr>
          <w:p>
            <w:pPr>
              <w:jc w:val="right"/>
              <w:spacing w:after="0"/>
              <w:rPr>
                <w:sz w:val="20"/>
                <w:szCs w:val="20"/>
                <w:color w:val="auto"/>
              </w:rPr>
            </w:pPr>
            <w:r>
              <w:rPr>
                <w:rFonts w:ascii="Verdana" w:cs="Verdana" w:eastAsia="Verdana" w:hAnsi="Verdana"/>
                <w:sz w:val="18"/>
                <w:szCs w:val="18"/>
                <w:color w:val="auto"/>
                <w:w w:val="96"/>
              </w:rPr>
              <w:t>$ (192,207)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3"/>
            <w:vMerge w:val="restart"/>
          </w:tcPr>
          <w:p>
            <w:pPr>
              <w:jc w:val="right"/>
              <w:ind w:right="21"/>
              <w:spacing w:after="0"/>
              <w:rPr>
                <w:sz w:val="20"/>
                <w:szCs w:val="20"/>
                <w:color w:val="auto"/>
              </w:rPr>
            </w:pPr>
            <w:r>
              <w:rPr>
                <w:rFonts w:ascii="Verdana" w:cs="Verdana" w:eastAsia="Verdana" w:hAnsi="Verdana"/>
                <w:sz w:val="18"/>
                <w:szCs w:val="18"/>
                <w:u w:val="single" w:color="auto"/>
                <w:color w:val="auto"/>
                <w:w w:val="99"/>
              </w:rPr>
              <w:t>$</w:t>
            </w:r>
            <w:r>
              <w:rPr>
                <w:rFonts w:ascii="Verdana" w:cs="Verdana" w:eastAsia="Verdana" w:hAnsi="Verdana"/>
                <w:sz w:val="18"/>
                <w:szCs w:val="18"/>
                <w:color w:val="auto"/>
                <w:w w:val="99"/>
              </w:rPr>
              <w:t>1,373,425</w:t>
            </w:r>
          </w:p>
        </w:tc>
        <w:tc>
          <w:tcPr>
            <w:tcW w:w="80" w:type="dxa"/>
            <w:vAlign w:val="bottom"/>
          </w:tcPr>
          <w:p>
            <w:pPr>
              <w:spacing w:after="0"/>
              <w:rPr>
                <w:sz w:val="18"/>
                <w:szCs w:val="18"/>
                <w:color w:val="auto"/>
              </w:rPr>
            </w:pPr>
          </w:p>
        </w:tc>
        <w:tc>
          <w:tcPr>
            <w:tcW w:w="1120" w:type="dxa"/>
            <w:vAlign w:val="bottom"/>
            <w:gridSpan w:val="2"/>
            <w:vMerge w:val="restart"/>
          </w:tcPr>
          <w:p>
            <w:pPr>
              <w:jc w:val="right"/>
              <w:spacing w:after="0"/>
              <w:rPr>
                <w:sz w:val="20"/>
                <w:szCs w:val="20"/>
                <w:color w:val="auto"/>
              </w:rPr>
            </w:pPr>
            <w:r>
              <w:rPr>
                <w:rFonts w:ascii="Verdana" w:cs="Verdana" w:eastAsia="Verdana" w:hAnsi="Verdana"/>
                <w:sz w:val="18"/>
                <w:szCs w:val="18"/>
                <w:color w:val="auto"/>
                <w:w w:val="98"/>
              </w:rPr>
              <w:t>$ (192,315)</w:t>
            </w:r>
          </w:p>
        </w:tc>
        <w:tc>
          <w:tcPr>
            <w:tcW w:w="0" w:type="dxa"/>
            <w:vAlign w:val="bottom"/>
          </w:tcPr>
          <w:p>
            <w:pPr>
              <w:spacing w:after="0"/>
              <w:rPr>
                <w:sz w:val="1"/>
                <w:szCs w:val="1"/>
                <w:color w:val="auto"/>
              </w:rPr>
            </w:pPr>
          </w:p>
        </w:tc>
      </w:tr>
      <w:tr>
        <w:trPr>
          <w:trHeight w:val="226"/>
        </w:trPr>
        <w:tc>
          <w:tcPr>
            <w:tcW w:w="4100" w:type="dxa"/>
            <w:vAlign w:val="bottom"/>
          </w:tcPr>
          <w:p>
            <w:pPr>
              <w:ind w:left="20"/>
              <w:spacing w:after="0"/>
              <w:rPr>
                <w:sz w:val="20"/>
                <w:szCs w:val="20"/>
                <w:color w:val="auto"/>
              </w:rPr>
            </w:pPr>
            <w:r>
              <w:rPr>
                <w:rFonts w:ascii="Verdana" w:cs="Verdana" w:eastAsia="Verdana" w:hAnsi="Verdana"/>
                <w:sz w:val="18"/>
                <w:szCs w:val="18"/>
                <w:color w:val="auto"/>
              </w:rPr>
              <w:t>unrealized losses</w:t>
            </w:r>
          </w:p>
        </w:tc>
        <w:tc>
          <w:tcPr>
            <w:tcW w:w="24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Borders>
              <w:bottom w:val="single" w:sz="8" w:color="auto"/>
            </w:tcBorders>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Borders>
              <w:bottom w:val="single" w:sz="8" w:color="auto"/>
            </w:tcBorders>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Borders>
              <w:bottom w:val="single" w:sz="8" w:color="auto"/>
            </w:tcBorders>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4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8"/>
          </w:tcPr>
          <w:p>
            <w:pPr>
              <w:jc w:val="center"/>
              <w:ind w:right="220"/>
              <w:spacing w:after="0"/>
              <w:rPr>
                <w:sz w:val="20"/>
                <w:szCs w:val="20"/>
                <w:color w:val="auto"/>
              </w:rPr>
            </w:pPr>
            <w:r>
              <w:rPr>
                <w:rFonts w:ascii="Verdana" w:cs="Verdana" w:eastAsia="Verdana" w:hAnsi="Verdana"/>
                <w:sz w:val="13"/>
                <w:szCs w:val="13"/>
                <w:b w:val="1"/>
                <w:bCs w:val="1"/>
                <w:color w:val="auto"/>
                <w:w w:val="97"/>
              </w:rPr>
              <w:t>12 months or more</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Verdana" w:cs="Verdana" w:eastAsia="Verdana" w:hAnsi="Verdana"/>
                <w:sz w:val="13"/>
                <w:szCs w:val="13"/>
                <w:b w:val="1"/>
                <w:bCs w:val="1"/>
                <w:color w:val="auto"/>
              </w:rPr>
              <w:t>Total</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3"/>
          </w:tcPr>
          <w:p>
            <w:pPr>
              <w:jc w:val="right"/>
              <w:ind w:right="460"/>
              <w:spacing w:after="0" w:line="122" w:lineRule="exact"/>
              <w:rPr>
                <w:sz w:val="20"/>
                <w:szCs w:val="20"/>
                <w:color w:val="auto"/>
              </w:rPr>
            </w:pPr>
            <w:r>
              <w:rPr>
                <w:rFonts w:ascii="Verdana" w:cs="Verdana" w:eastAsia="Verdana" w:hAnsi="Verdana"/>
                <w:sz w:val="13"/>
                <w:szCs w:val="13"/>
                <w:b w:val="1"/>
                <w:bCs w:val="1"/>
                <w:color w:val="auto"/>
              </w:rPr>
              <w:t>Fair</w:t>
            </w:r>
          </w:p>
        </w:tc>
        <w:tc>
          <w:tcPr>
            <w:tcW w:w="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3"/>
          </w:tcPr>
          <w:p>
            <w:pPr>
              <w:jc w:val="center"/>
              <w:spacing w:after="0" w:line="122" w:lineRule="exact"/>
              <w:rPr>
                <w:sz w:val="20"/>
                <w:szCs w:val="20"/>
                <w:color w:val="auto"/>
              </w:rPr>
            </w:pPr>
            <w:r>
              <w:rPr>
                <w:rFonts w:ascii="Verdana" w:cs="Verdana" w:eastAsia="Verdana" w:hAnsi="Verdana"/>
                <w:sz w:val="13"/>
                <w:szCs w:val="13"/>
                <w:b w:val="1"/>
                <w:bCs w:val="1"/>
                <w:color w:val="auto"/>
                <w:w w:val="96"/>
              </w:rPr>
              <w:t>Unrecognized</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280"/>
              <w:spacing w:after="0" w:line="122" w:lineRule="exact"/>
              <w:rPr>
                <w:sz w:val="20"/>
                <w:szCs w:val="20"/>
                <w:color w:val="auto"/>
              </w:rPr>
            </w:pPr>
            <w:r>
              <w:rPr>
                <w:rFonts w:ascii="Verdana" w:cs="Verdana" w:eastAsia="Verdana" w:hAnsi="Verdana"/>
                <w:sz w:val="13"/>
                <w:szCs w:val="13"/>
                <w:b w:val="1"/>
                <w:bCs w:val="1"/>
                <w:color w:val="auto"/>
                <w:w w:val="99"/>
              </w:rPr>
              <w:t>Fair</w:t>
            </w:r>
          </w:p>
        </w:tc>
        <w:tc>
          <w:tcPr>
            <w:tcW w:w="1120" w:type="dxa"/>
            <w:vAlign w:val="bottom"/>
            <w:tcBorders>
              <w:top w:val="single" w:sz="8" w:color="auto"/>
            </w:tcBorders>
            <w:gridSpan w:val="2"/>
          </w:tcPr>
          <w:p>
            <w:pPr>
              <w:jc w:val="center"/>
              <w:spacing w:after="0" w:line="122" w:lineRule="exact"/>
              <w:rPr>
                <w:sz w:val="20"/>
                <w:szCs w:val="20"/>
                <w:color w:val="auto"/>
              </w:rPr>
            </w:pPr>
            <w:r>
              <w:rPr>
                <w:rFonts w:ascii="Verdana" w:cs="Verdana" w:eastAsia="Verdana" w:hAnsi="Verdana"/>
                <w:sz w:val="13"/>
                <w:szCs w:val="13"/>
                <w:b w:val="1"/>
                <w:bCs w:val="1"/>
                <w:color w:val="auto"/>
                <w:w w:val="96"/>
              </w:rPr>
              <w:t>Unrecognized</w:t>
            </w:r>
          </w:p>
        </w:tc>
        <w:tc>
          <w:tcPr>
            <w:tcW w:w="0" w:type="dxa"/>
            <w:vAlign w:val="bottom"/>
          </w:tcPr>
          <w:p>
            <w:pPr>
              <w:spacing w:after="0"/>
              <w:rPr>
                <w:sz w:val="1"/>
                <w:szCs w:val="1"/>
                <w:color w:val="auto"/>
              </w:rPr>
            </w:pPr>
          </w:p>
        </w:tc>
      </w:tr>
      <w:tr>
        <w:trPr>
          <w:trHeight w:val="170"/>
        </w:trPr>
        <w:tc>
          <w:tcPr>
            <w:tcW w:w="4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tcPr>
          <w:p>
            <w:pPr>
              <w:ind w:left="180"/>
              <w:spacing w:after="0"/>
              <w:rPr>
                <w:sz w:val="20"/>
                <w:szCs w:val="20"/>
                <w:color w:val="auto"/>
              </w:rPr>
            </w:pPr>
            <w:r>
              <w:rPr>
                <w:rFonts w:ascii="Verdana" w:cs="Verdana" w:eastAsia="Verdana" w:hAnsi="Verdana"/>
                <w:sz w:val="13"/>
                <w:szCs w:val="13"/>
                <w:b w:val="1"/>
                <w:bCs w:val="1"/>
                <w:color w:val="auto"/>
              </w:rPr>
              <w:t>Value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180"/>
              <w:spacing w:after="0"/>
              <w:rPr>
                <w:sz w:val="20"/>
                <w:szCs w:val="20"/>
                <w:color w:val="auto"/>
              </w:rPr>
            </w:pPr>
            <w:r>
              <w:rPr>
                <w:rFonts w:ascii="Verdana" w:cs="Verdana" w:eastAsia="Verdana" w:hAnsi="Verdana"/>
                <w:sz w:val="13"/>
                <w:szCs w:val="13"/>
                <w:b w:val="1"/>
                <w:bCs w:val="1"/>
                <w:color w:val="auto"/>
                <w:w w:val="97"/>
              </w:rPr>
              <w:t>Losses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Verdana" w:cs="Verdana" w:eastAsia="Verdana" w:hAnsi="Verdana"/>
                <w:sz w:val="13"/>
                <w:szCs w:val="13"/>
                <w:b w:val="1"/>
                <w:bCs w:val="1"/>
                <w:color w:val="auto"/>
                <w:w w:val="97"/>
              </w:rPr>
              <w:t>Value</w:t>
            </w:r>
          </w:p>
        </w:tc>
        <w:tc>
          <w:tcPr>
            <w:tcW w:w="160" w:type="dxa"/>
            <w:vAlign w:val="bottom"/>
          </w:tcPr>
          <w:p>
            <w:pPr>
              <w:spacing w:after="0"/>
              <w:rPr>
                <w:sz w:val="14"/>
                <w:szCs w:val="14"/>
                <w:color w:val="auto"/>
              </w:rPr>
            </w:pPr>
          </w:p>
        </w:tc>
        <w:tc>
          <w:tcPr>
            <w:tcW w:w="960" w:type="dxa"/>
            <w:vAlign w:val="bottom"/>
          </w:tcPr>
          <w:p>
            <w:pPr>
              <w:jc w:val="center"/>
              <w:ind w:right="77"/>
              <w:spacing w:after="0"/>
              <w:rPr>
                <w:sz w:val="20"/>
                <w:szCs w:val="20"/>
                <w:color w:val="auto"/>
              </w:rPr>
            </w:pPr>
            <w:r>
              <w:rPr>
                <w:rFonts w:ascii="Verdana" w:cs="Verdana" w:eastAsia="Verdana" w:hAnsi="Verdana"/>
                <w:sz w:val="13"/>
                <w:szCs w:val="13"/>
                <w:b w:val="1"/>
                <w:bCs w:val="1"/>
                <w:color w:val="auto"/>
                <w:w w:val="97"/>
              </w:rPr>
              <w:t>Losses</w:t>
            </w:r>
          </w:p>
        </w:tc>
        <w:tc>
          <w:tcPr>
            <w:tcW w:w="0" w:type="dxa"/>
            <w:vAlign w:val="bottom"/>
          </w:tcPr>
          <w:p>
            <w:pPr>
              <w:spacing w:after="0"/>
              <w:rPr>
                <w:sz w:val="1"/>
                <w:szCs w:val="1"/>
                <w:color w:val="auto"/>
              </w:rPr>
            </w:pPr>
          </w:p>
        </w:tc>
      </w:tr>
      <w:tr>
        <w:trPr>
          <w:trHeight w:val="255"/>
        </w:trPr>
        <w:tc>
          <w:tcPr>
            <w:tcW w:w="410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held to maturity</w:t>
            </w:r>
          </w:p>
        </w:tc>
        <w:tc>
          <w:tcPr>
            <w:tcW w:w="240" w:type="dxa"/>
            <w:vAlign w:val="bottom"/>
            <w:tcBorders>
              <w:top w:val="single" w:sz="8" w:color="E0E7ED"/>
            </w:tcBorders>
            <w:shd w:val="clear" w:color="auto" w:fill="E0E7ED"/>
          </w:tcPr>
          <w:p>
            <w:pPr>
              <w:spacing w:after="0"/>
              <w:rPr>
                <w:sz w:val="22"/>
                <w:szCs w:val="22"/>
                <w:color w:val="auto"/>
              </w:rPr>
            </w:pPr>
          </w:p>
        </w:tc>
        <w:tc>
          <w:tcPr>
            <w:tcW w:w="84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E0E7ED"/>
            </w:tcBorders>
            <w:shd w:val="clear" w:color="auto" w:fill="E0E7ED"/>
          </w:tcPr>
          <w:p>
            <w:pPr>
              <w:spacing w:after="0"/>
              <w:rPr>
                <w:sz w:val="22"/>
                <w:szCs w:val="22"/>
                <w:color w:val="auto"/>
              </w:rPr>
            </w:pPr>
          </w:p>
        </w:tc>
        <w:tc>
          <w:tcPr>
            <w:tcW w:w="94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80" w:type="dxa"/>
            <w:vAlign w:val="bottom"/>
            <w:tcBorders>
              <w:top w:val="single" w:sz="8" w:color="auto"/>
            </w:tcBorders>
            <w:shd w:val="clear" w:color="auto" w:fill="E0E7ED"/>
          </w:tcPr>
          <w:p>
            <w:pPr>
              <w:spacing w:after="0"/>
              <w:rPr>
                <w:sz w:val="22"/>
                <w:szCs w:val="22"/>
                <w:color w:val="auto"/>
              </w:rPr>
            </w:pPr>
          </w:p>
        </w:tc>
        <w:tc>
          <w:tcPr>
            <w:tcW w:w="900" w:type="dxa"/>
            <w:vAlign w:val="bottom"/>
            <w:tcBorders>
              <w:top w:val="single" w:sz="8" w:color="auto"/>
            </w:tcBorders>
            <w:shd w:val="clear" w:color="auto" w:fill="E0E7ED"/>
          </w:tcPr>
          <w:p>
            <w:pPr>
              <w:spacing w:after="0"/>
              <w:rPr>
                <w:sz w:val="22"/>
                <w:szCs w:val="22"/>
                <w:color w:val="auto"/>
              </w:rPr>
            </w:pPr>
          </w:p>
        </w:tc>
        <w:tc>
          <w:tcPr>
            <w:tcW w:w="40" w:type="dxa"/>
            <w:vAlign w:val="bottom"/>
            <w:tcBorders>
              <w:top w:val="single" w:sz="8" w:color="auto"/>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140" w:type="dxa"/>
            <w:vAlign w:val="bottom"/>
            <w:tcBorders>
              <w:top w:val="single" w:sz="8" w:color="auto"/>
            </w:tcBorders>
            <w:shd w:val="clear" w:color="auto" w:fill="E0E7ED"/>
          </w:tcPr>
          <w:p>
            <w:pPr>
              <w:spacing w:after="0"/>
              <w:rPr>
                <w:sz w:val="22"/>
                <w:szCs w:val="22"/>
                <w:color w:val="auto"/>
              </w:rPr>
            </w:pPr>
          </w:p>
        </w:tc>
        <w:tc>
          <w:tcPr>
            <w:tcW w:w="940" w:type="dxa"/>
            <w:vAlign w:val="bottom"/>
            <w:tcBorders>
              <w:top w:val="single" w:sz="8" w:color="auto"/>
            </w:tcBorders>
            <w:shd w:val="clear" w:color="auto" w:fill="E0E7ED"/>
          </w:tcPr>
          <w:p>
            <w:pPr>
              <w:spacing w:after="0"/>
              <w:rPr>
                <w:sz w:val="22"/>
                <w:szCs w:val="22"/>
                <w:color w:val="auto"/>
              </w:rPr>
            </w:pPr>
          </w:p>
        </w:tc>
        <w:tc>
          <w:tcPr>
            <w:tcW w:w="40" w:type="dxa"/>
            <w:vAlign w:val="bottom"/>
            <w:tcBorders>
              <w:top w:val="single" w:sz="8" w:color="auto"/>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200" w:type="dxa"/>
            <w:vAlign w:val="bottom"/>
            <w:tcBorders>
              <w:top w:val="single" w:sz="8" w:color="auto"/>
            </w:tcBorders>
            <w:shd w:val="clear" w:color="auto" w:fill="E0E7ED"/>
          </w:tcPr>
          <w:p>
            <w:pPr>
              <w:spacing w:after="0"/>
              <w:rPr>
                <w:sz w:val="22"/>
                <w:szCs w:val="22"/>
                <w:color w:val="auto"/>
              </w:rPr>
            </w:pPr>
          </w:p>
        </w:tc>
        <w:tc>
          <w:tcPr>
            <w:tcW w:w="9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96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100" w:type="dxa"/>
            <w:vAlign w:val="bottom"/>
          </w:tcPr>
          <w:p>
            <w:pPr>
              <w:ind w:left="180"/>
              <w:spacing w:after="0"/>
              <w:rPr>
                <w:sz w:val="20"/>
                <w:szCs w:val="20"/>
                <w:color w:val="auto"/>
              </w:rPr>
            </w:pPr>
            <w:r>
              <w:rPr>
                <w:rFonts w:ascii="Verdana" w:cs="Verdana" w:eastAsia="Verdana" w:hAnsi="Verdana"/>
                <w:sz w:val="18"/>
                <w:szCs w:val="18"/>
                <w:color w:val="auto"/>
              </w:rPr>
              <w:t>Commercial mortgage-backed securities</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Verdana" w:cs="Verdana" w:eastAsia="Verdana" w:hAnsi="Verdana"/>
                <w:sz w:val="18"/>
                <w:szCs w:val="18"/>
                <w:color w:val="auto"/>
              </w:rPr>
              <w:t>$</w:t>
            </w:r>
          </w:p>
        </w:tc>
        <w:tc>
          <w:tcPr>
            <w:tcW w:w="900" w:type="dxa"/>
            <w:vAlign w:val="bottom"/>
          </w:tcPr>
          <w:p>
            <w:pPr>
              <w:jc w:val="right"/>
              <w:spacing w:after="0"/>
              <w:rPr>
                <w:sz w:val="20"/>
                <w:szCs w:val="20"/>
                <w:color w:val="auto"/>
              </w:rPr>
            </w:pPr>
            <w:r>
              <w:rPr>
                <w:rFonts w:ascii="Verdana" w:cs="Verdana" w:eastAsia="Verdana" w:hAnsi="Verdana"/>
                <w:sz w:val="18"/>
                <w:szCs w:val="18"/>
                <w:color w:val="auto"/>
              </w:rPr>
              <w:t>354,905</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Verdana" w:cs="Verdana" w:eastAsia="Verdana" w:hAnsi="Verdana"/>
                <w:sz w:val="18"/>
                <w:szCs w:val="18"/>
                <w:color w:val="auto"/>
              </w:rPr>
              <w:t>$</w:t>
            </w:r>
          </w:p>
        </w:tc>
        <w:tc>
          <w:tcPr>
            <w:tcW w:w="980" w:type="dxa"/>
            <w:vAlign w:val="bottom"/>
            <w:gridSpan w:val="2"/>
          </w:tcPr>
          <w:p>
            <w:pPr>
              <w:jc w:val="right"/>
              <w:ind w:right="20"/>
              <w:spacing w:after="0"/>
              <w:rPr>
                <w:sz w:val="20"/>
                <w:szCs w:val="20"/>
                <w:color w:val="auto"/>
              </w:rPr>
            </w:pPr>
            <w:r>
              <w:rPr>
                <w:rFonts w:ascii="Verdana" w:cs="Verdana" w:eastAsia="Verdana" w:hAnsi="Verdana"/>
                <w:sz w:val="18"/>
                <w:szCs w:val="18"/>
                <w:color w:val="auto"/>
              </w:rPr>
              <w:t>(64,780)</w:t>
            </w:r>
          </w:p>
        </w:tc>
        <w:tc>
          <w:tcPr>
            <w:tcW w:w="40" w:type="dxa"/>
            <w:vAlign w:val="bottom"/>
          </w:tcPr>
          <w:p>
            <w:pPr>
              <w:spacing w:after="0"/>
              <w:rPr>
                <w:sz w:val="22"/>
                <w:szCs w:val="22"/>
                <w:color w:val="auto"/>
              </w:rPr>
            </w:pPr>
          </w:p>
        </w:tc>
        <w:tc>
          <w:tcPr>
            <w:tcW w:w="240" w:type="dxa"/>
            <w:vAlign w:val="bottom"/>
            <w:gridSpan w:val="2"/>
          </w:tcPr>
          <w:p>
            <w:pPr>
              <w:jc w:val="right"/>
              <w:ind w:right="60"/>
              <w:spacing w:after="0"/>
              <w:rPr>
                <w:sz w:val="20"/>
                <w:szCs w:val="20"/>
                <w:color w:val="auto"/>
              </w:rPr>
            </w:pPr>
            <w:r>
              <w:rPr>
                <w:rFonts w:ascii="Verdana" w:cs="Verdana" w:eastAsia="Verdana" w:hAnsi="Verdana"/>
                <w:sz w:val="18"/>
                <w:szCs w:val="18"/>
                <w:color w:val="auto"/>
              </w:rPr>
              <w:t>$</w:t>
            </w:r>
          </w:p>
        </w:tc>
        <w:tc>
          <w:tcPr>
            <w:tcW w:w="920" w:type="dxa"/>
            <w:vAlign w:val="bottom"/>
          </w:tcPr>
          <w:p>
            <w:pPr>
              <w:jc w:val="right"/>
              <w:ind w:right="21"/>
              <w:spacing w:after="0"/>
              <w:rPr>
                <w:sz w:val="20"/>
                <w:szCs w:val="20"/>
                <w:color w:val="auto"/>
              </w:rPr>
            </w:pPr>
            <w:r>
              <w:rPr>
                <w:rFonts w:ascii="Verdana" w:cs="Verdana" w:eastAsia="Verdana" w:hAnsi="Verdana"/>
                <w:sz w:val="18"/>
                <w:szCs w:val="18"/>
                <w:color w:val="auto"/>
              </w:rPr>
              <w:t>354,905</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(64,780)</w:t>
            </w:r>
          </w:p>
        </w:tc>
        <w:tc>
          <w:tcPr>
            <w:tcW w:w="0" w:type="dxa"/>
            <w:vAlign w:val="bottom"/>
          </w:tcPr>
          <w:p>
            <w:pPr>
              <w:spacing w:after="0"/>
              <w:rPr>
                <w:sz w:val="1"/>
                <w:szCs w:val="1"/>
                <w:color w:val="auto"/>
              </w:rPr>
            </w:pPr>
          </w:p>
        </w:tc>
      </w:tr>
      <w:tr>
        <w:trPr>
          <w:trHeight w:val="270"/>
        </w:trPr>
        <w:tc>
          <w:tcPr>
            <w:tcW w:w="41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Residential mortgage-backed securities</w:t>
            </w:r>
          </w:p>
        </w:tc>
        <w:tc>
          <w:tcPr>
            <w:tcW w:w="240" w:type="dxa"/>
            <w:vAlign w:val="bottom"/>
            <w:shd w:val="clear" w:color="auto" w:fill="E0E7ED"/>
          </w:tcPr>
          <w:p>
            <w:pPr>
              <w:spacing w:after="0"/>
              <w:rPr>
                <w:sz w:val="23"/>
                <w:szCs w:val="23"/>
                <w:color w:val="auto"/>
              </w:rPr>
            </w:pPr>
          </w:p>
        </w:tc>
        <w:tc>
          <w:tcPr>
            <w:tcW w:w="84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160" w:type="dxa"/>
            <w:vAlign w:val="bottom"/>
            <w:shd w:val="clear" w:color="auto" w:fill="E0E7ED"/>
          </w:tcPr>
          <w:p>
            <w:pPr>
              <w:spacing w:after="0"/>
              <w:rPr>
                <w:sz w:val="23"/>
                <w:szCs w:val="23"/>
                <w:color w:val="auto"/>
              </w:rPr>
            </w:pPr>
          </w:p>
        </w:tc>
        <w:tc>
          <w:tcPr>
            <w:tcW w:w="94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180" w:type="dxa"/>
            <w:vAlign w:val="bottom"/>
            <w:tcBorders>
              <w:bottom w:val="single" w:sz="8" w:color="auto"/>
            </w:tcBorders>
            <w:shd w:val="clear" w:color="auto" w:fill="E0E7ED"/>
          </w:tcPr>
          <w:p>
            <w:pPr>
              <w:spacing w:after="0"/>
              <w:rPr>
                <w:sz w:val="23"/>
                <w:szCs w:val="23"/>
                <w:color w:val="auto"/>
              </w:rPr>
            </w:pPr>
          </w:p>
        </w:tc>
        <w:tc>
          <w:tcPr>
            <w:tcW w:w="9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357,464</w:t>
            </w:r>
          </w:p>
        </w:tc>
        <w:tc>
          <w:tcPr>
            <w:tcW w:w="40" w:type="dxa"/>
            <w:vAlign w:val="bottom"/>
            <w:tcBorders>
              <w:bottom w:val="single" w:sz="8" w:color="auto"/>
            </w:tcBorders>
            <w:shd w:val="clear" w:color="auto" w:fill="E0E7ED"/>
          </w:tcPr>
          <w:p>
            <w:pPr>
              <w:spacing w:after="0"/>
              <w:rPr>
                <w:sz w:val="23"/>
                <w:szCs w:val="23"/>
                <w:color w:val="auto"/>
              </w:rPr>
            </w:pPr>
          </w:p>
        </w:tc>
        <w:tc>
          <w:tcPr>
            <w:tcW w:w="40" w:type="dxa"/>
            <w:vAlign w:val="bottom"/>
            <w:shd w:val="clear" w:color="auto" w:fill="E0E7ED"/>
          </w:tcPr>
          <w:p>
            <w:pPr>
              <w:spacing w:after="0"/>
              <w:rPr>
                <w:sz w:val="23"/>
                <w:szCs w:val="23"/>
                <w:color w:val="auto"/>
              </w:rPr>
            </w:pPr>
          </w:p>
        </w:tc>
        <w:tc>
          <w:tcPr>
            <w:tcW w:w="40" w:type="dxa"/>
            <w:vAlign w:val="bottom"/>
            <w:shd w:val="clear" w:color="auto" w:fill="E0E7ED"/>
          </w:tcPr>
          <w:p>
            <w:pPr>
              <w:spacing w:after="0"/>
              <w:rPr>
                <w:sz w:val="23"/>
                <w:szCs w:val="23"/>
                <w:color w:val="auto"/>
              </w:rPr>
            </w:pPr>
          </w:p>
        </w:tc>
        <w:tc>
          <w:tcPr>
            <w:tcW w:w="140" w:type="dxa"/>
            <w:vAlign w:val="bottom"/>
            <w:tcBorders>
              <w:bottom w:val="single" w:sz="8" w:color="auto"/>
            </w:tcBorders>
            <w:shd w:val="clear" w:color="auto" w:fill="E0E7ED"/>
          </w:tcPr>
          <w:p>
            <w:pPr>
              <w:spacing w:after="0"/>
              <w:rPr>
                <w:sz w:val="23"/>
                <w:szCs w:val="23"/>
                <w:color w:val="auto"/>
              </w:rPr>
            </w:pPr>
          </w:p>
        </w:tc>
        <w:tc>
          <w:tcPr>
            <w:tcW w:w="980" w:type="dxa"/>
            <w:vAlign w:val="bottom"/>
            <w:tcBorders>
              <w:bottom w:val="single" w:sz="8" w:color="auto"/>
            </w:tcBorders>
            <w:gridSpan w:val="2"/>
            <w:shd w:val="clear" w:color="auto" w:fill="E0E7ED"/>
          </w:tcPr>
          <w:p>
            <w:pPr>
              <w:jc w:val="right"/>
              <w:ind w:right="20"/>
              <w:spacing w:after="0"/>
              <w:rPr>
                <w:sz w:val="20"/>
                <w:szCs w:val="20"/>
                <w:color w:val="auto"/>
              </w:rPr>
            </w:pPr>
            <w:r>
              <w:rPr>
                <w:rFonts w:ascii="Verdana" w:cs="Verdana" w:eastAsia="Verdana" w:hAnsi="Verdana"/>
                <w:sz w:val="18"/>
                <w:szCs w:val="18"/>
                <w:color w:val="auto"/>
              </w:rPr>
              <w:t>(61,734)</w:t>
            </w:r>
          </w:p>
        </w:tc>
        <w:tc>
          <w:tcPr>
            <w:tcW w:w="40" w:type="dxa"/>
            <w:vAlign w:val="bottom"/>
            <w:shd w:val="clear" w:color="auto" w:fill="E0E7ED"/>
          </w:tcPr>
          <w:p>
            <w:pPr>
              <w:spacing w:after="0"/>
              <w:rPr>
                <w:sz w:val="23"/>
                <w:szCs w:val="23"/>
                <w:color w:val="auto"/>
              </w:rPr>
            </w:pPr>
          </w:p>
        </w:tc>
        <w:tc>
          <w:tcPr>
            <w:tcW w:w="40" w:type="dxa"/>
            <w:vAlign w:val="bottom"/>
            <w:shd w:val="clear" w:color="auto" w:fill="E0E7ED"/>
          </w:tcPr>
          <w:p>
            <w:pPr>
              <w:spacing w:after="0"/>
              <w:rPr>
                <w:sz w:val="23"/>
                <w:szCs w:val="23"/>
                <w:color w:val="auto"/>
              </w:rPr>
            </w:pPr>
          </w:p>
        </w:tc>
        <w:tc>
          <w:tcPr>
            <w:tcW w:w="200" w:type="dxa"/>
            <w:vAlign w:val="bottom"/>
            <w:tcBorders>
              <w:bottom w:val="single" w:sz="8" w:color="auto"/>
            </w:tcBorders>
            <w:shd w:val="clear" w:color="auto" w:fill="E0E7ED"/>
          </w:tcPr>
          <w:p>
            <w:pPr>
              <w:spacing w:after="0"/>
              <w:rPr>
                <w:sz w:val="23"/>
                <w:szCs w:val="23"/>
                <w:color w:val="auto"/>
              </w:rPr>
            </w:pPr>
          </w:p>
        </w:tc>
        <w:tc>
          <w:tcPr>
            <w:tcW w:w="920" w:type="dxa"/>
            <w:vAlign w:val="bottom"/>
            <w:tcBorders>
              <w:bottom w:val="single" w:sz="8" w:color="auto"/>
            </w:tcBorders>
            <w:shd w:val="clear" w:color="auto" w:fill="E0E7ED"/>
          </w:tcPr>
          <w:p>
            <w:pPr>
              <w:jc w:val="right"/>
              <w:ind w:right="21"/>
              <w:spacing w:after="0"/>
              <w:rPr>
                <w:sz w:val="20"/>
                <w:szCs w:val="20"/>
                <w:color w:val="auto"/>
              </w:rPr>
            </w:pPr>
            <w:r>
              <w:rPr>
                <w:rFonts w:ascii="Verdana" w:cs="Verdana" w:eastAsia="Verdana" w:hAnsi="Verdana"/>
                <w:sz w:val="18"/>
                <w:szCs w:val="18"/>
                <w:color w:val="auto"/>
              </w:rPr>
              <w:t>357,464</w:t>
            </w:r>
          </w:p>
        </w:tc>
        <w:tc>
          <w:tcPr>
            <w:tcW w:w="80" w:type="dxa"/>
            <w:vAlign w:val="bottom"/>
            <w:shd w:val="clear" w:color="auto" w:fill="E0E7ED"/>
          </w:tcPr>
          <w:p>
            <w:pPr>
              <w:spacing w:after="0"/>
              <w:rPr>
                <w:sz w:val="23"/>
                <w:szCs w:val="23"/>
                <w:color w:val="auto"/>
              </w:rPr>
            </w:pPr>
          </w:p>
        </w:tc>
        <w:tc>
          <w:tcPr>
            <w:tcW w:w="160" w:type="dxa"/>
            <w:vAlign w:val="bottom"/>
            <w:tcBorders>
              <w:bottom w:val="single" w:sz="8" w:color="auto"/>
            </w:tcBorders>
            <w:shd w:val="clear" w:color="auto" w:fill="E0E7ED"/>
          </w:tcPr>
          <w:p>
            <w:pPr>
              <w:spacing w:after="0"/>
              <w:rPr>
                <w:sz w:val="23"/>
                <w:szCs w:val="23"/>
                <w:color w:val="auto"/>
              </w:rPr>
            </w:pPr>
          </w:p>
        </w:tc>
        <w:tc>
          <w:tcPr>
            <w:tcW w:w="9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(61,734)</w:t>
            </w:r>
          </w:p>
        </w:tc>
        <w:tc>
          <w:tcPr>
            <w:tcW w:w="0" w:type="dxa"/>
            <w:vAlign w:val="bottom"/>
          </w:tcPr>
          <w:p>
            <w:pPr>
              <w:spacing w:after="0"/>
              <w:rPr>
                <w:sz w:val="1"/>
                <w:szCs w:val="1"/>
                <w:color w:val="auto"/>
              </w:rPr>
            </w:pPr>
          </w:p>
        </w:tc>
      </w:tr>
      <w:tr>
        <w:trPr>
          <w:trHeight w:val="270"/>
        </w:trPr>
        <w:tc>
          <w:tcPr>
            <w:tcW w:w="6440" w:type="dxa"/>
            <w:vAlign w:val="bottom"/>
            <w:gridSpan w:val="7"/>
          </w:tcPr>
          <w:p>
            <w:pPr>
              <w:ind w:left="20"/>
              <w:spacing w:after="0"/>
              <w:rPr>
                <w:sz w:val="20"/>
                <w:szCs w:val="20"/>
                <w:color w:val="auto"/>
              </w:rPr>
            </w:pPr>
            <w:r>
              <w:rPr>
                <w:rFonts w:ascii="Verdana" w:cs="Verdana" w:eastAsia="Verdana" w:hAnsi="Verdana"/>
                <w:sz w:val="18"/>
                <w:szCs w:val="18"/>
                <w:color w:val="auto"/>
              </w:rPr>
              <w:t>Debt securities held to maturity with gross unrecognized losses</w:t>
            </w:r>
          </w:p>
        </w:tc>
        <w:tc>
          <w:tcPr>
            <w:tcW w:w="260" w:type="dxa"/>
            <w:vAlign w:val="bottom"/>
            <w:gridSpan w:val="2"/>
          </w:tcPr>
          <w:p>
            <w:pPr>
              <w:jc w:val="right"/>
              <w:spacing w:after="0"/>
              <w:rPr>
                <w:sz w:val="20"/>
                <w:szCs w:val="20"/>
                <w:color w:val="auto"/>
              </w:rPr>
            </w:pPr>
            <w:r>
              <w:rPr>
                <w:rFonts w:ascii="Verdana" w:cs="Verdana" w:eastAsia="Verdana" w:hAnsi="Verdana"/>
                <w:sz w:val="18"/>
                <w:szCs w:val="18"/>
                <w:color w:val="auto"/>
              </w:rPr>
              <w:t>$</w:t>
            </w:r>
          </w:p>
        </w:tc>
        <w:tc>
          <w:tcPr>
            <w:tcW w:w="900" w:type="dxa"/>
            <w:vAlign w:val="bottom"/>
          </w:tcPr>
          <w:p>
            <w:pPr>
              <w:jc w:val="right"/>
              <w:spacing w:after="0"/>
              <w:rPr>
                <w:sz w:val="20"/>
                <w:szCs w:val="20"/>
                <w:color w:val="auto"/>
              </w:rPr>
            </w:pPr>
            <w:r>
              <w:rPr>
                <w:rFonts w:ascii="Verdana" w:cs="Verdana" w:eastAsia="Verdana" w:hAnsi="Verdana"/>
                <w:sz w:val="18"/>
                <w:szCs w:val="18"/>
                <w:color w:val="auto"/>
              </w:rPr>
              <w:t>712,369</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60" w:type="dxa"/>
            <w:vAlign w:val="bottom"/>
            <w:gridSpan w:val="4"/>
          </w:tcPr>
          <w:p>
            <w:pPr>
              <w:jc w:val="right"/>
              <w:ind w:right="20"/>
              <w:spacing w:after="0"/>
              <w:rPr>
                <w:sz w:val="20"/>
                <w:szCs w:val="20"/>
                <w:color w:val="auto"/>
              </w:rPr>
            </w:pPr>
            <w:r>
              <w:rPr>
                <w:rFonts w:ascii="Verdana" w:cs="Verdana" w:eastAsia="Verdana" w:hAnsi="Verdana"/>
                <w:sz w:val="18"/>
                <w:szCs w:val="18"/>
                <w:color w:val="auto"/>
              </w:rPr>
              <w:t>$ (126,514)</w:t>
            </w:r>
          </w:p>
        </w:tc>
        <w:tc>
          <w:tcPr>
            <w:tcW w:w="40" w:type="dxa"/>
            <w:vAlign w:val="bottom"/>
          </w:tcPr>
          <w:p>
            <w:pPr>
              <w:spacing w:after="0"/>
              <w:rPr>
                <w:sz w:val="23"/>
                <w:szCs w:val="23"/>
                <w:color w:val="auto"/>
              </w:rPr>
            </w:pPr>
          </w:p>
        </w:tc>
        <w:tc>
          <w:tcPr>
            <w:tcW w:w="240" w:type="dxa"/>
            <w:vAlign w:val="bottom"/>
            <w:gridSpan w:val="2"/>
          </w:tcPr>
          <w:p>
            <w:pPr>
              <w:jc w:val="right"/>
              <w:ind w:right="60"/>
              <w:spacing w:after="0"/>
              <w:rPr>
                <w:sz w:val="20"/>
                <w:szCs w:val="20"/>
                <w:color w:val="auto"/>
              </w:rPr>
            </w:pPr>
            <w:r>
              <w:rPr>
                <w:rFonts w:ascii="Verdana" w:cs="Verdana" w:eastAsia="Verdana" w:hAnsi="Verdana"/>
                <w:sz w:val="18"/>
                <w:szCs w:val="18"/>
                <w:color w:val="auto"/>
              </w:rPr>
              <w:t>$</w:t>
            </w:r>
          </w:p>
        </w:tc>
        <w:tc>
          <w:tcPr>
            <w:tcW w:w="920" w:type="dxa"/>
            <w:vAlign w:val="bottom"/>
          </w:tcPr>
          <w:p>
            <w:pPr>
              <w:jc w:val="right"/>
              <w:ind w:right="21"/>
              <w:spacing w:after="0"/>
              <w:rPr>
                <w:sz w:val="20"/>
                <w:szCs w:val="20"/>
                <w:color w:val="auto"/>
              </w:rPr>
            </w:pPr>
            <w:r>
              <w:rPr>
                <w:rFonts w:ascii="Verdana" w:cs="Verdana" w:eastAsia="Verdana" w:hAnsi="Verdana"/>
                <w:sz w:val="18"/>
                <w:szCs w:val="18"/>
                <w:color w:val="auto"/>
              </w:rPr>
              <w:t>712,369</w:t>
            </w:r>
          </w:p>
        </w:tc>
        <w:tc>
          <w:tcPr>
            <w:tcW w:w="8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Verdana" w:cs="Verdana" w:eastAsia="Verdana" w:hAnsi="Verdana"/>
                <w:sz w:val="18"/>
                <w:szCs w:val="18"/>
                <w:color w:val="auto"/>
                <w:w w:val="98"/>
              </w:rPr>
              <w:t>$ (126,514)</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spacing w:after="0" w:line="4" w:lineRule="exact"/>
        <w:rPr>
          <w:sz w:val="20"/>
          <w:szCs w:val="20"/>
          <w:color w:val="auto"/>
        </w:rPr>
      </w:pPr>
    </w:p>
    <w:p>
      <w:pPr>
        <w:ind w:left="480" w:hanging="310"/>
        <w:spacing w:after="0"/>
        <w:tabs>
          <w:tab w:leader="none" w:pos="480" w:val="left"/>
        </w:tabs>
        <w:numPr>
          <w:ilvl w:val="0"/>
          <w:numId w:val="8"/>
        </w:numPr>
        <w:rPr>
          <w:rFonts w:ascii="Verdana" w:cs="Verdana" w:eastAsia="Verdana" w:hAnsi="Verdana"/>
          <w:sz w:val="13"/>
          <w:szCs w:val="13"/>
          <w:color w:val="auto"/>
        </w:rPr>
      </w:pPr>
      <w:r>
        <w:rPr>
          <w:rFonts w:ascii="Verdana" w:cs="Verdana" w:eastAsia="Verdana" w:hAnsi="Verdana"/>
          <w:sz w:val="13"/>
          <w:szCs w:val="13"/>
          <w:color w:val="auto"/>
        </w:rPr>
        <w:t>Gross losses were insignificant, rounding to zero thousand.</w:t>
      </w:r>
    </w:p>
    <w:p>
      <w:pPr>
        <w:spacing w:after="0" w:line="395"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22" w:name="page23"/>
    <w:bookmarkEnd w:id="22"/>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8"/>
          </w:tcPr>
          <w:p>
            <w:pPr>
              <w:jc w:val="center"/>
              <w:ind w:right="240"/>
              <w:spacing w:after="0"/>
              <w:rPr>
                <w:sz w:val="20"/>
                <w:szCs w:val="20"/>
                <w:color w:val="auto"/>
              </w:rPr>
            </w:pPr>
            <w:r>
              <w:rPr>
                <w:rFonts w:ascii="Verdana" w:cs="Verdana" w:eastAsia="Verdana" w:hAnsi="Verdana"/>
                <w:sz w:val="13"/>
                <w:szCs w:val="13"/>
                <w:b w:val="1"/>
                <w:bCs w:val="1"/>
                <w:color w:val="auto"/>
                <w:w w:val="96"/>
              </w:rPr>
              <w:t>As of December 31, 2023</w:t>
            </w: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5"/>
          </w:tcPr>
          <w:p>
            <w:pPr>
              <w:ind w:left="160"/>
              <w:spacing w:after="0"/>
              <w:rPr>
                <w:sz w:val="20"/>
                <w:szCs w:val="20"/>
                <w:color w:val="auto"/>
              </w:rPr>
            </w:pPr>
            <w:r>
              <w:rPr>
                <w:rFonts w:ascii="Verdana" w:cs="Verdana" w:eastAsia="Verdana" w:hAnsi="Verdana"/>
                <w:sz w:val="13"/>
                <w:szCs w:val="13"/>
                <w:b w:val="1"/>
                <w:bCs w:val="1"/>
                <w:color w:val="auto"/>
              </w:rPr>
              <w:t>Less than 12 months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8"/>
          </w:tcPr>
          <w:p>
            <w:pPr>
              <w:ind w:left="240"/>
              <w:spacing w:after="0"/>
              <w:rPr>
                <w:sz w:val="20"/>
                <w:szCs w:val="20"/>
                <w:color w:val="auto"/>
              </w:rPr>
            </w:pPr>
            <w:r>
              <w:rPr>
                <w:rFonts w:ascii="Verdana" w:cs="Verdana" w:eastAsia="Verdana" w:hAnsi="Verdana"/>
                <w:sz w:val="13"/>
                <w:szCs w:val="13"/>
                <w:b w:val="1"/>
                <w:bCs w:val="1"/>
                <w:color w:val="auto"/>
              </w:rPr>
              <w:t>12 months or more</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Verdana" w:cs="Verdana" w:eastAsia="Verdana" w:hAnsi="Verdana"/>
                <w:sz w:val="13"/>
                <w:szCs w:val="13"/>
                <w:b w:val="1"/>
                <w:bCs w:val="1"/>
                <w:color w:val="auto"/>
              </w:rPr>
              <w:t>Total</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0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ind w:left="180"/>
              <w:spacing w:after="0" w:line="120" w:lineRule="exact"/>
              <w:rPr>
                <w:sz w:val="20"/>
                <w:szCs w:val="20"/>
                <w:color w:val="auto"/>
              </w:rPr>
            </w:pPr>
            <w:r>
              <w:rPr>
                <w:rFonts w:ascii="Verdana" w:cs="Verdana" w:eastAsia="Verdana" w:hAnsi="Verdana"/>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line="120" w:lineRule="exact"/>
              <w:rPr>
                <w:sz w:val="20"/>
                <w:szCs w:val="20"/>
                <w:color w:val="auto"/>
              </w:rPr>
            </w:pPr>
            <w:r>
              <w:rPr>
                <w:rFonts w:ascii="Verdana" w:cs="Verdana" w:eastAsia="Verdana" w:hAnsi="Verdana"/>
                <w:sz w:val="13"/>
                <w:szCs w:val="13"/>
                <w:b w:val="1"/>
                <w:bCs w:val="1"/>
                <w:color w:val="auto"/>
              </w:rPr>
              <w:t>Unrealized</w:t>
            </w: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3"/>
          </w:tcPr>
          <w:p>
            <w:pPr>
              <w:ind w:left="180"/>
              <w:spacing w:after="0" w:line="120" w:lineRule="exact"/>
              <w:rPr>
                <w:sz w:val="20"/>
                <w:szCs w:val="20"/>
                <w:color w:val="auto"/>
              </w:rPr>
            </w:pPr>
            <w:r>
              <w:rPr>
                <w:rFonts w:ascii="Verdana" w:cs="Verdana" w:eastAsia="Verdana" w:hAnsi="Verdana"/>
                <w:sz w:val="13"/>
                <w:szCs w:val="13"/>
                <w:b w:val="1"/>
                <w:bCs w:val="1"/>
                <w:color w:val="auto"/>
              </w:rPr>
              <w:t>Fair</w:t>
            </w: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97"/>
              <w:spacing w:after="0" w:line="120" w:lineRule="exact"/>
              <w:rPr>
                <w:sz w:val="20"/>
                <w:szCs w:val="20"/>
                <w:color w:val="auto"/>
              </w:rPr>
            </w:pPr>
            <w:r>
              <w:rPr>
                <w:rFonts w:ascii="Verdana" w:cs="Verdana" w:eastAsia="Verdana" w:hAnsi="Verdana"/>
                <w:sz w:val="13"/>
                <w:szCs w:val="13"/>
                <w:b w:val="1"/>
                <w:bCs w:val="1"/>
                <w:color w:val="auto"/>
                <w:w w:val="97"/>
              </w:rPr>
              <w:t>Unrealized</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320"/>
              <w:spacing w:after="0" w:line="120" w:lineRule="exact"/>
              <w:rPr>
                <w:sz w:val="20"/>
                <w:szCs w:val="20"/>
                <w:color w:val="auto"/>
              </w:rPr>
            </w:pPr>
            <w:r>
              <w:rPr>
                <w:rFonts w:ascii="Verdana" w:cs="Verdana" w:eastAsia="Verdana" w:hAnsi="Verdana"/>
                <w:sz w:val="13"/>
                <w:szCs w:val="13"/>
                <w:b w:val="1"/>
                <w:bCs w:val="1"/>
                <w:color w:val="auto"/>
                <w:w w:val="99"/>
              </w:rPr>
              <w:t>Fair</w:t>
            </w: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77"/>
              <w:spacing w:after="0" w:line="120" w:lineRule="exact"/>
              <w:rPr>
                <w:sz w:val="20"/>
                <w:szCs w:val="20"/>
                <w:color w:val="auto"/>
              </w:rPr>
            </w:pPr>
            <w:r>
              <w:rPr>
                <w:rFonts w:ascii="Verdana" w:cs="Verdana" w:eastAsia="Verdana" w:hAnsi="Verdana"/>
                <w:sz w:val="13"/>
                <w:szCs w:val="13"/>
                <w:b w:val="1"/>
                <w:bCs w:val="1"/>
                <w:color w:val="auto"/>
                <w:w w:val="97"/>
              </w:rPr>
              <w:t>Unrealized</w:t>
            </w:r>
          </w:p>
        </w:tc>
        <w:tc>
          <w:tcPr>
            <w:tcW w:w="0" w:type="dxa"/>
            <w:vAlign w:val="bottom"/>
          </w:tcPr>
          <w:p>
            <w:pPr>
              <w:spacing w:after="0"/>
              <w:rPr>
                <w:sz w:val="1"/>
                <w:szCs w:val="1"/>
                <w:color w:val="auto"/>
              </w:rPr>
            </w:pPr>
          </w:p>
        </w:tc>
      </w:tr>
      <w:tr>
        <w:trPr>
          <w:trHeight w:val="170"/>
        </w:trPr>
        <w:tc>
          <w:tcPr>
            <w:tcW w:w="4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Verdana" w:cs="Verdana" w:eastAsia="Verdana" w:hAnsi="Verdana"/>
                <w:sz w:val="13"/>
                <w:szCs w:val="13"/>
                <w:b w:val="1"/>
                <w:bCs w:val="1"/>
                <w:color w:val="auto"/>
              </w:rPr>
              <w:t>Value</w:t>
            </w:r>
          </w:p>
        </w:tc>
        <w:tc>
          <w:tcPr>
            <w:tcW w:w="16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Verdana" w:cs="Verdana" w:eastAsia="Verdana" w:hAnsi="Verdana"/>
                <w:sz w:val="13"/>
                <w:szCs w:val="13"/>
                <w:b w:val="1"/>
                <w:bCs w:val="1"/>
                <w:color w:val="auto"/>
              </w:rPr>
              <w:t>Losses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tcPr>
          <w:p>
            <w:pPr>
              <w:jc w:val="right"/>
              <w:ind w:right="460"/>
              <w:spacing w:after="0"/>
              <w:rPr>
                <w:sz w:val="20"/>
                <w:szCs w:val="20"/>
                <w:color w:val="auto"/>
              </w:rPr>
            </w:pPr>
            <w:r>
              <w:rPr>
                <w:rFonts w:ascii="Verdana" w:cs="Verdana" w:eastAsia="Verdana" w:hAnsi="Verdana"/>
                <w:sz w:val="13"/>
                <w:szCs w:val="13"/>
                <w:b w:val="1"/>
                <w:bCs w:val="1"/>
                <w:color w:val="auto"/>
              </w:rPr>
              <w:t>Value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260"/>
              <w:spacing w:after="0"/>
              <w:rPr>
                <w:sz w:val="20"/>
                <w:szCs w:val="20"/>
                <w:color w:val="auto"/>
              </w:rPr>
            </w:pPr>
            <w:r>
              <w:rPr>
                <w:rFonts w:ascii="Verdana" w:cs="Verdana" w:eastAsia="Verdana" w:hAnsi="Verdana"/>
                <w:sz w:val="13"/>
                <w:szCs w:val="13"/>
                <w:b w:val="1"/>
                <w:bCs w:val="1"/>
                <w:color w:val="auto"/>
                <w:w w:val="97"/>
              </w:rPr>
              <w:t>Losses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Verdana" w:cs="Verdana" w:eastAsia="Verdana" w:hAnsi="Verdana"/>
                <w:sz w:val="13"/>
                <w:szCs w:val="13"/>
                <w:b w:val="1"/>
                <w:bCs w:val="1"/>
                <w:color w:val="auto"/>
                <w:w w:val="97"/>
              </w:rPr>
              <w:t>Value</w:t>
            </w:r>
          </w:p>
        </w:tc>
        <w:tc>
          <w:tcPr>
            <w:tcW w:w="160" w:type="dxa"/>
            <w:vAlign w:val="bottom"/>
          </w:tcPr>
          <w:p>
            <w:pPr>
              <w:spacing w:after="0"/>
              <w:rPr>
                <w:sz w:val="14"/>
                <w:szCs w:val="14"/>
                <w:color w:val="auto"/>
              </w:rPr>
            </w:pPr>
          </w:p>
        </w:tc>
        <w:tc>
          <w:tcPr>
            <w:tcW w:w="960" w:type="dxa"/>
            <w:vAlign w:val="bottom"/>
          </w:tcPr>
          <w:p>
            <w:pPr>
              <w:jc w:val="center"/>
              <w:ind w:right="77"/>
              <w:spacing w:after="0"/>
              <w:rPr>
                <w:sz w:val="20"/>
                <w:szCs w:val="20"/>
                <w:color w:val="auto"/>
              </w:rPr>
            </w:pPr>
            <w:r>
              <w:rPr>
                <w:rFonts w:ascii="Verdana" w:cs="Verdana" w:eastAsia="Verdana" w:hAnsi="Verdana"/>
                <w:sz w:val="13"/>
                <w:szCs w:val="13"/>
                <w:b w:val="1"/>
                <w:bCs w:val="1"/>
                <w:color w:val="auto"/>
                <w:w w:val="97"/>
              </w:rPr>
              <w:t>Losses</w:t>
            </w:r>
          </w:p>
        </w:tc>
        <w:tc>
          <w:tcPr>
            <w:tcW w:w="0" w:type="dxa"/>
            <w:vAlign w:val="bottom"/>
          </w:tcPr>
          <w:p>
            <w:pPr>
              <w:spacing w:after="0"/>
              <w:rPr>
                <w:sz w:val="1"/>
                <w:szCs w:val="1"/>
                <w:color w:val="auto"/>
              </w:rPr>
            </w:pPr>
          </w:p>
        </w:tc>
      </w:tr>
      <w:tr>
        <w:trPr>
          <w:trHeight w:val="255"/>
        </w:trPr>
        <w:tc>
          <w:tcPr>
            <w:tcW w:w="40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available for sale</w:t>
            </w:r>
          </w:p>
        </w:tc>
        <w:tc>
          <w:tcPr>
            <w:tcW w:w="240" w:type="dxa"/>
            <w:vAlign w:val="bottom"/>
            <w:tcBorders>
              <w:top w:val="single" w:sz="8" w:color="auto"/>
            </w:tcBorders>
            <w:shd w:val="clear" w:color="auto" w:fill="E0E7ED"/>
          </w:tcPr>
          <w:p>
            <w:pPr>
              <w:spacing w:after="0"/>
              <w:rPr>
                <w:sz w:val="22"/>
                <w:szCs w:val="22"/>
                <w:color w:val="auto"/>
              </w:rPr>
            </w:pPr>
          </w:p>
        </w:tc>
        <w:tc>
          <w:tcPr>
            <w:tcW w:w="8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94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auto"/>
            </w:tcBorders>
            <w:shd w:val="clear" w:color="auto" w:fill="E0E7ED"/>
          </w:tcPr>
          <w:p>
            <w:pPr>
              <w:spacing w:after="0"/>
              <w:rPr>
                <w:sz w:val="22"/>
                <w:szCs w:val="22"/>
                <w:color w:val="auto"/>
              </w:rPr>
            </w:pPr>
          </w:p>
        </w:tc>
        <w:tc>
          <w:tcPr>
            <w:tcW w:w="180" w:type="dxa"/>
            <w:vAlign w:val="bottom"/>
            <w:tcBorders>
              <w:top w:val="single" w:sz="8" w:color="auto"/>
            </w:tcBorders>
            <w:shd w:val="clear" w:color="auto" w:fill="E0E7ED"/>
          </w:tcPr>
          <w:p>
            <w:pPr>
              <w:spacing w:after="0"/>
              <w:rPr>
                <w:sz w:val="22"/>
                <w:szCs w:val="22"/>
                <w:color w:val="auto"/>
              </w:rPr>
            </w:pPr>
          </w:p>
        </w:tc>
        <w:tc>
          <w:tcPr>
            <w:tcW w:w="900" w:type="dxa"/>
            <w:vAlign w:val="bottom"/>
            <w:tcBorders>
              <w:top w:val="single" w:sz="8" w:color="auto"/>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40" w:type="dxa"/>
            <w:vAlign w:val="bottom"/>
            <w:tcBorders>
              <w:top w:val="single" w:sz="8" w:color="auto"/>
            </w:tcBorders>
            <w:shd w:val="clear" w:color="auto" w:fill="E0E7ED"/>
          </w:tcPr>
          <w:p>
            <w:pPr>
              <w:spacing w:after="0"/>
              <w:rPr>
                <w:sz w:val="22"/>
                <w:szCs w:val="22"/>
                <w:color w:val="auto"/>
              </w:rPr>
            </w:pPr>
          </w:p>
        </w:tc>
        <w:tc>
          <w:tcPr>
            <w:tcW w:w="140" w:type="dxa"/>
            <w:vAlign w:val="bottom"/>
            <w:tcBorders>
              <w:top w:val="single" w:sz="8" w:color="auto"/>
            </w:tcBorders>
            <w:shd w:val="clear" w:color="auto" w:fill="E0E7ED"/>
          </w:tcPr>
          <w:p>
            <w:pPr>
              <w:spacing w:after="0"/>
              <w:rPr>
                <w:sz w:val="22"/>
                <w:szCs w:val="22"/>
                <w:color w:val="auto"/>
              </w:rPr>
            </w:pPr>
          </w:p>
        </w:tc>
        <w:tc>
          <w:tcPr>
            <w:tcW w:w="940" w:type="dxa"/>
            <w:vAlign w:val="bottom"/>
            <w:tcBorders>
              <w:top w:val="single" w:sz="8" w:color="auto"/>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40" w:type="dxa"/>
            <w:vAlign w:val="bottom"/>
            <w:tcBorders>
              <w:top w:val="single" w:sz="8" w:color="auto"/>
            </w:tcBorders>
            <w:shd w:val="clear" w:color="auto" w:fill="E0E7ED"/>
          </w:tcPr>
          <w:p>
            <w:pPr>
              <w:spacing w:after="0"/>
              <w:rPr>
                <w:sz w:val="22"/>
                <w:szCs w:val="22"/>
                <w:color w:val="auto"/>
              </w:rPr>
            </w:pPr>
          </w:p>
        </w:tc>
        <w:tc>
          <w:tcPr>
            <w:tcW w:w="200" w:type="dxa"/>
            <w:vAlign w:val="bottom"/>
            <w:tcBorders>
              <w:top w:val="single" w:sz="8" w:color="auto"/>
            </w:tcBorders>
            <w:shd w:val="clear" w:color="auto" w:fill="E0E7ED"/>
          </w:tcPr>
          <w:p>
            <w:pPr>
              <w:spacing w:after="0"/>
              <w:rPr>
                <w:sz w:val="22"/>
                <w:szCs w:val="22"/>
                <w:color w:val="auto"/>
              </w:rPr>
            </w:pPr>
          </w:p>
        </w:tc>
        <w:tc>
          <w:tcPr>
            <w:tcW w:w="9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96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80" w:type="dxa"/>
            <w:vAlign w:val="bottom"/>
          </w:tcPr>
          <w:p>
            <w:pPr>
              <w:ind w:left="180"/>
              <w:spacing w:after="0"/>
              <w:rPr>
                <w:sz w:val="20"/>
                <w:szCs w:val="20"/>
                <w:color w:val="auto"/>
              </w:rPr>
            </w:pPr>
            <w:r>
              <w:rPr>
                <w:rFonts w:ascii="Verdana" w:cs="Verdana" w:eastAsia="Verdana" w:hAnsi="Verdana"/>
                <w:sz w:val="18"/>
                <w:szCs w:val="18"/>
                <w:color w:val="auto"/>
              </w:rPr>
              <w:t>U.S. Treasury securities</w:t>
            </w: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9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020" w:type="dxa"/>
            <w:vAlign w:val="bottom"/>
            <w:gridSpan w:val="2"/>
          </w:tcPr>
          <w:p>
            <w:pPr>
              <w:ind w:left="660"/>
              <w:spacing w:after="0"/>
              <w:rPr>
                <w:sz w:val="20"/>
                <w:szCs w:val="20"/>
                <w:color w:val="auto"/>
              </w:rPr>
            </w:pPr>
            <w:r>
              <w:rPr>
                <w:rFonts w:ascii="Verdana" w:cs="Verdana" w:eastAsia="Verdana" w:hAnsi="Verdana"/>
                <w:sz w:val="18"/>
                <w:szCs w:val="18"/>
                <w:color w:val="auto"/>
              </w:rPr>
              <w:t>—</w:t>
            </w:r>
          </w:p>
        </w:tc>
        <w:tc>
          <w:tcPr>
            <w:tcW w:w="260" w:type="dxa"/>
            <w:vAlign w:val="bottom"/>
            <w:gridSpan w:val="2"/>
          </w:tcPr>
          <w:p>
            <w:pPr>
              <w:jc w:val="right"/>
              <w:ind w:right="140"/>
              <w:spacing w:after="0"/>
              <w:rPr>
                <w:sz w:val="20"/>
                <w:szCs w:val="20"/>
                <w:color w:val="auto"/>
              </w:rPr>
            </w:pPr>
            <w:r>
              <w:rPr>
                <w:rFonts w:ascii="Verdana" w:cs="Verdana" w:eastAsia="Verdana" w:hAnsi="Verdana"/>
                <w:sz w:val="18"/>
                <w:szCs w:val="18"/>
                <w:color w:val="auto"/>
                <w:w w:val="86"/>
              </w:rPr>
              <w:t>$</w:t>
            </w:r>
          </w:p>
        </w:tc>
        <w:tc>
          <w:tcPr>
            <w:tcW w:w="900" w:type="dxa"/>
            <w:vAlign w:val="bottom"/>
          </w:tcPr>
          <w:p>
            <w:pPr>
              <w:jc w:val="right"/>
              <w:ind w:right="22"/>
              <w:spacing w:after="0"/>
              <w:rPr>
                <w:sz w:val="20"/>
                <w:szCs w:val="20"/>
                <w:color w:val="auto"/>
              </w:rPr>
            </w:pPr>
            <w:r>
              <w:rPr>
                <w:rFonts w:ascii="Verdana" w:cs="Verdana" w:eastAsia="Verdana" w:hAnsi="Verdana"/>
                <w:sz w:val="18"/>
                <w:szCs w:val="18"/>
                <w:color w:val="auto"/>
              </w:rPr>
              <w:t>15,946</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Verdana" w:cs="Verdana" w:eastAsia="Verdana" w:hAnsi="Verdana"/>
                <w:sz w:val="18"/>
                <w:szCs w:val="18"/>
                <w:color w:val="auto"/>
                <w:w w:val="86"/>
              </w:rPr>
              <w:t>$</w:t>
            </w:r>
          </w:p>
        </w:tc>
        <w:tc>
          <w:tcPr>
            <w:tcW w:w="940" w:type="dxa"/>
            <w:vAlign w:val="bottom"/>
          </w:tcPr>
          <w:p>
            <w:pPr>
              <w:jc w:val="right"/>
              <w:spacing w:after="0"/>
              <w:rPr>
                <w:sz w:val="20"/>
                <w:szCs w:val="20"/>
                <w:color w:val="auto"/>
              </w:rPr>
            </w:pPr>
            <w:r>
              <w:rPr>
                <w:rFonts w:ascii="Verdana" w:cs="Verdana" w:eastAsia="Verdana" w:hAnsi="Verdana"/>
                <w:sz w:val="18"/>
                <w:szCs w:val="18"/>
                <w:color w:val="auto"/>
              </w:rPr>
              <w:t>(85)</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gridSpan w:val="2"/>
          </w:tcPr>
          <w:p>
            <w:pPr>
              <w:jc w:val="right"/>
              <w:ind w:right="120"/>
              <w:spacing w:after="0"/>
              <w:rPr>
                <w:sz w:val="20"/>
                <w:szCs w:val="20"/>
                <w:color w:val="auto"/>
              </w:rPr>
            </w:pPr>
            <w:r>
              <w:rPr>
                <w:rFonts w:ascii="Verdana" w:cs="Verdana" w:eastAsia="Verdana" w:hAnsi="Verdana"/>
                <w:sz w:val="18"/>
                <w:szCs w:val="18"/>
                <w:color w:val="auto"/>
                <w:w w:val="86"/>
              </w:rPr>
              <w:t>$</w:t>
            </w:r>
          </w:p>
        </w:tc>
        <w:tc>
          <w:tcPr>
            <w:tcW w:w="920" w:type="dxa"/>
            <w:vAlign w:val="bottom"/>
          </w:tcPr>
          <w:p>
            <w:pPr>
              <w:jc w:val="right"/>
              <w:ind w:right="21"/>
              <w:spacing w:after="0"/>
              <w:rPr>
                <w:sz w:val="20"/>
                <w:szCs w:val="20"/>
                <w:color w:val="auto"/>
              </w:rPr>
            </w:pPr>
            <w:r>
              <w:rPr>
                <w:rFonts w:ascii="Verdana" w:cs="Verdana" w:eastAsia="Verdana" w:hAnsi="Verdana"/>
                <w:sz w:val="18"/>
                <w:szCs w:val="18"/>
                <w:color w:val="auto"/>
              </w:rPr>
              <w:t>15,946</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(85)</w:t>
            </w:r>
          </w:p>
        </w:tc>
        <w:tc>
          <w:tcPr>
            <w:tcW w:w="0" w:type="dxa"/>
            <w:vAlign w:val="bottom"/>
          </w:tcPr>
          <w:p>
            <w:pPr>
              <w:spacing w:after="0"/>
              <w:rPr>
                <w:sz w:val="1"/>
                <w:szCs w:val="1"/>
                <w:color w:val="auto"/>
              </w:rPr>
            </w:pPr>
          </w:p>
        </w:tc>
      </w:tr>
      <w:tr>
        <w:trPr>
          <w:trHeight w:val="244"/>
        </w:trPr>
        <w:tc>
          <w:tcPr>
            <w:tcW w:w="40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Obligations of U.S. government</w:t>
            </w:r>
          </w:p>
        </w:tc>
        <w:tc>
          <w:tcPr>
            <w:tcW w:w="240" w:type="dxa"/>
            <w:vAlign w:val="bottom"/>
            <w:shd w:val="clear" w:color="auto" w:fill="E0E7ED"/>
          </w:tcPr>
          <w:p>
            <w:pPr>
              <w:spacing w:after="0"/>
              <w:rPr>
                <w:sz w:val="21"/>
                <w:szCs w:val="21"/>
                <w:color w:val="auto"/>
              </w:rPr>
            </w:pPr>
          </w:p>
        </w:tc>
        <w:tc>
          <w:tcPr>
            <w:tcW w:w="8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90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0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corporations and agencies</w:t>
            </w:r>
          </w:p>
        </w:tc>
        <w:tc>
          <w:tcPr>
            <w:tcW w:w="240" w:type="dxa"/>
            <w:vAlign w:val="bottom"/>
            <w:shd w:val="clear" w:color="auto" w:fill="E0E7ED"/>
          </w:tcPr>
          <w:p>
            <w:pPr>
              <w:spacing w:after="0"/>
              <w:rPr>
                <w:sz w:val="21"/>
                <w:szCs w:val="21"/>
                <w:color w:val="auto"/>
              </w:rPr>
            </w:pPr>
          </w:p>
        </w:tc>
        <w:tc>
          <w:tcPr>
            <w:tcW w:w="9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160" w:type="dxa"/>
            <w:vAlign w:val="bottom"/>
            <w:shd w:val="clear" w:color="auto" w:fill="E0E7ED"/>
          </w:tcPr>
          <w:p>
            <w:pPr>
              <w:spacing w:after="0"/>
              <w:rPr>
                <w:sz w:val="21"/>
                <w:szCs w:val="21"/>
                <w:color w:val="auto"/>
              </w:rPr>
            </w:pPr>
          </w:p>
        </w:tc>
        <w:tc>
          <w:tcPr>
            <w:tcW w:w="1020" w:type="dxa"/>
            <w:vAlign w:val="bottom"/>
            <w:gridSpan w:val="2"/>
            <w:shd w:val="clear" w:color="auto" w:fill="E0E7ED"/>
          </w:tcPr>
          <w:p>
            <w:pPr>
              <w:ind w:left="660"/>
              <w:spacing w:after="0"/>
              <w:rPr>
                <w:sz w:val="20"/>
                <w:szCs w:val="20"/>
                <w:color w:val="auto"/>
              </w:rPr>
            </w:pPr>
            <w:r>
              <w:rPr>
                <w:rFonts w:ascii="Verdana" w:cs="Verdana" w:eastAsia="Verdana" w:hAnsi="Verdana"/>
                <w:sz w:val="18"/>
                <w:szCs w:val="18"/>
                <w:color w:val="auto"/>
              </w:rPr>
              <w:t>—</w:t>
            </w:r>
          </w:p>
        </w:tc>
        <w:tc>
          <w:tcPr>
            <w:tcW w:w="8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900" w:type="dxa"/>
            <w:vAlign w:val="bottom"/>
            <w:shd w:val="clear" w:color="auto" w:fill="E0E7ED"/>
          </w:tcPr>
          <w:p>
            <w:pPr>
              <w:jc w:val="right"/>
              <w:ind w:right="22"/>
              <w:spacing w:after="0"/>
              <w:rPr>
                <w:sz w:val="20"/>
                <w:szCs w:val="20"/>
                <w:color w:val="auto"/>
              </w:rPr>
            </w:pPr>
            <w:r>
              <w:rPr>
                <w:rFonts w:ascii="Verdana" w:cs="Verdana" w:eastAsia="Verdana" w:hAnsi="Verdana"/>
                <w:sz w:val="18"/>
                <w:szCs w:val="18"/>
                <w:color w:val="auto"/>
              </w:rPr>
              <w:t>5,709</w:t>
            </w: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(58)</w:t>
            </w: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92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5,709</w:t>
            </w: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(58)</w:t>
            </w:r>
          </w:p>
        </w:tc>
        <w:tc>
          <w:tcPr>
            <w:tcW w:w="0" w:type="dxa"/>
            <w:vAlign w:val="bottom"/>
          </w:tcPr>
          <w:p>
            <w:pPr>
              <w:spacing w:after="0"/>
              <w:rPr>
                <w:sz w:val="1"/>
                <w:szCs w:val="1"/>
                <w:color w:val="auto"/>
              </w:rPr>
            </w:pPr>
          </w:p>
        </w:tc>
      </w:tr>
      <w:tr>
        <w:trPr>
          <w:trHeight w:val="238"/>
        </w:trPr>
        <w:tc>
          <w:tcPr>
            <w:tcW w:w="4080" w:type="dxa"/>
            <w:vAlign w:val="bottom"/>
          </w:tcPr>
          <w:p>
            <w:pPr>
              <w:ind w:left="180"/>
              <w:spacing w:after="0"/>
              <w:rPr>
                <w:sz w:val="20"/>
                <w:szCs w:val="20"/>
                <w:color w:val="auto"/>
              </w:rPr>
            </w:pPr>
            <w:r>
              <w:rPr>
                <w:rFonts w:ascii="Verdana" w:cs="Verdana" w:eastAsia="Verdana" w:hAnsi="Verdana"/>
                <w:sz w:val="18"/>
                <w:szCs w:val="18"/>
                <w:color w:val="auto"/>
              </w:rPr>
              <w:t>Obligations of states and political</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080" w:type="dxa"/>
            <w:vAlign w:val="bottom"/>
          </w:tcPr>
          <w:p>
            <w:pPr>
              <w:ind w:left="180"/>
              <w:spacing w:after="0"/>
              <w:rPr>
                <w:sz w:val="20"/>
                <w:szCs w:val="20"/>
                <w:color w:val="auto"/>
              </w:rPr>
            </w:pPr>
            <w:r>
              <w:rPr>
                <w:rFonts w:ascii="Verdana" w:cs="Verdana" w:eastAsia="Verdana" w:hAnsi="Verdana"/>
                <w:sz w:val="18"/>
                <w:szCs w:val="18"/>
                <w:color w:val="auto"/>
              </w:rPr>
              <w:t>subdivisions</w:t>
            </w:r>
          </w:p>
        </w:tc>
        <w:tc>
          <w:tcPr>
            <w:tcW w:w="24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Verdana" w:cs="Verdana" w:eastAsia="Verdana" w:hAnsi="Verdana"/>
                <w:sz w:val="18"/>
                <w:szCs w:val="18"/>
                <w:color w:val="auto"/>
              </w:rPr>
              <w:t>11,442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Verdana" w:cs="Verdana" w:eastAsia="Verdana" w:hAnsi="Verdana"/>
                <w:sz w:val="18"/>
                <w:szCs w:val="18"/>
                <w:color w:val="auto"/>
              </w:rPr>
              <w:t>(54)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22"/>
              <w:spacing w:after="0"/>
              <w:rPr>
                <w:sz w:val="20"/>
                <w:szCs w:val="20"/>
                <w:color w:val="auto"/>
              </w:rPr>
            </w:pPr>
            <w:r>
              <w:rPr>
                <w:rFonts w:ascii="Verdana" w:cs="Verdana" w:eastAsia="Verdana" w:hAnsi="Verdana"/>
                <w:sz w:val="18"/>
                <w:szCs w:val="18"/>
                <w:color w:val="auto"/>
              </w:rPr>
              <w:t>146,797</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Verdana" w:cs="Verdana" w:eastAsia="Verdana" w:hAnsi="Verdana"/>
                <w:sz w:val="18"/>
                <w:szCs w:val="18"/>
                <w:color w:val="auto"/>
              </w:rPr>
              <w:t>(17,972)</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21"/>
              <w:spacing w:after="0"/>
              <w:rPr>
                <w:sz w:val="20"/>
                <w:szCs w:val="20"/>
                <w:color w:val="auto"/>
              </w:rPr>
            </w:pPr>
            <w:r>
              <w:rPr>
                <w:rFonts w:ascii="Verdana" w:cs="Verdana" w:eastAsia="Verdana" w:hAnsi="Verdana"/>
                <w:sz w:val="18"/>
                <w:szCs w:val="18"/>
                <w:color w:val="auto"/>
              </w:rPr>
              <w:t>158,239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Verdana" w:cs="Verdana" w:eastAsia="Verdana" w:hAnsi="Verdana"/>
                <w:sz w:val="18"/>
                <w:szCs w:val="18"/>
                <w:color w:val="auto"/>
              </w:rPr>
              <w:t>(18,026)</w:t>
            </w:r>
          </w:p>
        </w:tc>
        <w:tc>
          <w:tcPr>
            <w:tcW w:w="0" w:type="dxa"/>
            <w:vAlign w:val="bottom"/>
          </w:tcPr>
          <w:p>
            <w:pPr>
              <w:spacing w:after="0"/>
              <w:rPr>
                <w:sz w:val="1"/>
                <w:szCs w:val="1"/>
                <w:color w:val="auto"/>
              </w:rPr>
            </w:pPr>
          </w:p>
        </w:tc>
      </w:tr>
      <w:tr>
        <w:trPr>
          <w:trHeight w:val="277"/>
        </w:trPr>
        <w:tc>
          <w:tcPr>
            <w:tcW w:w="40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Asset-backed securities</w:t>
            </w:r>
          </w:p>
        </w:tc>
        <w:tc>
          <w:tcPr>
            <w:tcW w:w="240" w:type="dxa"/>
            <w:vAlign w:val="bottom"/>
            <w:shd w:val="clear" w:color="auto" w:fill="E0E7ED"/>
          </w:tcPr>
          <w:p>
            <w:pPr>
              <w:spacing w:after="0"/>
              <w:rPr>
                <w:sz w:val="24"/>
                <w:szCs w:val="24"/>
                <w:color w:val="auto"/>
              </w:rPr>
            </w:pPr>
          </w:p>
        </w:tc>
        <w:tc>
          <w:tcPr>
            <w:tcW w:w="9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160" w:type="dxa"/>
            <w:vAlign w:val="bottom"/>
            <w:shd w:val="clear" w:color="auto" w:fill="E0E7ED"/>
          </w:tcPr>
          <w:p>
            <w:pPr>
              <w:spacing w:after="0"/>
              <w:rPr>
                <w:sz w:val="24"/>
                <w:szCs w:val="24"/>
                <w:color w:val="auto"/>
              </w:rPr>
            </w:pPr>
          </w:p>
        </w:tc>
        <w:tc>
          <w:tcPr>
            <w:tcW w:w="1020" w:type="dxa"/>
            <w:vAlign w:val="bottom"/>
            <w:gridSpan w:val="2"/>
            <w:shd w:val="clear" w:color="auto" w:fill="E0E7ED"/>
          </w:tcPr>
          <w:p>
            <w:pPr>
              <w:ind w:left="660"/>
              <w:spacing w:after="0"/>
              <w:rPr>
                <w:sz w:val="20"/>
                <w:szCs w:val="20"/>
                <w:color w:val="auto"/>
              </w:rPr>
            </w:pPr>
            <w:r>
              <w:rPr>
                <w:rFonts w:ascii="Verdana" w:cs="Verdana" w:eastAsia="Verdana" w:hAnsi="Verdana"/>
                <w:sz w:val="18"/>
                <w:szCs w:val="18"/>
                <w:color w:val="auto"/>
              </w:rPr>
              <w:t>—</w:t>
            </w:r>
          </w:p>
        </w:tc>
        <w:tc>
          <w:tcPr>
            <w:tcW w:w="8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900" w:type="dxa"/>
            <w:vAlign w:val="bottom"/>
            <w:shd w:val="clear" w:color="auto" w:fill="E0E7ED"/>
          </w:tcPr>
          <w:p>
            <w:pPr>
              <w:jc w:val="right"/>
              <w:ind w:right="22"/>
              <w:spacing w:after="0"/>
              <w:rPr>
                <w:sz w:val="20"/>
                <w:szCs w:val="20"/>
                <w:color w:val="auto"/>
              </w:rPr>
            </w:pPr>
            <w:r>
              <w:rPr>
                <w:rFonts w:ascii="Verdana" w:cs="Verdana" w:eastAsia="Verdana" w:hAnsi="Verdana"/>
                <w:sz w:val="18"/>
                <w:szCs w:val="18"/>
                <w:color w:val="auto"/>
              </w:rPr>
              <w:t>468,223</w:t>
            </w: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(1,823)</w:t>
            </w: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92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468,223</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(1,823)</w:t>
            </w:r>
          </w:p>
        </w:tc>
        <w:tc>
          <w:tcPr>
            <w:tcW w:w="0" w:type="dxa"/>
            <w:vAlign w:val="bottom"/>
          </w:tcPr>
          <w:p>
            <w:pPr>
              <w:spacing w:after="0"/>
              <w:rPr>
                <w:sz w:val="1"/>
                <w:szCs w:val="1"/>
                <w:color w:val="auto"/>
              </w:rPr>
            </w:pPr>
          </w:p>
        </w:tc>
      </w:tr>
      <w:tr>
        <w:trPr>
          <w:trHeight w:val="263"/>
        </w:trPr>
        <w:tc>
          <w:tcPr>
            <w:tcW w:w="4080" w:type="dxa"/>
            <w:vAlign w:val="bottom"/>
          </w:tcPr>
          <w:p>
            <w:pPr>
              <w:ind w:left="180"/>
              <w:spacing w:after="0"/>
              <w:rPr>
                <w:sz w:val="20"/>
                <w:szCs w:val="20"/>
                <w:color w:val="auto"/>
              </w:rPr>
            </w:pPr>
            <w:r>
              <w:rPr>
                <w:rFonts w:ascii="Verdana" w:cs="Verdana" w:eastAsia="Verdana" w:hAnsi="Verdana"/>
                <w:sz w:val="18"/>
                <w:szCs w:val="18"/>
                <w:color w:val="auto"/>
              </w:rPr>
              <w:t>Commercial mortgage-backed securities</w:t>
            </w:r>
          </w:p>
        </w:tc>
        <w:tc>
          <w:tcPr>
            <w:tcW w:w="240" w:type="dxa"/>
            <w:vAlign w:val="bottom"/>
          </w:tcPr>
          <w:p>
            <w:pPr>
              <w:spacing w:after="0"/>
              <w:rPr>
                <w:sz w:val="22"/>
                <w:szCs w:val="22"/>
                <w:color w:val="auto"/>
              </w:rPr>
            </w:pPr>
          </w:p>
        </w:tc>
        <w:tc>
          <w:tcPr>
            <w:tcW w:w="9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160" w:type="dxa"/>
            <w:vAlign w:val="bottom"/>
          </w:tcPr>
          <w:p>
            <w:pPr>
              <w:spacing w:after="0"/>
              <w:rPr>
                <w:sz w:val="22"/>
                <w:szCs w:val="22"/>
                <w:color w:val="auto"/>
              </w:rPr>
            </w:pPr>
          </w:p>
        </w:tc>
        <w:tc>
          <w:tcPr>
            <w:tcW w:w="1020" w:type="dxa"/>
            <w:vAlign w:val="bottom"/>
            <w:gridSpan w:val="2"/>
          </w:tcPr>
          <w:p>
            <w:pPr>
              <w:ind w:left="660"/>
              <w:spacing w:after="0"/>
              <w:rPr>
                <w:sz w:val="20"/>
                <w:szCs w:val="20"/>
                <w:color w:val="auto"/>
              </w:rPr>
            </w:pPr>
            <w:r>
              <w:rPr>
                <w:rFonts w:ascii="Verdana" w:cs="Verdana" w:eastAsia="Verdana" w:hAnsi="Verdana"/>
                <w:sz w:val="18"/>
                <w:szCs w:val="18"/>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22"/>
              <w:spacing w:after="0"/>
              <w:rPr>
                <w:sz w:val="20"/>
                <w:szCs w:val="20"/>
                <w:color w:val="auto"/>
              </w:rPr>
            </w:pPr>
            <w:r>
              <w:rPr>
                <w:rFonts w:ascii="Verdana" w:cs="Verdana" w:eastAsia="Verdana" w:hAnsi="Verdana"/>
                <w:sz w:val="18"/>
                <w:szCs w:val="18"/>
                <w:color w:val="auto"/>
              </w:rPr>
              <w:t>103,509</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Verdana" w:cs="Verdana" w:eastAsia="Verdana" w:hAnsi="Verdana"/>
                <w:sz w:val="18"/>
                <w:szCs w:val="18"/>
                <w:color w:val="auto"/>
              </w:rPr>
              <w:t>(15,535)</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Verdana" w:cs="Verdana" w:eastAsia="Verdana" w:hAnsi="Verdana"/>
                <w:sz w:val="18"/>
                <w:szCs w:val="18"/>
                <w:color w:val="auto"/>
              </w:rPr>
              <w:t>103,509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Verdana" w:cs="Verdana" w:eastAsia="Verdana" w:hAnsi="Verdana"/>
                <w:sz w:val="18"/>
                <w:szCs w:val="18"/>
                <w:color w:val="auto"/>
              </w:rPr>
              <w:t>(15,535)</w:t>
            </w:r>
          </w:p>
        </w:tc>
        <w:tc>
          <w:tcPr>
            <w:tcW w:w="0" w:type="dxa"/>
            <w:vAlign w:val="bottom"/>
          </w:tcPr>
          <w:p>
            <w:pPr>
              <w:spacing w:after="0"/>
              <w:rPr>
                <w:sz w:val="1"/>
                <w:szCs w:val="1"/>
                <w:color w:val="auto"/>
              </w:rPr>
            </w:pPr>
          </w:p>
        </w:tc>
      </w:tr>
      <w:tr>
        <w:trPr>
          <w:trHeight w:val="277"/>
        </w:trPr>
        <w:tc>
          <w:tcPr>
            <w:tcW w:w="40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Residential mortgage-backed securities</w:t>
            </w:r>
          </w:p>
        </w:tc>
        <w:tc>
          <w:tcPr>
            <w:tcW w:w="240" w:type="dxa"/>
            <w:vAlign w:val="bottom"/>
            <w:shd w:val="clear" w:color="auto" w:fill="E0E7ED"/>
          </w:tcPr>
          <w:p>
            <w:pPr>
              <w:spacing w:after="0"/>
              <w:rPr>
                <w:sz w:val="24"/>
                <w:szCs w:val="24"/>
                <w:color w:val="auto"/>
              </w:rPr>
            </w:pPr>
          </w:p>
        </w:tc>
        <w:tc>
          <w:tcPr>
            <w:tcW w:w="86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141</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w:t>
            </w:r>
          </w:p>
        </w:tc>
        <w:tc>
          <w:tcPr>
            <w:tcW w:w="80" w:type="dxa"/>
            <w:vAlign w:val="bottom"/>
            <w:shd w:val="clear" w:color="auto" w:fill="E0E7ED"/>
          </w:tcPr>
          <w:p>
            <w:pPr>
              <w:spacing w:after="0"/>
              <w:rPr>
                <w:sz w:val="24"/>
                <w:szCs w:val="24"/>
                <w:color w:val="auto"/>
              </w:rPr>
            </w:pPr>
          </w:p>
        </w:tc>
        <w:tc>
          <w:tcPr>
            <w:tcW w:w="1160" w:type="dxa"/>
            <w:vAlign w:val="bottom"/>
            <w:gridSpan w:val="3"/>
            <w:shd w:val="clear" w:color="auto" w:fill="E0E7ED"/>
          </w:tcPr>
          <w:p>
            <w:pPr>
              <w:jc w:val="right"/>
              <w:ind w:right="22"/>
              <w:spacing w:after="0"/>
              <w:rPr>
                <w:sz w:val="20"/>
                <w:szCs w:val="20"/>
                <w:color w:val="auto"/>
              </w:rPr>
            </w:pPr>
            <w:r>
              <w:rPr>
                <w:rFonts w:ascii="Verdana" w:cs="Verdana" w:eastAsia="Verdana" w:hAnsi="Verdana"/>
                <w:sz w:val="18"/>
                <w:szCs w:val="18"/>
                <w:color w:val="auto"/>
              </w:rPr>
              <w:t>1,110,906</w:t>
            </w: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95"/>
              </w:rPr>
              <w:t>(195,546)</w:t>
            </w: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1160" w:type="dxa"/>
            <w:vAlign w:val="bottom"/>
            <w:gridSpan w:val="3"/>
            <w:shd w:val="clear" w:color="auto" w:fill="E0E7ED"/>
          </w:tcPr>
          <w:p>
            <w:pPr>
              <w:jc w:val="right"/>
              <w:ind w:right="21"/>
              <w:spacing w:after="0"/>
              <w:rPr>
                <w:sz w:val="20"/>
                <w:szCs w:val="20"/>
                <w:color w:val="auto"/>
              </w:rPr>
            </w:pPr>
            <w:r>
              <w:rPr>
                <w:rFonts w:ascii="Verdana" w:cs="Verdana" w:eastAsia="Verdana" w:hAnsi="Verdana"/>
                <w:sz w:val="18"/>
                <w:szCs w:val="18"/>
                <w:color w:val="auto"/>
              </w:rPr>
              <w:t>1,111,047</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(195,547)</w:t>
            </w:r>
          </w:p>
        </w:tc>
        <w:tc>
          <w:tcPr>
            <w:tcW w:w="0" w:type="dxa"/>
            <w:vAlign w:val="bottom"/>
          </w:tcPr>
          <w:p>
            <w:pPr>
              <w:spacing w:after="0"/>
              <w:rPr>
                <w:sz w:val="1"/>
                <w:szCs w:val="1"/>
                <w:color w:val="auto"/>
              </w:rPr>
            </w:pPr>
          </w:p>
        </w:tc>
      </w:tr>
      <w:tr>
        <w:trPr>
          <w:trHeight w:val="263"/>
        </w:trPr>
        <w:tc>
          <w:tcPr>
            <w:tcW w:w="408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Corporate debt securities</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8"/>
                <w:szCs w:val="18"/>
                <w:color w:val="auto"/>
              </w:rPr>
              <w:t>1,450</w:t>
            </w:r>
          </w:p>
        </w:tc>
        <w:tc>
          <w:tcPr>
            <w:tcW w:w="8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(10)</w:t>
            </w:r>
          </w:p>
        </w:tc>
        <w:tc>
          <w:tcPr>
            <w:tcW w:w="80" w:type="dxa"/>
            <w:vAlign w:val="bottom"/>
            <w:tcBorders>
              <w:bottom w:val="single" w:sz="8" w:color="E0E7ED"/>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2"/>
              <w:spacing w:after="0"/>
              <w:rPr>
                <w:sz w:val="20"/>
                <w:szCs w:val="20"/>
                <w:color w:val="auto"/>
              </w:rPr>
            </w:pPr>
            <w:r>
              <w:rPr>
                <w:rFonts w:ascii="Verdana" w:cs="Verdana" w:eastAsia="Verdana" w:hAnsi="Verdana"/>
                <w:sz w:val="18"/>
                <w:szCs w:val="18"/>
                <w:color w:val="auto"/>
              </w:rPr>
              <w:t>198,694</w:t>
            </w:r>
          </w:p>
        </w:tc>
        <w:tc>
          <w:tcPr>
            <w:tcW w:w="40" w:type="dxa"/>
            <w:vAlign w:val="bottom"/>
            <w:tcBorders>
              <w:bottom w:val="single" w:sz="8" w:color="E0E7ED"/>
            </w:tcBorders>
          </w:tcPr>
          <w:p>
            <w:pPr>
              <w:spacing w:after="0"/>
              <w:rPr>
                <w:sz w:val="22"/>
                <w:szCs w:val="22"/>
                <w:color w:val="auto"/>
              </w:rPr>
            </w:pPr>
          </w:p>
        </w:tc>
        <w:tc>
          <w:tcPr>
            <w:tcW w:w="40" w:type="dxa"/>
            <w:vAlign w:val="bottom"/>
            <w:tcBorders>
              <w:bottom w:val="single" w:sz="8" w:color="E0E7ED"/>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(16,161)</w:t>
            </w:r>
          </w:p>
        </w:tc>
        <w:tc>
          <w:tcPr>
            <w:tcW w:w="40" w:type="dxa"/>
            <w:vAlign w:val="bottom"/>
            <w:tcBorders>
              <w:bottom w:val="single" w:sz="8" w:color="E0E7ED"/>
            </w:tcBorders>
          </w:tcPr>
          <w:p>
            <w:pPr>
              <w:spacing w:after="0"/>
              <w:rPr>
                <w:sz w:val="22"/>
                <w:szCs w:val="22"/>
                <w:color w:val="auto"/>
              </w:rPr>
            </w:pPr>
          </w:p>
        </w:tc>
        <w:tc>
          <w:tcPr>
            <w:tcW w:w="40" w:type="dxa"/>
            <w:vAlign w:val="bottom"/>
            <w:tcBorders>
              <w:bottom w:val="single" w:sz="8" w:color="E0E7ED"/>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1"/>
              <w:spacing w:after="0"/>
              <w:rPr>
                <w:sz w:val="20"/>
                <w:szCs w:val="20"/>
                <w:color w:val="auto"/>
              </w:rPr>
            </w:pPr>
            <w:r>
              <w:rPr>
                <w:rFonts w:ascii="Verdana" w:cs="Verdana" w:eastAsia="Verdana" w:hAnsi="Verdana"/>
                <w:sz w:val="18"/>
                <w:szCs w:val="18"/>
                <w:color w:val="auto"/>
              </w:rPr>
              <w:t>200,144</w:t>
            </w:r>
          </w:p>
        </w:tc>
        <w:tc>
          <w:tcPr>
            <w:tcW w:w="8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(16,171)</w:t>
            </w:r>
          </w:p>
        </w:tc>
        <w:tc>
          <w:tcPr>
            <w:tcW w:w="0" w:type="dxa"/>
            <w:vAlign w:val="bottom"/>
          </w:tcPr>
          <w:p>
            <w:pPr>
              <w:spacing w:after="0"/>
              <w:rPr>
                <w:sz w:val="1"/>
                <w:szCs w:val="1"/>
                <w:color w:val="auto"/>
              </w:rPr>
            </w:pPr>
          </w:p>
        </w:tc>
      </w:tr>
      <w:tr>
        <w:trPr>
          <w:trHeight w:val="224"/>
        </w:trPr>
        <w:tc>
          <w:tcPr>
            <w:tcW w:w="40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Debt securities available for sale with gross</w:t>
            </w:r>
          </w:p>
        </w:tc>
        <w:tc>
          <w:tcPr>
            <w:tcW w:w="240" w:type="dxa"/>
            <w:vAlign w:val="bottom"/>
            <w:vMerge w:val="restart"/>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86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8"/>
                <w:szCs w:val="18"/>
                <w:color w:val="auto"/>
              </w:rPr>
              <w:t>13,033</w:t>
            </w:r>
          </w:p>
        </w:tc>
        <w:tc>
          <w:tcPr>
            <w:tcW w:w="80" w:type="dxa"/>
            <w:vAlign w:val="bottom"/>
            <w:shd w:val="clear" w:color="auto" w:fill="E0E7ED"/>
          </w:tcPr>
          <w:p>
            <w:pPr>
              <w:spacing w:after="0"/>
              <w:rPr>
                <w:sz w:val="19"/>
                <w:szCs w:val="19"/>
                <w:color w:val="auto"/>
              </w:rPr>
            </w:pPr>
          </w:p>
        </w:tc>
        <w:tc>
          <w:tcPr>
            <w:tcW w:w="16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4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(65)</w:t>
            </w:r>
          </w:p>
        </w:tc>
        <w:tc>
          <w:tcPr>
            <w:tcW w:w="80" w:type="dxa"/>
            <w:vAlign w:val="bottom"/>
            <w:shd w:val="clear" w:color="auto" w:fill="E0E7ED"/>
          </w:tcPr>
          <w:p>
            <w:pPr>
              <w:spacing w:after="0"/>
              <w:rPr>
                <w:sz w:val="19"/>
                <w:szCs w:val="19"/>
                <w:color w:val="auto"/>
              </w:rPr>
            </w:pPr>
          </w:p>
        </w:tc>
        <w:tc>
          <w:tcPr>
            <w:tcW w:w="1160" w:type="dxa"/>
            <w:vAlign w:val="bottom"/>
            <w:gridSpan w:val="3"/>
            <w:vMerge w:val="restart"/>
            <w:shd w:val="clear" w:color="auto" w:fill="E0E7ED"/>
          </w:tcPr>
          <w:p>
            <w:pPr>
              <w:jc w:val="right"/>
              <w:ind w:right="22"/>
              <w:spacing w:after="0"/>
              <w:rPr>
                <w:sz w:val="20"/>
                <w:szCs w:val="20"/>
                <w:color w:val="auto"/>
              </w:rPr>
            </w:pPr>
            <w:r>
              <w:rPr>
                <w:rFonts w:ascii="Verdana" w:cs="Verdana" w:eastAsia="Verdana" w:hAnsi="Verdana"/>
                <w:sz w:val="18"/>
                <w:szCs w:val="18"/>
                <w:u w:val="single" w:color="auto"/>
                <w:color w:val="auto"/>
                <w:w w:val="99"/>
              </w:rPr>
              <w:t>$</w:t>
            </w:r>
            <w:r>
              <w:rPr>
                <w:rFonts w:ascii="Verdana" w:cs="Verdana" w:eastAsia="Verdana" w:hAnsi="Verdana"/>
                <w:sz w:val="18"/>
                <w:szCs w:val="18"/>
                <w:color w:val="auto"/>
                <w:w w:val="99"/>
              </w:rPr>
              <w:t>2,049,784</w:t>
            </w:r>
          </w:p>
        </w:tc>
        <w:tc>
          <w:tcPr>
            <w:tcW w:w="40" w:type="dxa"/>
            <w:vAlign w:val="bottom"/>
            <w:shd w:val="clear" w:color="auto" w:fill="E0E7ED"/>
          </w:tcPr>
          <w:p>
            <w:pPr>
              <w:spacing w:after="0"/>
              <w:rPr>
                <w:sz w:val="19"/>
                <w:szCs w:val="19"/>
                <w:color w:val="auto"/>
              </w:rPr>
            </w:pPr>
          </w:p>
        </w:tc>
        <w:tc>
          <w:tcPr>
            <w:tcW w:w="40" w:type="dxa"/>
            <w:vAlign w:val="bottom"/>
            <w:shd w:val="clear" w:color="auto" w:fill="E0E7ED"/>
          </w:tcPr>
          <w:p>
            <w:pPr>
              <w:spacing w:after="0"/>
              <w:rPr>
                <w:sz w:val="19"/>
                <w:szCs w:val="19"/>
                <w:color w:val="auto"/>
              </w:rPr>
            </w:pPr>
          </w:p>
        </w:tc>
        <w:tc>
          <w:tcPr>
            <w:tcW w:w="1120" w:type="dxa"/>
            <w:vAlign w:val="bottom"/>
            <w:gridSpan w:val="3"/>
            <w:vMerge w:val="restart"/>
            <w:shd w:val="clear" w:color="auto" w:fill="E0E7ED"/>
          </w:tcPr>
          <w:p>
            <w:pPr>
              <w:jc w:val="right"/>
              <w:spacing w:after="0"/>
              <w:rPr>
                <w:sz w:val="20"/>
                <w:szCs w:val="20"/>
                <w:color w:val="auto"/>
              </w:rPr>
            </w:pPr>
            <w:r>
              <w:rPr>
                <w:rFonts w:ascii="Verdana" w:cs="Verdana" w:eastAsia="Verdana" w:hAnsi="Verdana"/>
                <w:sz w:val="18"/>
                <w:szCs w:val="18"/>
                <w:color w:val="auto"/>
                <w:w w:val="96"/>
              </w:rPr>
              <w:t>$ (247,180)</w:t>
            </w:r>
          </w:p>
        </w:tc>
        <w:tc>
          <w:tcPr>
            <w:tcW w:w="40" w:type="dxa"/>
            <w:vAlign w:val="bottom"/>
            <w:shd w:val="clear" w:color="auto" w:fill="E0E7ED"/>
          </w:tcPr>
          <w:p>
            <w:pPr>
              <w:spacing w:after="0"/>
              <w:rPr>
                <w:sz w:val="19"/>
                <w:szCs w:val="19"/>
                <w:color w:val="auto"/>
              </w:rPr>
            </w:pPr>
          </w:p>
        </w:tc>
        <w:tc>
          <w:tcPr>
            <w:tcW w:w="40" w:type="dxa"/>
            <w:vAlign w:val="bottom"/>
            <w:shd w:val="clear" w:color="auto" w:fill="E0E7ED"/>
          </w:tcPr>
          <w:p>
            <w:pPr>
              <w:spacing w:after="0"/>
              <w:rPr>
                <w:sz w:val="19"/>
                <w:szCs w:val="19"/>
                <w:color w:val="auto"/>
              </w:rPr>
            </w:pPr>
          </w:p>
        </w:tc>
        <w:tc>
          <w:tcPr>
            <w:tcW w:w="1160" w:type="dxa"/>
            <w:vAlign w:val="bottom"/>
            <w:gridSpan w:val="3"/>
            <w:vMerge w:val="restart"/>
            <w:shd w:val="clear" w:color="auto" w:fill="E0E7ED"/>
          </w:tcPr>
          <w:p>
            <w:pPr>
              <w:jc w:val="right"/>
              <w:ind w:right="21"/>
              <w:spacing w:after="0"/>
              <w:rPr>
                <w:sz w:val="20"/>
                <w:szCs w:val="20"/>
                <w:color w:val="auto"/>
              </w:rPr>
            </w:pPr>
            <w:r>
              <w:rPr>
                <w:rFonts w:ascii="Verdana" w:cs="Verdana" w:eastAsia="Verdana" w:hAnsi="Verdana"/>
                <w:sz w:val="18"/>
                <w:szCs w:val="18"/>
                <w:u w:val="single" w:color="auto"/>
                <w:color w:val="auto"/>
                <w:w w:val="99"/>
              </w:rPr>
              <w:t>$</w:t>
            </w:r>
            <w:r>
              <w:rPr>
                <w:rFonts w:ascii="Verdana" w:cs="Verdana" w:eastAsia="Verdana" w:hAnsi="Verdana"/>
                <w:sz w:val="18"/>
                <w:szCs w:val="18"/>
                <w:color w:val="auto"/>
                <w:w w:val="99"/>
              </w:rPr>
              <w:t>2,062,817</w:t>
            </w:r>
          </w:p>
        </w:tc>
        <w:tc>
          <w:tcPr>
            <w:tcW w:w="80" w:type="dxa"/>
            <w:vAlign w:val="bottom"/>
            <w:shd w:val="clear" w:color="auto" w:fill="E0E7ED"/>
          </w:tcPr>
          <w:p>
            <w:pPr>
              <w:spacing w:after="0"/>
              <w:rPr>
                <w:sz w:val="19"/>
                <w:szCs w:val="19"/>
                <w:color w:val="auto"/>
              </w:rPr>
            </w:pPr>
          </w:p>
        </w:tc>
        <w:tc>
          <w:tcPr>
            <w:tcW w:w="1120" w:type="dxa"/>
            <w:vAlign w:val="bottom"/>
            <w:gridSpan w:val="2"/>
            <w:vMerge w:val="restart"/>
            <w:shd w:val="clear" w:color="auto" w:fill="E0E7ED"/>
          </w:tcPr>
          <w:p>
            <w:pPr>
              <w:jc w:val="right"/>
              <w:spacing w:after="0"/>
              <w:rPr>
                <w:sz w:val="20"/>
                <w:szCs w:val="20"/>
                <w:color w:val="auto"/>
              </w:rPr>
            </w:pPr>
            <w:r>
              <w:rPr>
                <w:rFonts w:ascii="Verdana" w:cs="Verdana" w:eastAsia="Verdana" w:hAnsi="Verdana"/>
                <w:sz w:val="18"/>
                <w:szCs w:val="18"/>
                <w:color w:val="auto"/>
                <w:w w:val="98"/>
              </w:rPr>
              <w:t>$ (247,245)</w:t>
            </w:r>
          </w:p>
        </w:tc>
        <w:tc>
          <w:tcPr>
            <w:tcW w:w="0" w:type="dxa"/>
            <w:vAlign w:val="bottom"/>
          </w:tcPr>
          <w:p>
            <w:pPr>
              <w:spacing w:after="0"/>
              <w:rPr>
                <w:sz w:val="1"/>
                <w:szCs w:val="1"/>
                <w:color w:val="auto"/>
              </w:rPr>
            </w:pPr>
          </w:p>
        </w:tc>
      </w:tr>
      <w:tr>
        <w:trPr>
          <w:trHeight w:val="241"/>
        </w:trPr>
        <w:tc>
          <w:tcPr>
            <w:tcW w:w="408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unrealized losses</w:t>
            </w:r>
          </w:p>
        </w:tc>
        <w:tc>
          <w:tcPr>
            <w:tcW w:w="240" w:type="dxa"/>
            <w:vAlign w:val="bottom"/>
            <w:tcBorders>
              <w:bottom w:val="single" w:sz="8" w:color="auto"/>
            </w:tcBorders>
            <w:vMerge w:val="continue"/>
            <w:shd w:val="clear" w:color="auto" w:fill="E0E7ED"/>
          </w:tcPr>
          <w:p>
            <w:pPr>
              <w:spacing w:after="0"/>
              <w:rPr>
                <w:sz w:val="20"/>
                <w:szCs w:val="20"/>
                <w:color w:val="auto"/>
              </w:rPr>
            </w:pPr>
          </w:p>
        </w:tc>
        <w:tc>
          <w:tcPr>
            <w:tcW w:w="86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160" w:type="dxa"/>
            <w:vAlign w:val="bottom"/>
            <w:tcBorders>
              <w:bottom w:val="single" w:sz="8" w:color="auto"/>
            </w:tcBorders>
            <w:vMerge w:val="continue"/>
            <w:shd w:val="clear" w:color="auto" w:fill="E0E7ED"/>
          </w:tcPr>
          <w:p>
            <w:pPr>
              <w:spacing w:after="0"/>
              <w:rPr>
                <w:sz w:val="20"/>
                <w:szCs w:val="20"/>
                <w:color w:val="auto"/>
              </w:rPr>
            </w:pPr>
          </w:p>
        </w:tc>
        <w:tc>
          <w:tcPr>
            <w:tcW w:w="94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1160" w:type="dxa"/>
            <w:vAlign w:val="bottom"/>
            <w:tcBorders>
              <w:bottom w:val="single" w:sz="8" w:color="auto"/>
            </w:tcBorders>
            <w:gridSpan w:val="3"/>
            <w:vMerge w:val="continue"/>
            <w:shd w:val="clear" w:color="auto" w:fill="E0E7ED"/>
          </w:tcPr>
          <w:p>
            <w:pPr>
              <w:spacing w:after="0"/>
              <w:rPr>
                <w:sz w:val="20"/>
                <w:szCs w:val="20"/>
                <w:color w:val="auto"/>
              </w:rPr>
            </w:pPr>
          </w:p>
        </w:tc>
        <w:tc>
          <w:tcPr>
            <w:tcW w:w="40" w:type="dxa"/>
            <w:vAlign w:val="bottom"/>
            <w:tcBorders>
              <w:bottom w:val="single" w:sz="8" w:color="E0E7ED"/>
            </w:tcBorders>
            <w:shd w:val="clear" w:color="auto" w:fill="E0E7ED"/>
          </w:tcPr>
          <w:p>
            <w:pPr>
              <w:spacing w:after="0"/>
              <w:rPr>
                <w:sz w:val="20"/>
                <w:szCs w:val="20"/>
                <w:color w:val="auto"/>
              </w:rPr>
            </w:pPr>
          </w:p>
        </w:tc>
        <w:tc>
          <w:tcPr>
            <w:tcW w:w="40" w:type="dxa"/>
            <w:vAlign w:val="bottom"/>
            <w:tcBorders>
              <w:bottom w:val="single" w:sz="8" w:color="E0E7ED"/>
            </w:tcBorders>
            <w:shd w:val="clear" w:color="auto" w:fill="E0E7ED"/>
          </w:tcPr>
          <w:p>
            <w:pPr>
              <w:spacing w:after="0"/>
              <w:rPr>
                <w:sz w:val="20"/>
                <w:szCs w:val="20"/>
                <w:color w:val="auto"/>
              </w:rPr>
            </w:pPr>
          </w:p>
        </w:tc>
        <w:tc>
          <w:tcPr>
            <w:tcW w:w="1120" w:type="dxa"/>
            <w:vAlign w:val="bottom"/>
            <w:tcBorders>
              <w:bottom w:val="single" w:sz="8" w:color="auto"/>
            </w:tcBorders>
            <w:gridSpan w:val="3"/>
            <w:vMerge w:val="continue"/>
            <w:shd w:val="clear" w:color="auto" w:fill="E0E7ED"/>
          </w:tcPr>
          <w:p>
            <w:pPr>
              <w:spacing w:after="0"/>
              <w:rPr>
                <w:sz w:val="20"/>
                <w:szCs w:val="20"/>
                <w:color w:val="auto"/>
              </w:rPr>
            </w:pPr>
          </w:p>
        </w:tc>
        <w:tc>
          <w:tcPr>
            <w:tcW w:w="40" w:type="dxa"/>
            <w:vAlign w:val="bottom"/>
            <w:tcBorders>
              <w:bottom w:val="single" w:sz="8" w:color="E0E7ED"/>
            </w:tcBorders>
            <w:shd w:val="clear" w:color="auto" w:fill="E0E7ED"/>
          </w:tcPr>
          <w:p>
            <w:pPr>
              <w:spacing w:after="0"/>
              <w:rPr>
                <w:sz w:val="20"/>
                <w:szCs w:val="20"/>
                <w:color w:val="auto"/>
              </w:rPr>
            </w:pPr>
          </w:p>
        </w:tc>
        <w:tc>
          <w:tcPr>
            <w:tcW w:w="40" w:type="dxa"/>
            <w:vAlign w:val="bottom"/>
            <w:tcBorders>
              <w:bottom w:val="single" w:sz="8" w:color="E0E7ED"/>
            </w:tcBorders>
            <w:shd w:val="clear" w:color="auto" w:fill="E0E7ED"/>
          </w:tcPr>
          <w:p>
            <w:pPr>
              <w:spacing w:after="0"/>
              <w:rPr>
                <w:sz w:val="20"/>
                <w:szCs w:val="20"/>
                <w:color w:val="auto"/>
              </w:rPr>
            </w:pPr>
          </w:p>
        </w:tc>
        <w:tc>
          <w:tcPr>
            <w:tcW w:w="1160" w:type="dxa"/>
            <w:vAlign w:val="bottom"/>
            <w:tcBorders>
              <w:bottom w:val="single" w:sz="8" w:color="auto"/>
            </w:tcBorders>
            <w:gridSpan w:val="3"/>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1120" w:type="dxa"/>
            <w:vAlign w:val="bottom"/>
            <w:tcBorders>
              <w:bottom w:val="single" w:sz="8" w:color="auto"/>
            </w:tcBorders>
            <w:gridSpan w:val="2"/>
            <w:vMerge w:val="continue"/>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8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bottom w:val="single" w:sz="8" w:color="auto"/>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900" w:type="dxa"/>
            <w:vAlign w:val="bottom"/>
            <w:tcBorders>
              <w:top w:val="single" w:sz="8" w:color="E0E7ED"/>
              <w:bottom w:val="single" w:sz="8" w:color="auto"/>
            </w:tcBorders>
          </w:tcPr>
          <w:p>
            <w:pPr>
              <w:spacing w:after="0" w:line="20" w:lineRule="exact"/>
              <w:rPr>
                <w:sz w:val="1"/>
                <w:szCs w:val="1"/>
                <w:color w:val="auto"/>
              </w:rPr>
            </w:pPr>
          </w:p>
        </w:tc>
        <w:tc>
          <w:tcPr>
            <w:tcW w:w="40" w:type="dxa"/>
            <w:vAlign w:val="bottom"/>
            <w:tcBorders>
              <w:top w:val="single" w:sz="8" w:color="E0E7ED"/>
            </w:tcBorders>
          </w:tcPr>
          <w:p>
            <w:pPr>
              <w:spacing w:after="0" w:line="20" w:lineRule="exact"/>
              <w:rPr>
                <w:sz w:val="1"/>
                <w:szCs w:val="1"/>
                <w:color w:val="auto"/>
              </w:rPr>
            </w:pPr>
          </w:p>
        </w:tc>
        <w:tc>
          <w:tcPr>
            <w:tcW w:w="40" w:type="dxa"/>
            <w:vAlign w:val="bottom"/>
            <w:tcBorders>
              <w:top w:val="single" w:sz="8" w:color="E0E7ED"/>
            </w:tcBorders>
          </w:tcPr>
          <w:p>
            <w:pPr>
              <w:spacing w:after="0" w:line="20" w:lineRule="exact"/>
              <w:rPr>
                <w:sz w:val="1"/>
                <w:szCs w:val="1"/>
                <w:color w:val="auto"/>
              </w:rPr>
            </w:pPr>
          </w:p>
        </w:tc>
        <w:tc>
          <w:tcPr>
            <w:tcW w:w="40" w:type="dxa"/>
            <w:vAlign w:val="bottom"/>
            <w:tcBorders>
              <w:top w:val="single" w:sz="8" w:color="E0E7ED"/>
              <w:bottom w:val="single" w:sz="8" w:color="auto"/>
            </w:tcBorders>
          </w:tcPr>
          <w:p>
            <w:pPr>
              <w:spacing w:after="0" w:line="20" w:lineRule="exact"/>
              <w:rPr>
                <w:sz w:val="1"/>
                <w:szCs w:val="1"/>
                <w:color w:val="auto"/>
              </w:rPr>
            </w:pPr>
          </w:p>
        </w:tc>
        <w:tc>
          <w:tcPr>
            <w:tcW w:w="1080" w:type="dxa"/>
            <w:vAlign w:val="bottom"/>
            <w:tcBorders>
              <w:top w:val="single" w:sz="8" w:color="E0E7ED"/>
              <w:bottom w:val="single" w:sz="8" w:color="auto"/>
            </w:tcBorders>
            <w:gridSpan w:val="2"/>
          </w:tcPr>
          <w:p>
            <w:pPr>
              <w:spacing w:after="0" w:line="20" w:lineRule="exact"/>
              <w:rPr>
                <w:sz w:val="1"/>
                <w:szCs w:val="1"/>
                <w:color w:val="auto"/>
              </w:rPr>
            </w:pPr>
          </w:p>
        </w:tc>
        <w:tc>
          <w:tcPr>
            <w:tcW w:w="40" w:type="dxa"/>
            <w:vAlign w:val="bottom"/>
            <w:tcBorders>
              <w:top w:val="single" w:sz="8" w:color="E0E7ED"/>
            </w:tcBorders>
          </w:tcPr>
          <w:p>
            <w:pPr>
              <w:spacing w:after="0" w:line="20" w:lineRule="exact"/>
              <w:rPr>
                <w:sz w:val="1"/>
                <w:szCs w:val="1"/>
                <w:color w:val="auto"/>
              </w:rPr>
            </w:pPr>
          </w:p>
        </w:tc>
        <w:tc>
          <w:tcPr>
            <w:tcW w:w="40" w:type="dxa"/>
            <w:vAlign w:val="bottom"/>
            <w:tcBorders>
              <w:top w:val="single" w:sz="8" w:color="E0E7ED"/>
            </w:tcBorders>
          </w:tcPr>
          <w:p>
            <w:pPr>
              <w:spacing w:after="0" w:line="20" w:lineRule="exact"/>
              <w:rPr>
                <w:sz w:val="1"/>
                <w:szCs w:val="1"/>
                <w:color w:val="auto"/>
              </w:rPr>
            </w:pPr>
          </w:p>
        </w:tc>
        <w:tc>
          <w:tcPr>
            <w:tcW w:w="40" w:type="dxa"/>
            <w:vAlign w:val="bottom"/>
            <w:tcBorders>
              <w:top w:val="single" w:sz="8" w:color="E0E7ED"/>
              <w:bottom w:val="single" w:sz="8" w:color="auto"/>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9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96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8"/>
          </w:tcPr>
          <w:p>
            <w:pPr>
              <w:jc w:val="center"/>
              <w:ind w:right="220"/>
              <w:spacing w:after="0"/>
              <w:rPr>
                <w:sz w:val="20"/>
                <w:szCs w:val="20"/>
                <w:color w:val="auto"/>
              </w:rPr>
            </w:pPr>
            <w:r>
              <w:rPr>
                <w:rFonts w:ascii="Verdana" w:cs="Verdana" w:eastAsia="Verdana" w:hAnsi="Verdana"/>
                <w:sz w:val="13"/>
                <w:szCs w:val="13"/>
                <w:b w:val="1"/>
                <w:bCs w:val="1"/>
                <w:color w:val="auto"/>
                <w:w w:val="97"/>
              </w:rPr>
              <w:t>12 months or more</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Verdana" w:cs="Verdana" w:eastAsia="Verdana" w:hAnsi="Verdana"/>
                <w:sz w:val="13"/>
                <w:szCs w:val="13"/>
                <w:b w:val="1"/>
                <w:bCs w:val="1"/>
                <w:color w:val="auto"/>
              </w:rPr>
              <w:t>Total</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3"/>
          </w:tcPr>
          <w:p>
            <w:pPr>
              <w:jc w:val="right"/>
              <w:ind w:right="460"/>
              <w:spacing w:after="0" w:line="122" w:lineRule="exact"/>
              <w:rPr>
                <w:sz w:val="20"/>
                <w:szCs w:val="20"/>
                <w:color w:val="auto"/>
              </w:rPr>
            </w:pPr>
            <w:r>
              <w:rPr>
                <w:rFonts w:ascii="Verdana" w:cs="Verdana" w:eastAsia="Verdana" w:hAnsi="Verdana"/>
                <w:sz w:val="13"/>
                <w:szCs w:val="13"/>
                <w:b w:val="1"/>
                <w:bCs w:val="1"/>
                <w:color w:val="auto"/>
              </w:rPr>
              <w:t>Fair</w:t>
            </w:r>
          </w:p>
        </w:tc>
        <w:tc>
          <w:tcPr>
            <w:tcW w:w="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3"/>
          </w:tcPr>
          <w:p>
            <w:pPr>
              <w:jc w:val="center"/>
              <w:spacing w:after="0" w:line="122" w:lineRule="exact"/>
              <w:rPr>
                <w:sz w:val="20"/>
                <w:szCs w:val="20"/>
                <w:color w:val="auto"/>
              </w:rPr>
            </w:pPr>
            <w:r>
              <w:rPr>
                <w:rFonts w:ascii="Verdana" w:cs="Verdana" w:eastAsia="Verdana" w:hAnsi="Verdana"/>
                <w:sz w:val="13"/>
                <w:szCs w:val="13"/>
                <w:b w:val="1"/>
                <w:bCs w:val="1"/>
                <w:color w:val="auto"/>
                <w:w w:val="96"/>
              </w:rPr>
              <w:t>Unrecognized</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280"/>
              <w:spacing w:after="0" w:line="122" w:lineRule="exact"/>
              <w:rPr>
                <w:sz w:val="20"/>
                <w:szCs w:val="20"/>
                <w:color w:val="auto"/>
              </w:rPr>
            </w:pPr>
            <w:r>
              <w:rPr>
                <w:rFonts w:ascii="Verdana" w:cs="Verdana" w:eastAsia="Verdana" w:hAnsi="Verdana"/>
                <w:sz w:val="13"/>
                <w:szCs w:val="13"/>
                <w:b w:val="1"/>
                <w:bCs w:val="1"/>
                <w:color w:val="auto"/>
                <w:w w:val="99"/>
              </w:rPr>
              <w:t>Fair</w:t>
            </w:r>
          </w:p>
        </w:tc>
        <w:tc>
          <w:tcPr>
            <w:tcW w:w="1120" w:type="dxa"/>
            <w:vAlign w:val="bottom"/>
            <w:tcBorders>
              <w:top w:val="single" w:sz="8" w:color="auto"/>
            </w:tcBorders>
            <w:gridSpan w:val="2"/>
          </w:tcPr>
          <w:p>
            <w:pPr>
              <w:jc w:val="center"/>
              <w:spacing w:after="0" w:line="122" w:lineRule="exact"/>
              <w:rPr>
                <w:sz w:val="20"/>
                <w:szCs w:val="20"/>
                <w:color w:val="auto"/>
              </w:rPr>
            </w:pPr>
            <w:r>
              <w:rPr>
                <w:rFonts w:ascii="Verdana" w:cs="Verdana" w:eastAsia="Verdana" w:hAnsi="Verdana"/>
                <w:sz w:val="13"/>
                <w:szCs w:val="13"/>
                <w:b w:val="1"/>
                <w:bCs w:val="1"/>
                <w:color w:val="auto"/>
                <w:w w:val="96"/>
              </w:rPr>
              <w:t>Unrecognized</w:t>
            </w:r>
          </w:p>
        </w:tc>
        <w:tc>
          <w:tcPr>
            <w:tcW w:w="0" w:type="dxa"/>
            <w:vAlign w:val="bottom"/>
          </w:tcPr>
          <w:p>
            <w:pPr>
              <w:spacing w:after="0"/>
              <w:rPr>
                <w:sz w:val="1"/>
                <w:szCs w:val="1"/>
                <w:color w:val="auto"/>
              </w:rPr>
            </w:pPr>
          </w:p>
        </w:tc>
      </w:tr>
      <w:tr>
        <w:trPr>
          <w:trHeight w:val="170"/>
        </w:trPr>
        <w:tc>
          <w:tcPr>
            <w:tcW w:w="4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tcPr>
          <w:p>
            <w:pPr>
              <w:ind w:left="180"/>
              <w:spacing w:after="0"/>
              <w:rPr>
                <w:sz w:val="20"/>
                <w:szCs w:val="20"/>
                <w:color w:val="auto"/>
              </w:rPr>
            </w:pPr>
            <w:r>
              <w:rPr>
                <w:rFonts w:ascii="Verdana" w:cs="Verdana" w:eastAsia="Verdana" w:hAnsi="Verdana"/>
                <w:sz w:val="13"/>
                <w:szCs w:val="13"/>
                <w:b w:val="1"/>
                <w:bCs w:val="1"/>
                <w:color w:val="auto"/>
              </w:rPr>
              <w:t>Value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180"/>
              <w:spacing w:after="0"/>
              <w:rPr>
                <w:sz w:val="20"/>
                <w:szCs w:val="20"/>
                <w:color w:val="auto"/>
              </w:rPr>
            </w:pPr>
            <w:r>
              <w:rPr>
                <w:rFonts w:ascii="Verdana" w:cs="Verdana" w:eastAsia="Verdana" w:hAnsi="Verdana"/>
                <w:sz w:val="13"/>
                <w:szCs w:val="13"/>
                <w:b w:val="1"/>
                <w:bCs w:val="1"/>
                <w:color w:val="auto"/>
                <w:w w:val="97"/>
              </w:rPr>
              <w:t>Losses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Verdana" w:cs="Verdana" w:eastAsia="Verdana" w:hAnsi="Verdana"/>
                <w:sz w:val="13"/>
                <w:szCs w:val="13"/>
                <w:b w:val="1"/>
                <w:bCs w:val="1"/>
                <w:color w:val="auto"/>
                <w:w w:val="97"/>
              </w:rPr>
              <w:t>Value</w:t>
            </w:r>
          </w:p>
        </w:tc>
        <w:tc>
          <w:tcPr>
            <w:tcW w:w="160" w:type="dxa"/>
            <w:vAlign w:val="bottom"/>
          </w:tcPr>
          <w:p>
            <w:pPr>
              <w:spacing w:after="0"/>
              <w:rPr>
                <w:sz w:val="14"/>
                <w:szCs w:val="14"/>
                <w:color w:val="auto"/>
              </w:rPr>
            </w:pPr>
          </w:p>
        </w:tc>
        <w:tc>
          <w:tcPr>
            <w:tcW w:w="960" w:type="dxa"/>
            <w:vAlign w:val="bottom"/>
          </w:tcPr>
          <w:p>
            <w:pPr>
              <w:jc w:val="center"/>
              <w:ind w:right="77"/>
              <w:spacing w:after="0"/>
              <w:rPr>
                <w:sz w:val="20"/>
                <w:szCs w:val="20"/>
                <w:color w:val="auto"/>
              </w:rPr>
            </w:pPr>
            <w:r>
              <w:rPr>
                <w:rFonts w:ascii="Verdana" w:cs="Verdana" w:eastAsia="Verdana" w:hAnsi="Verdana"/>
                <w:sz w:val="13"/>
                <w:szCs w:val="13"/>
                <w:b w:val="1"/>
                <w:bCs w:val="1"/>
                <w:color w:val="auto"/>
                <w:w w:val="97"/>
              </w:rPr>
              <w:t>Losses</w:t>
            </w:r>
          </w:p>
        </w:tc>
        <w:tc>
          <w:tcPr>
            <w:tcW w:w="0" w:type="dxa"/>
            <w:vAlign w:val="bottom"/>
          </w:tcPr>
          <w:p>
            <w:pPr>
              <w:spacing w:after="0"/>
              <w:rPr>
                <w:sz w:val="1"/>
                <w:szCs w:val="1"/>
                <w:color w:val="auto"/>
              </w:rPr>
            </w:pPr>
          </w:p>
        </w:tc>
      </w:tr>
      <w:tr>
        <w:trPr>
          <w:trHeight w:val="255"/>
        </w:trPr>
        <w:tc>
          <w:tcPr>
            <w:tcW w:w="40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held to maturity</w:t>
            </w:r>
          </w:p>
        </w:tc>
        <w:tc>
          <w:tcPr>
            <w:tcW w:w="240" w:type="dxa"/>
            <w:vAlign w:val="bottom"/>
            <w:tcBorders>
              <w:top w:val="single" w:sz="8" w:color="E0E7ED"/>
            </w:tcBorders>
            <w:shd w:val="clear" w:color="auto" w:fill="E0E7ED"/>
          </w:tcPr>
          <w:p>
            <w:pPr>
              <w:spacing w:after="0"/>
              <w:rPr>
                <w:sz w:val="22"/>
                <w:szCs w:val="22"/>
                <w:color w:val="auto"/>
              </w:rPr>
            </w:pPr>
          </w:p>
        </w:tc>
        <w:tc>
          <w:tcPr>
            <w:tcW w:w="86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E0E7ED"/>
            </w:tcBorders>
            <w:shd w:val="clear" w:color="auto" w:fill="E0E7ED"/>
          </w:tcPr>
          <w:p>
            <w:pPr>
              <w:spacing w:after="0"/>
              <w:rPr>
                <w:sz w:val="22"/>
                <w:szCs w:val="22"/>
                <w:color w:val="auto"/>
              </w:rPr>
            </w:pPr>
          </w:p>
        </w:tc>
        <w:tc>
          <w:tcPr>
            <w:tcW w:w="94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80" w:type="dxa"/>
            <w:vAlign w:val="bottom"/>
            <w:tcBorders>
              <w:top w:val="single" w:sz="8" w:color="auto"/>
            </w:tcBorders>
            <w:shd w:val="clear" w:color="auto" w:fill="E0E7ED"/>
          </w:tcPr>
          <w:p>
            <w:pPr>
              <w:spacing w:after="0"/>
              <w:rPr>
                <w:sz w:val="22"/>
                <w:szCs w:val="22"/>
                <w:color w:val="auto"/>
              </w:rPr>
            </w:pPr>
          </w:p>
        </w:tc>
        <w:tc>
          <w:tcPr>
            <w:tcW w:w="900" w:type="dxa"/>
            <w:vAlign w:val="bottom"/>
            <w:tcBorders>
              <w:top w:val="single" w:sz="8" w:color="auto"/>
            </w:tcBorders>
            <w:shd w:val="clear" w:color="auto" w:fill="E0E7ED"/>
          </w:tcPr>
          <w:p>
            <w:pPr>
              <w:spacing w:after="0"/>
              <w:rPr>
                <w:sz w:val="22"/>
                <w:szCs w:val="22"/>
                <w:color w:val="auto"/>
              </w:rPr>
            </w:pPr>
          </w:p>
        </w:tc>
        <w:tc>
          <w:tcPr>
            <w:tcW w:w="40" w:type="dxa"/>
            <w:vAlign w:val="bottom"/>
            <w:tcBorders>
              <w:top w:val="single" w:sz="8" w:color="auto"/>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140" w:type="dxa"/>
            <w:vAlign w:val="bottom"/>
            <w:tcBorders>
              <w:top w:val="single" w:sz="8" w:color="auto"/>
            </w:tcBorders>
            <w:shd w:val="clear" w:color="auto" w:fill="E0E7ED"/>
          </w:tcPr>
          <w:p>
            <w:pPr>
              <w:spacing w:after="0"/>
              <w:rPr>
                <w:sz w:val="22"/>
                <w:szCs w:val="22"/>
                <w:color w:val="auto"/>
              </w:rPr>
            </w:pPr>
          </w:p>
        </w:tc>
        <w:tc>
          <w:tcPr>
            <w:tcW w:w="940" w:type="dxa"/>
            <w:vAlign w:val="bottom"/>
            <w:tcBorders>
              <w:top w:val="single" w:sz="8" w:color="auto"/>
            </w:tcBorders>
            <w:shd w:val="clear" w:color="auto" w:fill="E0E7ED"/>
          </w:tcPr>
          <w:p>
            <w:pPr>
              <w:spacing w:after="0"/>
              <w:rPr>
                <w:sz w:val="22"/>
                <w:szCs w:val="22"/>
                <w:color w:val="auto"/>
              </w:rPr>
            </w:pPr>
          </w:p>
        </w:tc>
        <w:tc>
          <w:tcPr>
            <w:tcW w:w="40" w:type="dxa"/>
            <w:vAlign w:val="bottom"/>
            <w:tcBorders>
              <w:top w:val="single" w:sz="8" w:color="auto"/>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200" w:type="dxa"/>
            <w:vAlign w:val="bottom"/>
            <w:tcBorders>
              <w:top w:val="single" w:sz="8" w:color="auto"/>
            </w:tcBorders>
            <w:shd w:val="clear" w:color="auto" w:fill="E0E7ED"/>
          </w:tcPr>
          <w:p>
            <w:pPr>
              <w:spacing w:after="0"/>
              <w:rPr>
                <w:sz w:val="22"/>
                <w:szCs w:val="22"/>
                <w:color w:val="auto"/>
              </w:rPr>
            </w:pPr>
          </w:p>
        </w:tc>
        <w:tc>
          <w:tcPr>
            <w:tcW w:w="9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96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80" w:type="dxa"/>
            <w:vAlign w:val="bottom"/>
          </w:tcPr>
          <w:p>
            <w:pPr>
              <w:ind w:left="180"/>
              <w:spacing w:after="0"/>
              <w:rPr>
                <w:sz w:val="20"/>
                <w:szCs w:val="20"/>
                <w:color w:val="auto"/>
              </w:rPr>
            </w:pPr>
            <w:r>
              <w:rPr>
                <w:rFonts w:ascii="Verdana" w:cs="Verdana" w:eastAsia="Verdana" w:hAnsi="Verdana"/>
                <w:sz w:val="18"/>
                <w:szCs w:val="18"/>
                <w:color w:val="auto"/>
              </w:rPr>
              <w:t>Commercial mortgage-backed securities</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gridSpan w:val="2"/>
          </w:tcPr>
          <w:p>
            <w:pPr>
              <w:jc w:val="right"/>
              <w:ind w:right="60"/>
              <w:spacing w:after="0"/>
              <w:rPr>
                <w:sz w:val="20"/>
                <w:szCs w:val="20"/>
                <w:color w:val="auto"/>
              </w:rPr>
            </w:pPr>
            <w:r>
              <w:rPr>
                <w:rFonts w:ascii="Verdana" w:cs="Verdana" w:eastAsia="Verdana" w:hAnsi="Verdana"/>
                <w:sz w:val="18"/>
                <w:szCs w:val="18"/>
                <w:color w:val="auto"/>
              </w:rPr>
              <w:t>$</w:t>
            </w:r>
          </w:p>
        </w:tc>
        <w:tc>
          <w:tcPr>
            <w:tcW w:w="900" w:type="dxa"/>
            <w:vAlign w:val="bottom"/>
          </w:tcPr>
          <w:p>
            <w:pPr>
              <w:jc w:val="right"/>
              <w:spacing w:after="0"/>
              <w:rPr>
                <w:sz w:val="20"/>
                <w:szCs w:val="20"/>
                <w:color w:val="auto"/>
              </w:rPr>
            </w:pPr>
            <w:r>
              <w:rPr>
                <w:rFonts w:ascii="Verdana" w:cs="Verdana" w:eastAsia="Verdana" w:hAnsi="Verdana"/>
                <w:sz w:val="18"/>
                <w:szCs w:val="18"/>
                <w:color w:val="auto"/>
              </w:rPr>
              <w:t>357,526</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Verdana" w:cs="Verdana" w:eastAsia="Verdana" w:hAnsi="Verdana"/>
                <w:sz w:val="18"/>
                <w:szCs w:val="18"/>
                <w:color w:val="auto"/>
              </w:rPr>
              <w:t>$</w:t>
            </w:r>
          </w:p>
        </w:tc>
        <w:tc>
          <w:tcPr>
            <w:tcW w:w="980" w:type="dxa"/>
            <w:vAlign w:val="bottom"/>
            <w:gridSpan w:val="2"/>
          </w:tcPr>
          <w:p>
            <w:pPr>
              <w:jc w:val="right"/>
              <w:ind w:right="20"/>
              <w:spacing w:after="0"/>
              <w:rPr>
                <w:sz w:val="20"/>
                <w:szCs w:val="20"/>
                <w:color w:val="auto"/>
              </w:rPr>
            </w:pPr>
            <w:r>
              <w:rPr>
                <w:rFonts w:ascii="Verdana" w:cs="Verdana" w:eastAsia="Verdana" w:hAnsi="Verdana"/>
                <w:sz w:val="18"/>
                <w:szCs w:val="18"/>
                <w:color w:val="auto"/>
              </w:rPr>
              <w:t>(71,000)</w:t>
            </w:r>
          </w:p>
        </w:tc>
        <w:tc>
          <w:tcPr>
            <w:tcW w:w="40" w:type="dxa"/>
            <w:vAlign w:val="bottom"/>
          </w:tcPr>
          <w:p>
            <w:pPr>
              <w:spacing w:after="0"/>
              <w:rPr>
                <w:sz w:val="22"/>
                <w:szCs w:val="22"/>
                <w:color w:val="auto"/>
              </w:rPr>
            </w:pPr>
          </w:p>
        </w:tc>
        <w:tc>
          <w:tcPr>
            <w:tcW w:w="240" w:type="dxa"/>
            <w:vAlign w:val="bottom"/>
            <w:gridSpan w:val="2"/>
          </w:tcPr>
          <w:p>
            <w:pPr>
              <w:jc w:val="right"/>
              <w:ind w:right="60"/>
              <w:spacing w:after="0"/>
              <w:rPr>
                <w:sz w:val="20"/>
                <w:szCs w:val="20"/>
                <w:color w:val="auto"/>
              </w:rPr>
            </w:pPr>
            <w:r>
              <w:rPr>
                <w:rFonts w:ascii="Verdana" w:cs="Verdana" w:eastAsia="Verdana" w:hAnsi="Verdana"/>
                <w:sz w:val="18"/>
                <w:szCs w:val="18"/>
                <w:color w:val="auto"/>
              </w:rPr>
              <w:t>$</w:t>
            </w:r>
          </w:p>
        </w:tc>
        <w:tc>
          <w:tcPr>
            <w:tcW w:w="920" w:type="dxa"/>
            <w:vAlign w:val="bottom"/>
          </w:tcPr>
          <w:p>
            <w:pPr>
              <w:jc w:val="right"/>
              <w:ind w:right="21"/>
              <w:spacing w:after="0"/>
              <w:rPr>
                <w:sz w:val="20"/>
                <w:szCs w:val="20"/>
                <w:color w:val="auto"/>
              </w:rPr>
            </w:pPr>
            <w:r>
              <w:rPr>
                <w:rFonts w:ascii="Verdana" w:cs="Verdana" w:eastAsia="Verdana" w:hAnsi="Verdana"/>
                <w:sz w:val="18"/>
                <w:szCs w:val="18"/>
                <w:color w:val="auto"/>
              </w:rPr>
              <w:t>357,526</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(71,000)</w:t>
            </w:r>
          </w:p>
        </w:tc>
        <w:tc>
          <w:tcPr>
            <w:tcW w:w="0" w:type="dxa"/>
            <w:vAlign w:val="bottom"/>
          </w:tcPr>
          <w:p>
            <w:pPr>
              <w:spacing w:after="0"/>
              <w:rPr>
                <w:sz w:val="1"/>
                <w:szCs w:val="1"/>
                <w:color w:val="auto"/>
              </w:rPr>
            </w:pPr>
          </w:p>
        </w:tc>
      </w:tr>
      <w:tr>
        <w:trPr>
          <w:trHeight w:val="270"/>
        </w:trPr>
        <w:tc>
          <w:tcPr>
            <w:tcW w:w="40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Residential mortgage-backed securities</w:t>
            </w:r>
          </w:p>
        </w:tc>
        <w:tc>
          <w:tcPr>
            <w:tcW w:w="240" w:type="dxa"/>
            <w:vAlign w:val="bottom"/>
            <w:shd w:val="clear" w:color="auto" w:fill="E0E7ED"/>
          </w:tcPr>
          <w:p>
            <w:pPr>
              <w:spacing w:after="0"/>
              <w:rPr>
                <w:sz w:val="23"/>
                <w:szCs w:val="23"/>
                <w:color w:val="auto"/>
              </w:rPr>
            </w:pPr>
          </w:p>
        </w:tc>
        <w:tc>
          <w:tcPr>
            <w:tcW w:w="86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160" w:type="dxa"/>
            <w:vAlign w:val="bottom"/>
            <w:shd w:val="clear" w:color="auto" w:fill="E0E7ED"/>
          </w:tcPr>
          <w:p>
            <w:pPr>
              <w:spacing w:after="0"/>
              <w:rPr>
                <w:sz w:val="23"/>
                <w:szCs w:val="23"/>
                <w:color w:val="auto"/>
              </w:rPr>
            </w:pPr>
          </w:p>
        </w:tc>
        <w:tc>
          <w:tcPr>
            <w:tcW w:w="94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180" w:type="dxa"/>
            <w:vAlign w:val="bottom"/>
            <w:tcBorders>
              <w:bottom w:val="single" w:sz="8" w:color="auto"/>
            </w:tcBorders>
            <w:shd w:val="clear" w:color="auto" w:fill="E0E7ED"/>
          </w:tcPr>
          <w:p>
            <w:pPr>
              <w:spacing w:after="0"/>
              <w:rPr>
                <w:sz w:val="23"/>
                <w:szCs w:val="23"/>
                <w:color w:val="auto"/>
              </w:rPr>
            </w:pPr>
          </w:p>
        </w:tc>
        <w:tc>
          <w:tcPr>
            <w:tcW w:w="9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372,871</w:t>
            </w:r>
          </w:p>
        </w:tc>
        <w:tc>
          <w:tcPr>
            <w:tcW w:w="40" w:type="dxa"/>
            <w:vAlign w:val="bottom"/>
            <w:tcBorders>
              <w:bottom w:val="single" w:sz="8" w:color="auto"/>
            </w:tcBorders>
            <w:shd w:val="clear" w:color="auto" w:fill="E0E7ED"/>
          </w:tcPr>
          <w:p>
            <w:pPr>
              <w:spacing w:after="0"/>
              <w:rPr>
                <w:sz w:val="23"/>
                <w:szCs w:val="23"/>
                <w:color w:val="auto"/>
              </w:rPr>
            </w:pPr>
          </w:p>
        </w:tc>
        <w:tc>
          <w:tcPr>
            <w:tcW w:w="40" w:type="dxa"/>
            <w:vAlign w:val="bottom"/>
            <w:shd w:val="clear" w:color="auto" w:fill="E0E7ED"/>
          </w:tcPr>
          <w:p>
            <w:pPr>
              <w:spacing w:after="0"/>
              <w:rPr>
                <w:sz w:val="23"/>
                <w:szCs w:val="23"/>
                <w:color w:val="auto"/>
              </w:rPr>
            </w:pPr>
          </w:p>
        </w:tc>
        <w:tc>
          <w:tcPr>
            <w:tcW w:w="40" w:type="dxa"/>
            <w:vAlign w:val="bottom"/>
            <w:shd w:val="clear" w:color="auto" w:fill="E0E7ED"/>
          </w:tcPr>
          <w:p>
            <w:pPr>
              <w:spacing w:after="0"/>
              <w:rPr>
                <w:sz w:val="23"/>
                <w:szCs w:val="23"/>
                <w:color w:val="auto"/>
              </w:rPr>
            </w:pPr>
          </w:p>
        </w:tc>
        <w:tc>
          <w:tcPr>
            <w:tcW w:w="140" w:type="dxa"/>
            <w:vAlign w:val="bottom"/>
            <w:tcBorders>
              <w:bottom w:val="single" w:sz="8" w:color="auto"/>
            </w:tcBorders>
            <w:shd w:val="clear" w:color="auto" w:fill="E0E7ED"/>
          </w:tcPr>
          <w:p>
            <w:pPr>
              <w:spacing w:after="0"/>
              <w:rPr>
                <w:sz w:val="23"/>
                <w:szCs w:val="23"/>
                <w:color w:val="auto"/>
              </w:rPr>
            </w:pPr>
          </w:p>
        </w:tc>
        <w:tc>
          <w:tcPr>
            <w:tcW w:w="980" w:type="dxa"/>
            <w:vAlign w:val="bottom"/>
            <w:tcBorders>
              <w:bottom w:val="single" w:sz="8" w:color="auto"/>
            </w:tcBorders>
            <w:gridSpan w:val="2"/>
            <w:shd w:val="clear" w:color="auto" w:fill="E0E7ED"/>
          </w:tcPr>
          <w:p>
            <w:pPr>
              <w:jc w:val="right"/>
              <w:ind w:right="20"/>
              <w:spacing w:after="0"/>
              <w:rPr>
                <w:sz w:val="20"/>
                <w:szCs w:val="20"/>
                <w:color w:val="auto"/>
              </w:rPr>
            </w:pPr>
            <w:r>
              <w:rPr>
                <w:rFonts w:ascii="Verdana" w:cs="Verdana" w:eastAsia="Verdana" w:hAnsi="Verdana"/>
                <w:sz w:val="18"/>
                <w:szCs w:val="18"/>
                <w:color w:val="auto"/>
              </w:rPr>
              <w:t>(71,231)</w:t>
            </w:r>
          </w:p>
        </w:tc>
        <w:tc>
          <w:tcPr>
            <w:tcW w:w="40" w:type="dxa"/>
            <w:vAlign w:val="bottom"/>
            <w:shd w:val="clear" w:color="auto" w:fill="E0E7ED"/>
          </w:tcPr>
          <w:p>
            <w:pPr>
              <w:spacing w:after="0"/>
              <w:rPr>
                <w:sz w:val="23"/>
                <w:szCs w:val="23"/>
                <w:color w:val="auto"/>
              </w:rPr>
            </w:pPr>
          </w:p>
        </w:tc>
        <w:tc>
          <w:tcPr>
            <w:tcW w:w="40" w:type="dxa"/>
            <w:vAlign w:val="bottom"/>
            <w:shd w:val="clear" w:color="auto" w:fill="E0E7ED"/>
          </w:tcPr>
          <w:p>
            <w:pPr>
              <w:spacing w:after="0"/>
              <w:rPr>
                <w:sz w:val="23"/>
                <w:szCs w:val="23"/>
                <w:color w:val="auto"/>
              </w:rPr>
            </w:pPr>
          </w:p>
        </w:tc>
        <w:tc>
          <w:tcPr>
            <w:tcW w:w="200" w:type="dxa"/>
            <w:vAlign w:val="bottom"/>
            <w:tcBorders>
              <w:bottom w:val="single" w:sz="8" w:color="auto"/>
            </w:tcBorders>
            <w:shd w:val="clear" w:color="auto" w:fill="E0E7ED"/>
          </w:tcPr>
          <w:p>
            <w:pPr>
              <w:spacing w:after="0"/>
              <w:rPr>
                <w:sz w:val="23"/>
                <w:szCs w:val="23"/>
                <w:color w:val="auto"/>
              </w:rPr>
            </w:pPr>
          </w:p>
        </w:tc>
        <w:tc>
          <w:tcPr>
            <w:tcW w:w="920" w:type="dxa"/>
            <w:vAlign w:val="bottom"/>
            <w:tcBorders>
              <w:bottom w:val="single" w:sz="8" w:color="auto"/>
            </w:tcBorders>
            <w:shd w:val="clear" w:color="auto" w:fill="E0E7ED"/>
          </w:tcPr>
          <w:p>
            <w:pPr>
              <w:jc w:val="right"/>
              <w:ind w:right="21"/>
              <w:spacing w:after="0"/>
              <w:rPr>
                <w:sz w:val="20"/>
                <w:szCs w:val="20"/>
                <w:color w:val="auto"/>
              </w:rPr>
            </w:pPr>
            <w:r>
              <w:rPr>
                <w:rFonts w:ascii="Verdana" w:cs="Verdana" w:eastAsia="Verdana" w:hAnsi="Verdana"/>
                <w:sz w:val="18"/>
                <w:szCs w:val="18"/>
                <w:color w:val="auto"/>
              </w:rPr>
              <w:t>372,871</w:t>
            </w:r>
          </w:p>
        </w:tc>
        <w:tc>
          <w:tcPr>
            <w:tcW w:w="80" w:type="dxa"/>
            <w:vAlign w:val="bottom"/>
            <w:shd w:val="clear" w:color="auto" w:fill="E0E7ED"/>
          </w:tcPr>
          <w:p>
            <w:pPr>
              <w:spacing w:after="0"/>
              <w:rPr>
                <w:sz w:val="23"/>
                <w:szCs w:val="23"/>
                <w:color w:val="auto"/>
              </w:rPr>
            </w:pPr>
          </w:p>
        </w:tc>
        <w:tc>
          <w:tcPr>
            <w:tcW w:w="160" w:type="dxa"/>
            <w:vAlign w:val="bottom"/>
            <w:tcBorders>
              <w:bottom w:val="single" w:sz="8" w:color="auto"/>
            </w:tcBorders>
            <w:shd w:val="clear" w:color="auto" w:fill="E0E7ED"/>
          </w:tcPr>
          <w:p>
            <w:pPr>
              <w:spacing w:after="0"/>
              <w:rPr>
                <w:sz w:val="23"/>
                <w:szCs w:val="23"/>
                <w:color w:val="auto"/>
              </w:rPr>
            </w:pPr>
          </w:p>
        </w:tc>
        <w:tc>
          <w:tcPr>
            <w:tcW w:w="9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(71,231)</w:t>
            </w:r>
          </w:p>
        </w:tc>
        <w:tc>
          <w:tcPr>
            <w:tcW w:w="0" w:type="dxa"/>
            <w:vAlign w:val="bottom"/>
          </w:tcPr>
          <w:p>
            <w:pPr>
              <w:spacing w:after="0"/>
              <w:rPr>
                <w:sz w:val="1"/>
                <w:szCs w:val="1"/>
                <w:color w:val="auto"/>
              </w:rPr>
            </w:pPr>
          </w:p>
        </w:tc>
      </w:tr>
      <w:tr>
        <w:trPr>
          <w:trHeight w:val="270"/>
        </w:trPr>
        <w:tc>
          <w:tcPr>
            <w:tcW w:w="6440" w:type="dxa"/>
            <w:vAlign w:val="bottom"/>
            <w:gridSpan w:val="7"/>
          </w:tcPr>
          <w:p>
            <w:pPr>
              <w:ind w:left="20"/>
              <w:spacing w:after="0"/>
              <w:rPr>
                <w:sz w:val="20"/>
                <w:szCs w:val="20"/>
                <w:color w:val="auto"/>
              </w:rPr>
            </w:pPr>
            <w:r>
              <w:rPr>
                <w:rFonts w:ascii="Verdana" w:cs="Verdana" w:eastAsia="Verdana" w:hAnsi="Verdana"/>
                <w:sz w:val="18"/>
                <w:szCs w:val="18"/>
                <w:color w:val="auto"/>
              </w:rPr>
              <w:t>Debt securities held to maturity with gross unrecognized losses</w:t>
            </w:r>
          </w:p>
        </w:tc>
        <w:tc>
          <w:tcPr>
            <w:tcW w:w="260" w:type="dxa"/>
            <w:vAlign w:val="bottom"/>
            <w:gridSpan w:val="2"/>
          </w:tcPr>
          <w:p>
            <w:pPr>
              <w:jc w:val="right"/>
              <w:ind w:right="60"/>
              <w:spacing w:after="0"/>
              <w:rPr>
                <w:sz w:val="20"/>
                <w:szCs w:val="20"/>
                <w:color w:val="auto"/>
              </w:rPr>
            </w:pPr>
            <w:r>
              <w:rPr>
                <w:rFonts w:ascii="Verdana" w:cs="Verdana" w:eastAsia="Verdana" w:hAnsi="Verdana"/>
                <w:sz w:val="18"/>
                <w:szCs w:val="18"/>
                <w:color w:val="auto"/>
              </w:rPr>
              <w:t>$</w:t>
            </w:r>
          </w:p>
        </w:tc>
        <w:tc>
          <w:tcPr>
            <w:tcW w:w="900" w:type="dxa"/>
            <w:vAlign w:val="bottom"/>
          </w:tcPr>
          <w:p>
            <w:pPr>
              <w:jc w:val="right"/>
              <w:spacing w:after="0"/>
              <w:rPr>
                <w:sz w:val="20"/>
                <w:szCs w:val="20"/>
                <w:color w:val="auto"/>
              </w:rPr>
            </w:pPr>
            <w:r>
              <w:rPr>
                <w:rFonts w:ascii="Verdana" w:cs="Verdana" w:eastAsia="Verdana" w:hAnsi="Verdana"/>
                <w:sz w:val="18"/>
                <w:szCs w:val="18"/>
                <w:color w:val="auto"/>
              </w:rPr>
              <w:t>730,397</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60" w:type="dxa"/>
            <w:vAlign w:val="bottom"/>
            <w:gridSpan w:val="4"/>
          </w:tcPr>
          <w:p>
            <w:pPr>
              <w:jc w:val="right"/>
              <w:ind w:right="20"/>
              <w:spacing w:after="0"/>
              <w:rPr>
                <w:sz w:val="20"/>
                <w:szCs w:val="20"/>
                <w:color w:val="auto"/>
              </w:rPr>
            </w:pPr>
            <w:r>
              <w:rPr>
                <w:rFonts w:ascii="Verdana" w:cs="Verdana" w:eastAsia="Verdana" w:hAnsi="Verdana"/>
                <w:sz w:val="18"/>
                <w:szCs w:val="18"/>
                <w:color w:val="auto"/>
              </w:rPr>
              <w:t>$ (142,231)</w:t>
            </w:r>
          </w:p>
        </w:tc>
        <w:tc>
          <w:tcPr>
            <w:tcW w:w="40" w:type="dxa"/>
            <w:vAlign w:val="bottom"/>
          </w:tcPr>
          <w:p>
            <w:pPr>
              <w:spacing w:after="0"/>
              <w:rPr>
                <w:sz w:val="23"/>
                <w:szCs w:val="23"/>
                <w:color w:val="auto"/>
              </w:rPr>
            </w:pPr>
          </w:p>
        </w:tc>
        <w:tc>
          <w:tcPr>
            <w:tcW w:w="240" w:type="dxa"/>
            <w:vAlign w:val="bottom"/>
            <w:gridSpan w:val="2"/>
          </w:tcPr>
          <w:p>
            <w:pPr>
              <w:jc w:val="right"/>
              <w:ind w:right="60"/>
              <w:spacing w:after="0"/>
              <w:rPr>
                <w:sz w:val="20"/>
                <w:szCs w:val="20"/>
                <w:color w:val="auto"/>
              </w:rPr>
            </w:pPr>
            <w:r>
              <w:rPr>
                <w:rFonts w:ascii="Verdana" w:cs="Verdana" w:eastAsia="Verdana" w:hAnsi="Verdana"/>
                <w:sz w:val="18"/>
                <w:szCs w:val="18"/>
                <w:color w:val="auto"/>
              </w:rPr>
              <w:t>$</w:t>
            </w:r>
          </w:p>
        </w:tc>
        <w:tc>
          <w:tcPr>
            <w:tcW w:w="920" w:type="dxa"/>
            <w:vAlign w:val="bottom"/>
          </w:tcPr>
          <w:p>
            <w:pPr>
              <w:jc w:val="right"/>
              <w:ind w:right="21"/>
              <w:spacing w:after="0"/>
              <w:rPr>
                <w:sz w:val="20"/>
                <w:szCs w:val="20"/>
                <w:color w:val="auto"/>
              </w:rPr>
            </w:pPr>
            <w:r>
              <w:rPr>
                <w:rFonts w:ascii="Verdana" w:cs="Verdana" w:eastAsia="Verdana" w:hAnsi="Verdana"/>
                <w:sz w:val="18"/>
                <w:szCs w:val="18"/>
                <w:color w:val="auto"/>
              </w:rPr>
              <w:t>730,397</w:t>
            </w:r>
          </w:p>
        </w:tc>
        <w:tc>
          <w:tcPr>
            <w:tcW w:w="8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Verdana" w:cs="Verdana" w:eastAsia="Verdana" w:hAnsi="Verdana"/>
                <w:sz w:val="18"/>
                <w:szCs w:val="18"/>
                <w:color w:val="auto"/>
                <w:w w:val="98"/>
              </w:rPr>
              <w:t>$ (142,231)</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23" w:name="page24"/>
    <w:bookmarkEnd w:id="23"/>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Additional information about debt securities in an unrealized or unrecognized loss position is presented in the tables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jc w:val="center"/>
              <w:ind w:right="20"/>
              <w:spacing w:after="0"/>
              <w:rPr>
                <w:sz w:val="20"/>
                <w:szCs w:val="20"/>
                <w:color w:val="auto"/>
              </w:rPr>
            </w:pPr>
            <w:r>
              <w:rPr>
                <w:rFonts w:ascii="Verdana" w:cs="Verdana" w:eastAsia="Verdana" w:hAnsi="Verdana"/>
                <w:sz w:val="13"/>
                <w:szCs w:val="13"/>
                <w:b w:val="1"/>
                <w:bCs w:val="1"/>
                <w:color w:val="auto"/>
                <w:w w:val="96"/>
              </w:rPr>
              <w:t>As of September 30, 2024</w:t>
            </w: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r>
      <w:tr>
        <w:trPr>
          <w:trHeight w:val="170"/>
        </w:trPr>
        <w:tc>
          <w:tcPr>
            <w:tcW w:w="6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ind w:right="115"/>
              <w:spacing w:after="0"/>
              <w:rPr>
                <w:sz w:val="20"/>
                <w:szCs w:val="20"/>
                <w:color w:val="auto"/>
              </w:rPr>
            </w:pPr>
            <w:r>
              <w:rPr>
                <w:rFonts w:ascii="Verdana" w:cs="Verdana" w:eastAsia="Verdana" w:hAnsi="Verdana"/>
                <w:sz w:val="13"/>
                <w:szCs w:val="13"/>
                <w:b w:val="1"/>
                <w:bCs w:val="1"/>
                <w:color w:val="auto"/>
                <w:w w:val="98"/>
              </w:rPr>
              <w:t>Available for Sale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3"/>
          </w:tcPr>
          <w:p>
            <w:pPr>
              <w:jc w:val="center"/>
              <w:ind w:right="300"/>
              <w:spacing w:after="0"/>
              <w:rPr>
                <w:sz w:val="20"/>
                <w:szCs w:val="20"/>
                <w:color w:val="auto"/>
              </w:rPr>
            </w:pPr>
            <w:r>
              <w:rPr>
                <w:rFonts w:ascii="Verdana" w:cs="Verdana" w:eastAsia="Verdana" w:hAnsi="Verdana"/>
                <w:sz w:val="13"/>
                <w:szCs w:val="13"/>
                <w:b w:val="1"/>
                <w:bCs w:val="1"/>
                <w:color w:val="auto"/>
                <w:w w:val="96"/>
              </w:rPr>
              <w:t>Held to Maturity</w:t>
            </w:r>
          </w:p>
        </w:tc>
        <w:tc>
          <w:tcPr>
            <w:tcW w:w="280" w:type="dxa"/>
            <w:vAlign w:val="bottom"/>
          </w:tcPr>
          <w:p>
            <w:pPr>
              <w:spacing w:after="0"/>
              <w:rPr>
                <w:sz w:val="14"/>
                <w:szCs w:val="14"/>
                <w:color w:val="auto"/>
              </w:rPr>
            </w:pPr>
          </w:p>
        </w:tc>
        <w:tc>
          <w:tcPr>
            <w:tcW w:w="1380" w:type="dxa"/>
            <w:vAlign w:val="bottom"/>
          </w:tcPr>
          <w:p>
            <w:pPr>
              <w:jc w:val="right"/>
              <w:ind w:right="575"/>
              <w:spacing w:after="0"/>
              <w:rPr>
                <w:sz w:val="20"/>
                <w:szCs w:val="20"/>
                <w:color w:val="auto"/>
              </w:rPr>
            </w:pPr>
            <w:r>
              <w:rPr>
                <w:rFonts w:ascii="Verdana" w:cs="Verdana" w:eastAsia="Verdana" w:hAnsi="Verdana"/>
                <w:sz w:val="13"/>
                <w:szCs w:val="13"/>
                <w:b w:val="1"/>
                <w:bCs w:val="1"/>
                <w:color w:val="auto"/>
              </w:rPr>
              <w:t>Total</w:t>
            </w:r>
          </w:p>
        </w:tc>
      </w:tr>
      <w:tr>
        <w:trPr>
          <w:trHeight w:val="223"/>
        </w:trPr>
        <w:tc>
          <w:tcPr>
            <w:tcW w:w="60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Debt securities with gross unrealized or unrecognized losses, fair</w:t>
            </w:r>
          </w:p>
        </w:tc>
        <w:tc>
          <w:tcPr>
            <w:tcW w:w="180" w:type="dxa"/>
            <w:vAlign w:val="bottom"/>
            <w:tcBorders>
              <w:top w:val="single" w:sz="8" w:color="auto"/>
            </w:tcBorders>
            <w:shd w:val="clear" w:color="auto" w:fill="E0E7ED"/>
          </w:tcPr>
          <w:p>
            <w:pPr>
              <w:spacing w:after="0"/>
              <w:rPr>
                <w:sz w:val="19"/>
                <w:szCs w:val="19"/>
                <w:color w:val="auto"/>
              </w:rPr>
            </w:pPr>
          </w:p>
        </w:tc>
        <w:tc>
          <w:tcPr>
            <w:tcW w:w="14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00" w:type="dxa"/>
            <w:vAlign w:val="bottom"/>
            <w:tcBorders>
              <w:top w:val="single" w:sz="8" w:color="auto"/>
            </w:tcBorders>
            <w:shd w:val="clear" w:color="auto" w:fill="E0E7ED"/>
          </w:tcPr>
          <w:p>
            <w:pPr>
              <w:spacing w:after="0"/>
              <w:rPr>
                <w:sz w:val="19"/>
                <w:szCs w:val="19"/>
                <w:color w:val="auto"/>
              </w:rPr>
            </w:pPr>
          </w:p>
        </w:tc>
        <w:tc>
          <w:tcPr>
            <w:tcW w:w="146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0" w:type="dxa"/>
            <w:vAlign w:val="bottom"/>
            <w:tcBorders>
              <w:top w:val="single" w:sz="8" w:color="auto"/>
            </w:tcBorders>
            <w:shd w:val="clear" w:color="auto" w:fill="E0E7ED"/>
          </w:tcPr>
          <w:p>
            <w:pPr>
              <w:spacing w:after="0"/>
              <w:rPr>
                <w:sz w:val="19"/>
                <w:szCs w:val="19"/>
                <w:color w:val="auto"/>
              </w:rPr>
            </w:pPr>
          </w:p>
        </w:tc>
        <w:tc>
          <w:tcPr>
            <w:tcW w:w="280" w:type="dxa"/>
            <w:vAlign w:val="bottom"/>
            <w:tcBorders>
              <w:top w:val="single" w:sz="8" w:color="auto"/>
            </w:tcBorders>
            <w:shd w:val="clear" w:color="auto" w:fill="E0E7ED"/>
          </w:tcPr>
          <w:p>
            <w:pPr>
              <w:spacing w:after="0"/>
              <w:rPr>
                <w:sz w:val="19"/>
                <w:szCs w:val="19"/>
                <w:color w:val="auto"/>
              </w:rPr>
            </w:pPr>
          </w:p>
        </w:tc>
        <w:tc>
          <w:tcPr>
            <w:tcW w:w="1380" w:type="dxa"/>
            <w:vAlign w:val="bottom"/>
            <w:tcBorders>
              <w:top w:val="single" w:sz="8" w:color="auto"/>
            </w:tcBorders>
            <w:shd w:val="clear" w:color="auto" w:fill="E0E7ED"/>
          </w:tcPr>
          <w:p>
            <w:pPr>
              <w:spacing w:after="0"/>
              <w:rPr>
                <w:sz w:val="19"/>
                <w:szCs w:val="19"/>
                <w:color w:val="auto"/>
              </w:rPr>
            </w:pPr>
          </w:p>
        </w:tc>
      </w:tr>
      <w:tr>
        <w:trPr>
          <w:trHeight w:val="248"/>
        </w:trPr>
        <w:tc>
          <w:tcPr>
            <w:tcW w:w="60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value</w:t>
            </w:r>
          </w:p>
        </w:tc>
        <w:tc>
          <w:tcPr>
            <w:tcW w:w="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480" w:type="dxa"/>
            <w:vAlign w:val="bottom"/>
            <w:shd w:val="clear" w:color="auto" w:fill="E0E7ED"/>
          </w:tcPr>
          <w:p>
            <w:pPr>
              <w:jc w:val="right"/>
              <w:ind w:right="175"/>
              <w:spacing w:after="0"/>
              <w:rPr>
                <w:sz w:val="20"/>
                <w:szCs w:val="20"/>
                <w:color w:val="auto"/>
              </w:rPr>
            </w:pPr>
            <w:r>
              <w:rPr>
                <w:rFonts w:ascii="Verdana" w:cs="Verdana" w:eastAsia="Verdana" w:hAnsi="Verdana"/>
                <w:sz w:val="18"/>
                <w:szCs w:val="18"/>
                <w:color w:val="auto"/>
              </w:rPr>
              <w:t>1,373,425</w:t>
            </w:r>
          </w:p>
        </w:tc>
        <w:tc>
          <w:tcPr>
            <w:tcW w:w="300" w:type="dxa"/>
            <w:vAlign w:val="bottom"/>
            <w:gridSpan w:val="2"/>
            <w:shd w:val="clear" w:color="auto" w:fill="E0E7ED"/>
          </w:tcPr>
          <w:p>
            <w:pPr>
              <w:jc w:val="right"/>
              <w:ind w:right="60"/>
              <w:spacing w:after="0"/>
              <w:rPr>
                <w:sz w:val="20"/>
                <w:szCs w:val="20"/>
                <w:color w:val="auto"/>
              </w:rPr>
            </w:pPr>
            <w:r>
              <w:rPr>
                <w:rFonts w:ascii="Verdana" w:cs="Verdana" w:eastAsia="Verdana" w:hAnsi="Verdana"/>
                <w:sz w:val="18"/>
                <w:szCs w:val="18"/>
                <w:color w:val="auto"/>
              </w:rPr>
              <w:t>$</w:t>
            </w:r>
          </w:p>
        </w:tc>
        <w:tc>
          <w:tcPr>
            <w:tcW w:w="146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712,369</w:t>
            </w: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28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w w:val="86"/>
              </w:rPr>
              <w:t>$</w:t>
            </w:r>
          </w:p>
        </w:tc>
        <w:tc>
          <w:tcPr>
            <w:tcW w:w="138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2,085,794</w:t>
            </w:r>
          </w:p>
        </w:tc>
      </w:tr>
      <w:tr>
        <w:trPr>
          <w:trHeight w:val="263"/>
        </w:trPr>
        <w:tc>
          <w:tcPr>
            <w:tcW w:w="6060" w:type="dxa"/>
            <w:vAlign w:val="bottom"/>
          </w:tcPr>
          <w:p>
            <w:pPr>
              <w:ind w:left="20"/>
              <w:spacing w:after="0"/>
              <w:rPr>
                <w:sz w:val="20"/>
                <w:szCs w:val="20"/>
                <w:color w:val="auto"/>
              </w:rPr>
            </w:pPr>
            <w:r>
              <w:rPr>
                <w:rFonts w:ascii="Verdana" w:cs="Verdana" w:eastAsia="Verdana" w:hAnsi="Verdana"/>
                <w:sz w:val="18"/>
                <w:szCs w:val="18"/>
                <w:color w:val="auto"/>
              </w:rPr>
              <w:t>Gross unrealized or unrecognized losses on debt securities</w:t>
            </w:r>
          </w:p>
        </w:tc>
        <w:tc>
          <w:tcPr>
            <w:tcW w:w="180" w:type="dxa"/>
            <w:vAlign w:val="bottom"/>
          </w:tcPr>
          <w:p>
            <w:pPr>
              <w:spacing w:after="0"/>
              <w:rPr>
                <w:sz w:val="22"/>
                <w:szCs w:val="22"/>
                <w:color w:val="auto"/>
              </w:rPr>
            </w:pPr>
          </w:p>
        </w:tc>
        <w:tc>
          <w:tcPr>
            <w:tcW w:w="1480" w:type="dxa"/>
            <w:vAlign w:val="bottom"/>
          </w:tcPr>
          <w:p>
            <w:pPr>
              <w:jc w:val="right"/>
              <w:ind w:right="175"/>
              <w:spacing w:after="0"/>
              <w:rPr>
                <w:sz w:val="20"/>
                <w:szCs w:val="20"/>
                <w:color w:val="auto"/>
              </w:rPr>
            </w:pPr>
            <w:r>
              <w:rPr>
                <w:rFonts w:ascii="Verdana" w:cs="Verdana" w:eastAsia="Verdana" w:hAnsi="Verdana"/>
                <w:sz w:val="18"/>
                <w:szCs w:val="18"/>
                <w:color w:val="auto"/>
              </w:rPr>
              <w:t>192,315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jc w:val="right"/>
              <w:ind w:right="195"/>
              <w:spacing w:after="0"/>
              <w:rPr>
                <w:sz w:val="20"/>
                <w:szCs w:val="20"/>
                <w:color w:val="auto"/>
              </w:rPr>
            </w:pPr>
            <w:r>
              <w:rPr>
                <w:rFonts w:ascii="Verdana" w:cs="Verdana" w:eastAsia="Verdana" w:hAnsi="Verdana"/>
                <w:sz w:val="18"/>
                <w:szCs w:val="18"/>
                <w:color w:val="auto"/>
              </w:rPr>
              <w:t>126,514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195"/>
              <w:spacing w:after="0"/>
              <w:rPr>
                <w:sz w:val="20"/>
                <w:szCs w:val="20"/>
                <w:color w:val="auto"/>
              </w:rPr>
            </w:pPr>
            <w:r>
              <w:rPr>
                <w:rFonts w:ascii="Verdana" w:cs="Verdana" w:eastAsia="Verdana" w:hAnsi="Verdana"/>
                <w:sz w:val="18"/>
                <w:szCs w:val="18"/>
                <w:color w:val="auto"/>
              </w:rPr>
              <w:t>318,829</w:t>
            </w:r>
          </w:p>
        </w:tc>
      </w:tr>
      <w:tr>
        <w:trPr>
          <w:trHeight w:val="244"/>
        </w:trPr>
        <w:tc>
          <w:tcPr>
            <w:tcW w:w="60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Ratio of gross unrealized or unrecognized losses to debt securities</w:t>
            </w:r>
          </w:p>
        </w:tc>
        <w:tc>
          <w:tcPr>
            <w:tcW w:w="180" w:type="dxa"/>
            <w:vAlign w:val="bottom"/>
            <w:shd w:val="clear" w:color="auto" w:fill="E0E7ED"/>
          </w:tcPr>
          <w:p>
            <w:pPr>
              <w:spacing w:after="0"/>
              <w:rPr>
                <w:sz w:val="21"/>
                <w:szCs w:val="21"/>
                <w:color w:val="auto"/>
              </w:rPr>
            </w:pPr>
          </w:p>
        </w:tc>
        <w:tc>
          <w:tcPr>
            <w:tcW w:w="14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380" w:type="dxa"/>
            <w:vAlign w:val="bottom"/>
            <w:shd w:val="clear" w:color="auto" w:fill="E0E7ED"/>
          </w:tcPr>
          <w:p>
            <w:pPr>
              <w:spacing w:after="0"/>
              <w:rPr>
                <w:sz w:val="21"/>
                <w:szCs w:val="21"/>
                <w:color w:val="auto"/>
              </w:rPr>
            </w:pPr>
          </w:p>
        </w:tc>
      </w:tr>
      <w:tr>
        <w:trPr>
          <w:trHeight w:val="248"/>
        </w:trPr>
        <w:tc>
          <w:tcPr>
            <w:tcW w:w="60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with gross unrealized or unrecognized losses</w:t>
            </w:r>
          </w:p>
        </w:tc>
        <w:tc>
          <w:tcPr>
            <w:tcW w:w="180" w:type="dxa"/>
            <w:vAlign w:val="bottom"/>
            <w:shd w:val="clear" w:color="auto" w:fill="E0E7ED"/>
          </w:tcPr>
          <w:p>
            <w:pPr>
              <w:spacing w:after="0"/>
              <w:rPr>
                <w:sz w:val="21"/>
                <w:szCs w:val="21"/>
                <w:color w:val="auto"/>
              </w:rPr>
            </w:pPr>
          </w:p>
        </w:tc>
        <w:tc>
          <w:tcPr>
            <w:tcW w:w="14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14.0 %</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17.8 %</w:t>
            </w: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3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15.3 %</w:t>
            </w:r>
          </w:p>
        </w:tc>
      </w:tr>
      <w:tr>
        <w:trPr>
          <w:trHeight w:val="270"/>
        </w:trPr>
        <w:tc>
          <w:tcPr>
            <w:tcW w:w="6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70"/>
        </w:trPr>
        <w:tc>
          <w:tcPr>
            <w:tcW w:w="60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Count of debt securities</w:t>
            </w:r>
          </w:p>
        </w:tc>
        <w:tc>
          <w:tcPr>
            <w:tcW w:w="180" w:type="dxa"/>
            <w:vAlign w:val="bottom"/>
            <w:shd w:val="clear" w:color="auto" w:fill="E0E7ED"/>
          </w:tcPr>
          <w:p>
            <w:pPr>
              <w:spacing w:after="0"/>
              <w:rPr>
                <w:sz w:val="23"/>
                <w:szCs w:val="23"/>
                <w:color w:val="auto"/>
              </w:rPr>
            </w:pPr>
          </w:p>
        </w:tc>
        <w:tc>
          <w:tcPr>
            <w:tcW w:w="1480" w:type="dxa"/>
            <w:vAlign w:val="bottom"/>
            <w:shd w:val="clear" w:color="auto" w:fill="E0E7ED"/>
          </w:tcPr>
          <w:p>
            <w:pPr>
              <w:jc w:val="right"/>
              <w:ind w:right="175"/>
              <w:spacing w:after="0"/>
              <w:rPr>
                <w:sz w:val="20"/>
                <w:szCs w:val="20"/>
                <w:color w:val="auto"/>
              </w:rPr>
            </w:pPr>
            <w:r>
              <w:rPr>
                <w:rFonts w:ascii="Verdana" w:cs="Verdana" w:eastAsia="Verdana" w:hAnsi="Verdana"/>
                <w:sz w:val="18"/>
                <w:szCs w:val="18"/>
                <w:color w:val="auto"/>
              </w:rPr>
              <w:t>704</w:t>
            </w:r>
          </w:p>
        </w:tc>
        <w:tc>
          <w:tcPr>
            <w:tcW w:w="10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46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55</w:t>
            </w:r>
          </w:p>
        </w:tc>
        <w:tc>
          <w:tcPr>
            <w:tcW w:w="80" w:type="dxa"/>
            <w:vAlign w:val="bottom"/>
            <w:shd w:val="clear" w:color="auto" w:fill="E0E7ED"/>
          </w:tcPr>
          <w:p>
            <w:pPr>
              <w:spacing w:after="0"/>
              <w:rPr>
                <w:sz w:val="23"/>
                <w:szCs w:val="23"/>
                <w:color w:val="auto"/>
              </w:rPr>
            </w:pPr>
          </w:p>
        </w:tc>
        <w:tc>
          <w:tcPr>
            <w:tcW w:w="20" w:type="dxa"/>
            <w:vAlign w:val="bottom"/>
            <w:shd w:val="clear" w:color="auto" w:fill="E0E7ED"/>
          </w:tcPr>
          <w:p>
            <w:pPr>
              <w:spacing w:after="0"/>
              <w:rPr>
                <w:sz w:val="23"/>
                <w:szCs w:val="23"/>
                <w:color w:val="auto"/>
              </w:rPr>
            </w:pPr>
          </w:p>
        </w:tc>
        <w:tc>
          <w:tcPr>
            <w:tcW w:w="280" w:type="dxa"/>
            <w:vAlign w:val="bottom"/>
            <w:shd w:val="clear" w:color="auto" w:fill="E0E7ED"/>
          </w:tcPr>
          <w:p>
            <w:pPr>
              <w:spacing w:after="0"/>
              <w:rPr>
                <w:sz w:val="23"/>
                <w:szCs w:val="23"/>
                <w:color w:val="auto"/>
              </w:rPr>
            </w:pPr>
          </w:p>
        </w:tc>
        <w:tc>
          <w:tcPr>
            <w:tcW w:w="138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759</w:t>
            </w:r>
          </w:p>
        </w:tc>
      </w:tr>
      <w:tr>
        <w:trPr>
          <w:trHeight w:val="238"/>
        </w:trPr>
        <w:tc>
          <w:tcPr>
            <w:tcW w:w="6060" w:type="dxa"/>
            <w:vAlign w:val="bottom"/>
          </w:tcPr>
          <w:p>
            <w:pPr>
              <w:ind w:left="20"/>
              <w:spacing w:after="0"/>
              <w:rPr>
                <w:sz w:val="20"/>
                <w:szCs w:val="20"/>
                <w:color w:val="auto"/>
              </w:rPr>
            </w:pPr>
            <w:r>
              <w:rPr>
                <w:rFonts w:ascii="Verdana" w:cs="Verdana" w:eastAsia="Verdana" w:hAnsi="Verdana"/>
                <w:sz w:val="18"/>
                <w:szCs w:val="18"/>
                <w:color w:val="auto"/>
              </w:rPr>
              <w:t>Count of debt securities in an unrealized or unrecognized loss</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5"/>
        </w:trPr>
        <w:tc>
          <w:tcPr>
            <w:tcW w:w="6060" w:type="dxa"/>
            <w:vAlign w:val="bottom"/>
          </w:tcPr>
          <w:p>
            <w:pPr>
              <w:ind w:left="20"/>
              <w:spacing w:after="0"/>
              <w:rPr>
                <w:sz w:val="20"/>
                <w:szCs w:val="20"/>
                <w:color w:val="auto"/>
              </w:rPr>
            </w:pPr>
            <w:r>
              <w:rPr>
                <w:rFonts w:ascii="Verdana" w:cs="Verdana" w:eastAsia="Verdana" w:hAnsi="Verdana"/>
                <w:sz w:val="18"/>
                <w:szCs w:val="18"/>
                <w:color w:val="auto"/>
              </w:rPr>
              <w:t>position</w:t>
            </w:r>
          </w:p>
        </w:tc>
        <w:tc>
          <w:tcPr>
            <w:tcW w:w="180" w:type="dxa"/>
            <w:vAlign w:val="bottom"/>
          </w:tcPr>
          <w:p>
            <w:pPr>
              <w:spacing w:after="0"/>
              <w:rPr>
                <w:sz w:val="20"/>
                <w:szCs w:val="20"/>
                <w:color w:val="auto"/>
              </w:rPr>
            </w:pPr>
          </w:p>
        </w:tc>
        <w:tc>
          <w:tcPr>
            <w:tcW w:w="1480" w:type="dxa"/>
            <w:vAlign w:val="bottom"/>
          </w:tcPr>
          <w:p>
            <w:pPr>
              <w:jc w:val="right"/>
              <w:ind w:right="175"/>
              <w:spacing w:after="0"/>
              <w:rPr>
                <w:sz w:val="20"/>
                <w:szCs w:val="20"/>
                <w:color w:val="auto"/>
              </w:rPr>
            </w:pPr>
            <w:r>
              <w:rPr>
                <w:rFonts w:ascii="Verdana" w:cs="Verdana" w:eastAsia="Verdana" w:hAnsi="Verdana"/>
                <w:sz w:val="18"/>
                <w:szCs w:val="18"/>
                <w:color w:val="auto"/>
              </w:rPr>
              <w:t>572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195"/>
              <w:spacing w:after="0"/>
              <w:rPr>
                <w:sz w:val="20"/>
                <w:szCs w:val="20"/>
                <w:color w:val="auto"/>
              </w:rPr>
            </w:pPr>
            <w:r>
              <w:rPr>
                <w:rFonts w:ascii="Verdana" w:cs="Verdana" w:eastAsia="Verdana" w:hAnsi="Verdana"/>
                <w:sz w:val="18"/>
                <w:szCs w:val="18"/>
                <w:color w:val="auto"/>
              </w:rPr>
              <w:t>55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ind w:right="195"/>
              <w:spacing w:after="0"/>
              <w:rPr>
                <w:sz w:val="20"/>
                <w:szCs w:val="20"/>
                <w:color w:val="auto"/>
              </w:rPr>
            </w:pPr>
            <w:r>
              <w:rPr>
                <w:rFonts w:ascii="Verdana" w:cs="Verdana" w:eastAsia="Verdana" w:hAnsi="Verdana"/>
                <w:sz w:val="18"/>
                <w:szCs w:val="18"/>
                <w:color w:val="auto"/>
              </w:rPr>
              <w:t>627</w:t>
            </w:r>
          </w:p>
        </w:tc>
      </w:tr>
      <w:tr>
        <w:trPr>
          <w:trHeight w:val="520"/>
        </w:trPr>
        <w:tc>
          <w:tcPr>
            <w:tcW w:w="6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center"/>
              <w:spacing w:after="0"/>
              <w:rPr>
                <w:sz w:val="20"/>
                <w:szCs w:val="20"/>
                <w:color w:val="auto"/>
              </w:rPr>
            </w:pPr>
            <w:r>
              <w:rPr>
                <w:rFonts w:ascii="Verdana" w:cs="Verdana" w:eastAsia="Verdana" w:hAnsi="Verdana"/>
                <w:sz w:val="13"/>
                <w:szCs w:val="13"/>
                <w:b w:val="1"/>
                <w:bCs w:val="1"/>
                <w:color w:val="auto"/>
                <w:w w:val="96"/>
              </w:rPr>
              <w:t>As of December 31, 2023</w:t>
            </w: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170"/>
        </w:trPr>
        <w:tc>
          <w:tcPr>
            <w:tcW w:w="6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ind w:right="115"/>
              <w:spacing w:after="0"/>
              <w:rPr>
                <w:sz w:val="20"/>
                <w:szCs w:val="20"/>
                <w:color w:val="auto"/>
              </w:rPr>
            </w:pPr>
            <w:r>
              <w:rPr>
                <w:rFonts w:ascii="Verdana" w:cs="Verdana" w:eastAsia="Verdana" w:hAnsi="Verdana"/>
                <w:sz w:val="13"/>
                <w:szCs w:val="13"/>
                <w:b w:val="1"/>
                <w:bCs w:val="1"/>
                <w:color w:val="auto"/>
                <w:w w:val="98"/>
              </w:rPr>
              <w:t>Available for Sale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3"/>
          </w:tcPr>
          <w:p>
            <w:pPr>
              <w:jc w:val="center"/>
              <w:ind w:right="300"/>
              <w:spacing w:after="0"/>
              <w:rPr>
                <w:sz w:val="20"/>
                <w:szCs w:val="20"/>
                <w:color w:val="auto"/>
              </w:rPr>
            </w:pPr>
            <w:r>
              <w:rPr>
                <w:rFonts w:ascii="Verdana" w:cs="Verdana" w:eastAsia="Verdana" w:hAnsi="Verdana"/>
                <w:sz w:val="13"/>
                <w:szCs w:val="13"/>
                <w:b w:val="1"/>
                <w:bCs w:val="1"/>
                <w:color w:val="auto"/>
                <w:w w:val="96"/>
              </w:rPr>
              <w:t>Held to Maturity</w:t>
            </w:r>
          </w:p>
        </w:tc>
        <w:tc>
          <w:tcPr>
            <w:tcW w:w="280" w:type="dxa"/>
            <w:vAlign w:val="bottom"/>
          </w:tcPr>
          <w:p>
            <w:pPr>
              <w:spacing w:after="0"/>
              <w:rPr>
                <w:sz w:val="14"/>
                <w:szCs w:val="14"/>
                <w:color w:val="auto"/>
              </w:rPr>
            </w:pPr>
          </w:p>
        </w:tc>
        <w:tc>
          <w:tcPr>
            <w:tcW w:w="1380" w:type="dxa"/>
            <w:vAlign w:val="bottom"/>
          </w:tcPr>
          <w:p>
            <w:pPr>
              <w:jc w:val="right"/>
              <w:ind w:right="575"/>
              <w:spacing w:after="0"/>
              <w:rPr>
                <w:sz w:val="20"/>
                <w:szCs w:val="20"/>
                <w:color w:val="auto"/>
              </w:rPr>
            </w:pPr>
            <w:r>
              <w:rPr>
                <w:rFonts w:ascii="Verdana" w:cs="Verdana" w:eastAsia="Verdana" w:hAnsi="Verdana"/>
                <w:sz w:val="13"/>
                <w:szCs w:val="13"/>
                <w:b w:val="1"/>
                <w:bCs w:val="1"/>
                <w:color w:val="auto"/>
              </w:rPr>
              <w:t>Total</w:t>
            </w:r>
          </w:p>
        </w:tc>
      </w:tr>
      <w:tr>
        <w:trPr>
          <w:trHeight w:val="223"/>
        </w:trPr>
        <w:tc>
          <w:tcPr>
            <w:tcW w:w="60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Debt securities with gross unrealized or unrecognized losses, fair</w:t>
            </w:r>
          </w:p>
        </w:tc>
        <w:tc>
          <w:tcPr>
            <w:tcW w:w="180" w:type="dxa"/>
            <w:vAlign w:val="bottom"/>
            <w:tcBorders>
              <w:top w:val="single" w:sz="8" w:color="auto"/>
            </w:tcBorders>
            <w:shd w:val="clear" w:color="auto" w:fill="E0E7ED"/>
          </w:tcPr>
          <w:p>
            <w:pPr>
              <w:spacing w:after="0"/>
              <w:rPr>
                <w:sz w:val="19"/>
                <w:szCs w:val="19"/>
                <w:color w:val="auto"/>
              </w:rPr>
            </w:pPr>
          </w:p>
        </w:tc>
        <w:tc>
          <w:tcPr>
            <w:tcW w:w="14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00" w:type="dxa"/>
            <w:vAlign w:val="bottom"/>
            <w:tcBorders>
              <w:top w:val="single" w:sz="8" w:color="auto"/>
            </w:tcBorders>
            <w:shd w:val="clear" w:color="auto" w:fill="E0E7ED"/>
          </w:tcPr>
          <w:p>
            <w:pPr>
              <w:spacing w:after="0"/>
              <w:rPr>
                <w:sz w:val="19"/>
                <w:szCs w:val="19"/>
                <w:color w:val="auto"/>
              </w:rPr>
            </w:pPr>
          </w:p>
        </w:tc>
        <w:tc>
          <w:tcPr>
            <w:tcW w:w="146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0" w:type="dxa"/>
            <w:vAlign w:val="bottom"/>
            <w:tcBorders>
              <w:top w:val="single" w:sz="8" w:color="auto"/>
            </w:tcBorders>
            <w:shd w:val="clear" w:color="auto" w:fill="E0E7ED"/>
          </w:tcPr>
          <w:p>
            <w:pPr>
              <w:spacing w:after="0"/>
              <w:rPr>
                <w:sz w:val="19"/>
                <w:szCs w:val="19"/>
                <w:color w:val="auto"/>
              </w:rPr>
            </w:pPr>
          </w:p>
        </w:tc>
        <w:tc>
          <w:tcPr>
            <w:tcW w:w="280" w:type="dxa"/>
            <w:vAlign w:val="bottom"/>
            <w:tcBorders>
              <w:top w:val="single" w:sz="8" w:color="auto"/>
            </w:tcBorders>
            <w:shd w:val="clear" w:color="auto" w:fill="E0E7ED"/>
          </w:tcPr>
          <w:p>
            <w:pPr>
              <w:spacing w:after="0"/>
              <w:rPr>
                <w:sz w:val="19"/>
                <w:szCs w:val="19"/>
                <w:color w:val="auto"/>
              </w:rPr>
            </w:pPr>
          </w:p>
        </w:tc>
        <w:tc>
          <w:tcPr>
            <w:tcW w:w="1380" w:type="dxa"/>
            <w:vAlign w:val="bottom"/>
            <w:tcBorders>
              <w:top w:val="single" w:sz="8" w:color="auto"/>
            </w:tcBorders>
            <w:shd w:val="clear" w:color="auto" w:fill="E0E7ED"/>
          </w:tcPr>
          <w:p>
            <w:pPr>
              <w:spacing w:after="0"/>
              <w:rPr>
                <w:sz w:val="19"/>
                <w:szCs w:val="19"/>
                <w:color w:val="auto"/>
              </w:rPr>
            </w:pPr>
          </w:p>
        </w:tc>
      </w:tr>
      <w:tr>
        <w:trPr>
          <w:trHeight w:val="248"/>
        </w:trPr>
        <w:tc>
          <w:tcPr>
            <w:tcW w:w="60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value</w:t>
            </w:r>
          </w:p>
        </w:tc>
        <w:tc>
          <w:tcPr>
            <w:tcW w:w="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480" w:type="dxa"/>
            <w:vAlign w:val="bottom"/>
            <w:shd w:val="clear" w:color="auto" w:fill="E0E7ED"/>
          </w:tcPr>
          <w:p>
            <w:pPr>
              <w:jc w:val="right"/>
              <w:ind w:right="175"/>
              <w:spacing w:after="0"/>
              <w:rPr>
                <w:sz w:val="20"/>
                <w:szCs w:val="20"/>
                <w:color w:val="auto"/>
              </w:rPr>
            </w:pPr>
            <w:r>
              <w:rPr>
                <w:rFonts w:ascii="Verdana" w:cs="Verdana" w:eastAsia="Verdana" w:hAnsi="Verdana"/>
                <w:sz w:val="18"/>
                <w:szCs w:val="18"/>
                <w:color w:val="auto"/>
              </w:rPr>
              <w:t>2,062,817</w:t>
            </w:r>
          </w:p>
        </w:tc>
        <w:tc>
          <w:tcPr>
            <w:tcW w:w="300" w:type="dxa"/>
            <w:vAlign w:val="bottom"/>
            <w:gridSpan w:val="2"/>
            <w:shd w:val="clear" w:color="auto" w:fill="E0E7ED"/>
          </w:tcPr>
          <w:p>
            <w:pPr>
              <w:jc w:val="right"/>
              <w:ind w:right="60"/>
              <w:spacing w:after="0"/>
              <w:rPr>
                <w:sz w:val="20"/>
                <w:szCs w:val="20"/>
                <w:color w:val="auto"/>
              </w:rPr>
            </w:pPr>
            <w:r>
              <w:rPr>
                <w:rFonts w:ascii="Verdana" w:cs="Verdana" w:eastAsia="Verdana" w:hAnsi="Verdana"/>
                <w:sz w:val="18"/>
                <w:szCs w:val="18"/>
                <w:color w:val="auto"/>
              </w:rPr>
              <w:t>$</w:t>
            </w:r>
          </w:p>
        </w:tc>
        <w:tc>
          <w:tcPr>
            <w:tcW w:w="146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730,397</w:t>
            </w: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28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w w:val="86"/>
              </w:rPr>
              <w:t>$</w:t>
            </w:r>
          </w:p>
        </w:tc>
        <w:tc>
          <w:tcPr>
            <w:tcW w:w="138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2,793,214</w:t>
            </w:r>
          </w:p>
        </w:tc>
      </w:tr>
      <w:tr>
        <w:trPr>
          <w:trHeight w:val="263"/>
        </w:trPr>
        <w:tc>
          <w:tcPr>
            <w:tcW w:w="6060" w:type="dxa"/>
            <w:vAlign w:val="bottom"/>
          </w:tcPr>
          <w:p>
            <w:pPr>
              <w:ind w:left="20"/>
              <w:spacing w:after="0"/>
              <w:rPr>
                <w:sz w:val="20"/>
                <w:szCs w:val="20"/>
                <w:color w:val="auto"/>
              </w:rPr>
            </w:pPr>
            <w:r>
              <w:rPr>
                <w:rFonts w:ascii="Verdana" w:cs="Verdana" w:eastAsia="Verdana" w:hAnsi="Verdana"/>
                <w:sz w:val="18"/>
                <w:szCs w:val="18"/>
                <w:color w:val="auto"/>
              </w:rPr>
              <w:t>Gross unrealized or unrecognized losses on debt securities</w:t>
            </w:r>
          </w:p>
        </w:tc>
        <w:tc>
          <w:tcPr>
            <w:tcW w:w="180" w:type="dxa"/>
            <w:vAlign w:val="bottom"/>
          </w:tcPr>
          <w:p>
            <w:pPr>
              <w:spacing w:after="0"/>
              <w:rPr>
                <w:sz w:val="22"/>
                <w:szCs w:val="22"/>
                <w:color w:val="auto"/>
              </w:rPr>
            </w:pPr>
          </w:p>
        </w:tc>
        <w:tc>
          <w:tcPr>
            <w:tcW w:w="1480" w:type="dxa"/>
            <w:vAlign w:val="bottom"/>
          </w:tcPr>
          <w:p>
            <w:pPr>
              <w:jc w:val="right"/>
              <w:ind w:right="175"/>
              <w:spacing w:after="0"/>
              <w:rPr>
                <w:sz w:val="20"/>
                <w:szCs w:val="20"/>
                <w:color w:val="auto"/>
              </w:rPr>
            </w:pPr>
            <w:r>
              <w:rPr>
                <w:rFonts w:ascii="Verdana" w:cs="Verdana" w:eastAsia="Verdana" w:hAnsi="Verdana"/>
                <w:sz w:val="18"/>
                <w:szCs w:val="18"/>
                <w:color w:val="auto"/>
              </w:rPr>
              <w:t>247,245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jc w:val="right"/>
              <w:ind w:right="195"/>
              <w:spacing w:after="0"/>
              <w:rPr>
                <w:sz w:val="20"/>
                <w:szCs w:val="20"/>
                <w:color w:val="auto"/>
              </w:rPr>
            </w:pPr>
            <w:r>
              <w:rPr>
                <w:rFonts w:ascii="Verdana" w:cs="Verdana" w:eastAsia="Verdana" w:hAnsi="Verdana"/>
                <w:sz w:val="18"/>
                <w:szCs w:val="18"/>
                <w:color w:val="auto"/>
              </w:rPr>
              <w:t>142,231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195"/>
              <w:spacing w:after="0"/>
              <w:rPr>
                <w:sz w:val="20"/>
                <w:szCs w:val="20"/>
                <w:color w:val="auto"/>
              </w:rPr>
            </w:pPr>
            <w:r>
              <w:rPr>
                <w:rFonts w:ascii="Verdana" w:cs="Verdana" w:eastAsia="Verdana" w:hAnsi="Verdana"/>
                <w:sz w:val="18"/>
                <w:szCs w:val="18"/>
                <w:color w:val="auto"/>
              </w:rPr>
              <w:t>389,476</w:t>
            </w:r>
          </w:p>
        </w:tc>
      </w:tr>
      <w:tr>
        <w:trPr>
          <w:trHeight w:val="244"/>
        </w:trPr>
        <w:tc>
          <w:tcPr>
            <w:tcW w:w="60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Ratio of gross unrealized or unrecognized losses to debt securities</w:t>
            </w:r>
          </w:p>
        </w:tc>
        <w:tc>
          <w:tcPr>
            <w:tcW w:w="180" w:type="dxa"/>
            <w:vAlign w:val="bottom"/>
            <w:shd w:val="clear" w:color="auto" w:fill="E0E7ED"/>
          </w:tcPr>
          <w:p>
            <w:pPr>
              <w:spacing w:after="0"/>
              <w:rPr>
                <w:sz w:val="21"/>
                <w:szCs w:val="21"/>
                <w:color w:val="auto"/>
              </w:rPr>
            </w:pPr>
          </w:p>
        </w:tc>
        <w:tc>
          <w:tcPr>
            <w:tcW w:w="14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380" w:type="dxa"/>
            <w:vAlign w:val="bottom"/>
            <w:shd w:val="clear" w:color="auto" w:fill="E0E7ED"/>
          </w:tcPr>
          <w:p>
            <w:pPr>
              <w:spacing w:after="0"/>
              <w:rPr>
                <w:sz w:val="21"/>
                <w:szCs w:val="21"/>
                <w:color w:val="auto"/>
              </w:rPr>
            </w:pPr>
          </w:p>
        </w:tc>
      </w:tr>
      <w:tr>
        <w:trPr>
          <w:trHeight w:val="248"/>
        </w:trPr>
        <w:tc>
          <w:tcPr>
            <w:tcW w:w="60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with gross unrealized or unrecognized losses</w:t>
            </w:r>
          </w:p>
        </w:tc>
        <w:tc>
          <w:tcPr>
            <w:tcW w:w="180" w:type="dxa"/>
            <w:vAlign w:val="bottom"/>
            <w:shd w:val="clear" w:color="auto" w:fill="E0E7ED"/>
          </w:tcPr>
          <w:p>
            <w:pPr>
              <w:spacing w:after="0"/>
              <w:rPr>
                <w:sz w:val="21"/>
                <w:szCs w:val="21"/>
                <w:color w:val="auto"/>
              </w:rPr>
            </w:pPr>
          </w:p>
        </w:tc>
        <w:tc>
          <w:tcPr>
            <w:tcW w:w="14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12.0 %</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19.5 %</w:t>
            </w: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3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13.9 %</w:t>
            </w:r>
          </w:p>
        </w:tc>
      </w:tr>
      <w:tr>
        <w:trPr>
          <w:trHeight w:val="270"/>
        </w:trPr>
        <w:tc>
          <w:tcPr>
            <w:tcW w:w="6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70"/>
        </w:trPr>
        <w:tc>
          <w:tcPr>
            <w:tcW w:w="60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Count of debt securities</w:t>
            </w:r>
          </w:p>
        </w:tc>
        <w:tc>
          <w:tcPr>
            <w:tcW w:w="180" w:type="dxa"/>
            <w:vAlign w:val="bottom"/>
            <w:shd w:val="clear" w:color="auto" w:fill="E0E7ED"/>
          </w:tcPr>
          <w:p>
            <w:pPr>
              <w:spacing w:after="0"/>
              <w:rPr>
                <w:sz w:val="23"/>
                <w:szCs w:val="23"/>
                <w:color w:val="auto"/>
              </w:rPr>
            </w:pPr>
          </w:p>
        </w:tc>
        <w:tc>
          <w:tcPr>
            <w:tcW w:w="1480" w:type="dxa"/>
            <w:vAlign w:val="bottom"/>
            <w:shd w:val="clear" w:color="auto" w:fill="E0E7ED"/>
          </w:tcPr>
          <w:p>
            <w:pPr>
              <w:jc w:val="right"/>
              <w:ind w:right="175"/>
              <w:spacing w:after="0"/>
              <w:rPr>
                <w:sz w:val="20"/>
                <w:szCs w:val="20"/>
                <w:color w:val="auto"/>
              </w:rPr>
            </w:pPr>
            <w:r>
              <w:rPr>
                <w:rFonts w:ascii="Verdana" w:cs="Verdana" w:eastAsia="Verdana" w:hAnsi="Verdana"/>
                <w:sz w:val="18"/>
                <w:szCs w:val="18"/>
                <w:color w:val="auto"/>
              </w:rPr>
              <w:t>835</w:t>
            </w:r>
          </w:p>
        </w:tc>
        <w:tc>
          <w:tcPr>
            <w:tcW w:w="10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46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55</w:t>
            </w:r>
          </w:p>
        </w:tc>
        <w:tc>
          <w:tcPr>
            <w:tcW w:w="80" w:type="dxa"/>
            <w:vAlign w:val="bottom"/>
            <w:shd w:val="clear" w:color="auto" w:fill="E0E7ED"/>
          </w:tcPr>
          <w:p>
            <w:pPr>
              <w:spacing w:after="0"/>
              <w:rPr>
                <w:sz w:val="23"/>
                <w:szCs w:val="23"/>
                <w:color w:val="auto"/>
              </w:rPr>
            </w:pPr>
          </w:p>
        </w:tc>
        <w:tc>
          <w:tcPr>
            <w:tcW w:w="20" w:type="dxa"/>
            <w:vAlign w:val="bottom"/>
            <w:shd w:val="clear" w:color="auto" w:fill="E0E7ED"/>
          </w:tcPr>
          <w:p>
            <w:pPr>
              <w:spacing w:after="0"/>
              <w:rPr>
                <w:sz w:val="23"/>
                <w:szCs w:val="23"/>
                <w:color w:val="auto"/>
              </w:rPr>
            </w:pPr>
          </w:p>
        </w:tc>
        <w:tc>
          <w:tcPr>
            <w:tcW w:w="280" w:type="dxa"/>
            <w:vAlign w:val="bottom"/>
            <w:shd w:val="clear" w:color="auto" w:fill="E0E7ED"/>
          </w:tcPr>
          <w:p>
            <w:pPr>
              <w:spacing w:after="0"/>
              <w:rPr>
                <w:sz w:val="23"/>
                <w:szCs w:val="23"/>
                <w:color w:val="auto"/>
              </w:rPr>
            </w:pPr>
          </w:p>
        </w:tc>
        <w:tc>
          <w:tcPr>
            <w:tcW w:w="138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890</w:t>
            </w:r>
          </w:p>
        </w:tc>
      </w:tr>
      <w:tr>
        <w:trPr>
          <w:trHeight w:val="238"/>
        </w:trPr>
        <w:tc>
          <w:tcPr>
            <w:tcW w:w="6060" w:type="dxa"/>
            <w:vAlign w:val="bottom"/>
          </w:tcPr>
          <w:p>
            <w:pPr>
              <w:ind w:left="20"/>
              <w:spacing w:after="0"/>
              <w:rPr>
                <w:sz w:val="20"/>
                <w:szCs w:val="20"/>
                <w:color w:val="auto"/>
              </w:rPr>
            </w:pPr>
            <w:r>
              <w:rPr>
                <w:rFonts w:ascii="Verdana" w:cs="Verdana" w:eastAsia="Verdana" w:hAnsi="Verdana"/>
                <w:sz w:val="18"/>
                <w:szCs w:val="18"/>
                <w:color w:val="auto"/>
              </w:rPr>
              <w:t>Count of debt securities in an unrealized or unrecognized loss</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5"/>
        </w:trPr>
        <w:tc>
          <w:tcPr>
            <w:tcW w:w="6060" w:type="dxa"/>
            <w:vAlign w:val="bottom"/>
          </w:tcPr>
          <w:p>
            <w:pPr>
              <w:ind w:left="20"/>
              <w:spacing w:after="0"/>
              <w:rPr>
                <w:sz w:val="20"/>
                <w:szCs w:val="20"/>
                <w:color w:val="auto"/>
              </w:rPr>
            </w:pPr>
            <w:r>
              <w:rPr>
                <w:rFonts w:ascii="Verdana" w:cs="Verdana" w:eastAsia="Verdana" w:hAnsi="Verdana"/>
                <w:sz w:val="18"/>
                <w:szCs w:val="18"/>
                <w:color w:val="auto"/>
              </w:rPr>
              <w:t>position</w:t>
            </w:r>
          </w:p>
        </w:tc>
        <w:tc>
          <w:tcPr>
            <w:tcW w:w="180" w:type="dxa"/>
            <w:vAlign w:val="bottom"/>
          </w:tcPr>
          <w:p>
            <w:pPr>
              <w:spacing w:after="0"/>
              <w:rPr>
                <w:sz w:val="20"/>
                <w:szCs w:val="20"/>
                <w:color w:val="auto"/>
              </w:rPr>
            </w:pPr>
          </w:p>
        </w:tc>
        <w:tc>
          <w:tcPr>
            <w:tcW w:w="1480" w:type="dxa"/>
            <w:vAlign w:val="bottom"/>
          </w:tcPr>
          <w:p>
            <w:pPr>
              <w:jc w:val="right"/>
              <w:ind w:right="175"/>
              <w:spacing w:after="0"/>
              <w:rPr>
                <w:sz w:val="20"/>
                <w:szCs w:val="20"/>
                <w:color w:val="auto"/>
              </w:rPr>
            </w:pPr>
            <w:r>
              <w:rPr>
                <w:rFonts w:ascii="Verdana" w:cs="Verdana" w:eastAsia="Verdana" w:hAnsi="Verdana"/>
                <w:sz w:val="18"/>
                <w:szCs w:val="18"/>
                <w:color w:val="auto"/>
              </w:rPr>
              <w:t>779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195"/>
              <w:spacing w:after="0"/>
              <w:rPr>
                <w:sz w:val="20"/>
                <w:szCs w:val="20"/>
                <w:color w:val="auto"/>
              </w:rPr>
            </w:pPr>
            <w:r>
              <w:rPr>
                <w:rFonts w:ascii="Verdana" w:cs="Verdana" w:eastAsia="Verdana" w:hAnsi="Verdana"/>
                <w:sz w:val="18"/>
                <w:szCs w:val="18"/>
                <w:color w:val="auto"/>
              </w:rPr>
              <w:t>55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ind w:right="195"/>
              <w:spacing w:after="0"/>
              <w:rPr>
                <w:sz w:val="20"/>
                <w:szCs w:val="20"/>
                <w:color w:val="auto"/>
              </w:rPr>
            </w:pPr>
            <w:r>
              <w:rPr>
                <w:rFonts w:ascii="Verdana" w:cs="Verdana" w:eastAsia="Verdana" w:hAnsi="Verdana"/>
                <w:sz w:val="18"/>
                <w:szCs w:val="18"/>
                <w:color w:val="auto"/>
              </w:rPr>
              <w:t>834</w:t>
            </w:r>
          </w:p>
        </w:tc>
      </w:tr>
    </w:tbl>
    <w:p>
      <w:pPr>
        <w:spacing w:after="0" w:line="278"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Unrealized and unrecognized losses are related to changes in market interest rates and market conditions that do not represent credit-related impairments. Unless part of a corporate strategy or restructuring plan, Busey does not intend to sell securities that are in an unrealized or unrecognized loss position, and it is more likely than not that Busey will recover the amortized cost prior to being required to sell the debt securities. Full collection of the amounts due according to the contractual terms of the debt securities is expected; therefore, no ACL has been recorded in relation to debt securities, and the impairment related to noncredit factors on debt securities available for sale is recognized in AOCI, net of applicable taxes. As of September 30, 2024, Busey did not hold general obligation bonds of any single issuer, the aggregate of which exceeded 10% of Busey’s stockholders’ equity.</w:t>
      </w: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24" w:name="page25"/>
    <w:bookmarkEnd w:id="24"/>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4. PORTFOLIO LOANS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Loan Categories</w:t>
      </w:r>
    </w:p>
    <w:p>
      <w:pPr>
        <w:spacing w:after="0" w:line="186"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 xml:space="preserve">Busey’s lending can be summarized in two primary categories: commercial and retail. Loans within these categories are further classified by lending activity: C&amp;I and other commercial, commercial real estate, real estate construction, retail real estate, and retail other. Distributions of the loan portfolio by loan category and activity is presented in the following table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5"/>
                <w:szCs w:val="15"/>
                <w:color w:val="auto"/>
              </w:rPr>
            </w:pPr>
          </w:p>
        </w:tc>
      </w:tr>
      <w:tr>
        <w:trPr>
          <w:trHeight w:val="121"/>
        </w:trPr>
        <w:tc>
          <w:tcPr>
            <w:tcW w:w="8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gridSpan w:val="2"/>
          </w:tcPr>
          <w:p>
            <w:pPr>
              <w:ind w:left="60"/>
              <w:spacing w:after="0" w:line="122" w:lineRule="exact"/>
              <w:rPr>
                <w:sz w:val="20"/>
                <w:szCs w:val="20"/>
                <w:color w:val="auto"/>
              </w:rPr>
            </w:pPr>
            <w:r>
              <w:rPr>
                <w:rFonts w:ascii="Verdana" w:cs="Verdana" w:eastAsia="Verdana" w:hAnsi="Verdana"/>
                <w:sz w:val="13"/>
                <w:szCs w:val="13"/>
                <w:b w:val="1"/>
                <w:bCs w:val="1"/>
                <w:color w:val="auto"/>
              </w:rPr>
              <w:t>September 30,</w:t>
            </w:r>
          </w:p>
        </w:tc>
        <w:tc>
          <w:tcPr>
            <w:tcW w:w="200" w:type="dxa"/>
            <w:vAlign w:val="bottom"/>
          </w:tcPr>
          <w:p>
            <w:pPr>
              <w:spacing w:after="0"/>
              <w:rPr>
                <w:sz w:val="10"/>
                <w:szCs w:val="10"/>
                <w:color w:val="auto"/>
              </w:rPr>
            </w:pPr>
          </w:p>
        </w:tc>
        <w:tc>
          <w:tcPr>
            <w:tcW w:w="1320" w:type="dxa"/>
            <w:vAlign w:val="bottom"/>
          </w:tcPr>
          <w:p>
            <w:pPr>
              <w:jc w:val="right"/>
              <w:ind w:right="175"/>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812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496"/>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95"/>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 loans</w:t>
            </w:r>
          </w:p>
        </w:tc>
        <w:tc>
          <w:tcPr>
            <w:tcW w:w="180" w:type="dxa"/>
            <w:vAlign w:val="bottom"/>
            <w:shd w:val="clear" w:color="auto" w:fill="E0E7ED"/>
          </w:tcPr>
          <w:p>
            <w:pPr>
              <w:spacing w:after="0"/>
              <w:rPr>
                <w:sz w:val="22"/>
                <w:szCs w:val="22"/>
                <w:color w:val="auto"/>
              </w:rPr>
            </w:pPr>
          </w:p>
        </w:tc>
        <w:tc>
          <w:tcPr>
            <w:tcW w:w="13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C&amp;I and other commercial</w:t>
            </w:r>
          </w:p>
        </w:tc>
        <w:tc>
          <w:tcPr>
            <w:tcW w:w="18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40" w:type="dxa"/>
            <w:vAlign w:val="bottom"/>
          </w:tcPr>
          <w:p>
            <w:pPr>
              <w:jc w:val="right"/>
              <w:ind w:right="16"/>
              <w:spacing w:after="0"/>
              <w:rPr>
                <w:sz w:val="20"/>
                <w:szCs w:val="20"/>
                <w:color w:val="auto"/>
              </w:rPr>
            </w:pPr>
            <w:r>
              <w:rPr>
                <w:rFonts w:ascii="Verdana" w:cs="Verdana" w:eastAsia="Verdana" w:hAnsi="Verdana"/>
                <w:sz w:val="18"/>
                <w:szCs w:val="18"/>
                <w:color w:val="auto"/>
              </w:rPr>
              <w:t>1,877,497</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spacing w:after="0"/>
              <w:rPr>
                <w:sz w:val="20"/>
                <w:szCs w:val="20"/>
                <w:color w:val="auto"/>
              </w:rPr>
            </w:pPr>
            <w:r>
              <w:rPr>
                <w:rFonts w:ascii="Verdana" w:cs="Verdana" w:eastAsia="Verdana" w:hAnsi="Verdana"/>
                <w:sz w:val="18"/>
                <w:szCs w:val="18"/>
                <w:color w:val="auto"/>
              </w:rPr>
              <w:t>1,835,994</w:t>
            </w: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180" w:type="dxa"/>
            <w:vAlign w:val="bottom"/>
            <w:shd w:val="clear" w:color="auto" w:fill="E0E7ED"/>
          </w:tcPr>
          <w:p>
            <w:pPr>
              <w:spacing w:after="0"/>
              <w:rPr>
                <w:sz w:val="24"/>
                <w:szCs w:val="24"/>
                <w:color w:val="auto"/>
              </w:rPr>
            </w:pPr>
          </w:p>
        </w:tc>
        <w:tc>
          <w:tcPr>
            <w:tcW w:w="134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3,355,807</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3,337,337</w:t>
            </w:r>
          </w:p>
        </w:tc>
      </w:tr>
      <w:tr>
        <w:trPr>
          <w:trHeight w:val="263"/>
        </w:trPr>
        <w:tc>
          <w:tcPr>
            <w:tcW w:w="81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Real estate construction</w:t>
            </w: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8"/>
                <w:szCs w:val="18"/>
                <w:color w:val="auto"/>
              </w:rPr>
              <w:t>397,977</w:t>
            </w:r>
          </w:p>
        </w:tc>
        <w:tc>
          <w:tcPr>
            <w:tcW w:w="8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461,717</w:t>
            </w:r>
          </w:p>
        </w:tc>
      </w:tr>
      <w:tr>
        <w:trPr>
          <w:trHeight w:val="270"/>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commercial loans</w:t>
            </w:r>
          </w:p>
        </w:tc>
        <w:tc>
          <w:tcPr>
            <w:tcW w:w="180" w:type="dxa"/>
            <w:vAlign w:val="bottom"/>
            <w:tcBorders>
              <w:bottom w:val="single" w:sz="8" w:color="auto"/>
            </w:tcBorders>
            <w:shd w:val="clear" w:color="auto" w:fill="E0E7ED"/>
          </w:tcPr>
          <w:p>
            <w:pPr>
              <w:spacing w:after="0"/>
              <w:rPr>
                <w:sz w:val="23"/>
                <w:szCs w:val="23"/>
                <w:color w:val="auto"/>
              </w:rPr>
            </w:pPr>
          </w:p>
        </w:tc>
        <w:tc>
          <w:tcPr>
            <w:tcW w:w="134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8"/>
                <w:szCs w:val="18"/>
                <w:color w:val="auto"/>
              </w:rPr>
              <w:t>5,631,281</w:t>
            </w:r>
          </w:p>
        </w:tc>
        <w:tc>
          <w:tcPr>
            <w:tcW w:w="80" w:type="dxa"/>
            <w:vAlign w:val="bottom"/>
            <w:shd w:val="clear" w:color="auto" w:fill="E0E7ED"/>
          </w:tcPr>
          <w:p>
            <w:pPr>
              <w:spacing w:after="0"/>
              <w:rPr>
                <w:sz w:val="23"/>
                <w:szCs w:val="23"/>
                <w:color w:val="auto"/>
              </w:rPr>
            </w:pPr>
          </w:p>
        </w:tc>
        <w:tc>
          <w:tcPr>
            <w:tcW w:w="200" w:type="dxa"/>
            <w:vAlign w:val="bottom"/>
            <w:tcBorders>
              <w:bottom w:val="single" w:sz="8" w:color="auto"/>
            </w:tcBorders>
            <w:shd w:val="clear" w:color="auto" w:fill="E0E7ED"/>
          </w:tcPr>
          <w:p>
            <w:pPr>
              <w:spacing w:after="0"/>
              <w:rPr>
                <w:sz w:val="23"/>
                <w:szCs w:val="23"/>
                <w:color w:val="auto"/>
              </w:rPr>
            </w:pP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5,635,048</w:t>
            </w:r>
          </w:p>
        </w:tc>
      </w:tr>
      <w:tr>
        <w:trPr>
          <w:trHeight w:val="243"/>
        </w:trPr>
        <w:tc>
          <w:tcPr>
            <w:tcW w:w="8120" w:type="dxa"/>
            <w:vAlign w:val="bottom"/>
          </w:tcPr>
          <w:p>
            <w:pPr>
              <w:ind w:left="20"/>
              <w:spacing w:after="0"/>
              <w:rPr>
                <w:sz w:val="20"/>
                <w:szCs w:val="20"/>
                <w:color w:val="auto"/>
              </w:rPr>
            </w:pPr>
            <w:r>
              <w:rPr>
                <w:rFonts w:ascii="Verdana" w:cs="Verdana" w:eastAsia="Verdana" w:hAnsi="Verdana"/>
                <w:sz w:val="18"/>
                <w:szCs w:val="18"/>
                <w:b w:val="1"/>
                <w:bCs w:val="1"/>
                <w:color w:val="auto"/>
              </w:rPr>
              <w:t>Retail loans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180" w:type="dxa"/>
            <w:vAlign w:val="bottom"/>
            <w:shd w:val="clear" w:color="auto" w:fill="E0E7ED"/>
          </w:tcPr>
          <w:p>
            <w:pPr>
              <w:spacing w:after="0"/>
              <w:rPr>
                <w:sz w:val="24"/>
                <w:szCs w:val="24"/>
                <w:color w:val="auto"/>
              </w:rPr>
            </w:pPr>
          </w:p>
        </w:tc>
        <w:tc>
          <w:tcPr>
            <w:tcW w:w="134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1,708,771</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1,720,455</w:t>
            </w:r>
          </w:p>
        </w:tc>
      </w:tr>
      <w:tr>
        <w:trPr>
          <w:trHeight w:val="263"/>
        </w:trPr>
        <w:tc>
          <w:tcPr>
            <w:tcW w:w="81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Retail other</w:t>
            </w: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8"/>
                <w:szCs w:val="18"/>
                <w:color w:val="auto"/>
              </w:rPr>
              <w:t>469,045</w:t>
            </w:r>
          </w:p>
        </w:tc>
        <w:tc>
          <w:tcPr>
            <w:tcW w:w="8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295,531</w:t>
            </w:r>
          </w:p>
        </w:tc>
      </w:tr>
      <w:tr>
        <w:trPr>
          <w:trHeight w:val="263"/>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retail loans</w:t>
            </w:r>
          </w:p>
        </w:tc>
        <w:tc>
          <w:tcPr>
            <w:tcW w:w="180" w:type="dxa"/>
            <w:vAlign w:val="bottom"/>
            <w:tcBorders>
              <w:bottom w:val="single" w:sz="8" w:color="auto"/>
            </w:tcBorders>
            <w:shd w:val="clear" w:color="auto" w:fill="E0E7ED"/>
          </w:tcPr>
          <w:p>
            <w:pPr>
              <w:spacing w:after="0"/>
              <w:rPr>
                <w:sz w:val="22"/>
                <w:szCs w:val="22"/>
                <w:color w:val="auto"/>
              </w:rPr>
            </w:pPr>
          </w:p>
        </w:tc>
        <w:tc>
          <w:tcPr>
            <w:tcW w:w="134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8"/>
                <w:szCs w:val="18"/>
                <w:color w:val="auto"/>
              </w:rPr>
              <w:t>2,177,816</w:t>
            </w:r>
          </w:p>
        </w:tc>
        <w:tc>
          <w:tcPr>
            <w:tcW w:w="80" w:type="dxa"/>
            <w:vAlign w:val="bottom"/>
            <w:shd w:val="clear" w:color="auto" w:fill="E0E7ED"/>
          </w:tcPr>
          <w:p>
            <w:pPr>
              <w:spacing w:after="0"/>
              <w:rPr>
                <w:sz w:val="22"/>
                <w:szCs w:val="22"/>
                <w:color w:val="auto"/>
              </w:rPr>
            </w:pPr>
          </w:p>
        </w:tc>
        <w:tc>
          <w:tcPr>
            <w:tcW w:w="200" w:type="dxa"/>
            <w:vAlign w:val="bottom"/>
            <w:tcBorders>
              <w:bottom w:val="single" w:sz="8" w:color="auto"/>
            </w:tcBorders>
            <w:shd w:val="clear" w:color="auto" w:fill="E0E7ED"/>
          </w:tcPr>
          <w:p>
            <w:pPr>
              <w:spacing w:after="0"/>
              <w:rPr>
                <w:sz w:val="22"/>
                <w:szCs w:val="22"/>
                <w:color w:val="auto"/>
              </w:rPr>
            </w:pP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2,015,986</w:t>
            </w:r>
          </w:p>
        </w:tc>
      </w:tr>
      <w:tr>
        <w:trPr>
          <w:trHeight w:val="243"/>
        </w:trPr>
        <w:tc>
          <w:tcPr>
            <w:tcW w:w="8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0"/>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portfolio loans</w:t>
            </w:r>
          </w:p>
        </w:tc>
        <w:tc>
          <w:tcPr>
            <w:tcW w:w="180" w:type="dxa"/>
            <w:vAlign w:val="bottom"/>
            <w:shd w:val="clear" w:color="auto" w:fill="E0E7ED"/>
          </w:tcPr>
          <w:p>
            <w:pPr>
              <w:spacing w:after="0"/>
              <w:rPr>
                <w:sz w:val="23"/>
                <w:szCs w:val="23"/>
                <w:color w:val="auto"/>
              </w:rPr>
            </w:pPr>
          </w:p>
        </w:tc>
        <w:tc>
          <w:tcPr>
            <w:tcW w:w="134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7,809,097</w:t>
            </w:r>
          </w:p>
        </w:tc>
        <w:tc>
          <w:tcPr>
            <w:tcW w:w="8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7,651,034</w:t>
            </w:r>
          </w:p>
        </w:tc>
      </w:tr>
      <w:tr>
        <w:trPr>
          <w:trHeight w:val="263"/>
        </w:trPr>
        <w:tc>
          <w:tcPr>
            <w:tcW w:w="8120" w:type="dxa"/>
            <w:vAlign w:val="bottom"/>
            <w:tcBorders>
              <w:bottom w:val="single" w:sz="8" w:color="E0E7ED"/>
            </w:tcBorders>
          </w:tcPr>
          <w:p>
            <w:pPr>
              <w:ind w:left="20"/>
              <w:spacing w:after="0"/>
              <w:rPr>
                <w:sz w:val="20"/>
                <w:szCs w:val="20"/>
                <w:color w:val="auto"/>
              </w:rPr>
            </w:pPr>
            <w:r>
              <w:rPr>
                <w:rFonts w:ascii="Verdana" w:cs="Verdana" w:eastAsia="Verdana" w:hAnsi="Verdana"/>
                <w:sz w:val="18"/>
                <w:szCs w:val="18"/>
                <w:color w:val="auto"/>
              </w:rPr>
              <w:t>ACL</w:t>
            </w: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(84,981)</w:t>
            </w:r>
          </w:p>
        </w:tc>
        <w:tc>
          <w:tcPr>
            <w:tcW w:w="8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(91,740)</w:t>
            </w:r>
          </w:p>
        </w:tc>
      </w:tr>
      <w:tr>
        <w:trPr>
          <w:trHeight w:val="295"/>
        </w:trPr>
        <w:tc>
          <w:tcPr>
            <w:tcW w:w="81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Portfolio loans, net</w:t>
            </w:r>
          </w:p>
        </w:tc>
        <w:tc>
          <w:tcPr>
            <w:tcW w:w="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4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8"/>
                <w:szCs w:val="18"/>
                <w:color w:val="auto"/>
              </w:rPr>
              <w:t>7,724,116</w:t>
            </w:r>
          </w:p>
        </w:tc>
        <w:tc>
          <w:tcPr>
            <w:tcW w:w="80" w:type="dxa"/>
            <w:vAlign w:val="bottom"/>
            <w:tcBorders>
              <w:bottom w:val="single" w:sz="8" w:color="E0E7ED"/>
            </w:tcBorders>
            <w:shd w:val="clear" w:color="auto" w:fill="E0E7ED"/>
          </w:tcPr>
          <w:p>
            <w:pPr>
              <w:spacing w:after="0"/>
              <w:rPr>
                <w:sz w:val="24"/>
                <w:szCs w:val="24"/>
                <w:color w:val="auto"/>
              </w:rPr>
            </w:pPr>
          </w:p>
        </w:tc>
        <w:tc>
          <w:tcPr>
            <w:tcW w:w="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7,559,294</w:t>
            </w:r>
          </w:p>
        </w:tc>
      </w:tr>
      <w:tr>
        <w:trPr>
          <w:trHeight w:val="20"/>
        </w:trPr>
        <w:tc>
          <w:tcPr>
            <w:tcW w:w="812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13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320" w:type="dxa"/>
            <w:vAlign w:val="bottom"/>
            <w:tcBorders>
              <w:top w:val="single" w:sz="8" w:color="E0E7ED"/>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Net deferred loan origination costs included in the balances above were $12.0 million as of September 30, 2024, compared to $13.5 million as of December 31, 2023. Net accretable purchase accounting adjustments included in the balances above reduced loans by $9.7 million as of September 30, 2024, and $4.5 million as of December 31, 2023.</w:t>
      </w:r>
    </w:p>
    <w:p>
      <w:pPr>
        <w:spacing w:after="0" w:line="154"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Busey did not purchase any retail real estate loans during the three months ended September 30, 2024, and elected to purchase $6.9 million of retail real estate loans during the nine months ended September 30, 2024. Busey did not purchase any retail real estate loans during the corresponding periods of 2023.</w:t>
      </w:r>
    </w:p>
    <w:p>
      <w:pPr>
        <w:spacing w:after="0" w:line="167"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Pledged Loans</w:t>
      </w:r>
    </w:p>
    <w:p>
      <w:pPr>
        <w:spacing w:after="0" w:line="17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The principal balance of loans Busey has pledged as collateral to the FHLB and Federal Reserve Bank for liquidity as set forth in the table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5"/>
                <w:szCs w:val="15"/>
                <w:color w:val="auto"/>
              </w:rPr>
            </w:pPr>
          </w:p>
        </w:tc>
      </w:tr>
      <w:tr>
        <w:trPr>
          <w:trHeight w:val="122"/>
        </w:trPr>
        <w:tc>
          <w:tcPr>
            <w:tcW w:w="8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gridSpan w:val="2"/>
          </w:tcPr>
          <w:p>
            <w:pPr>
              <w:ind w:left="60"/>
              <w:spacing w:after="0" w:line="122" w:lineRule="exact"/>
              <w:rPr>
                <w:sz w:val="20"/>
                <w:szCs w:val="20"/>
                <w:color w:val="auto"/>
              </w:rPr>
            </w:pPr>
            <w:r>
              <w:rPr>
                <w:rFonts w:ascii="Verdana" w:cs="Verdana" w:eastAsia="Verdana" w:hAnsi="Verdana"/>
                <w:sz w:val="13"/>
                <w:szCs w:val="13"/>
                <w:b w:val="1"/>
                <w:bCs w:val="1"/>
                <w:color w:val="auto"/>
              </w:rPr>
              <w:t>September 30,</w:t>
            </w:r>
          </w:p>
        </w:tc>
        <w:tc>
          <w:tcPr>
            <w:tcW w:w="200" w:type="dxa"/>
            <w:vAlign w:val="bottom"/>
          </w:tcPr>
          <w:p>
            <w:pPr>
              <w:spacing w:after="0"/>
              <w:rPr>
                <w:sz w:val="10"/>
                <w:szCs w:val="10"/>
                <w:color w:val="auto"/>
              </w:rPr>
            </w:pPr>
          </w:p>
        </w:tc>
        <w:tc>
          <w:tcPr>
            <w:tcW w:w="1320" w:type="dxa"/>
            <w:vAlign w:val="bottom"/>
          </w:tcPr>
          <w:p>
            <w:pPr>
              <w:jc w:val="right"/>
              <w:ind w:right="181"/>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812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04"/>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01"/>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Pledged loans</w:t>
            </w:r>
          </w:p>
        </w:tc>
        <w:tc>
          <w:tcPr>
            <w:tcW w:w="180" w:type="dxa"/>
            <w:vAlign w:val="bottom"/>
            <w:shd w:val="clear" w:color="auto" w:fill="E0E7ED"/>
          </w:tcPr>
          <w:p>
            <w:pPr>
              <w:spacing w:after="0"/>
              <w:rPr>
                <w:sz w:val="22"/>
                <w:szCs w:val="22"/>
                <w:color w:val="auto"/>
              </w:rPr>
            </w:pPr>
          </w:p>
        </w:tc>
        <w:tc>
          <w:tcPr>
            <w:tcW w:w="13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FHLB</w:t>
            </w:r>
          </w:p>
        </w:tc>
        <w:tc>
          <w:tcPr>
            <w:tcW w:w="18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40" w:type="dxa"/>
            <w:vAlign w:val="bottom"/>
          </w:tcPr>
          <w:p>
            <w:pPr>
              <w:jc w:val="right"/>
              <w:ind w:right="24"/>
              <w:spacing w:after="0"/>
              <w:rPr>
                <w:sz w:val="20"/>
                <w:szCs w:val="20"/>
                <w:color w:val="auto"/>
              </w:rPr>
            </w:pPr>
            <w:r>
              <w:rPr>
                <w:rFonts w:ascii="Verdana" w:cs="Verdana" w:eastAsia="Verdana" w:hAnsi="Verdana"/>
                <w:sz w:val="18"/>
                <w:szCs w:val="18"/>
                <w:color w:val="auto"/>
              </w:rPr>
              <w:t>4,935,257</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ind w:right="1"/>
              <w:spacing w:after="0"/>
              <w:rPr>
                <w:sz w:val="20"/>
                <w:szCs w:val="20"/>
                <w:color w:val="auto"/>
              </w:rPr>
            </w:pPr>
            <w:r>
              <w:rPr>
                <w:rFonts w:ascii="Verdana" w:cs="Verdana" w:eastAsia="Verdana" w:hAnsi="Verdana"/>
                <w:sz w:val="18"/>
                <w:szCs w:val="18"/>
                <w:color w:val="auto"/>
              </w:rPr>
              <w:t>4,865,481</w:t>
            </w:r>
          </w:p>
        </w:tc>
      </w:tr>
      <w:tr>
        <w:trPr>
          <w:trHeight w:val="270"/>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Federal Reserve Bank</w:t>
            </w:r>
          </w:p>
        </w:tc>
        <w:tc>
          <w:tcPr>
            <w:tcW w:w="180" w:type="dxa"/>
            <w:vAlign w:val="bottom"/>
            <w:tcBorders>
              <w:bottom w:val="single" w:sz="8" w:color="auto"/>
            </w:tcBorders>
            <w:shd w:val="clear" w:color="auto" w:fill="E0E7ED"/>
          </w:tcPr>
          <w:p>
            <w:pPr>
              <w:spacing w:after="0"/>
              <w:rPr>
                <w:sz w:val="23"/>
                <w:szCs w:val="23"/>
                <w:color w:val="auto"/>
              </w:rPr>
            </w:pPr>
          </w:p>
        </w:tc>
        <w:tc>
          <w:tcPr>
            <w:tcW w:w="1340" w:type="dxa"/>
            <w:vAlign w:val="bottom"/>
            <w:tcBorders>
              <w:bottom w:val="single" w:sz="8" w:color="auto"/>
            </w:tcBorders>
            <w:shd w:val="clear" w:color="auto" w:fill="E0E7ED"/>
          </w:tcPr>
          <w:p>
            <w:pPr>
              <w:jc w:val="right"/>
              <w:ind w:right="24"/>
              <w:spacing w:after="0"/>
              <w:rPr>
                <w:sz w:val="20"/>
                <w:szCs w:val="20"/>
                <w:color w:val="auto"/>
              </w:rPr>
            </w:pPr>
            <w:r>
              <w:rPr>
                <w:rFonts w:ascii="Verdana" w:cs="Verdana" w:eastAsia="Verdana" w:hAnsi="Verdana"/>
                <w:sz w:val="18"/>
                <w:szCs w:val="18"/>
                <w:color w:val="auto"/>
              </w:rPr>
              <w:t>755,936</w:t>
            </w:r>
          </w:p>
        </w:tc>
        <w:tc>
          <w:tcPr>
            <w:tcW w:w="80" w:type="dxa"/>
            <w:vAlign w:val="bottom"/>
            <w:shd w:val="clear" w:color="auto" w:fill="E0E7ED"/>
          </w:tcPr>
          <w:p>
            <w:pPr>
              <w:spacing w:after="0"/>
              <w:rPr>
                <w:sz w:val="23"/>
                <w:szCs w:val="23"/>
                <w:color w:val="auto"/>
              </w:rPr>
            </w:pPr>
          </w:p>
        </w:tc>
        <w:tc>
          <w:tcPr>
            <w:tcW w:w="200" w:type="dxa"/>
            <w:vAlign w:val="bottom"/>
            <w:tcBorders>
              <w:bottom w:val="single" w:sz="8" w:color="auto"/>
            </w:tcBorders>
            <w:shd w:val="clear" w:color="auto" w:fill="E0E7ED"/>
          </w:tcPr>
          <w:p>
            <w:pPr>
              <w:spacing w:after="0"/>
              <w:rPr>
                <w:sz w:val="23"/>
                <w:szCs w:val="23"/>
                <w:color w:val="auto"/>
              </w:rPr>
            </w:pPr>
          </w:p>
        </w:tc>
        <w:tc>
          <w:tcPr>
            <w:tcW w:w="1320" w:type="dxa"/>
            <w:vAlign w:val="bottom"/>
            <w:tcBorders>
              <w:bottom w:val="single" w:sz="8" w:color="auto"/>
            </w:tcBorders>
            <w:shd w:val="clear" w:color="auto" w:fill="E0E7ED"/>
          </w:tcPr>
          <w:p>
            <w:pPr>
              <w:jc w:val="right"/>
              <w:ind w:right="1"/>
              <w:spacing w:after="0"/>
              <w:rPr>
                <w:sz w:val="20"/>
                <w:szCs w:val="20"/>
                <w:color w:val="auto"/>
              </w:rPr>
            </w:pPr>
            <w:r>
              <w:rPr>
                <w:rFonts w:ascii="Verdana" w:cs="Verdana" w:eastAsia="Verdana" w:hAnsi="Verdana"/>
                <w:sz w:val="18"/>
                <w:szCs w:val="18"/>
                <w:color w:val="auto"/>
              </w:rPr>
              <w:t>722,914</w:t>
            </w:r>
          </w:p>
        </w:tc>
      </w:tr>
      <w:tr>
        <w:trPr>
          <w:trHeight w:val="270"/>
        </w:trPr>
        <w:tc>
          <w:tcPr>
            <w:tcW w:w="8120" w:type="dxa"/>
            <w:vAlign w:val="bottom"/>
          </w:tcPr>
          <w:p>
            <w:pPr>
              <w:ind w:left="20"/>
              <w:spacing w:after="0"/>
              <w:rPr>
                <w:sz w:val="20"/>
                <w:szCs w:val="20"/>
                <w:color w:val="auto"/>
              </w:rPr>
            </w:pPr>
            <w:r>
              <w:rPr>
                <w:rFonts w:ascii="Verdana" w:cs="Verdana" w:eastAsia="Verdana" w:hAnsi="Verdana"/>
                <w:sz w:val="18"/>
                <w:szCs w:val="18"/>
                <w:color w:val="auto"/>
              </w:rPr>
              <w:t>Total pledged loans</w:t>
            </w:r>
          </w:p>
        </w:tc>
        <w:tc>
          <w:tcPr>
            <w:tcW w:w="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40" w:type="dxa"/>
            <w:vAlign w:val="bottom"/>
            <w:tcBorders>
              <w:bottom w:val="single" w:sz="8" w:color="auto"/>
            </w:tcBorders>
          </w:tcPr>
          <w:p>
            <w:pPr>
              <w:jc w:val="right"/>
              <w:ind w:right="24"/>
              <w:spacing w:after="0"/>
              <w:rPr>
                <w:sz w:val="20"/>
                <w:szCs w:val="20"/>
                <w:color w:val="auto"/>
              </w:rPr>
            </w:pPr>
            <w:r>
              <w:rPr>
                <w:rFonts w:ascii="Verdana" w:cs="Verdana" w:eastAsia="Verdana" w:hAnsi="Verdana"/>
                <w:sz w:val="18"/>
                <w:szCs w:val="18"/>
                <w:color w:val="auto"/>
              </w:rPr>
              <w:t>5,691,193</w:t>
            </w:r>
          </w:p>
        </w:tc>
        <w:tc>
          <w:tcPr>
            <w:tcW w:w="8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tcPr>
          <w:p>
            <w:pPr>
              <w:jc w:val="right"/>
              <w:ind w:right="1"/>
              <w:spacing w:after="0"/>
              <w:rPr>
                <w:sz w:val="20"/>
                <w:szCs w:val="20"/>
                <w:color w:val="auto"/>
              </w:rPr>
            </w:pPr>
            <w:r>
              <w:rPr>
                <w:rFonts w:ascii="Verdana" w:cs="Verdana" w:eastAsia="Verdana" w:hAnsi="Verdana"/>
                <w:sz w:val="18"/>
                <w:szCs w:val="18"/>
                <w:color w:val="auto"/>
              </w:rPr>
              <w:t>5,588,395</w:t>
            </w: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25" w:name="page26"/>
    <w:bookmarkEnd w:id="25"/>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Risk Grading</w:t>
      </w:r>
    </w:p>
    <w:p>
      <w:pPr>
        <w:spacing w:after="0" w:line="173"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Busey utilizes a loan grading scale to assign a risk grade to all of its loans. A description of the general characteristics of each grade is as follows:</w:t>
      </w:r>
    </w:p>
    <w:p>
      <w:pPr>
        <w:spacing w:after="0" w:line="158" w:lineRule="exact"/>
        <w:rPr>
          <w:sz w:val="20"/>
          <w:szCs w:val="20"/>
          <w:color w:val="auto"/>
        </w:rPr>
      </w:pPr>
    </w:p>
    <w:p>
      <w:pPr>
        <w:jc w:val="both"/>
        <w:ind w:left="660" w:hanging="328"/>
        <w:spacing w:after="0" w:line="245" w:lineRule="auto"/>
        <w:tabs>
          <w:tab w:leader="none" w:pos="650" w:val="left"/>
        </w:tabs>
        <w:numPr>
          <w:ilvl w:val="0"/>
          <w:numId w:val="9"/>
        </w:numPr>
        <w:rPr>
          <w:rFonts w:ascii="Verdana" w:cs="Verdana" w:eastAsia="Verdana" w:hAnsi="Verdana"/>
          <w:sz w:val="18"/>
          <w:szCs w:val="18"/>
          <w:color w:val="auto"/>
        </w:rPr>
      </w:pPr>
      <w:r>
        <w:rPr>
          <w:rFonts w:ascii="Verdana" w:cs="Verdana" w:eastAsia="Verdana" w:hAnsi="Verdana"/>
          <w:sz w:val="18"/>
          <w:szCs w:val="18"/>
          <w:i w:val="1"/>
          <w:iCs w:val="1"/>
          <w:color w:val="auto"/>
        </w:rPr>
        <w:t xml:space="preserve">Pass </w:t>
      </w:r>
      <w:r>
        <w:rPr>
          <w:rFonts w:ascii="Verdana" w:cs="Verdana" w:eastAsia="Verdana" w:hAnsi="Verdana"/>
          <w:sz w:val="18"/>
          <w:szCs w:val="18"/>
          <w:color w:val="auto"/>
        </w:rPr>
        <w:t>– This category includes loans that are all considered acceptable credits, ranging from investment or near</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investment grade, to loans made to borrowers who exhibit credit fundamentals that meet or exceed industry standards.</w:t>
      </w:r>
    </w:p>
    <w:p>
      <w:pPr>
        <w:spacing w:after="0" w:line="153" w:lineRule="exact"/>
        <w:rPr>
          <w:rFonts w:ascii="Verdana" w:cs="Verdana" w:eastAsia="Verdana" w:hAnsi="Verdana"/>
          <w:sz w:val="18"/>
          <w:szCs w:val="18"/>
          <w:color w:val="auto"/>
        </w:rPr>
      </w:pPr>
    </w:p>
    <w:p>
      <w:pPr>
        <w:jc w:val="both"/>
        <w:ind w:left="660" w:hanging="328"/>
        <w:spacing w:after="0" w:line="242" w:lineRule="auto"/>
        <w:tabs>
          <w:tab w:leader="none" w:pos="650" w:val="left"/>
        </w:tabs>
        <w:numPr>
          <w:ilvl w:val="0"/>
          <w:numId w:val="9"/>
        </w:numPr>
        <w:rPr>
          <w:rFonts w:ascii="Verdana" w:cs="Verdana" w:eastAsia="Verdana" w:hAnsi="Verdana"/>
          <w:sz w:val="18"/>
          <w:szCs w:val="18"/>
          <w:color w:val="auto"/>
        </w:rPr>
      </w:pPr>
      <w:r>
        <w:rPr>
          <w:rFonts w:ascii="Verdana" w:cs="Verdana" w:eastAsia="Verdana" w:hAnsi="Verdana"/>
          <w:sz w:val="18"/>
          <w:szCs w:val="18"/>
          <w:i w:val="1"/>
          <w:iCs w:val="1"/>
          <w:color w:val="auto"/>
        </w:rPr>
        <w:t xml:space="preserve">Watch </w:t>
      </w:r>
      <w:r>
        <w:rPr>
          <w:rFonts w:ascii="Verdana" w:cs="Verdana" w:eastAsia="Verdana" w:hAnsi="Verdana"/>
          <w:sz w:val="18"/>
          <w:szCs w:val="18"/>
          <w:color w:val="auto"/>
        </w:rPr>
        <w:t>– This category includes loans that warrant a higher-than-average level of monitoring to ensure that</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weaknesses do not cause the inability of the credit to perform as expected. These loans are not necessarily a problem due to other inherent strengths of the credit, such as guarantor strength, but have above average concern and monitoring.</w:t>
      </w:r>
    </w:p>
    <w:p>
      <w:pPr>
        <w:spacing w:after="0" w:line="157" w:lineRule="exact"/>
        <w:rPr>
          <w:rFonts w:ascii="Verdana" w:cs="Verdana" w:eastAsia="Verdana" w:hAnsi="Verdana"/>
          <w:sz w:val="18"/>
          <w:szCs w:val="18"/>
          <w:color w:val="auto"/>
        </w:rPr>
      </w:pPr>
    </w:p>
    <w:p>
      <w:pPr>
        <w:jc w:val="both"/>
        <w:ind w:left="660" w:hanging="328"/>
        <w:spacing w:after="0" w:line="245" w:lineRule="auto"/>
        <w:tabs>
          <w:tab w:leader="none" w:pos="650" w:val="left"/>
        </w:tabs>
        <w:numPr>
          <w:ilvl w:val="0"/>
          <w:numId w:val="9"/>
        </w:numPr>
        <w:rPr>
          <w:rFonts w:ascii="Verdana" w:cs="Verdana" w:eastAsia="Verdana" w:hAnsi="Verdana"/>
          <w:sz w:val="18"/>
          <w:szCs w:val="18"/>
          <w:color w:val="auto"/>
        </w:rPr>
      </w:pPr>
      <w:r>
        <w:rPr>
          <w:rFonts w:ascii="Verdana" w:cs="Verdana" w:eastAsia="Verdana" w:hAnsi="Verdana"/>
          <w:sz w:val="18"/>
          <w:szCs w:val="18"/>
          <w:i w:val="1"/>
          <w:iCs w:val="1"/>
          <w:color w:val="auto"/>
        </w:rPr>
        <w:t xml:space="preserve">Special mention </w:t>
      </w:r>
      <w:r>
        <w:rPr>
          <w:rFonts w:ascii="Verdana" w:cs="Verdana" w:eastAsia="Verdana" w:hAnsi="Verdana"/>
          <w:sz w:val="18"/>
          <w:szCs w:val="18"/>
          <w:color w:val="auto"/>
        </w:rPr>
        <w:t>– This category is for “Other Assets Specially Mentioned” loans that have potential weaknesses,</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which may, if not checked or corrected, weaken the asset or inadequately protect Busey’s credit position at some future date.</w:t>
      </w:r>
    </w:p>
    <w:p>
      <w:pPr>
        <w:spacing w:after="0" w:line="167" w:lineRule="exact"/>
        <w:rPr>
          <w:rFonts w:ascii="Verdana" w:cs="Verdana" w:eastAsia="Verdana" w:hAnsi="Verdana"/>
          <w:sz w:val="18"/>
          <w:szCs w:val="18"/>
          <w:color w:val="auto"/>
        </w:rPr>
      </w:pPr>
    </w:p>
    <w:p>
      <w:pPr>
        <w:jc w:val="both"/>
        <w:ind w:left="660" w:hanging="328"/>
        <w:spacing w:after="0" w:line="242" w:lineRule="auto"/>
        <w:tabs>
          <w:tab w:leader="none" w:pos="650" w:val="left"/>
        </w:tabs>
        <w:numPr>
          <w:ilvl w:val="0"/>
          <w:numId w:val="9"/>
        </w:numPr>
        <w:rPr>
          <w:rFonts w:ascii="Verdana" w:cs="Verdana" w:eastAsia="Verdana" w:hAnsi="Verdana"/>
          <w:sz w:val="18"/>
          <w:szCs w:val="18"/>
          <w:color w:val="auto"/>
        </w:rPr>
      </w:pPr>
      <w:r>
        <w:rPr>
          <w:rFonts w:ascii="Verdana" w:cs="Verdana" w:eastAsia="Verdana" w:hAnsi="Verdana"/>
          <w:sz w:val="18"/>
          <w:szCs w:val="18"/>
          <w:i w:val="1"/>
          <w:iCs w:val="1"/>
          <w:color w:val="auto"/>
        </w:rPr>
        <w:t xml:space="preserve">Substandard </w:t>
      </w:r>
      <w:r>
        <w:rPr>
          <w:rFonts w:ascii="Verdana" w:cs="Verdana" w:eastAsia="Verdana" w:hAnsi="Verdana"/>
          <w:sz w:val="18"/>
          <w:szCs w:val="18"/>
          <w:color w:val="auto"/>
        </w:rPr>
        <w:t>– This category includes “Substandard” loans, determined in accordance with regulatory guidelines, for</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which the accrual of interest has not been stopped. Assets so classified must have a well-defined weakness or weaknesses that jeopardize the liquidation of the debt. They are characterized by the distinct possibility that Busey will sustain some loss if the deficiencies are not corrected.</w:t>
      </w:r>
    </w:p>
    <w:p>
      <w:pPr>
        <w:spacing w:after="0" w:line="157" w:lineRule="exact"/>
        <w:rPr>
          <w:rFonts w:ascii="Verdana" w:cs="Verdana" w:eastAsia="Verdana" w:hAnsi="Verdana"/>
          <w:sz w:val="18"/>
          <w:szCs w:val="18"/>
          <w:color w:val="auto"/>
        </w:rPr>
      </w:pPr>
    </w:p>
    <w:p>
      <w:pPr>
        <w:jc w:val="both"/>
        <w:ind w:left="660" w:hanging="328"/>
        <w:spacing w:after="0" w:line="245" w:lineRule="auto"/>
        <w:tabs>
          <w:tab w:leader="none" w:pos="650" w:val="left"/>
        </w:tabs>
        <w:numPr>
          <w:ilvl w:val="0"/>
          <w:numId w:val="9"/>
        </w:numPr>
        <w:rPr>
          <w:rFonts w:ascii="Verdana" w:cs="Verdana" w:eastAsia="Verdana" w:hAnsi="Verdana"/>
          <w:sz w:val="18"/>
          <w:szCs w:val="18"/>
          <w:i w:val="1"/>
          <w:iCs w:val="1"/>
          <w:color w:val="auto"/>
        </w:rPr>
      </w:pPr>
      <w:r>
        <w:rPr>
          <w:rFonts w:ascii="Verdana" w:cs="Verdana" w:eastAsia="Verdana" w:hAnsi="Verdana"/>
          <w:sz w:val="18"/>
          <w:szCs w:val="18"/>
          <w:i w:val="1"/>
          <w:iCs w:val="1"/>
          <w:color w:val="auto"/>
        </w:rPr>
        <w:t xml:space="preserve">Substandard non-accrual </w:t>
      </w:r>
      <w:r>
        <w:rPr>
          <w:rFonts w:ascii="Verdana" w:cs="Verdana" w:eastAsia="Verdana" w:hAnsi="Verdana"/>
          <w:sz w:val="18"/>
          <w:szCs w:val="18"/>
          <w:color w:val="auto"/>
        </w:rPr>
        <w:t>– This category includes loans that have all the characteristics of a “Substandard” loan</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with additional factors that make collection in full highly questionable and improbable. Such loans are placed on non-accrual status and may be dependent on collateral with a value that is difficult to determine.</w:t>
      </w:r>
    </w:p>
    <w:p>
      <w:pPr>
        <w:spacing w:after="0" w:line="154"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All loans are graded at their inception. Commercial lending relationships that are $1.0 million or less are usually processed through an expedited underwriting process. Most commercial loans greater than $1.0 million are included in a portfolio review at least annually. Commercial loans greater than $0.35 million that have a grading of special mention or worse are typically reviewed on a quarterly basis. Interim reviews may take place if circumstances of the borrower warrant a more frequent review.</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26" w:name="page27"/>
    <w:bookmarkEnd w:id="26"/>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
        <w:spacing w:after="0" w:line="254" w:lineRule="auto"/>
        <w:rPr>
          <w:sz w:val="20"/>
          <w:szCs w:val="20"/>
          <w:color w:val="auto"/>
        </w:rPr>
      </w:pPr>
      <w:r>
        <w:rPr>
          <w:rFonts w:ascii="Verdana" w:cs="Verdana" w:eastAsia="Verdana" w:hAnsi="Verdana"/>
          <w:sz w:val="18"/>
          <w:szCs w:val="18"/>
          <w:color w:val="auto"/>
        </w:rPr>
        <w:t xml:space="preserve">The following table is a summary of risk grades of our portfolio loans, segregated by loan category and lending activity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5"/>
          </w:tcPr>
          <w:p>
            <w:pPr>
              <w:jc w:val="center"/>
              <w:ind w:right="360"/>
              <w:spacing w:after="0"/>
              <w:rPr>
                <w:sz w:val="20"/>
                <w:szCs w:val="20"/>
                <w:color w:val="auto"/>
              </w:rPr>
            </w:pPr>
            <w:r>
              <w:rPr>
                <w:rFonts w:ascii="Verdana" w:cs="Verdana" w:eastAsia="Verdana" w:hAnsi="Verdana"/>
                <w:sz w:val="13"/>
                <w:szCs w:val="13"/>
                <w:b w:val="1"/>
                <w:bCs w:val="1"/>
                <w:color w:val="auto"/>
                <w:w w:val="95"/>
              </w:rPr>
              <w:t>As of September 30, 2024</w:t>
            </w: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gridSpan w:val="3"/>
            <w:vMerge w:val="restart"/>
          </w:tcPr>
          <w:p>
            <w:pPr>
              <w:ind w:left="300"/>
              <w:spacing w:after="0"/>
              <w:rPr>
                <w:sz w:val="20"/>
                <w:szCs w:val="20"/>
                <w:color w:val="auto"/>
              </w:rPr>
            </w:pPr>
            <w:r>
              <w:rPr>
                <w:rFonts w:ascii="Verdana" w:cs="Verdana" w:eastAsia="Verdana" w:hAnsi="Verdana"/>
                <w:sz w:val="13"/>
                <w:szCs w:val="13"/>
                <w:b w:val="1"/>
                <w:bCs w:val="1"/>
                <w:color w:val="auto"/>
              </w:rPr>
              <w:t>Pass</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gridSpan w:val="3"/>
            <w:vMerge w:val="restart"/>
          </w:tcPr>
          <w:p>
            <w:pPr>
              <w:ind w:left="180"/>
              <w:spacing w:after="0"/>
              <w:rPr>
                <w:sz w:val="20"/>
                <w:szCs w:val="20"/>
                <w:color w:val="auto"/>
              </w:rPr>
            </w:pPr>
            <w:r>
              <w:rPr>
                <w:rFonts w:ascii="Verdana" w:cs="Verdana" w:eastAsia="Verdana" w:hAnsi="Verdana"/>
                <w:sz w:val="13"/>
                <w:szCs w:val="13"/>
                <w:b w:val="1"/>
                <w:bCs w:val="1"/>
                <w:color w:val="auto"/>
              </w:rPr>
              <w:t>Watch</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gridSpan w:val="2"/>
          </w:tcPr>
          <w:p>
            <w:pPr>
              <w:jc w:val="center"/>
              <w:ind w:right="400"/>
              <w:spacing w:after="0" w:line="122" w:lineRule="exact"/>
              <w:rPr>
                <w:sz w:val="20"/>
                <w:szCs w:val="20"/>
                <w:color w:val="auto"/>
              </w:rPr>
            </w:pPr>
            <w:r>
              <w:rPr>
                <w:rFonts w:ascii="Verdana" w:cs="Verdana" w:eastAsia="Verdana" w:hAnsi="Verdana"/>
                <w:sz w:val="13"/>
                <w:szCs w:val="13"/>
                <w:b w:val="1"/>
                <w:bCs w:val="1"/>
                <w:color w:val="auto"/>
                <w:w w:val="95"/>
              </w:rPr>
              <w:t>Special</w:t>
            </w:r>
          </w:p>
        </w:tc>
        <w:tc>
          <w:tcPr>
            <w:tcW w:w="220" w:type="dxa"/>
            <w:vAlign w:val="bottom"/>
          </w:tcPr>
          <w:p>
            <w:pPr>
              <w:spacing w:after="0"/>
              <w:rPr>
                <w:sz w:val="10"/>
                <w:szCs w:val="10"/>
                <w:color w:val="auto"/>
              </w:rPr>
            </w:pPr>
          </w:p>
        </w:tc>
        <w:tc>
          <w:tcPr>
            <w:tcW w:w="1340" w:type="dxa"/>
            <w:vAlign w:val="bottom"/>
            <w:gridSpan w:val="2"/>
            <w:vMerge w:val="restart"/>
          </w:tcPr>
          <w:p>
            <w:pPr>
              <w:ind w:left="80"/>
              <w:spacing w:after="0"/>
              <w:rPr>
                <w:sz w:val="20"/>
                <w:szCs w:val="20"/>
                <w:color w:val="auto"/>
              </w:rPr>
            </w:pPr>
            <w:r>
              <w:rPr>
                <w:rFonts w:ascii="Verdana" w:cs="Verdana" w:eastAsia="Verdana" w:hAnsi="Verdana"/>
                <w:sz w:val="13"/>
                <w:szCs w:val="13"/>
                <w:b w:val="1"/>
                <w:bCs w:val="1"/>
                <w:color w:val="auto"/>
              </w:rPr>
              <w:t>Substandard</w:t>
            </w:r>
          </w:p>
        </w:tc>
        <w:tc>
          <w:tcPr>
            <w:tcW w:w="220" w:type="dxa"/>
            <w:vAlign w:val="bottom"/>
          </w:tcPr>
          <w:p>
            <w:pPr>
              <w:spacing w:after="0"/>
              <w:rPr>
                <w:sz w:val="10"/>
                <w:szCs w:val="10"/>
                <w:color w:val="auto"/>
              </w:rPr>
            </w:pPr>
          </w:p>
        </w:tc>
        <w:tc>
          <w:tcPr>
            <w:tcW w:w="1360" w:type="dxa"/>
            <w:vAlign w:val="bottom"/>
            <w:gridSpan w:val="2"/>
          </w:tcPr>
          <w:p>
            <w:pPr>
              <w:ind w:left="80"/>
              <w:spacing w:after="0" w:line="122" w:lineRule="exact"/>
              <w:rPr>
                <w:sz w:val="20"/>
                <w:szCs w:val="20"/>
                <w:color w:val="auto"/>
              </w:rPr>
            </w:pPr>
            <w:r>
              <w:rPr>
                <w:rFonts w:ascii="Verdana" w:cs="Verdana" w:eastAsia="Verdana" w:hAnsi="Verdana"/>
                <w:sz w:val="13"/>
                <w:szCs w:val="13"/>
                <w:b w:val="1"/>
                <w:bCs w:val="1"/>
                <w:color w:val="auto"/>
              </w:rPr>
              <w:t>Substandard</w:t>
            </w:r>
          </w:p>
        </w:tc>
        <w:tc>
          <w:tcPr>
            <w:tcW w:w="300" w:type="dxa"/>
            <w:vAlign w:val="bottom"/>
          </w:tcPr>
          <w:p>
            <w:pPr>
              <w:spacing w:after="0"/>
              <w:rPr>
                <w:sz w:val="10"/>
                <w:szCs w:val="10"/>
                <w:color w:val="auto"/>
              </w:rPr>
            </w:pPr>
          </w:p>
        </w:tc>
        <w:tc>
          <w:tcPr>
            <w:tcW w:w="1180" w:type="dxa"/>
            <w:vAlign w:val="bottom"/>
            <w:vMerge w:val="restart"/>
          </w:tcPr>
          <w:p>
            <w:pPr>
              <w:jc w:val="right"/>
              <w:ind w:right="473"/>
              <w:spacing w:after="0"/>
              <w:rPr>
                <w:sz w:val="20"/>
                <w:szCs w:val="20"/>
                <w:color w:val="auto"/>
              </w:rPr>
            </w:pPr>
            <w:r>
              <w:rPr>
                <w:rFonts w:ascii="Verdana" w:cs="Verdana" w:eastAsia="Verdana" w:hAnsi="Verdana"/>
                <w:sz w:val="13"/>
                <w:szCs w:val="13"/>
                <w:b w:val="1"/>
                <w:bCs w:val="1"/>
                <w:color w:val="auto"/>
              </w:rPr>
              <w:t>Total</w:t>
            </w:r>
          </w:p>
        </w:tc>
        <w:tc>
          <w:tcPr>
            <w:tcW w:w="0" w:type="dxa"/>
            <w:vAlign w:val="bottom"/>
          </w:tcPr>
          <w:p>
            <w:pPr>
              <w:spacing w:after="0"/>
              <w:rPr>
                <w:sz w:val="1"/>
                <w:szCs w:val="1"/>
                <w:color w:val="auto"/>
              </w:rPr>
            </w:pPr>
          </w:p>
        </w:tc>
      </w:tr>
      <w:tr>
        <w:trPr>
          <w:trHeight w:val="170"/>
        </w:trPr>
        <w:tc>
          <w:tcPr>
            <w:tcW w:w="1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Verdana" w:cs="Verdana" w:eastAsia="Verdana" w:hAnsi="Verdana"/>
                <w:sz w:val="13"/>
                <w:szCs w:val="13"/>
                <w:b w:val="1"/>
                <w:bCs w:val="1"/>
                <w:color w:val="auto"/>
                <w:w w:val="98"/>
              </w:rPr>
              <w:t>Mention</w:t>
            </w:r>
          </w:p>
        </w:tc>
        <w:tc>
          <w:tcPr>
            <w:tcW w:w="2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Verdana" w:cs="Verdana" w:eastAsia="Verdana" w:hAnsi="Verdana"/>
                <w:sz w:val="13"/>
                <w:szCs w:val="13"/>
                <w:b w:val="1"/>
                <w:bCs w:val="1"/>
                <w:color w:val="auto"/>
              </w:rPr>
              <w:t>Non-accrual</w:t>
            </w:r>
          </w:p>
        </w:tc>
        <w:tc>
          <w:tcPr>
            <w:tcW w:w="3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19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 loans</w:t>
            </w:r>
          </w:p>
        </w:tc>
        <w:tc>
          <w:tcPr>
            <w:tcW w:w="280" w:type="dxa"/>
            <w:vAlign w:val="bottom"/>
            <w:tcBorders>
              <w:top w:val="single" w:sz="8" w:color="auto"/>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2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0" w:type="dxa"/>
            <w:vAlign w:val="bottom"/>
            <w:tcBorders>
              <w:top w:val="single" w:sz="8" w:color="auto"/>
            </w:tcBorders>
            <w:shd w:val="clear" w:color="auto" w:fill="E0E7ED"/>
          </w:tcPr>
          <w:p>
            <w:pPr>
              <w:spacing w:after="0"/>
              <w:rPr>
                <w:sz w:val="22"/>
                <w:szCs w:val="22"/>
                <w:color w:val="auto"/>
              </w:rPr>
            </w:pPr>
          </w:p>
        </w:tc>
        <w:tc>
          <w:tcPr>
            <w:tcW w:w="320" w:type="dxa"/>
            <w:vAlign w:val="bottom"/>
            <w:tcBorders>
              <w:top w:val="single" w:sz="8" w:color="auto"/>
            </w:tcBorders>
            <w:shd w:val="clear" w:color="auto" w:fill="E0E7ED"/>
          </w:tcPr>
          <w:p>
            <w:pPr>
              <w:spacing w:after="0"/>
              <w:rPr>
                <w:sz w:val="22"/>
                <w:szCs w:val="22"/>
                <w:color w:val="auto"/>
              </w:rPr>
            </w:pPr>
          </w:p>
        </w:tc>
        <w:tc>
          <w:tcPr>
            <w:tcW w:w="1120" w:type="dxa"/>
            <w:vAlign w:val="bottom"/>
            <w:tcBorders>
              <w:top w:val="single" w:sz="8" w:color="auto"/>
            </w:tcBorders>
            <w:shd w:val="clear" w:color="auto" w:fill="E0E7ED"/>
          </w:tcPr>
          <w:p>
            <w:pPr>
              <w:spacing w:after="0"/>
              <w:rPr>
                <w:sz w:val="22"/>
                <w:szCs w:val="22"/>
                <w:color w:val="auto"/>
              </w:rPr>
            </w:pPr>
          </w:p>
        </w:tc>
        <w:tc>
          <w:tcPr>
            <w:tcW w:w="2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0" w:type="dxa"/>
            <w:vAlign w:val="bottom"/>
            <w:tcBorders>
              <w:top w:val="single" w:sz="8" w:color="auto"/>
            </w:tcBorders>
            <w:shd w:val="clear" w:color="auto" w:fill="E0E7ED"/>
          </w:tcPr>
          <w:p>
            <w:pPr>
              <w:spacing w:after="0"/>
              <w:rPr>
                <w:sz w:val="22"/>
                <w:szCs w:val="22"/>
                <w:color w:val="auto"/>
              </w:rPr>
            </w:pPr>
          </w:p>
        </w:tc>
        <w:tc>
          <w:tcPr>
            <w:tcW w:w="280" w:type="dxa"/>
            <w:vAlign w:val="bottom"/>
            <w:tcBorders>
              <w:top w:val="single" w:sz="8" w:color="auto"/>
            </w:tcBorders>
            <w:shd w:val="clear" w:color="auto" w:fill="E0E7ED"/>
          </w:tcPr>
          <w:p>
            <w:pPr>
              <w:spacing w:after="0"/>
              <w:rPr>
                <w:sz w:val="22"/>
                <w:szCs w:val="22"/>
                <w:color w:val="auto"/>
              </w:rPr>
            </w:pPr>
          </w:p>
        </w:tc>
        <w:tc>
          <w:tcPr>
            <w:tcW w:w="11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1940" w:type="dxa"/>
            <w:vAlign w:val="bottom"/>
          </w:tcPr>
          <w:p>
            <w:pPr>
              <w:ind w:left="180"/>
              <w:spacing w:after="0"/>
              <w:rPr>
                <w:sz w:val="20"/>
                <w:szCs w:val="20"/>
                <w:color w:val="auto"/>
              </w:rPr>
            </w:pPr>
            <w:r>
              <w:rPr>
                <w:rFonts w:ascii="Verdana" w:cs="Verdana" w:eastAsia="Verdana" w:hAnsi="Verdana"/>
                <w:sz w:val="18"/>
                <w:szCs w:val="18"/>
                <w:color w:val="auto"/>
              </w:rPr>
              <w:t>C&amp;I and other</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940" w:type="dxa"/>
            <w:vAlign w:val="bottom"/>
          </w:tcPr>
          <w:p>
            <w:pPr>
              <w:ind w:left="180"/>
              <w:spacing w:after="0"/>
              <w:rPr>
                <w:sz w:val="20"/>
                <w:szCs w:val="20"/>
                <w:color w:val="auto"/>
              </w:rPr>
            </w:pPr>
            <w:r>
              <w:rPr>
                <w:rFonts w:ascii="Verdana" w:cs="Verdana" w:eastAsia="Verdana" w:hAnsi="Verdana"/>
                <w:sz w:val="18"/>
                <w:szCs w:val="18"/>
                <w:color w:val="auto"/>
              </w:rPr>
              <w:t>commercial</w:t>
            </w:r>
          </w:p>
        </w:tc>
        <w:tc>
          <w:tcPr>
            <w:tcW w:w="280" w:type="dxa"/>
            <w:vAlign w:val="bottom"/>
          </w:tcPr>
          <w:p>
            <w:pPr>
              <w:jc w:val="right"/>
              <w:ind w:right="5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1,535,598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ind w:right="200"/>
              <w:spacing w:after="0"/>
              <w:rPr>
                <w:sz w:val="20"/>
                <w:szCs w:val="20"/>
                <w:color w:val="auto"/>
              </w:rPr>
            </w:pPr>
            <w:r>
              <w:rPr>
                <w:rFonts w:ascii="Verdana" w:cs="Verdana" w:eastAsia="Verdana" w:hAnsi="Verdana"/>
                <w:sz w:val="18"/>
                <w:szCs w:val="18"/>
                <w:color w:val="auto"/>
              </w:rPr>
              <w:t>$</w:t>
            </w:r>
          </w:p>
        </w:tc>
        <w:tc>
          <w:tcPr>
            <w:tcW w:w="1120" w:type="dxa"/>
            <w:vAlign w:val="bottom"/>
          </w:tcPr>
          <w:p>
            <w:pPr>
              <w:jc w:val="right"/>
              <w:spacing w:after="0"/>
              <w:rPr>
                <w:sz w:val="20"/>
                <w:szCs w:val="20"/>
                <w:color w:val="auto"/>
              </w:rPr>
            </w:pPr>
            <w:r>
              <w:rPr>
                <w:rFonts w:ascii="Verdana" w:cs="Verdana" w:eastAsia="Verdana" w:hAnsi="Verdana"/>
                <w:sz w:val="18"/>
                <w:szCs w:val="18"/>
                <w:color w:val="auto"/>
              </w:rPr>
              <w:t>257,892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gridSpan w:val="2"/>
          </w:tcPr>
          <w:p>
            <w:pPr>
              <w:jc w:val="right"/>
              <w:ind w:right="180"/>
              <w:spacing w:after="0"/>
              <w:rPr>
                <w:sz w:val="20"/>
                <w:szCs w:val="20"/>
                <w:color w:val="auto"/>
              </w:rPr>
            </w:pPr>
            <w:r>
              <w:rPr>
                <w:rFonts w:ascii="Verdana" w:cs="Verdana" w:eastAsia="Verdana" w:hAnsi="Verdana"/>
                <w:sz w:val="18"/>
                <w:szCs w:val="18"/>
                <w:color w:val="auto"/>
                <w:w w:val="86"/>
              </w:rPr>
              <w:t>$</w:t>
            </w:r>
          </w:p>
        </w:tc>
        <w:tc>
          <w:tcPr>
            <w:tcW w:w="1160" w:type="dxa"/>
            <w:vAlign w:val="bottom"/>
          </w:tcPr>
          <w:p>
            <w:pPr>
              <w:jc w:val="right"/>
              <w:spacing w:after="0"/>
              <w:rPr>
                <w:sz w:val="20"/>
                <w:szCs w:val="20"/>
                <w:color w:val="auto"/>
              </w:rPr>
            </w:pPr>
            <w:r>
              <w:rPr>
                <w:rFonts w:ascii="Verdana" w:cs="Verdana" w:eastAsia="Verdana" w:hAnsi="Verdana"/>
                <w:sz w:val="18"/>
                <w:szCs w:val="18"/>
                <w:color w:val="auto"/>
              </w:rPr>
              <w:t>38,374</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ind w:right="13"/>
              <w:spacing w:after="0"/>
              <w:rPr>
                <w:sz w:val="20"/>
                <w:szCs w:val="20"/>
                <w:color w:val="auto"/>
              </w:rPr>
            </w:pPr>
            <w:r>
              <w:rPr>
                <w:rFonts w:ascii="Verdana" w:cs="Verdana" w:eastAsia="Verdana" w:hAnsi="Verdana"/>
                <w:sz w:val="18"/>
                <w:szCs w:val="18"/>
                <w:color w:val="auto"/>
              </w:rPr>
              <w:t>41,291</w:t>
            </w:r>
          </w:p>
        </w:tc>
        <w:tc>
          <w:tcPr>
            <w:tcW w:w="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spacing w:after="0"/>
              <w:rPr>
                <w:sz w:val="20"/>
                <w:szCs w:val="20"/>
                <w:color w:val="auto"/>
              </w:rPr>
            </w:pPr>
            <w:r>
              <w:rPr>
                <w:rFonts w:ascii="Verdana" w:cs="Verdana" w:eastAsia="Verdana" w:hAnsi="Verdana"/>
                <w:sz w:val="18"/>
                <w:szCs w:val="18"/>
                <w:color w:val="auto"/>
              </w:rPr>
              <w:t>4,342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Verdana" w:cs="Verdana" w:eastAsia="Verdana" w:hAnsi="Verdana"/>
                <w:sz w:val="18"/>
                <w:szCs w:val="18"/>
                <w:color w:val="auto"/>
                <w:w w:val="86"/>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1,877,497</w:t>
            </w:r>
          </w:p>
        </w:tc>
        <w:tc>
          <w:tcPr>
            <w:tcW w:w="0" w:type="dxa"/>
            <w:vAlign w:val="bottom"/>
          </w:tcPr>
          <w:p>
            <w:pPr>
              <w:spacing w:after="0"/>
              <w:rPr>
                <w:sz w:val="1"/>
                <w:szCs w:val="1"/>
                <w:color w:val="auto"/>
              </w:rPr>
            </w:pPr>
          </w:p>
        </w:tc>
      </w:tr>
      <w:tr>
        <w:trPr>
          <w:trHeight w:val="244"/>
        </w:trPr>
        <w:tc>
          <w:tcPr>
            <w:tcW w:w="19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w:t>
            </w:r>
          </w:p>
        </w:tc>
        <w:tc>
          <w:tcPr>
            <w:tcW w:w="28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12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1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9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estate</w:t>
            </w:r>
          </w:p>
        </w:tc>
        <w:tc>
          <w:tcPr>
            <w:tcW w:w="280" w:type="dxa"/>
            <w:vAlign w:val="bottom"/>
            <w:shd w:val="clear" w:color="auto" w:fill="E0E7ED"/>
          </w:tcPr>
          <w:p>
            <w:pPr>
              <w:spacing w:after="0"/>
              <w:rPr>
                <w:sz w:val="21"/>
                <w:szCs w:val="21"/>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2,814,481</w:t>
            </w: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1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454,016</w:t>
            </w: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55,178</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6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31,582</w:t>
            </w: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550</w:t>
            </w: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3,355,807</w:t>
            </w:r>
          </w:p>
        </w:tc>
        <w:tc>
          <w:tcPr>
            <w:tcW w:w="0" w:type="dxa"/>
            <w:vAlign w:val="bottom"/>
          </w:tcPr>
          <w:p>
            <w:pPr>
              <w:spacing w:after="0"/>
              <w:rPr>
                <w:sz w:val="1"/>
                <w:szCs w:val="1"/>
                <w:color w:val="auto"/>
              </w:rPr>
            </w:pPr>
          </w:p>
        </w:tc>
      </w:tr>
      <w:tr>
        <w:trPr>
          <w:trHeight w:val="238"/>
        </w:trPr>
        <w:tc>
          <w:tcPr>
            <w:tcW w:w="1940" w:type="dxa"/>
            <w:vAlign w:val="bottom"/>
          </w:tcPr>
          <w:p>
            <w:pPr>
              <w:ind w:left="180"/>
              <w:spacing w:after="0"/>
              <w:rPr>
                <w:sz w:val="20"/>
                <w:szCs w:val="20"/>
                <w:color w:val="auto"/>
              </w:rPr>
            </w:pPr>
            <w:r>
              <w:rPr>
                <w:rFonts w:ascii="Verdana" w:cs="Verdana" w:eastAsia="Verdana" w:hAnsi="Verdana"/>
                <w:sz w:val="18"/>
                <w:szCs w:val="18"/>
                <w:color w:val="auto"/>
              </w:rPr>
              <w:t>Real estate</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940" w:type="dxa"/>
            <w:vAlign w:val="bottom"/>
          </w:tcPr>
          <w:p>
            <w:pPr>
              <w:ind w:left="180"/>
              <w:spacing w:after="0"/>
              <w:rPr>
                <w:sz w:val="20"/>
                <w:szCs w:val="20"/>
                <w:color w:val="auto"/>
              </w:rPr>
            </w:pPr>
            <w:r>
              <w:rPr>
                <w:rFonts w:ascii="Verdana" w:cs="Verdana" w:eastAsia="Verdana" w:hAnsi="Verdana"/>
                <w:sz w:val="18"/>
                <w:szCs w:val="18"/>
                <w:color w:val="auto"/>
              </w:rPr>
              <w:t>construction</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356,722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Verdana" w:cs="Verdana" w:eastAsia="Verdana" w:hAnsi="Verdana"/>
                <w:sz w:val="18"/>
                <w:szCs w:val="18"/>
                <w:color w:val="auto"/>
              </w:rPr>
              <w:t>27,637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Verdana" w:cs="Verdana" w:eastAsia="Verdana" w:hAnsi="Verdana"/>
                <w:sz w:val="18"/>
                <w:szCs w:val="18"/>
                <w:color w:val="auto"/>
              </w:rPr>
              <w:t>8,368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Verdana" w:cs="Verdana" w:eastAsia="Verdana" w:hAnsi="Verdana"/>
                <w:sz w:val="18"/>
                <w:szCs w:val="18"/>
                <w:color w:val="auto"/>
              </w:rPr>
              <w:t>5,250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397,977</w:t>
            </w:r>
          </w:p>
        </w:tc>
        <w:tc>
          <w:tcPr>
            <w:tcW w:w="0" w:type="dxa"/>
            <w:vAlign w:val="bottom"/>
          </w:tcPr>
          <w:p>
            <w:pPr>
              <w:spacing w:after="0"/>
              <w:rPr>
                <w:sz w:val="1"/>
                <w:szCs w:val="1"/>
                <w:color w:val="auto"/>
              </w:rPr>
            </w:pPr>
          </w:p>
        </w:tc>
      </w:tr>
      <w:tr>
        <w:trPr>
          <w:trHeight w:val="224"/>
        </w:trPr>
        <w:tc>
          <w:tcPr>
            <w:tcW w:w="19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commercial</w:t>
            </w:r>
          </w:p>
        </w:tc>
        <w:tc>
          <w:tcPr>
            <w:tcW w:w="280" w:type="dxa"/>
            <w:vAlign w:val="bottom"/>
            <w:tcBorders>
              <w:top w:val="single" w:sz="8" w:color="auto"/>
            </w:tcBorders>
            <w:shd w:val="clear" w:color="auto" w:fill="E0E7ED"/>
          </w:tcPr>
          <w:p>
            <w:pPr>
              <w:spacing w:after="0"/>
              <w:rPr>
                <w:sz w:val="19"/>
                <w:szCs w:val="19"/>
                <w:color w:val="auto"/>
              </w:rPr>
            </w:pPr>
          </w:p>
        </w:tc>
        <w:tc>
          <w:tcPr>
            <w:tcW w:w="1180" w:type="dxa"/>
            <w:vAlign w:val="bottom"/>
            <w:tcBorders>
              <w:top w:val="single" w:sz="8" w:color="auto"/>
            </w:tcBorders>
            <w:shd w:val="clear" w:color="auto" w:fill="E0E7ED"/>
          </w:tcPr>
          <w:p>
            <w:pPr>
              <w:spacing w:after="0"/>
              <w:rPr>
                <w:sz w:val="19"/>
                <w:szCs w:val="19"/>
                <w:color w:val="auto"/>
              </w:rPr>
            </w:pPr>
          </w:p>
        </w:tc>
        <w:tc>
          <w:tcPr>
            <w:tcW w:w="20" w:type="dxa"/>
            <w:vAlign w:val="bottom"/>
            <w:tcBorders>
              <w:top w:val="single" w:sz="8" w:color="E0E7ED"/>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0" w:type="dxa"/>
            <w:vAlign w:val="bottom"/>
            <w:tcBorders>
              <w:top w:val="single" w:sz="8" w:color="auto"/>
            </w:tcBorders>
            <w:shd w:val="clear" w:color="auto" w:fill="E0E7ED"/>
          </w:tcPr>
          <w:p>
            <w:pPr>
              <w:spacing w:after="0"/>
              <w:rPr>
                <w:sz w:val="19"/>
                <w:szCs w:val="19"/>
                <w:color w:val="auto"/>
              </w:rPr>
            </w:pPr>
          </w:p>
        </w:tc>
        <w:tc>
          <w:tcPr>
            <w:tcW w:w="320" w:type="dxa"/>
            <w:vAlign w:val="bottom"/>
            <w:tcBorders>
              <w:top w:val="single" w:sz="8" w:color="auto"/>
            </w:tcBorders>
            <w:shd w:val="clear" w:color="auto" w:fill="E0E7ED"/>
          </w:tcPr>
          <w:p>
            <w:pPr>
              <w:spacing w:after="0"/>
              <w:rPr>
                <w:sz w:val="19"/>
                <w:szCs w:val="19"/>
                <w:color w:val="auto"/>
              </w:rPr>
            </w:pPr>
          </w:p>
        </w:tc>
        <w:tc>
          <w:tcPr>
            <w:tcW w:w="1120" w:type="dxa"/>
            <w:vAlign w:val="bottom"/>
            <w:tcBorders>
              <w:top w:val="single" w:sz="8" w:color="auto"/>
            </w:tcBorders>
            <w:shd w:val="clear" w:color="auto" w:fill="E0E7ED"/>
          </w:tcPr>
          <w:p>
            <w:pPr>
              <w:spacing w:after="0"/>
              <w:rPr>
                <w:sz w:val="19"/>
                <w:szCs w:val="19"/>
                <w:color w:val="auto"/>
              </w:rPr>
            </w:pPr>
          </w:p>
        </w:tc>
        <w:tc>
          <w:tcPr>
            <w:tcW w:w="20" w:type="dxa"/>
            <w:vAlign w:val="bottom"/>
            <w:tcBorders>
              <w:top w:val="single" w:sz="8" w:color="E0E7ED"/>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0" w:type="dxa"/>
            <w:vAlign w:val="bottom"/>
            <w:tcBorders>
              <w:top w:val="single" w:sz="8" w:color="auto"/>
            </w:tcBorders>
            <w:shd w:val="clear" w:color="auto" w:fill="E0E7ED"/>
          </w:tcPr>
          <w:p>
            <w:pPr>
              <w:spacing w:after="0"/>
              <w:rPr>
                <w:sz w:val="19"/>
                <w:szCs w:val="19"/>
                <w:color w:val="auto"/>
              </w:rPr>
            </w:pPr>
          </w:p>
        </w:tc>
        <w:tc>
          <w:tcPr>
            <w:tcW w:w="280" w:type="dxa"/>
            <w:vAlign w:val="bottom"/>
            <w:tcBorders>
              <w:top w:val="single" w:sz="8" w:color="auto"/>
            </w:tcBorders>
            <w:shd w:val="clear" w:color="auto" w:fill="E0E7ED"/>
          </w:tcPr>
          <w:p>
            <w:pPr>
              <w:spacing w:after="0"/>
              <w:rPr>
                <w:sz w:val="19"/>
                <w:szCs w:val="19"/>
                <w:color w:val="auto"/>
              </w:rPr>
            </w:pPr>
          </w:p>
        </w:tc>
        <w:tc>
          <w:tcPr>
            <w:tcW w:w="116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26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26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300" w:type="dxa"/>
            <w:vAlign w:val="bottom"/>
            <w:tcBorders>
              <w:top w:val="single" w:sz="8" w:color="auto"/>
            </w:tcBorders>
            <w:shd w:val="clear" w:color="auto" w:fill="E0E7ED"/>
          </w:tcPr>
          <w:p>
            <w:pPr>
              <w:spacing w:after="0"/>
              <w:rPr>
                <w:sz w:val="19"/>
                <w:szCs w:val="19"/>
                <w:color w:val="auto"/>
              </w:rPr>
            </w:pPr>
          </w:p>
        </w:tc>
        <w:tc>
          <w:tcPr>
            <w:tcW w:w="118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9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loans</w:t>
            </w:r>
          </w:p>
        </w:tc>
        <w:tc>
          <w:tcPr>
            <w:tcW w:w="280" w:type="dxa"/>
            <w:vAlign w:val="bottom"/>
            <w:tcBorders>
              <w:bottom w:val="single" w:sz="8" w:color="auto"/>
            </w:tcBorders>
            <w:shd w:val="clear" w:color="auto" w:fill="E0E7ED"/>
          </w:tcPr>
          <w:p>
            <w:pPr>
              <w:spacing w:after="0"/>
              <w:rPr>
                <w:sz w:val="21"/>
                <w:szCs w:val="21"/>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4,706,801</w:t>
            </w: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tcBorders>
              <w:bottom w:val="single" w:sz="8" w:color="auto"/>
            </w:tcBorders>
            <w:shd w:val="clear" w:color="auto" w:fill="E0E7ED"/>
          </w:tcPr>
          <w:p>
            <w:pPr>
              <w:spacing w:after="0"/>
              <w:rPr>
                <w:sz w:val="21"/>
                <w:szCs w:val="21"/>
                <w:color w:val="auto"/>
              </w:rPr>
            </w:pPr>
          </w:p>
        </w:tc>
        <w:tc>
          <w:tcPr>
            <w:tcW w:w="320" w:type="dxa"/>
            <w:vAlign w:val="bottom"/>
            <w:tcBorders>
              <w:bottom w:val="single" w:sz="8" w:color="auto"/>
            </w:tcBorders>
            <w:shd w:val="clear" w:color="auto" w:fill="E0E7ED"/>
          </w:tcPr>
          <w:p>
            <w:pPr>
              <w:spacing w:after="0"/>
              <w:rPr>
                <w:sz w:val="21"/>
                <w:szCs w:val="21"/>
                <w:color w:val="auto"/>
              </w:rPr>
            </w:pPr>
          </w:p>
        </w:tc>
        <w:tc>
          <w:tcPr>
            <w:tcW w:w="11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739,545</w:t>
            </w: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tcBorders>
              <w:bottom w:val="single" w:sz="8" w:color="auto"/>
            </w:tcBorders>
            <w:shd w:val="clear" w:color="auto" w:fill="E0E7ED"/>
          </w:tcPr>
          <w:p>
            <w:pPr>
              <w:spacing w:after="0"/>
              <w:rPr>
                <w:sz w:val="21"/>
                <w:szCs w:val="21"/>
                <w:color w:val="auto"/>
              </w:rPr>
            </w:pPr>
          </w:p>
        </w:tc>
        <w:tc>
          <w:tcPr>
            <w:tcW w:w="280" w:type="dxa"/>
            <w:vAlign w:val="bottom"/>
            <w:tcBorders>
              <w:bottom w:val="single" w:sz="8" w:color="auto"/>
            </w:tcBorders>
            <w:shd w:val="clear" w:color="auto" w:fill="E0E7ED"/>
          </w:tcPr>
          <w:p>
            <w:pPr>
              <w:spacing w:after="0"/>
              <w:rPr>
                <w:sz w:val="21"/>
                <w:szCs w:val="21"/>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101,920</w:t>
            </w:r>
          </w:p>
        </w:tc>
        <w:tc>
          <w:tcPr>
            <w:tcW w:w="100" w:type="dxa"/>
            <w:vAlign w:val="bottom"/>
            <w:shd w:val="clear" w:color="auto" w:fill="E0E7ED"/>
          </w:tcPr>
          <w:p>
            <w:pPr>
              <w:spacing w:after="0"/>
              <w:rPr>
                <w:sz w:val="21"/>
                <w:szCs w:val="21"/>
                <w:color w:val="auto"/>
              </w:rPr>
            </w:pPr>
          </w:p>
        </w:tc>
        <w:tc>
          <w:tcPr>
            <w:tcW w:w="220" w:type="dxa"/>
            <w:vAlign w:val="bottom"/>
            <w:tcBorders>
              <w:bottom w:val="single" w:sz="8" w:color="auto"/>
            </w:tcBorders>
            <w:shd w:val="clear" w:color="auto" w:fill="E0E7ED"/>
          </w:tcPr>
          <w:p>
            <w:pPr>
              <w:spacing w:after="0"/>
              <w:rPr>
                <w:sz w:val="21"/>
                <w:szCs w:val="21"/>
                <w:color w:val="auto"/>
              </w:rPr>
            </w:pPr>
          </w:p>
        </w:tc>
        <w:tc>
          <w:tcPr>
            <w:tcW w:w="126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78,123</w:t>
            </w:r>
          </w:p>
        </w:tc>
        <w:tc>
          <w:tcPr>
            <w:tcW w:w="80" w:type="dxa"/>
            <w:vAlign w:val="bottom"/>
            <w:shd w:val="clear" w:color="auto" w:fill="E0E7ED"/>
          </w:tcPr>
          <w:p>
            <w:pPr>
              <w:spacing w:after="0"/>
              <w:rPr>
                <w:sz w:val="21"/>
                <w:szCs w:val="21"/>
                <w:color w:val="auto"/>
              </w:rPr>
            </w:pPr>
          </w:p>
        </w:tc>
        <w:tc>
          <w:tcPr>
            <w:tcW w:w="220" w:type="dxa"/>
            <w:vAlign w:val="bottom"/>
            <w:tcBorders>
              <w:bottom w:val="single" w:sz="8" w:color="auto"/>
            </w:tcBorders>
            <w:shd w:val="clear" w:color="auto" w:fill="E0E7ED"/>
          </w:tcPr>
          <w:p>
            <w:pPr>
              <w:spacing w:after="0"/>
              <w:rPr>
                <w:sz w:val="21"/>
                <w:szCs w:val="21"/>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4,892</w:t>
            </w:r>
          </w:p>
        </w:tc>
        <w:tc>
          <w:tcPr>
            <w:tcW w:w="100" w:type="dxa"/>
            <w:vAlign w:val="bottom"/>
            <w:shd w:val="clear" w:color="auto" w:fill="E0E7ED"/>
          </w:tcPr>
          <w:p>
            <w:pPr>
              <w:spacing w:after="0"/>
              <w:rPr>
                <w:sz w:val="21"/>
                <w:szCs w:val="21"/>
                <w:color w:val="auto"/>
              </w:rPr>
            </w:pPr>
          </w:p>
        </w:tc>
        <w:tc>
          <w:tcPr>
            <w:tcW w:w="300" w:type="dxa"/>
            <w:vAlign w:val="bottom"/>
            <w:tcBorders>
              <w:bottom w:val="single" w:sz="8" w:color="auto"/>
            </w:tcBorders>
            <w:shd w:val="clear" w:color="auto" w:fill="E0E7ED"/>
          </w:tcPr>
          <w:p>
            <w:pPr>
              <w:spacing w:after="0"/>
              <w:rPr>
                <w:sz w:val="21"/>
                <w:szCs w:val="21"/>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5,631,281</w:t>
            </w:r>
          </w:p>
        </w:tc>
        <w:tc>
          <w:tcPr>
            <w:tcW w:w="0" w:type="dxa"/>
            <w:vAlign w:val="bottom"/>
          </w:tcPr>
          <w:p>
            <w:pPr>
              <w:spacing w:after="0"/>
              <w:rPr>
                <w:sz w:val="1"/>
                <w:szCs w:val="1"/>
                <w:color w:val="auto"/>
              </w:rPr>
            </w:pPr>
          </w:p>
        </w:tc>
      </w:tr>
      <w:tr>
        <w:trPr>
          <w:trHeight w:val="243"/>
        </w:trPr>
        <w:tc>
          <w:tcPr>
            <w:tcW w:w="1940" w:type="dxa"/>
            <w:vAlign w:val="bottom"/>
          </w:tcPr>
          <w:p>
            <w:pPr>
              <w:ind w:left="20"/>
              <w:spacing w:after="0"/>
              <w:rPr>
                <w:sz w:val="20"/>
                <w:szCs w:val="20"/>
                <w:color w:val="auto"/>
              </w:rPr>
            </w:pPr>
            <w:r>
              <w:rPr>
                <w:rFonts w:ascii="Verdana" w:cs="Verdana" w:eastAsia="Verdana" w:hAnsi="Verdana"/>
                <w:sz w:val="18"/>
                <w:szCs w:val="18"/>
                <w:b w:val="1"/>
                <w:bCs w:val="1"/>
                <w:color w:val="auto"/>
              </w:rPr>
              <w:t>Retail loans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9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28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1,692,828</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1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9,378</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872</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2,581</w:t>
            </w:r>
          </w:p>
        </w:tc>
        <w:tc>
          <w:tcPr>
            <w:tcW w:w="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3,112</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1,708,771</w:t>
            </w:r>
          </w:p>
        </w:tc>
        <w:tc>
          <w:tcPr>
            <w:tcW w:w="0" w:type="dxa"/>
            <w:vAlign w:val="bottom"/>
          </w:tcPr>
          <w:p>
            <w:pPr>
              <w:spacing w:after="0"/>
              <w:rPr>
                <w:sz w:val="1"/>
                <w:szCs w:val="1"/>
                <w:color w:val="auto"/>
              </w:rPr>
            </w:pPr>
          </w:p>
        </w:tc>
      </w:tr>
      <w:tr>
        <w:trPr>
          <w:trHeight w:val="263"/>
        </w:trPr>
        <w:tc>
          <w:tcPr>
            <w:tcW w:w="1940" w:type="dxa"/>
            <w:vAlign w:val="bottom"/>
          </w:tcPr>
          <w:p>
            <w:pPr>
              <w:ind w:left="180"/>
              <w:spacing w:after="0"/>
              <w:rPr>
                <w:sz w:val="20"/>
                <w:szCs w:val="20"/>
                <w:color w:val="auto"/>
              </w:rPr>
            </w:pPr>
            <w:r>
              <w:rPr>
                <w:rFonts w:ascii="Verdana" w:cs="Verdana" w:eastAsia="Verdana" w:hAnsi="Verdana"/>
                <w:sz w:val="18"/>
                <w:szCs w:val="18"/>
                <w:color w:val="auto"/>
              </w:rPr>
              <w:t>Retail other</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468,857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gridSpan w:val="3"/>
          </w:tcPr>
          <w:p>
            <w:pPr>
              <w:jc w:val="right"/>
              <w:ind w:right="180"/>
              <w:spacing w:after="0"/>
              <w:rPr>
                <w:sz w:val="20"/>
                <w:szCs w:val="20"/>
                <w:color w:val="auto"/>
              </w:rPr>
            </w:pPr>
            <w:r>
              <w:rPr>
                <w:rFonts w:ascii="Verdana" w:cs="Verdana" w:eastAsia="Verdana" w:hAnsi="Verdana"/>
                <w:sz w:val="18"/>
                <w:szCs w:val="18"/>
                <w:color w:val="auto"/>
              </w:rPr>
              <w:t>—</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188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469,045</w:t>
            </w:r>
          </w:p>
        </w:tc>
        <w:tc>
          <w:tcPr>
            <w:tcW w:w="0" w:type="dxa"/>
            <w:vAlign w:val="bottom"/>
          </w:tcPr>
          <w:p>
            <w:pPr>
              <w:spacing w:after="0"/>
              <w:rPr>
                <w:sz w:val="1"/>
                <w:szCs w:val="1"/>
                <w:color w:val="auto"/>
              </w:rPr>
            </w:pPr>
          </w:p>
        </w:tc>
      </w:tr>
      <w:tr>
        <w:trPr>
          <w:trHeight w:val="263"/>
        </w:trPr>
        <w:tc>
          <w:tcPr>
            <w:tcW w:w="19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retail loans</w:t>
            </w:r>
          </w:p>
        </w:tc>
        <w:tc>
          <w:tcPr>
            <w:tcW w:w="280" w:type="dxa"/>
            <w:vAlign w:val="bottom"/>
            <w:tcBorders>
              <w:top w:val="single" w:sz="8" w:color="auto"/>
              <w:bottom w:val="single" w:sz="8" w:color="auto"/>
            </w:tcBorders>
            <w:shd w:val="clear" w:color="auto" w:fill="E0E7ED"/>
          </w:tcPr>
          <w:p>
            <w:pPr>
              <w:spacing w:after="0"/>
              <w:rPr>
                <w:sz w:val="22"/>
                <w:szCs w:val="22"/>
                <w:color w:val="auto"/>
              </w:rPr>
            </w:pPr>
          </w:p>
        </w:tc>
        <w:tc>
          <w:tcPr>
            <w:tcW w:w="11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2,161,685</w:t>
            </w:r>
          </w:p>
        </w:tc>
        <w:tc>
          <w:tcPr>
            <w:tcW w:w="2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0" w:type="dxa"/>
            <w:vAlign w:val="bottom"/>
            <w:tcBorders>
              <w:top w:val="single" w:sz="8" w:color="auto"/>
              <w:bottom w:val="single" w:sz="8" w:color="auto"/>
            </w:tcBorders>
            <w:shd w:val="clear" w:color="auto" w:fill="E0E7ED"/>
          </w:tcPr>
          <w:p>
            <w:pPr>
              <w:spacing w:after="0"/>
              <w:rPr>
                <w:sz w:val="22"/>
                <w:szCs w:val="22"/>
                <w:color w:val="auto"/>
              </w:rPr>
            </w:pPr>
          </w:p>
        </w:tc>
        <w:tc>
          <w:tcPr>
            <w:tcW w:w="320" w:type="dxa"/>
            <w:vAlign w:val="bottom"/>
            <w:tcBorders>
              <w:top w:val="single" w:sz="8" w:color="auto"/>
              <w:bottom w:val="single" w:sz="8" w:color="auto"/>
            </w:tcBorders>
            <w:shd w:val="clear" w:color="auto" w:fill="E0E7ED"/>
          </w:tcPr>
          <w:p>
            <w:pPr>
              <w:spacing w:after="0"/>
              <w:rPr>
                <w:sz w:val="22"/>
                <w:szCs w:val="22"/>
                <w:color w:val="auto"/>
              </w:rPr>
            </w:pPr>
          </w:p>
        </w:tc>
        <w:tc>
          <w:tcPr>
            <w:tcW w:w="11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9,378</w:t>
            </w:r>
          </w:p>
        </w:tc>
        <w:tc>
          <w:tcPr>
            <w:tcW w:w="2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0" w:type="dxa"/>
            <w:vAlign w:val="bottom"/>
            <w:tcBorders>
              <w:top w:val="single" w:sz="8" w:color="auto"/>
              <w:bottom w:val="single" w:sz="8" w:color="auto"/>
            </w:tcBorders>
            <w:shd w:val="clear" w:color="auto" w:fill="E0E7ED"/>
          </w:tcPr>
          <w:p>
            <w:pPr>
              <w:spacing w:after="0"/>
              <w:rPr>
                <w:sz w:val="22"/>
                <w:szCs w:val="22"/>
                <w:color w:val="auto"/>
              </w:rPr>
            </w:pPr>
          </w:p>
        </w:tc>
        <w:tc>
          <w:tcPr>
            <w:tcW w:w="280" w:type="dxa"/>
            <w:vAlign w:val="bottom"/>
            <w:tcBorders>
              <w:top w:val="single" w:sz="8" w:color="auto"/>
              <w:bottom w:val="single" w:sz="8" w:color="auto"/>
            </w:tcBorders>
            <w:shd w:val="clear" w:color="auto" w:fill="E0E7ED"/>
          </w:tcPr>
          <w:p>
            <w:pPr>
              <w:spacing w:after="0"/>
              <w:rPr>
                <w:sz w:val="22"/>
                <w:szCs w:val="22"/>
                <w:color w:val="auto"/>
              </w:rPr>
            </w:pPr>
          </w:p>
        </w:tc>
        <w:tc>
          <w:tcPr>
            <w:tcW w:w="11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872</w:t>
            </w:r>
          </w:p>
        </w:tc>
        <w:tc>
          <w:tcPr>
            <w:tcW w:w="10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bottom w:val="single" w:sz="8" w:color="auto"/>
            </w:tcBorders>
            <w:shd w:val="clear" w:color="auto" w:fill="E0E7ED"/>
          </w:tcPr>
          <w:p>
            <w:pPr>
              <w:spacing w:after="0"/>
              <w:rPr>
                <w:sz w:val="22"/>
                <w:szCs w:val="22"/>
                <w:color w:val="auto"/>
              </w:rPr>
            </w:pPr>
          </w:p>
        </w:tc>
        <w:tc>
          <w:tcPr>
            <w:tcW w:w="1260" w:type="dxa"/>
            <w:vAlign w:val="bottom"/>
            <w:tcBorders>
              <w:top w:val="single" w:sz="8" w:color="auto"/>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2,581</w:t>
            </w:r>
          </w:p>
        </w:tc>
        <w:tc>
          <w:tcPr>
            <w:tcW w:w="8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bottom w:val="single" w:sz="8" w:color="auto"/>
            </w:tcBorders>
            <w:shd w:val="clear" w:color="auto" w:fill="E0E7ED"/>
          </w:tcPr>
          <w:p>
            <w:pPr>
              <w:spacing w:after="0"/>
              <w:rPr>
                <w:sz w:val="22"/>
                <w:szCs w:val="22"/>
                <w:color w:val="auto"/>
              </w:rPr>
            </w:pPr>
          </w:p>
        </w:tc>
        <w:tc>
          <w:tcPr>
            <w:tcW w:w="12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3,300</w:t>
            </w:r>
          </w:p>
        </w:tc>
        <w:tc>
          <w:tcPr>
            <w:tcW w:w="10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bottom w:val="single" w:sz="8" w:color="auto"/>
            </w:tcBorders>
            <w:shd w:val="clear" w:color="auto" w:fill="E0E7ED"/>
          </w:tcPr>
          <w:p>
            <w:pPr>
              <w:spacing w:after="0"/>
              <w:rPr>
                <w:sz w:val="22"/>
                <w:szCs w:val="22"/>
                <w:color w:val="auto"/>
              </w:rPr>
            </w:pPr>
          </w:p>
        </w:tc>
        <w:tc>
          <w:tcPr>
            <w:tcW w:w="11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2,177,816</w:t>
            </w:r>
          </w:p>
        </w:tc>
        <w:tc>
          <w:tcPr>
            <w:tcW w:w="0" w:type="dxa"/>
            <w:vAlign w:val="bottom"/>
          </w:tcPr>
          <w:p>
            <w:pPr>
              <w:spacing w:after="0"/>
              <w:rPr>
                <w:sz w:val="1"/>
                <w:szCs w:val="1"/>
                <w:color w:val="auto"/>
              </w:rPr>
            </w:pPr>
          </w:p>
        </w:tc>
      </w:tr>
      <w:tr>
        <w:trPr>
          <w:trHeight w:val="270"/>
        </w:trPr>
        <w:tc>
          <w:tcPr>
            <w:tcW w:w="1940" w:type="dxa"/>
            <w:vAlign w:val="bottom"/>
          </w:tcPr>
          <w:p>
            <w:pPr>
              <w:ind w:left="20"/>
              <w:spacing w:after="0"/>
              <w:rPr>
                <w:sz w:val="20"/>
                <w:szCs w:val="20"/>
                <w:color w:val="auto"/>
              </w:rPr>
            </w:pPr>
            <w:r>
              <w:rPr>
                <w:rFonts w:ascii="Verdana" w:cs="Verdana" w:eastAsia="Verdana" w:hAnsi="Verdana"/>
                <w:sz w:val="18"/>
                <w:szCs w:val="18"/>
                <w:color w:val="auto"/>
              </w:rPr>
              <w:t>Total portfolio loans</w:t>
            </w:r>
          </w:p>
        </w:tc>
        <w:tc>
          <w:tcPr>
            <w:tcW w:w="280" w:type="dxa"/>
            <w:vAlign w:val="bottom"/>
            <w:tcBorders>
              <w:bottom w:val="single" w:sz="8" w:color="auto"/>
            </w:tcBorders>
          </w:tcPr>
          <w:p>
            <w:pPr>
              <w:jc w:val="right"/>
              <w:ind w:right="50"/>
              <w:spacing w:after="0"/>
              <w:rPr>
                <w:sz w:val="20"/>
                <w:szCs w:val="20"/>
                <w:color w:val="auto"/>
              </w:rPr>
            </w:pPr>
            <w:r>
              <w:rPr>
                <w:rFonts w:ascii="Verdana" w:cs="Verdana" w:eastAsia="Verdana" w:hAnsi="Verdana"/>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6,868,486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Borders>
              <w:bottom w:val="single" w:sz="8" w:color="auto"/>
            </w:tcBorders>
            <w:gridSpan w:val="2"/>
          </w:tcPr>
          <w:p>
            <w:pPr>
              <w:jc w:val="right"/>
              <w:ind w:right="200"/>
              <w:spacing w:after="0"/>
              <w:rPr>
                <w:sz w:val="20"/>
                <w:szCs w:val="20"/>
                <w:color w:val="auto"/>
              </w:rPr>
            </w:pPr>
            <w:r>
              <w:rPr>
                <w:rFonts w:ascii="Verdana" w:cs="Verdana" w:eastAsia="Verdana" w:hAnsi="Verdana"/>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748,923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Borders>
              <w:bottom w:val="single" w:sz="8" w:color="auto"/>
            </w:tcBorders>
            <w:gridSpan w:val="2"/>
          </w:tcPr>
          <w:p>
            <w:pPr>
              <w:jc w:val="right"/>
              <w:ind w:right="180"/>
              <w:spacing w:after="0"/>
              <w:rPr>
                <w:sz w:val="20"/>
                <w:szCs w:val="20"/>
                <w:color w:val="auto"/>
              </w:rPr>
            </w:pPr>
            <w:r>
              <w:rPr>
                <w:rFonts w:ascii="Verdana" w:cs="Verdana" w:eastAsia="Verdana" w:hAnsi="Verdana"/>
                <w:sz w:val="18"/>
                <w:szCs w:val="18"/>
                <w:color w:val="auto"/>
                <w:w w:val="86"/>
              </w:rPr>
              <w:t>$</w:t>
            </w: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102,792</w:t>
            </w:r>
          </w:p>
        </w:tc>
        <w:tc>
          <w:tcPr>
            <w:tcW w:w="10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80,704</w:t>
            </w:r>
          </w:p>
        </w:tc>
        <w:tc>
          <w:tcPr>
            <w:tcW w:w="8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8,192</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Verdana" w:cs="Verdana" w:eastAsia="Verdana" w:hAnsi="Verdana"/>
                <w:sz w:val="18"/>
                <w:szCs w:val="18"/>
                <w:color w:val="auto"/>
                <w:w w:val="86"/>
              </w:rPr>
              <w:t>$</w:t>
            </w: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7,809,097</w:t>
            </w: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0"/>
        </w:trPr>
        <w:tc>
          <w:tcPr>
            <w:tcW w:w="19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jc w:val="center"/>
              <w:ind w:right="360"/>
              <w:spacing w:after="0"/>
              <w:rPr>
                <w:sz w:val="20"/>
                <w:szCs w:val="20"/>
                <w:color w:val="auto"/>
              </w:rPr>
            </w:pPr>
            <w:r>
              <w:rPr>
                <w:rFonts w:ascii="Verdana" w:cs="Verdana" w:eastAsia="Verdana" w:hAnsi="Verdana"/>
                <w:sz w:val="13"/>
                <w:szCs w:val="13"/>
                <w:b w:val="1"/>
                <w:bCs w:val="1"/>
                <w:color w:val="auto"/>
                <w:w w:val="96"/>
              </w:rPr>
              <w:t>As of December 31, 2023</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gridSpan w:val="3"/>
            <w:vMerge w:val="restart"/>
          </w:tcPr>
          <w:p>
            <w:pPr>
              <w:ind w:left="300"/>
              <w:spacing w:after="0"/>
              <w:rPr>
                <w:sz w:val="20"/>
                <w:szCs w:val="20"/>
                <w:color w:val="auto"/>
              </w:rPr>
            </w:pPr>
            <w:r>
              <w:rPr>
                <w:rFonts w:ascii="Verdana" w:cs="Verdana" w:eastAsia="Verdana" w:hAnsi="Verdana"/>
                <w:sz w:val="13"/>
                <w:szCs w:val="13"/>
                <w:b w:val="1"/>
                <w:bCs w:val="1"/>
                <w:color w:val="auto"/>
              </w:rPr>
              <w:t>Pass</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gridSpan w:val="3"/>
            <w:vMerge w:val="restart"/>
          </w:tcPr>
          <w:p>
            <w:pPr>
              <w:ind w:left="180"/>
              <w:spacing w:after="0"/>
              <w:rPr>
                <w:sz w:val="20"/>
                <w:szCs w:val="20"/>
                <w:color w:val="auto"/>
              </w:rPr>
            </w:pPr>
            <w:r>
              <w:rPr>
                <w:rFonts w:ascii="Verdana" w:cs="Verdana" w:eastAsia="Verdana" w:hAnsi="Verdana"/>
                <w:sz w:val="13"/>
                <w:szCs w:val="13"/>
                <w:b w:val="1"/>
                <w:bCs w:val="1"/>
                <w:color w:val="auto"/>
              </w:rPr>
              <w:t>Watch</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gridSpan w:val="2"/>
          </w:tcPr>
          <w:p>
            <w:pPr>
              <w:jc w:val="center"/>
              <w:ind w:right="380"/>
              <w:spacing w:after="0" w:line="122" w:lineRule="exact"/>
              <w:rPr>
                <w:sz w:val="20"/>
                <w:szCs w:val="20"/>
                <w:color w:val="auto"/>
              </w:rPr>
            </w:pPr>
            <w:r>
              <w:rPr>
                <w:rFonts w:ascii="Verdana" w:cs="Verdana" w:eastAsia="Verdana" w:hAnsi="Verdana"/>
                <w:sz w:val="13"/>
                <w:szCs w:val="13"/>
                <w:b w:val="1"/>
                <w:bCs w:val="1"/>
                <w:color w:val="auto"/>
                <w:w w:val="99"/>
              </w:rPr>
              <w:t>Special</w:t>
            </w:r>
          </w:p>
        </w:tc>
        <w:tc>
          <w:tcPr>
            <w:tcW w:w="220" w:type="dxa"/>
            <w:vAlign w:val="bottom"/>
          </w:tcPr>
          <w:p>
            <w:pPr>
              <w:spacing w:after="0"/>
              <w:rPr>
                <w:sz w:val="10"/>
                <w:szCs w:val="10"/>
                <w:color w:val="auto"/>
              </w:rPr>
            </w:pPr>
          </w:p>
        </w:tc>
        <w:tc>
          <w:tcPr>
            <w:tcW w:w="1340" w:type="dxa"/>
            <w:vAlign w:val="bottom"/>
            <w:gridSpan w:val="2"/>
            <w:vMerge w:val="restart"/>
          </w:tcPr>
          <w:p>
            <w:pPr>
              <w:ind w:left="80"/>
              <w:spacing w:after="0"/>
              <w:rPr>
                <w:sz w:val="20"/>
                <w:szCs w:val="20"/>
                <w:color w:val="auto"/>
              </w:rPr>
            </w:pPr>
            <w:r>
              <w:rPr>
                <w:rFonts w:ascii="Verdana" w:cs="Verdana" w:eastAsia="Verdana" w:hAnsi="Verdana"/>
                <w:sz w:val="13"/>
                <w:szCs w:val="13"/>
                <w:b w:val="1"/>
                <w:bCs w:val="1"/>
                <w:color w:val="auto"/>
              </w:rPr>
              <w:t>Substandard</w:t>
            </w:r>
          </w:p>
        </w:tc>
        <w:tc>
          <w:tcPr>
            <w:tcW w:w="220" w:type="dxa"/>
            <w:vAlign w:val="bottom"/>
          </w:tcPr>
          <w:p>
            <w:pPr>
              <w:spacing w:after="0"/>
              <w:rPr>
                <w:sz w:val="10"/>
                <w:szCs w:val="10"/>
                <w:color w:val="auto"/>
              </w:rPr>
            </w:pPr>
          </w:p>
        </w:tc>
        <w:tc>
          <w:tcPr>
            <w:tcW w:w="1360" w:type="dxa"/>
            <w:vAlign w:val="bottom"/>
            <w:gridSpan w:val="2"/>
          </w:tcPr>
          <w:p>
            <w:pPr>
              <w:ind w:left="80"/>
              <w:spacing w:after="0" w:line="122" w:lineRule="exact"/>
              <w:rPr>
                <w:sz w:val="20"/>
                <w:szCs w:val="20"/>
                <w:color w:val="auto"/>
              </w:rPr>
            </w:pPr>
            <w:r>
              <w:rPr>
                <w:rFonts w:ascii="Verdana" w:cs="Verdana" w:eastAsia="Verdana" w:hAnsi="Verdana"/>
                <w:sz w:val="13"/>
                <w:szCs w:val="13"/>
                <w:b w:val="1"/>
                <w:bCs w:val="1"/>
                <w:color w:val="auto"/>
              </w:rPr>
              <w:t>Substandard</w:t>
            </w:r>
          </w:p>
        </w:tc>
        <w:tc>
          <w:tcPr>
            <w:tcW w:w="300" w:type="dxa"/>
            <w:vAlign w:val="bottom"/>
          </w:tcPr>
          <w:p>
            <w:pPr>
              <w:spacing w:after="0"/>
              <w:rPr>
                <w:sz w:val="10"/>
                <w:szCs w:val="10"/>
                <w:color w:val="auto"/>
              </w:rPr>
            </w:pPr>
          </w:p>
        </w:tc>
        <w:tc>
          <w:tcPr>
            <w:tcW w:w="1180" w:type="dxa"/>
            <w:vAlign w:val="bottom"/>
            <w:vMerge w:val="restart"/>
          </w:tcPr>
          <w:p>
            <w:pPr>
              <w:jc w:val="right"/>
              <w:ind w:right="473"/>
              <w:spacing w:after="0"/>
              <w:rPr>
                <w:sz w:val="20"/>
                <w:szCs w:val="20"/>
                <w:color w:val="auto"/>
              </w:rPr>
            </w:pPr>
            <w:r>
              <w:rPr>
                <w:rFonts w:ascii="Verdana" w:cs="Verdana" w:eastAsia="Verdana" w:hAnsi="Verdana"/>
                <w:sz w:val="13"/>
                <w:szCs w:val="13"/>
                <w:b w:val="1"/>
                <w:bCs w:val="1"/>
                <w:color w:val="auto"/>
              </w:rPr>
              <w:t>Total</w:t>
            </w:r>
          </w:p>
        </w:tc>
        <w:tc>
          <w:tcPr>
            <w:tcW w:w="0" w:type="dxa"/>
            <w:vAlign w:val="bottom"/>
          </w:tcPr>
          <w:p>
            <w:pPr>
              <w:spacing w:after="0"/>
              <w:rPr>
                <w:sz w:val="1"/>
                <w:szCs w:val="1"/>
                <w:color w:val="auto"/>
              </w:rPr>
            </w:pPr>
          </w:p>
        </w:tc>
      </w:tr>
      <w:tr>
        <w:trPr>
          <w:trHeight w:val="170"/>
        </w:trPr>
        <w:tc>
          <w:tcPr>
            <w:tcW w:w="1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Verdana" w:cs="Verdana" w:eastAsia="Verdana" w:hAnsi="Verdana"/>
                <w:sz w:val="13"/>
                <w:szCs w:val="13"/>
                <w:b w:val="1"/>
                <w:bCs w:val="1"/>
                <w:color w:val="auto"/>
                <w:w w:val="95"/>
              </w:rPr>
              <w:t>Mention</w:t>
            </w:r>
          </w:p>
        </w:tc>
        <w:tc>
          <w:tcPr>
            <w:tcW w:w="2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Verdana" w:cs="Verdana" w:eastAsia="Verdana" w:hAnsi="Verdana"/>
                <w:sz w:val="13"/>
                <w:szCs w:val="13"/>
                <w:b w:val="1"/>
                <w:bCs w:val="1"/>
                <w:color w:val="auto"/>
              </w:rPr>
              <w:t>Non-accrual</w:t>
            </w:r>
          </w:p>
        </w:tc>
        <w:tc>
          <w:tcPr>
            <w:tcW w:w="3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19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 loans</w:t>
            </w:r>
          </w:p>
        </w:tc>
        <w:tc>
          <w:tcPr>
            <w:tcW w:w="280" w:type="dxa"/>
            <w:vAlign w:val="bottom"/>
            <w:tcBorders>
              <w:top w:val="single" w:sz="8" w:color="auto"/>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0" w:type="dxa"/>
            <w:vAlign w:val="bottom"/>
            <w:tcBorders>
              <w:top w:val="single" w:sz="8" w:color="E0E7ED"/>
            </w:tcBorders>
            <w:shd w:val="clear" w:color="auto" w:fill="E0E7ED"/>
          </w:tcPr>
          <w:p>
            <w:pPr>
              <w:spacing w:after="0"/>
              <w:rPr>
                <w:sz w:val="22"/>
                <w:szCs w:val="22"/>
                <w:color w:val="auto"/>
              </w:rPr>
            </w:pPr>
          </w:p>
        </w:tc>
        <w:tc>
          <w:tcPr>
            <w:tcW w:w="320" w:type="dxa"/>
            <w:vAlign w:val="bottom"/>
            <w:tcBorders>
              <w:top w:val="single" w:sz="8" w:color="auto"/>
            </w:tcBorders>
            <w:shd w:val="clear" w:color="auto" w:fill="E0E7ED"/>
          </w:tcPr>
          <w:p>
            <w:pPr>
              <w:spacing w:after="0"/>
              <w:rPr>
                <w:sz w:val="22"/>
                <w:szCs w:val="22"/>
                <w:color w:val="auto"/>
              </w:rPr>
            </w:pPr>
          </w:p>
        </w:tc>
        <w:tc>
          <w:tcPr>
            <w:tcW w:w="1120" w:type="dxa"/>
            <w:vAlign w:val="bottom"/>
            <w:tcBorders>
              <w:top w:val="single" w:sz="8" w:color="auto"/>
            </w:tcBorders>
            <w:shd w:val="clear" w:color="auto" w:fill="E0E7ED"/>
          </w:tcPr>
          <w:p>
            <w:pPr>
              <w:spacing w:after="0"/>
              <w:rPr>
                <w:sz w:val="22"/>
                <w:szCs w:val="22"/>
                <w:color w:val="auto"/>
              </w:rPr>
            </w:pPr>
          </w:p>
        </w:tc>
        <w:tc>
          <w:tcPr>
            <w:tcW w:w="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0" w:type="dxa"/>
            <w:vAlign w:val="bottom"/>
            <w:tcBorders>
              <w:top w:val="single" w:sz="8" w:color="E0E7ED"/>
            </w:tcBorders>
            <w:shd w:val="clear" w:color="auto" w:fill="E0E7ED"/>
          </w:tcPr>
          <w:p>
            <w:pPr>
              <w:spacing w:after="0"/>
              <w:rPr>
                <w:sz w:val="22"/>
                <w:szCs w:val="22"/>
                <w:color w:val="auto"/>
              </w:rPr>
            </w:pPr>
          </w:p>
        </w:tc>
        <w:tc>
          <w:tcPr>
            <w:tcW w:w="280" w:type="dxa"/>
            <w:vAlign w:val="bottom"/>
            <w:tcBorders>
              <w:top w:val="single" w:sz="8" w:color="auto"/>
            </w:tcBorders>
            <w:shd w:val="clear" w:color="auto" w:fill="E0E7ED"/>
          </w:tcPr>
          <w:p>
            <w:pPr>
              <w:spacing w:after="0"/>
              <w:rPr>
                <w:sz w:val="22"/>
                <w:szCs w:val="22"/>
                <w:color w:val="auto"/>
              </w:rPr>
            </w:pPr>
          </w:p>
        </w:tc>
        <w:tc>
          <w:tcPr>
            <w:tcW w:w="11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1940" w:type="dxa"/>
            <w:vAlign w:val="bottom"/>
          </w:tcPr>
          <w:p>
            <w:pPr>
              <w:ind w:left="180"/>
              <w:spacing w:after="0"/>
              <w:rPr>
                <w:sz w:val="20"/>
                <w:szCs w:val="20"/>
                <w:color w:val="auto"/>
              </w:rPr>
            </w:pPr>
            <w:r>
              <w:rPr>
                <w:rFonts w:ascii="Verdana" w:cs="Verdana" w:eastAsia="Verdana" w:hAnsi="Verdana"/>
                <w:sz w:val="18"/>
                <w:szCs w:val="18"/>
                <w:color w:val="auto"/>
              </w:rPr>
              <w:t>C&amp;I and other</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940" w:type="dxa"/>
            <w:vAlign w:val="bottom"/>
          </w:tcPr>
          <w:p>
            <w:pPr>
              <w:ind w:left="180"/>
              <w:spacing w:after="0"/>
              <w:rPr>
                <w:sz w:val="20"/>
                <w:szCs w:val="20"/>
                <w:color w:val="auto"/>
              </w:rPr>
            </w:pPr>
            <w:r>
              <w:rPr>
                <w:rFonts w:ascii="Verdana" w:cs="Verdana" w:eastAsia="Verdana" w:hAnsi="Verdana"/>
                <w:sz w:val="18"/>
                <w:szCs w:val="18"/>
                <w:color w:val="auto"/>
              </w:rPr>
              <w:t>commercial</w:t>
            </w:r>
          </w:p>
        </w:tc>
        <w:tc>
          <w:tcPr>
            <w:tcW w:w="280" w:type="dxa"/>
            <w:vAlign w:val="bottom"/>
          </w:tcPr>
          <w:p>
            <w:pPr>
              <w:jc w:val="right"/>
              <w:ind w:right="5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1,462,755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1120" w:type="dxa"/>
            <w:vAlign w:val="bottom"/>
          </w:tcPr>
          <w:p>
            <w:pPr>
              <w:jc w:val="right"/>
              <w:spacing w:after="0"/>
              <w:rPr>
                <w:sz w:val="20"/>
                <w:szCs w:val="20"/>
                <w:color w:val="auto"/>
              </w:rPr>
            </w:pPr>
            <w:r>
              <w:rPr>
                <w:rFonts w:ascii="Verdana" w:cs="Verdana" w:eastAsia="Verdana" w:hAnsi="Verdana"/>
                <w:sz w:val="18"/>
                <w:szCs w:val="18"/>
                <w:color w:val="auto"/>
              </w:rPr>
              <w:t>296,416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gridSpan w:val="2"/>
          </w:tcPr>
          <w:p>
            <w:pPr>
              <w:jc w:val="right"/>
              <w:ind w:right="160"/>
              <w:spacing w:after="0"/>
              <w:rPr>
                <w:sz w:val="20"/>
                <w:szCs w:val="20"/>
                <w:color w:val="auto"/>
              </w:rPr>
            </w:pPr>
            <w:r>
              <w:rPr>
                <w:rFonts w:ascii="Verdana" w:cs="Verdana" w:eastAsia="Verdana" w:hAnsi="Verdana"/>
                <w:sz w:val="18"/>
                <w:szCs w:val="18"/>
                <w:color w:val="auto"/>
              </w:rPr>
              <w:t>$</w:t>
            </w:r>
          </w:p>
        </w:tc>
        <w:tc>
          <w:tcPr>
            <w:tcW w:w="1160" w:type="dxa"/>
            <w:vAlign w:val="bottom"/>
          </w:tcPr>
          <w:p>
            <w:pPr>
              <w:jc w:val="right"/>
              <w:spacing w:after="0"/>
              <w:rPr>
                <w:sz w:val="20"/>
                <w:szCs w:val="20"/>
                <w:color w:val="auto"/>
              </w:rPr>
            </w:pPr>
            <w:r>
              <w:rPr>
                <w:rFonts w:ascii="Verdana" w:cs="Verdana" w:eastAsia="Verdana" w:hAnsi="Verdana"/>
                <w:sz w:val="18"/>
                <w:szCs w:val="18"/>
                <w:color w:val="auto"/>
              </w:rPr>
              <w:t>46,488</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ind w:right="13"/>
              <w:spacing w:after="0"/>
              <w:rPr>
                <w:sz w:val="20"/>
                <w:szCs w:val="20"/>
                <w:color w:val="auto"/>
              </w:rPr>
            </w:pPr>
            <w:r>
              <w:rPr>
                <w:rFonts w:ascii="Verdana" w:cs="Verdana" w:eastAsia="Verdana" w:hAnsi="Verdana"/>
                <w:sz w:val="18"/>
                <w:szCs w:val="18"/>
                <w:color w:val="auto"/>
              </w:rPr>
              <w:t>27,733</w:t>
            </w:r>
          </w:p>
        </w:tc>
        <w:tc>
          <w:tcPr>
            <w:tcW w:w="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spacing w:after="0"/>
              <w:rPr>
                <w:sz w:val="20"/>
                <w:szCs w:val="20"/>
                <w:color w:val="auto"/>
              </w:rPr>
            </w:pPr>
            <w:r>
              <w:rPr>
                <w:rFonts w:ascii="Verdana" w:cs="Verdana" w:eastAsia="Verdana" w:hAnsi="Verdana"/>
                <w:sz w:val="18"/>
                <w:szCs w:val="18"/>
                <w:color w:val="auto"/>
              </w:rPr>
              <w:t>2,602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Verdana" w:cs="Verdana" w:eastAsia="Verdana" w:hAnsi="Verdana"/>
                <w:sz w:val="18"/>
                <w:szCs w:val="18"/>
                <w:color w:val="auto"/>
                <w:w w:val="86"/>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1,835,994</w:t>
            </w:r>
          </w:p>
        </w:tc>
        <w:tc>
          <w:tcPr>
            <w:tcW w:w="0" w:type="dxa"/>
            <w:vAlign w:val="bottom"/>
          </w:tcPr>
          <w:p>
            <w:pPr>
              <w:spacing w:after="0"/>
              <w:rPr>
                <w:sz w:val="1"/>
                <w:szCs w:val="1"/>
                <w:color w:val="auto"/>
              </w:rPr>
            </w:pPr>
          </w:p>
        </w:tc>
      </w:tr>
      <w:tr>
        <w:trPr>
          <w:trHeight w:val="244"/>
        </w:trPr>
        <w:tc>
          <w:tcPr>
            <w:tcW w:w="19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w:t>
            </w:r>
          </w:p>
        </w:tc>
        <w:tc>
          <w:tcPr>
            <w:tcW w:w="28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12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1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9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estate</w:t>
            </w:r>
          </w:p>
        </w:tc>
        <w:tc>
          <w:tcPr>
            <w:tcW w:w="280" w:type="dxa"/>
            <w:vAlign w:val="bottom"/>
            <w:shd w:val="clear" w:color="auto" w:fill="E0E7ED"/>
          </w:tcPr>
          <w:p>
            <w:pPr>
              <w:spacing w:after="0"/>
              <w:rPr>
                <w:sz w:val="21"/>
                <w:szCs w:val="21"/>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2,827,030</w:t>
            </w: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1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431,427</w:t>
            </w: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48,545</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6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29,492</w:t>
            </w: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843</w:t>
            </w: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3,337,337</w:t>
            </w:r>
          </w:p>
        </w:tc>
        <w:tc>
          <w:tcPr>
            <w:tcW w:w="0" w:type="dxa"/>
            <w:vAlign w:val="bottom"/>
          </w:tcPr>
          <w:p>
            <w:pPr>
              <w:spacing w:after="0"/>
              <w:rPr>
                <w:sz w:val="1"/>
                <w:szCs w:val="1"/>
                <w:color w:val="auto"/>
              </w:rPr>
            </w:pPr>
          </w:p>
        </w:tc>
      </w:tr>
      <w:tr>
        <w:trPr>
          <w:trHeight w:val="238"/>
        </w:trPr>
        <w:tc>
          <w:tcPr>
            <w:tcW w:w="1940" w:type="dxa"/>
            <w:vAlign w:val="bottom"/>
          </w:tcPr>
          <w:p>
            <w:pPr>
              <w:ind w:left="180"/>
              <w:spacing w:after="0"/>
              <w:rPr>
                <w:sz w:val="20"/>
                <w:szCs w:val="20"/>
                <w:color w:val="auto"/>
              </w:rPr>
            </w:pPr>
            <w:r>
              <w:rPr>
                <w:rFonts w:ascii="Verdana" w:cs="Verdana" w:eastAsia="Verdana" w:hAnsi="Verdana"/>
                <w:sz w:val="18"/>
                <w:szCs w:val="18"/>
                <w:color w:val="auto"/>
              </w:rPr>
              <w:t>Real estate</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940" w:type="dxa"/>
            <w:vAlign w:val="bottom"/>
          </w:tcPr>
          <w:p>
            <w:pPr>
              <w:ind w:left="180"/>
              <w:spacing w:after="0"/>
              <w:rPr>
                <w:sz w:val="20"/>
                <w:szCs w:val="20"/>
                <w:color w:val="auto"/>
              </w:rPr>
            </w:pPr>
            <w:r>
              <w:rPr>
                <w:rFonts w:ascii="Verdana" w:cs="Verdana" w:eastAsia="Verdana" w:hAnsi="Verdana"/>
                <w:sz w:val="18"/>
                <w:szCs w:val="18"/>
                <w:color w:val="auto"/>
              </w:rPr>
              <w:t>construction</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448,011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Verdana" w:cs="Verdana" w:eastAsia="Verdana" w:hAnsi="Verdana"/>
                <w:sz w:val="18"/>
                <w:szCs w:val="18"/>
                <w:color w:val="auto"/>
              </w:rPr>
              <w:t>8,135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Verdana" w:cs="Verdana" w:eastAsia="Verdana" w:hAnsi="Verdana"/>
                <w:sz w:val="18"/>
                <w:szCs w:val="18"/>
                <w:color w:val="auto"/>
              </w:rPr>
              <w:t>5,327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244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461,717</w:t>
            </w:r>
          </w:p>
        </w:tc>
        <w:tc>
          <w:tcPr>
            <w:tcW w:w="0" w:type="dxa"/>
            <w:vAlign w:val="bottom"/>
          </w:tcPr>
          <w:p>
            <w:pPr>
              <w:spacing w:after="0"/>
              <w:rPr>
                <w:sz w:val="1"/>
                <w:szCs w:val="1"/>
                <w:color w:val="auto"/>
              </w:rPr>
            </w:pPr>
          </w:p>
        </w:tc>
      </w:tr>
      <w:tr>
        <w:trPr>
          <w:trHeight w:val="224"/>
        </w:trPr>
        <w:tc>
          <w:tcPr>
            <w:tcW w:w="19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commercial</w:t>
            </w:r>
          </w:p>
        </w:tc>
        <w:tc>
          <w:tcPr>
            <w:tcW w:w="280" w:type="dxa"/>
            <w:vAlign w:val="bottom"/>
            <w:tcBorders>
              <w:top w:val="single" w:sz="8" w:color="auto"/>
            </w:tcBorders>
            <w:shd w:val="clear" w:color="auto" w:fill="E0E7ED"/>
          </w:tcPr>
          <w:p>
            <w:pPr>
              <w:spacing w:after="0"/>
              <w:rPr>
                <w:sz w:val="19"/>
                <w:szCs w:val="19"/>
                <w:color w:val="auto"/>
              </w:rPr>
            </w:pPr>
          </w:p>
        </w:tc>
        <w:tc>
          <w:tcPr>
            <w:tcW w:w="1180" w:type="dxa"/>
            <w:vAlign w:val="bottom"/>
            <w:tcBorders>
              <w:top w:val="single" w:sz="8" w:color="auto"/>
            </w:tcBorders>
            <w:shd w:val="clear" w:color="auto" w:fill="E0E7ED"/>
          </w:tcPr>
          <w:p>
            <w:pPr>
              <w:spacing w:after="0"/>
              <w:rPr>
                <w:sz w:val="19"/>
                <w:szCs w:val="19"/>
                <w:color w:val="auto"/>
              </w:rPr>
            </w:pPr>
          </w:p>
        </w:tc>
        <w:tc>
          <w:tcPr>
            <w:tcW w:w="2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0" w:type="dxa"/>
            <w:vAlign w:val="bottom"/>
            <w:tcBorders>
              <w:top w:val="single" w:sz="8" w:color="E0E7ED"/>
            </w:tcBorders>
            <w:shd w:val="clear" w:color="auto" w:fill="E0E7ED"/>
          </w:tcPr>
          <w:p>
            <w:pPr>
              <w:spacing w:after="0"/>
              <w:rPr>
                <w:sz w:val="19"/>
                <w:szCs w:val="19"/>
                <w:color w:val="auto"/>
              </w:rPr>
            </w:pPr>
          </w:p>
        </w:tc>
        <w:tc>
          <w:tcPr>
            <w:tcW w:w="320" w:type="dxa"/>
            <w:vAlign w:val="bottom"/>
            <w:tcBorders>
              <w:top w:val="single" w:sz="8" w:color="auto"/>
            </w:tcBorders>
            <w:shd w:val="clear" w:color="auto" w:fill="E0E7ED"/>
          </w:tcPr>
          <w:p>
            <w:pPr>
              <w:spacing w:after="0"/>
              <w:rPr>
                <w:sz w:val="19"/>
                <w:szCs w:val="19"/>
                <w:color w:val="auto"/>
              </w:rPr>
            </w:pPr>
          </w:p>
        </w:tc>
        <w:tc>
          <w:tcPr>
            <w:tcW w:w="1120" w:type="dxa"/>
            <w:vAlign w:val="bottom"/>
            <w:tcBorders>
              <w:top w:val="single" w:sz="8" w:color="auto"/>
            </w:tcBorders>
            <w:shd w:val="clear" w:color="auto" w:fill="E0E7ED"/>
          </w:tcPr>
          <w:p>
            <w:pPr>
              <w:spacing w:after="0"/>
              <w:rPr>
                <w:sz w:val="19"/>
                <w:szCs w:val="19"/>
                <w:color w:val="auto"/>
              </w:rPr>
            </w:pPr>
          </w:p>
        </w:tc>
        <w:tc>
          <w:tcPr>
            <w:tcW w:w="2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0" w:type="dxa"/>
            <w:vAlign w:val="bottom"/>
            <w:tcBorders>
              <w:top w:val="single" w:sz="8" w:color="E0E7ED"/>
            </w:tcBorders>
            <w:shd w:val="clear" w:color="auto" w:fill="E0E7ED"/>
          </w:tcPr>
          <w:p>
            <w:pPr>
              <w:spacing w:after="0"/>
              <w:rPr>
                <w:sz w:val="19"/>
                <w:szCs w:val="19"/>
                <w:color w:val="auto"/>
              </w:rPr>
            </w:pPr>
          </w:p>
        </w:tc>
        <w:tc>
          <w:tcPr>
            <w:tcW w:w="280" w:type="dxa"/>
            <w:vAlign w:val="bottom"/>
            <w:tcBorders>
              <w:top w:val="single" w:sz="8" w:color="auto"/>
            </w:tcBorders>
            <w:shd w:val="clear" w:color="auto" w:fill="E0E7ED"/>
          </w:tcPr>
          <w:p>
            <w:pPr>
              <w:spacing w:after="0"/>
              <w:rPr>
                <w:sz w:val="19"/>
                <w:szCs w:val="19"/>
                <w:color w:val="auto"/>
              </w:rPr>
            </w:pPr>
          </w:p>
        </w:tc>
        <w:tc>
          <w:tcPr>
            <w:tcW w:w="116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26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26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300" w:type="dxa"/>
            <w:vAlign w:val="bottom"/>
            <w:tcBorders>
              <w:top w:val="single" w:sz="8" w:color="auto"/>
            </w:tcBorders>
            <w:shd w:val="clear" w:color="auto" w:fill="E0E7ED"/>
          </w:tcPr>
          <w:p>
            <w:pPr>
              <w:spacing w:after="0"/>
              <w:rPr>
                <w:sz w:val="19"/>
                <w:szCs w:val="19"/>
                <w:color w:val="auto"/>
              </w:rPr>
            </w:pPr>
          </w:p>
        </w:tc>
        <w:tc>
          <w:tcPr>
            <w:tcW w:w="118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9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loans</w:t>
            </w:r>
          </w:p>
        </w:tc>
        <w:tc>
          <w:tcPr>
            <w:tcW w:w="280" w:type="dxa"/>
            <w:vAlign w:val="bottom"/>
            <w:tcBorders>
              <w:bottom w:val="single" w:sz="8" w:color="auto"/>
            </w:tcBorders>
            <w:shd w:val="clear" w:color="auto" w:fill="E0E7ED"/>
          </w:tcPr>
          <w:p>
            <w:pPr>
              <w:spacing w:after="0"/>
              <w:rPr>
                <w:sz w:val="21"/>
                <w:szCs w:val="21"/>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4,737,796</w:t>
            </w:r>
          </w:p>
        </w:tc>
        <w:tc>
          <w:tcPr>
            <w:tcW w:w="20" w:type="dxa"/>
            <w:vAlign w:val="bottom"/>
            <w:tcBorders>
              <w:bottom w:val="single" w:sz="8" w:color="auto"/>
            </w:tcBorders>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320" w:type="dxa"/>
            <w:vAlign w:val="bottom"/>
            <w:tcBorders>
              <w:bottom w:val="single" w:sz="8" w:color="auto"/>
            </w:tcBorders>
            <w:shd w:val="clear" w:color="auto" w:fill="E0E7ED"/>
          </w:tcPr>
          <w:p>
            <w:pPr>
              <w:spacing w:after="0"/>
              <w:rPr>
                <w:sz w:val="21"/>
                <w:szCs w:val="21"/>
                <w:color w:val="auto"/>
              </w:rPr>
            </w:pPr>
          </w:p>
        </w:tc>
        <w:tc>
          <w:tcPr>
            <w:tcW w:w="11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735,978</w:t>
            </w:r>
          </w:p>
        </w:tc>
        <w:tc>
          <w:tcPr>
            <w:tcW w:w="20" w:type="dxa"/>
            <w:vAlign w:val="bottom"/>
            <w:tcBorders>
              <w:bottom w:val="single" w:sz="8" w:color="auto"/>
            </w:tcBorders>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280" w:type="dxa"/>
            <w:vAlign w:val="bottom"/>
            <w:tcBorders>
              <w:bottom w:val="single" w:sz="8" w:color="auto"/>
            </w:tcBorders>
            <w:shd w:val="clear" w:color="auto" w:fill="E0E7ED"/>
          </w:tcPr>
          <w:p>
            <w:pPr>
              <w:spacing w:after="0"/>
              <w:rPr>
                <w:sz w:val="21"/>
                <w:szCs w:val="21"/>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95,033</w:t>
            </w:r>
          </w:p>
        </w:tc>
        <w:tc>
          <w:tcPr>
            <w:tcW w:w="100" w:type="dxa"/>
            <w:vAlign w:val="bottom"/>
            <w:shd w:val="clear" w:color="auto" w:fill="E0E7ED"/>
          </w:tcPr>
          <w:p>
            <w:pPr>
              <w:spacing w:after="0"/>
              <w:rPr>
                <w:sz w:val="21"/>
                <w:szCs w:val="21"/>
                <w:color w:val="auto"/>
              </w:rPr>
            </w:pPr>
          </w:p>
        </w:tc>
        <w:tc>
          <w:tcPr>
            <w:tcW w:w="220" w:type="dxa"/>
            <w:vAlign w:val="bottom"/>
            <w:tcBorders>
              <w:bottom w:val="single" w:sz="8" w:color="auto"/>
            </w:tcBorders>
            <w:shd w:val="clear" w:color="auto" w:fill="E0E7ED"/>
          </w:tcPr>
          <w:p>
            <w:pPr>
              <w:spacing w:after="0"/>
              <w:rPr>
                <w:sz w:val="21"/>
                <w:szCs w:val="21"/>
                <w:color w:val="auto"/>
              </w:rPr>
            </w:pPr>
          </w:p>
        </w:tc>
        <w:tc>
          <w:tcPr>
            <w:tcW w:w="126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62,552</w:t>
            </w:r>
          </w:p>
        </w:tc>
        <w:tc>
          <w:tcPr>
            <w:tcW w:w="80" w:type="dxa"/>
            <w:vAlign w:val="bottom"/>
            <w:shd w:val="clear" w:color="auto" w:fill="E0E7ED"/>
          </w:tcPr>
          <w:p>
            <w:pPr>
              <w:spacing w:after="0"/>
              <w:rPr>
                <w:sz w:val="21"/>
                <w:szCs w:val="21"/>
                <w:color w:val="auto"/>
              </w:rPr>
            </w:pPr>
          </w:p>
        </w:tc>
        <w:tc>
          <w:tcPr>
            <w:tcW w:w="220" w:type="dxa"/>
            <w:vAlign w:val="bottom"/>
            <w:tcBorders>
              <w:bottom w:val="single" w:sz="8" w:color="auto"/>
            </w:tcBorders>
            <w:shd w:val="clear" w:color="auto" w:fill="E0E7ED"/>
          </w:tcPr>
          <w:p>
            <w:pPr>
              <w:spacing w:after="0"/>
              <w:rPr>
                <w:sz w:val="21"/>
                <w:szCs w:val="21"/>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3,689</w:t>
            </w:r>
          </w:p>
        </w:tc>
        <w:tc>
          <w:tcPr>
            <w:tcW w:w="100" w:type="dxa"/>
            <w:vAlign w:val="bottom"/>
            <w:shd w:val="clear" w:color="auto" w:fill="E0E7ED"/>
          </w:tcPr>
          <w:p>
            <w:pPr>
              <w:spacing w:after="0"/>
              <w:rPr>
                <w:sz w:val="21"/>
                <w:szCs w:val="21"/>
                <w:color w:val="auto"/>
              </w:rPr>
            </w:pPr>
          </w:p>
        </w:tc>
        <w:tc>
          <w:tcPr>
            <w:tcW w:w="300" w:type="dxa"/>
            <w:vAlign w:val="bottom"/>
            <w:tcBorders>
              <w:bottom w:val="single" w:sz="8" w:color="auto"/>
            </w:tcBorders>
            <w:shd w:val="clear" w:color="auto" w:fill="E0E7ED"/>
          </w:tcPr>
          <w:p>
            <w:pPr>
              <w:spacing w:after="0"/>
              <w:rPr>
                <w:sz w:val="21"/>
                <w:szCs w:val="21"/>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5,635,048</w:t>
            </w:r>
          </w:p>
        </w:tc>
        <w:tc>
          <w:tcPr>
            <w:tcW w:w="0" w:type="dxa"/>
            <w:vAlign w:val="bottom"/>
          </w:tcPr>
          <w:p>
            <w:pPr>
              <w:spacing w:after="0"/>
              <w:rPr>
                <w:sz w:val="1"/>
                <w:szCs w:val="1"/>
                <w:color w:val="auto"/>
              </w:rPr>
            </w:pPr>
          </w:p>
        </w:tc>
      </w:tr>
      <w:tr>
        <w:trPr>
          <w:trHeight w:val="243"/>
        </w:trPr>
        <w:tc>
          <w:tcPr>
            <w:tcW w:w="1940" w:type="dxa"/>
            <w:vAlign w:val="bottom"/>
          </w:tcPr>
          <w:p>
            <w:pPr>
              <w:ind w:left="20"/>
              <w:spacing w:after="0"/>
              <w:rPr>
                <w:sz w:val="20"/>
                <w:szCs w:val="20"/>
                <w:color w:val="auto"/>
              </w:rPr>
            </w:pPr>
            <w:r>
              <w:rPr>
                <w:rFonts w:ascii="Verdana" w:cs="Verdana" w:eastAsia="Verdana" w:hAnsi="Verdana"/>
                <w:sz w:val="18"/>
                <w:szCs w:val="18"/>
                <w:b w:val="1"/>
                <w:bCs w:val="1"/>
                <w:color w:val="auto"/>
              </w:rPr>
              <w:t>Retail loans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9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28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1,702,897</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1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11,144</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1,024</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1,795</w:t>
            </w:r>
          </w:p>
        </w:tc>
        <w:tc>
          <w:tcPr>
            <w:tcW w:w="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3,595</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1,720,455</w:t>
            </w:r>
          </w:p>
        </w:tc>
        <w:tc>
          <w:tcPr>
            <w:tcW w:w="0" w:type="dxa"/>
            <w:vAlign w:val="bottom"/>
          </w:tcPr>
          <w:p>
            <w:pPr>
              <w:spacing w:after="0"/>
              <w:rPr>
                <w:sz w:val="1"/>
                <w:szCs w:val="1"/>
                <w:color w:val="auto"/>
              </w:rPr>
            </w:pPr>
          </w:p>
        </w:tc>
      </w:tr>
      <w:tr>
        <w:trPr>
          <w:trHeight w:val="263"/>
        </w:trPr>
        <w:tc>
          <w:tcPr>
            <w:tcW w:w="1940" w:type="dxa"/>
            <w:vAlign w:val="bottom"/>
          </w:tcPr>
          <w:p>
            <w:pPr>
              <w:ind w:left="180"/>
              <w:spacing w:after="0"/>
              <w:rPr>
                <w:sz w:val="20"/>
                <w:szCs w:val="20"/>
                <w:color w:val="auto"/>
              </w:rPr>
            </w:pPr>
            <w:r>
              <w:rPr>
                <w:rFonts w:ascii="Verdana" w:cs="Verdana" w:eastAsia="Verdana" w:hAnsi="Verdana"/>
                <w:sz w:val="18"/>
                <w:szCs w:val="18"/>
                <w:color w:val="auto"/>
              </w:rPr>
              <w:t>Retail other</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295,374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gridSpan w:val="3"/>
          </w:tcPr>
          <w:p>
            <w:pPr>
              <w:jc w:val="right"/>
              <w:ind w:right="180"/>
              <w:spacing w:after="0"/>
              <w:rPr>
                <w:sz w:val="20"/>
                <w:szCs w:val="20"/>
                <w:color w:val="auto"/>
              </w:rPr>
            </w:pPr>
            <w:r>
              <w:rPr>
                <w:rFonts w:ascii="Verdana" w:cs="Verdana" w:eastAsia="Verdana" w:hAnsi="Verdana"/>
                <w:sz w:val="18"/>
                <w:szCs w:val="18"/>
                <w:color w:val="auto"/>
              </w:rPr>
              <w:t>—</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157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295,531</w:t>
            </w:r>
          </w:p>
        </w:tc>
        <w:tc>
          <w:tcPr>
            <w:tcW w:w="0" w:type="dxa"/>
            <w:vAlign w:val="bottom"/>
          </w:tcPr>
          <w:p>
            <w:pPr>
              <w:spacing w:after="0"/>
              <w:rPr>
                <w:sz w:val="1"/>
                <w:szCs w:val="1"/>
                <w:color w:val="auto"/>
              </w:rPr>
            </w:pPr>
          </w:p>
        </w:tc>
      </w:tr>
      <w:tr>
        <w:trPr>
          <w:trHeight w:val="263"/>
        </w:trPr>
        <w:tc>
          <w:tcPr>
            <w:tcW w:w="19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retail loans</w:t>
            </w:r>
          </w:p>
        </w:tc>
        <w:tc>
          <w:tcPr>
            <w:tcW w:w="280" w:type="dxa"/>
            <w:vAlign w:val="bottom"/>
            <w:tcBorders>
              <w:top w:val="single" w:sz="8" w:color="auto"/>
              <w:bottom w:val="single" w:sz="8" w:color="auto"/>
            </w:tcBorders>
            <w:shd w:val="clear" w:color="auto" w:fill="E0E7ED"/>
          </w:tcPr>
          <w:p>
            <w:pPr>
              <w:spacing w:after="0"/>
              <w:rPr>
                <w:sz w:val="22"/>
                <w:szCs w:val="22"/>
                <w:color w:val="auto"/>
              </w:rPr>
            </w:pPr>
          </w:p>
        </w:tc>
        <w:tc>
          <w:tcPr>
            <w:tcW w:w="11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1,998,271</w:t>
            </w:r>
          </w:p>
        </w:tc>
        <w:tc>
          <w:tcPr>
            <w:tcW w:w="20" w:type="dxa"/>
            <w:vAlign w:val="bottom"/>
            <w:tcBorders>
              <w:top w:val="single" w:sz="8" w:color="auto"/>
              <w:bottom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0" w:type="dxa"/>
            <w:vAlign w:val="bottom"/>
            <w:tcBorders>
              <w:top w:val="single" w:sz="8" w:color="E0E7ED"/>
            </w:tcBorders>
            <w:shd w:val="clear" w:color="auto" w:fill="E0E7ED"/>
          </w:tcPr>
          <w:p>
            <w:pPr>
              <w:spacing w:after="0"/>
              <w:rPr>
                <w:sz w:val="22"/>
                <w:szCs w:val="22"/>
                <w:color w:val="auto"/>
              </w:rPr>
            </w:pPr>
          </w:p>
        </w:tc>
        <w:tc>
          <w:tcPr>
            <w:tcW w:w="320" w:type="dxa"/>
            <w:vAlign w:val="bottom"/>
            <w:tcBorders>
              <w:top w:val="single" w:sz="8" w:color="auto"/>
              <w:bottom w:val="single" w:sz="8" w:color="auto"/>
            </w:tcBorders>
            <w:shd w:val="clear" w:color="auto" w:fill="E0E7ED"/>
          </w:tcPr>
          <w:p>
            <w:pPr>
              <w:spacing w:after="0"/>
              <w:rPr>
                <w:sz w:val="22"/>
                <w:szCs w:val="22"/>
                <w:color w:val="auto"/>
              </w:rPr>
            </w:pPr>
          </w:p>
        </w:tc>
        <w:tc>
          <w:tcPr>
            <w:tcW w:w="11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11,144</w:t>
            </w:r>
          </w:p>
        </w:tc>
        <w:tc>
          <w:tcPr>
            <w:tcW w:w="20" w:type="dxa"/>
            <w:vAlign w:val="bottom"/>
            <w:tcBorders>
              <w:top w:val="single" w:sz="8" w:color="auto"/>
              <w:bottom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0" w:type="dxa"/>
            <w:vAlign w:val="bottom"/>
            <w:tcBorders>
              <w:top w:val="single" w:sz="8" w:color="E0E7ED"/>
            </w:tcBorders>
            <w:shd w:val="clear" w:color="auto" w:fill="E0E7ED"/>
          </w:tcPr>
          <w:p>
            <w:pPr>
              <w:spacing w:after="0"/>
              <w:rPr>
                <w:sz w:val="22"/>
                <w:szCs w:val="22"/>
                <w:color w:val="auto"/>
              </w:rPr>
            </w:pPr>
          </w:p>
        </w:tc>
        <w:tc>
          <w:tcPr>
            <w:tcW w:w="280" w:type="dxa"/>
            <w:vAlign w:val="bottom"/>
            <w:tcBorders>
              <w:top w:val="single" w:sz="8" w:color="auto"/>
              <w:bottom w:val="single" w:sz="8" w:color="auto"/>
            </w:tcBorders>
            <w:shd w:val="clear" w:color="auto" w:fill="E0E7ED"/>
          </w:tcPr>
          <w:p>
            <w:pPr>
              <w:spacing w:after="0"/>
              <w:rPr>
                <w:sz w:val="22"/>
                <w:szCs w:val="22"/>
                <w:color w:val="auto"/>
              </w:rPr>
            </w:pPr>
          </w:p>
        </w:tc>
        <w:tc>
          <w:tcPr>
            <w:tcW w:w="11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1,024</w:t>
            </w:r>
          </w:p>
        </w:tc>
        <w:tc>
          <w:tcPr>
            <w:tcW w:w="10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bottom w:val="single" w:sz="8" w:color="auto"/>
            </w:tcBorders>
            <w:shd w:val="clear" w:color="auto" w:fill="E0E7ED"/>
          </w:tcPr>
          <w:p>
            <w:pPr>
              <w:spacing w:after="0"/>
              <w:rPr>
                <w:sz w:val="22"/>
                <w:szCs w:val="22"/>
                <w:color w:val="auto"/>
              </w:rPr>
            </w:pPr>
          </w:p>
        </w:tc>
        <w:tc>
          <w:tcPr>
            <w:tcW w:w="1260" w:type="dxa"/>
            <w:vAlign w:val="bottom"/>
            <w:tcBorders>
              <w:top w:val="single" w:sz="8" w:color="auto"/>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1,795</w:t>
            </w:r>
          </w:p>
        </w:tc>
        <w:tc>
          <w:tcPr>
            <w:tcW w:w="8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bottom w:val="single" w:sz="8" w:color="auto"/>
            </w:tcBorders>
            <w:shd w:val="clear" w:color="auto" w:fill="E0E7ED"/>
          </w:tcPr>
          <w:p>
            <w:pPr>
              <w:spacing w:after="0"/>
              <w:rPr>
                <w:sz w:val="22"/>
                <w:szCs w:val="22"/>
                <w:color w:val="auto"/>
              </w:rPr>
            </w:pPr>
          </w:p>
        </w:tc>
        <w:tc>
          <w:tcPr>
            <w:tcW w:w="12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3,752</w:t>
            </w:r>
          </w:p>
        </w:tc>
        <w:tc>
          <w:tcPr>
            <w:tcW w:w="10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bottom w:val="single" w:sz="8" w:color="auto"/>
            </w:tcBorders>
            <w:shd w:val="clear" w:color="auto" w:fill="E0E7ED"/>
          </w:tcPr>
          <w:p>
            <w:pPr>
              <w:spacing w:after="0"/>
              <w:rPr>
                <w:sz w:val="22"/>
                <w:szCs w:val="22"/>
                <w:color w:val="auto"/>
              </w:rPr>
            </w:pPr>
          </w:p>
        </w:tc>
        <w:tc>
          <w:tcPr>
            <w:tcW w:w="11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2,015,986</w:t>
            </w:r>
          </w:p>
        </w:tc>
        <w:tc>
          <w:tcPr>
            <w:tcW w:w="0" w:type="dxa"/>
            <w:vAlign w:val="bottom"/>
          </w:tcPr>
          <w:p>
            <w:pPr>
              <w:spacing w:after="0"/>
              <w:rPr>
                <w:sz w:val="1"/>
                <w:szCs w:val="1"/>
                <w:color w:val="auto"/>
              </w:rPr>
            </w:pPr>
          </w:p>
        </w:tc>
      </w:tr>
      <w:tr>
        <w:trPr>
          <w:trHeight w:val="270"/>
        </w:trPr>
        <w:tc>
          <w:tcPr>
            <w:tcW w:w="1940" w:type="dxa"/>
            <w:vAlign w:val="bottom"/>
          </w:tcPr>
          <w:p>
            <w:pPr>
              <w:ind w:left="20"/>
              <w:spacing w:after="0"/>
              <w:rPr>
                <w:sz w:val="20"/>
                <w:szCs w:val="20"/>
                <w:color w:val="auto"/>
              </w:rPr>
            </w:pPr>
            <w:r>
              <w:rPr>
                <w:rFonts w:ascii="Verdana" w:cs="Verdana" w:eastAsia="Verdana" w:hAnsi="Verdana"/>
                <w:sz w:val="18"/>
                <w:szCs w:val="18"/>
                <w:color w:val="auto"/>
              </w:rPr>
              <w:t>Total portfolio loans</w:t>
            </w:r>
          </w:p>
        </w:tc>
        <w:tc>
          <w:tcPr>
            <w:tcW w:w="280" w:type="dxa"/>
            <w:vAlign w:val="bottom"/>
          </w:tcPr>
          <w:p>
            <w:pPr>
              <w:jc w:val="right"/>
              <w:ind w:right="5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6,736,067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1120" w:type="dxa"/>
            <w:vAlign w:val="bottom"/>
          </w:tcPr>
          <w:p>
            <w:pPr>
              <w:jc w:val="right"/>
              <w:spacing w:after="0"/>
              <w:rPr>
                <w:sz w:val="20"/>
                <w:szCs w:val="20"/>
                <w:color w:val="auto"/>
              </w:rPr>
            </w:pPr>
            <w:r>
              <w:rPr>
                <w:rFonts w:ascii="Verdana" w:cs="Verdana" w:eastAsia="Verdana" w:hAnsi="Verdana"/>
                <w:sz w:val="18"/>
                <w:szCs w:val="18"/>
                <w:color w:val="auto"/>
              </w:rPr>
              <w:t>747,122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gridSpan w:val="2"/>
          </w:tcPr>
          <w:p>
            <w:pPr>
              <w:jc w:val="right"/>
              <w:ind w:right="160"/>
              <w:spacing w:after="0"/>
              <w:rPr>
                <w:sz w:val="20"/>
                <w:szCs w:val="20"/>
                <w:color w:val="auto"/>
              </w:rPr>
            </w:pPr>
            <w:r>
              <w:rPr>
                <w:rFonts w:ascii="Verdana" w:cs="Verdana" w:eastAsia="Verdana" w:hAnsi="Verdana"/>
                <w:sz w:val="18"/>
                <w:szCs w:val="18"/>
                <w:color w:val="auto"/>
              </w:rPr>
              <w:t>$</w:t>
            </w:r>
          </w:p>
        </w:tc>
        <w:tc>
          <w:tcPr>
            <w:tcW w:w="1160" w:type="dxa"/>
            <w:vAlign w:val="bottom"/>
          </w:tcPr>
          <w:p>
            <w:pPr>
              <w:jc w:val="right"/>
              <w:spacing w:after="0"/>
              <w:rPr>
                <w:sz w:val="20"/>
                <w:szCs w:val="20"/>
                <w:color w:val="auto"/>
              </w:rPr>
            </w:pPr>
            <w:r>
              <w:rPr>
                <w:rFonts w:ascii="Verdana" w:cs="Verdana" w:eastAsia="Verdana" w:hAnsi="Verdana"/>
                <w:sz w:val="18"/>
                <w:szCs w:val="18"/>
                <w:color w:val="auto"/>
              </w:rPr>
              <w:t>96,057</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ind w:right="13"/>
              <w:spacing w:after="0"/>
              <w:rPr>
                <w:sz w:val="20"/>
                <w:szCs w:val="20"/>
                <w:color w:val="auto"/>
              </w:rPr>
            </w:pPr>
            <w:r>
              <w:rPr>
                <w:rFonts w:ascii="Verdana" w:cs="Verdana" w:eastAsia="Verdana" w:hAnsi="Verdana"/>
                <w:sz w:val="18"/>
                <w:szCs w:val="18"/>
                <w:color w:val="auto"/>
              </w:rPr>
              <w:t>64,347</w:t>
            </w:r>
          </w:p>
        </w:tc>
        <w:tc>
          <w:tcPr>
            <w:tcW w:w="8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spacing w:after="0"/>
              <w:rPr>
                <w:sz w:val="20"/>
                <w:szCs w:val="20"/>
                <w:color w:val="auto"/>
              </w:rPr>
            </w:pPr>
            <w:r>
              <w:rPr>
                <w:rFonts w:ascii="Verdana" w:cs="Verdana" w:eastAsia="Verdana" w:hAnsi="Verdana"/>
                <w:sz w:val="18"/>
                <w:szCs w:val="18"/>
                <w:color w:val="auto"/>
              </w:rPr>
              <w:t>7,441</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Verdana" w:cs="Verdana" w:eastAsia="Verdana" w:hAnsi="Verdana"/>
                <w:sz w:val="18"/>
                <w:szCs w:val="18"/>
                <w:color w:val="auto"/>
                <w:w w:val="86"/>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7,651,034</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27" w:name="page28"/>
    <w:bookmarkEnd w:id="27"/>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
        <w:spacing w:after="0" w:line="254" w:lineRule="auto"/>
        <w:rPr>
          <w:sz w:val="20"/>
          <w:szCs w:val="20"/>
          <w:color w:val="auto"/>
        </w:rPr>
      </w:pPr>
      <w:r>
        <w:rPr>
          <w:rFonts w:ascii="Verdana" w:cs="Verdana" w:eastAsia="Verdana" w:hAnsi="Verdana"/>
          <w:sz w:val="18"/>
          <w:szCs w:val="18"/>
          <w:color w:val="auto"/>
        </w:rPr>
        <w:t xml:space="preserve">Risk grades of portfolio loans and gross charge-offs are presented in the tables below by lending activity, further sorted by origination year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320" w:type="dxa"/>
            <w:vAlign w:val="bottom"/>
            <w:tcBorders>
              <w:bottom w:val="single" w:sz="8" w:color="auto"/>
            </w:tcBorders>
            <w:gridSpan w:val="11"/>
          </w:tcPr>
          <w:p>
            <w:pPr>
              <w:spacing w:after="0"/>
              <w:rPr>
                <w:sz w:val="20"/>
                <w:szCs w:val="20"/>
                <w:color w:val="auto"/>
              </w:rPr>
            </w:pPr>
            <w:r>
              <w:rPr>
                <w:rFonts w:ascii="Verdana" w:cs="Verdana" w:eastAsia="Verdana" w:hAnsi="Verdana"/>
                <w:sz w:val="13"/>
                <w:szCs w:val="13"/>
                <w:b w:val="1"/>
                <w:bCs w:val="1"/>
                <w:color w:val="auto"/>
              </w:rPr>
              <w:t>As of and For The Nine Months Ended September 30, 2024</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83"/>
        </w:trPr>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240" w:type="dxa"/>
            <w:vAlign w:val="bottom"/>
            <w:tcBorders>
              <w:bottom w:val="single" w:sz="8" w:color="auto"/>
            </w:tcBorders>
            <w:gridSpan w:val="11"/>
          </w:tcPr>
          <w:p>
            <w:pPr>
              <w:ind w:left="80"/>
              <w:spacing w:after="0"/>
              <w:rPr>
                <w:sz w:val="20"/>
                <w:szCs w:val="20"/>
                <w:color w:val="auto"/>
              </w:rPr>
            </w:pPr>
            <w:r>
              <w:rPr>
                <w:rFonts w:ascii="Verdana" w:cs="Verdana" w:eastAsia="Verdana" w:hAnsi="Verdana"/>
                <w:sz w:val="13"/>
                <w:szCs w:val="13"/>
                <w:b w:val="1"/>
                <w:bCs w:val="1"/>
                <w:color w:val="auto"/>
              </w:rPr>
              <w:t>Term Loans Amortized Cost Basis by Origination Year</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Verdana" w:cs="Verdana" w:eastAsia="Verdana" w:hAnsi="Verdana"/>
                <w:sz w:val="13"/>
                <w:szCs w:val="13"/>
                <w:b w:val="1"/>
                <w:bCs w:val="1"/>
                <w:color w:val="auto"/>
                <w:w w:val="97"/>
              </w:rPr>
              <w:t>Revolving</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4"/>
        </w:trPr>
        <w:tc>
          <w:tcPr>
            <w:tcW w:w="2500" w:type="dxa"/>
            <w:vAlign w:val="bottom"/>
            <w:gridSpan w:val="2"/>
          </w:tcPr>
          <w:p>
            <w:pPr>
              <w:ind w:left="540"/>
              <w:spacing w:after="0"/>
              <w:rPr>
                <w:sz w:val="20"/>
                <w:szCs w:val="20"/>
                <w:color w:val="auto"/>
              </w:rPr>
            </w:pPr>
            <w:r>
              <w:rPr>
                <w:rFonts w:ascii="Verdana" w:cs="Verdana" w:eastAsia="Verdana" w:hAnsi="Verdana"/>
                <w:sz w:val="13"/>
                <w:szCs w:val="13"/>
                <w:b w:val="1"/>
                <w:bCs w:val="1"/>
                <w:color w:val="auto"/>
              </w:rPr>
              <w:t>Risk Grade Ratings</w:t>
            </w:r>
          </w:p>
        </w:tc>
        <w:tc>
          <w:tcPr>
            <w:tcW w:w="200" w:type="dxa"/>
            <w:vAlign w:val="bottom"/>
          </w:tcPr>
          <w:p>
            <w:pPr>
              <w:spacing w:after="0"/>
              <w:rPr>
                <w:sz w:val="15"/>
                <w:szCs w:val="15"/>
                <w:color w:val="auto"/>
              </w:rPr>
            </w:pPr>
          </w:p>
        </w:tc>
        <w:tc>
          <w:tcPr>
            <w:tcW w:w="800" w:type="dxa"/>
            <w:vAlign w:val="bottom"/>
          </w:tcPr>
          <w:p>
            <w:pPr>
              <w:jc w:val="right"/>
              <w:ind w:right="257"/>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57"/>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57"/>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77"/>
              <w:spacing w:after="0"/>
              <w:rPr>
                <w:sz w:val="20"/>
                <w:szCs w:val="20"/>
                <w:color w:val="auto"/>
              </w:rPr>
            </w:pPr>
            <w:r>
              <w:rPr>
                <w:rFonts w:ascii="Verdana" w:cs="Verdana" w:eastAsia="Verdana" w:hAnsi="Verdana"/>
                <w:sz w:val="13"/>
                <w:szCs w:val="13"/>
                <w:b w:val="1"/>
                <w:bCs w:val="1"/>
                <w:color w:val="auto"/>
              </w:rPr>
              <w:t>2021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57"/>
              <w:spacing w:after="0"/>
              <w:rPr>
                <w:sz w:val="20"/>
                <w:szCs w:val="20"/>
                <w:color w:val="auto"/>
              </w:rPr>
            </w:pPr>
            <w:r>
              <w:rPr>
                <w:rFonts w:ascii="Verdana" w:cs="Verdana" w:eastAsia="Verdana" w:hAnsi="Verdana"/>
                <w:sz w:val="13"/>
                <w:szCs w:val="13"/>
                <w:b w:val="1"/>
                <w:bCs w:val="1"/>
                <w:color w:val="auto"/>
              </w:rPr>
              <w:t>2020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Verdana" w:cs="Verdana" w:eastAsia="Verdana" w:hAnsi="Verdana"/>
                <w:sz w:val="13"/>
                <w:szCs w:val="13"/>
                <w:b w:val="1"/>
                <w:bCs w:val="1"/>
                <w:color w:val="auto"/>
              </w:rPr>
              <w:t>Prior</w:t>
            </w:r>
          </w:p>
        </w:tc>
        <w:tc>
          <w:tcPr>
            <w:tcW w:w="12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Verdana" w:cs="Verdana" w:eastAsia="Verdana" w:hAnsi="Verdana"/>
                <w:sz w:val="13"/>
                <w:szCs w:val="13"/>
                <w:b w:val="1"/>
                <w:bCs w:val="1"/>
                <w:color w:val="auto"/>
                <w:w w:val="97"/>
              </w:rPr>
              <w:t>Loans</w:t>
            </w:r>
          </w:p>
        </w:tc>
        <w:tc>
          <w:tcPr>
            <w:tcW w:w="200" w:type="dxa"/>
            <w:vAlign w:val="bottom"/>
          </w:tcPr>
          <w:p>
            <w:pPr>
              <w:spacing w:after="0"/>
              <w:rPr>
                <w:sz w:val="15"/>
                <w:szCs w:val="15"/>
                <w:color w:val="auto"/>
              </w:rPr>
            </w:pPr>
          </w:p>
        </w:tc>
        <w:tc>
          <w:tcPr>
            <w:tcW w:w="820" w:type="dxa"/>
            <w:vAlign w:val="bottom"/>
          </w:tcPr>
          <w:p>
            <w:pPr>
              <w:jc w:val="right"/>
              <w:ind w:right="257"/>
              <w:spacing w:after="0"/>
              <w:rPr>
                <w:sz w:val="20"/>
                <w:szCs w:val="20"/>
                <w:color w:val="auto"/>
              </w:rPr>
            </w:pPr>
            <w:r>
              <w:rPr>
                <w:rFonts w:ascii="Verdana" w:cs="Verdana" w:eastAsia="Verdana" w:hAnsi="Verdana"/>
                <w:sz w:val="13"/>
                <w:szCs w:val="13"/>
                <w:b w:val="1"/>
                <w:bCs w:val="1"/>
                <w:color w:val="auto"/>
              </w:rPr>
              <w:t>Total</w:t>
            </w:r>
          </w:p>
        </w:tc>
      </w:tr>
      <w:tr>
        <w:trPr>
          <w:trHeight w:val="174"/>
        </w:trPr>
        <w:tc>
          <w:tcPr>
            <w:tcW w:w="2400" w:type="dxa"/>
            <w:vAlign w:val="bottom"/>
            <w:tcBorders>
              <w:top w:val="single" w:sz="8" w:color="auto"/>
            </w:tcBorders>
            <w:shd w:val="clear" w:color="auto" w:fill="E0E7ED"/>
          </w:tcPr>
          <w:p>
            <w:pPr>
              <w:ind w:left="20"/>
              <w:spacing w:after="0"/>
              <w:rPr>
                <w:sz w:val="20"/>
                <w:szCs w:val="20"/>
                <w:color w:val="auto"/>
              </w:rPr>
            </w:pPr>
            <w:r>
              <w:rPr>
                <w:rFonts w:ascii="Verdana" w:cs="Verdana" w:eastAsia="Verdana" w:hAnsi="Verdana"/>
                <w:sz w:val="13"/>
                <w:szCs w:val="13"/>
                <w:b w:val="1"/>
                <w:bCs w:val="1"/>
                <w:color w:val="auto"/>
              </w:rPr>
              <w:t>C&amp;I and other commercial</w:t>
            </w: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tcBorders>
            <w:shd w:val="clear" w:color="auto" w:fill="E0E7ED"/>
          </w:tcPr>
          <w:p>
            <w:pPr>
              <w:spacing w:after="0"/>
              <w:rPr>
                <w:sz w:val="15"/>
                <w:szCs w:val="15"/>
                <w:color w:val="auto"/>
              </w:rPr>
            </w:pPr>
          </w:p>
        </w:tc>
        <w:tc>
          <w:tcPr>
            <w:tcW w:w="800" w:type="dxa"/>
            <w:vAlign w:val="bottom"/>
            <w:tcBorders>
              <w:top w:val="single" w:sz="8" w:color="auto"/>
            </w:tcBorders>
            <w:shd w:val="clear" w:color="auto" w:fill="E0E7ED"/>
          </w:tcPr>
          <w:p>
            <w:pPr>
              <w:spacing w:after="0"/>
              <w:rPr>
                <w:sz w:val="15"/>
                <w:szCs w:val="15"/>
                <w:color w:val="auto"/>
              </w:rPr>
            </w:pP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tcBorders>
            <w:shd w:val="clear" w:color="auto" w:fill="E0E7ED"/>
          </w:tcPr>
          <w:p>
            <w:pPr>
              <w:spacing w:after="0"/>
              <w:rPr>
                <w:sz w:val="15"/>
                <w:szCs w:val="15"/>
                <w:color w:val="auto"/>
              </w:rPr>
            </w:pPr>
          </w:p>
        </w:tc>
        <w:tc>
          <w:tcPr>
            <w:tcW w:w="820" w:type="dxa"/>
            <w:vAlign w:val="bottom"/>
            <w:tcBorders>
              <w:top w:val="single" w:sz="8" w:color="auto"/>
            </w:tcBorders>
            <w:shd w:val="clear" w:color="auto" w:fill="E0E7ED"/>
          </w:tcPr>
          <w:p>
            <w:pPr>
              <w:spacing w:after="0"/>
              <w:rPr>
                <w:sz w:val="15"/>
                <w:szCs w:val="15"/>
                <w:color w:val="auto"/>
              </w:rPr>
            </w:pPr>
          </w:p>
        </w:tc>
        <w:tc>
          <w:tcPr>
            <w:tcW w:w="100" w:type="dxa"/>
            <w:vAlign w:val="bottom"/>
            <w:tcBorders>
              <w:top w:val="single" w:sz="8" w:color="E0E7ED"/>
            </w:tcBorders>
            <w:shd w:val="clear" w:color="auto" w:fill="E0E7ED"/>
          </w:tcPr>
          <w:p>
            <w:pPr>
              <w:spacing w:after="0"/>
              <w:rPr>
                <w:sz w:val="15"/>
                <w:szCs w:val="15"/>
                <w:color w:val="auto"/>
              </w:rPr>
            </w:pPr>
          </w:p>
        </w:tc>
        <w:tc>
          <w:tcPr>
            <w:tcW w:w="100" w:type="dxa"/>
            <w:vAlign w:val="bottom"/>
            <w:tcBorders>
              <w:top w:val="single" w:sz="8" w:color="auto"/>
            </w:tcBorders>
            <w:shd w:val="clear" w:color="auto" w:fill="E0E7ED"/>
          </w:tcPr>
          <w:p>
            <w:pPr>
              <w:spacing w:after="0"/>
              <w:rPr>
                <w:sz w:val="15"/>
                <w:szCs w:val="15"/>
                <w:color w:val="auto"/>
              </w:rPr>
            </w:pPr>
          </w:p>
        </w:tc>
        <w:tc>
          <w:tcPr>
            <w:tcW w:w="900" w:type="dxa"/>
            <w:vAlign w:val="bottom"/>
            <w:tcBorders>
              <w:top w:val="single" w:sz="8" w:color="auto"/>
            </w:tcBorders>
            <w:shd w:val="clear" w:color="auto" w:fill="E0E7ED"/>
          </w:tcPr>
          <w:p>
            <w:pPr>
              <w:spacing w:after="0"/>
              <w:rPr>
                <w:sz w:val="15"/>
                <w:szCs w:val="15"/>
                <w:color w:val="auto"/>
              </w:rPr>
            </w:pP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tcBorders>
            <w:shd w:val="clear" w:color="auto" w:fill="E0E7ED"/>
          </w:tcPr>
          <w:p>
            <w:pPr>
              <w:spacing w:after="0"/>
              <w:rPr>
                <w:sz w:val="15"/>
                <w:szCs w:val="15"/>
                <w:color w:val="auto"/>
              </w:rPr>
            </w:pPr>
          </w:p>
        </w:tc>
        <w:tc>
          <w:tcPr>
            <w:tcW w:w="820" w:type="dxa"/>
            <w:vAlign w:val="bottom"/>
            <w:tcBorders>
              <w:top w:val="single" w:sz="8" w:color="auto"/>
            </w:tcBorders>
            <w:shd w:val="clear" w:color="auto" w:fill="E0E7ED"/>
          </w:tcPr>
          <w:p>
            <w:pPr>
              <w:spacing w:after="0"/>
              <w:rPr>
                <w:sz w:val="15"/>
                <w:szCs w:val="15"/>
                <w:color w:val="auto"/>
              </w:rPr>
            </w:pPr>
          </w:p>
        </w:tc>
        <w:tc>
          <w:tcPr>
            <w:tcW w:w="8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tcBorders>
            <w:shd w:val="clear" w:color="auto" w:fill="E0E7ED"/>
          </w:tcPr>
          <w:p>
            <w:pPr>
              <w:spacing w:after="0"/>
              <w:rPr>
                <w:sz w:val="15"/>
                <w:szCs w:val="15"/>
                <w:color w:val="auto"/>
              </w:rPr>
            </w:pPr>
          </w:p>
        </w:tc>
        <w:tc>
          <w:tcPr>
            <w:tcW w:w="800" w:type="dxa"/>
            <w:vAlign w:val="bottom"/>
            <w:tcBorders>
              <w:top w:val="single" w:sz="8" w:color="auto"/>
            </w:tcBorders>
            <w:shd w:val="clear" w:color="auto" w:fill="E0E7ED"/>
          </w:tcPr>
          <w:p>
            <w:pPr>
              <w:spacing w:after="0"/>
              <w:rPr>
                <w:sz w:val="15"/>
                <w:szCs w:val="15"/>
                <w:color w:val="auto"/>
              </w:rPr>
            </w:pP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tcBorders>
            <w:shd w:val="clear" w:color="auto" w:fill="E0E7ED"/>
          </w:tcPr>
          <w:p>
            <w:pPr>
              <w:spacing w:after="0"/>
              <w:rPr>
                <w:sz w:val="15"/>
                <w:szCs w:val="15"/>
                <w:color w:val="auto"/>
              </w:rPr>
            </w:pPr>
          </w:p>
        </w:tc>
        <w:tc>
          <w:tcPr>
            <w:tcW w:w="800" w:type="dxa"/>
            <w:vAlign w:val="bottom"/>
            <w:tcBorders>
              <w:top w:val="single" w:sz="8" w:color="auto"/>
            </w:tcBorders>
            <w:shd w:val="clear" w:color="auto" w:fill="E0E7ED"/>
          </w:tcPr>
          <w:p>
            <w:pPr>
              <w:spacing w:after="0"/>
              <w:rPr>
                <w:sz w:val="15"/>
                <w:szCs w:val="15"/>
                <w:color w:val="auto"/>
              </w:rPr>
            </w:pPr>
          </w:p>
        </w:tc>
        <w:tc>
          <w:tcPr>
            <w:tcW w:w="100" w:type="dxa"/>
            <w:vAlign w:val="bottom"/>
            <w:tcBorders>
              <w:top w:val="single" w:sz="8" w:color="E0E7ED"/>
            </w:tcBorders>
            <w:shd w:val="clear" w:color="auto" w:fill="E0E7ED"/>
          </w:tcPr>
          <w:p>
            <w:pPr>
              <w:spacing w:after="0"/>
              <w:rPr>
                <w:sz w:val="15"/>
                <w:szCs w:val="15"/>
                <w:color w:val="auto"/>
              </w:rPr>
            </w:pPr>
          </w:p>
        </w:tc>
        <w:tc>
          <w:tcPr>
            <w:tcW w:w="120" w:type="dxa"/>
            <w:vAlign w:val="bottom"/>
            <w:tcBorders>
              <w:top w:val="single" w:sz="8" w:color="auto"/>
            </w:tcBorders>
            <w:shd w:val="clear" w:color="auto" w:fill="E0E7ED"/>
          </w:tcPr>
          <w:p>
            <w:pPr>
              <w:spacing w:after="0"/>
              <w:rPr>
                <w:sz w:val="15"/>
                <w:szCs w:val="15"/>
                <w:color w:val="auto"/>
              </w:rPr>
            </w:pPr>
          </w:p>
        </w:tc>
        <w:tc>
          <w:tcPr>
            <w:tcW w:w="900" w:type="dxa"/>
            <w:vAlign w:val="bottom"/>
            <w:tcBorders>
              <w:top w:val="single" w:sz="8" w:color="auto"/>
            </w:tcBorders>
            <w:shd w:val="clear" w:color="auto" w:fill="E0E7ED"/>
          </w:tcPr>
          <w:p>
            <w:pPr>
              <w:spacing w:after="0"/>
              <w:rPr>
                <w:sz w:val="15"/>
                <w:szCs w:val="15"/>
                <w:color w:val="auto"/>
              </w:rPr>
            </w:pP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tcBorders>
            <w:shd w:val="clear" w:color="auto" w:fill="E0E7ED"/>
          </w:tcPr>
          <w:p>
            <w:pPr>
              <w:spacing w:after="0"/>
              <w:rPr>
                <w:sz w:val="15"/>
                <w:szCs w:val="15"/>
                <w:color w:val="auto"/>
              </w:rPr>
            </w:pPr>
          </w:p>
        </w:tc>
        <w:tc>
          <w:tcPr>
            <w:tcW w:w="820" w:type="dxa"/>
            <w:vAlign w:val="bottom"/>
            <w:tcBorders>
              <w:top w:val="single" w:sz="8" w:color="auto"/>
            </w:tcBorders>
            <w:shd w:val="clear" w:color="auto" w:fill="E0E7ED"/>
          </w:tcPr>
          <w:p>
            <w:pPr>
              <w:spacing w:after="0"/>
              <w:rPr>
                <w:sz w:val="15"/>
                <w:szCs w:val="15"/>
                <w:color w:val="auto"/>
              </w:rPr>
            </w:pPr>
          </w:p>
        </w:tc>
      </w:tr>
      <w:tr>
        <w:trPr>
          <w:trHeight w:val="170"/>
        </w:trPr>
        <w:tc>
          <w:tcPr>
            <w:tcW w:w="2500" w:type="dxa"/>
            <w:vAlign w:val="bottom"/>
            <w:gridSpan w:val="2"/>
          </w:tcPr>
          <w:p>
            <w:pPr>
              <w:ind w:left="180"/>
              <w:spacing w:after="0"/>
              <w:rPr>
                <w:sz w:val="20"/>
                <w:szCs w:val="20"/>
                <w:color w:val="auto"/>
              </w:rPr>
            </w:pPr>
            <w:r>
              <w:rPr>
                <w:rFonts w:ascii="Verdana" w:cs="Verdana" w:eastAsia="Verdana" w:hAnsi="Verdana"/>
                <w:sz w:val="13"/>
                <w:szCs w:val="13"/>
                <w:color w:val="auto"/>
              </w:rPr>
              <w:t>Pass</w:t>
            </w: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168,607</w:t>
            </w:r>
          </w:p>
        </w:tc>
        <w:tc>
          <w:tcPr>
            <w:tcW w:w="8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223,091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tcPr>
          <w:p>
            <w:pPr>
              <w:jc w:val="right"/>
              <w:spacing w:after="0"/>
              <w:rPr>
                <w:sz w:val="20"/>
                <w:szCs w:val="20"/>
                <w:color w:val="auto"/>
              </w:rPr>
            </w:pPr>
            <w:r>
              <w:rPr>
                <w:rFonts w:ascii="Verdana" w:cs="Verdana" w:eastAsia="Verdana" w:hAnsi="Verdana"/>
                <w:sz w:val="13"/>
                <w:szCs w:val="13"/>
                <w:color w:val="auto"/>
              </w:rPr>
              <w:t>177,527</w:t>
            </w:r>
          </w:p>
        </w:tc>
        <w:tc>
          <w:tcPr>
            <w:tcW w:w="10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135,226</w:t>
            </w:r>
          </w:p>
        </w:tc>
        <w:tc>
          <w:tcPr>
            <w:tcW w:w="80" w:type="dxa"/>
            <w:vAlign w:val="bottom"/>
          </w:tcPr>
          <w:p>
            <w:pPr>
              <w:spacing w:after="0"/>
              <w:rPr>
                <w:sz w:val="14"/>
                <w:szCs w:val="14"/>
                <w:color w:val="auto"/>
              </w:rPr>
            </w:pPr>
          </w:p>
        </w:tc>
        <w:tc>
          <w:tcPr>
            <w:tcW w:w="220" w:type="dxa"/>
            <w:vAlign w:val="bottom"/>
          </w:tcPr>
          <w:p>
            <w:pPr>
              <w:jc w:val="right"/>
              <w:ind w:right="57"/>
              <w:spacing w:after="0"/>
              <w:rPr>
                <w:sz w:val="20"/>
                <w:szCs w:val="20"/>
                <w:color w:val="auto"/>
              </w:rPr>
            </w:pPr>
            <w:r>
              <w:rPr>
                <w:rFonts w:ascii="Verdana" w:cs="Verdana" w:eastAsia="Verdana" w:hAnsi="Verdana"/>
                <w:sz w:val="13"/>
                <w:szCs w:val="13"/>
                <w:color w:val="auto"/>
                <w:w w:val="95"/>
              </w:rPr>
              <w:t>$</w:t>
            </w: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78,049</w:t>
            </w:r>
          </w:p>
        </w:tc>
        <w:tc>
          <w:tcPr>
            <w:tcW w:w="10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00" w:type="dxa"/>
            <w:vAlign w:val="bottom"/>
          </w:tcPr>
          <w:p>
            <w:pPr>
              <w:jc w:val="right"/>
              <w:spacing w:after="0"/>
              <w:rPr>
                <w:sz w:val="20"/>
                <w:szCs w:val="20"/>
                <w:color w:val="auto"/>
              </w:rPr>
            </w:pPr>
            <w:r>
              <w:rPr>
                <w:rFonts w:ascii="Verdana" w:cs="Verdana" w:eastAsia="Verdana" w:hAnsi="Verdana"/>
                <w:sz w:val="13"/>
                <w:szCs w:val="13"/>
                <w:color w:val="auto"/>
              </w:rPr>
              <w:t>132,258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620,840</w:t>
            </w:r>
          </w:p>
        </w:tc>
        <w:tc>
          <w:tcPr>
            <w:tcW w:w="8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1,535,598</w:t>
            </w:r>
          </w:p>
        </w:tc>
      </w:tr>
      <w:tr>
        <w:trPr>
          <w:trHeight w:val="181"/>
        </w:trPr>
        <w:tc>
          <w:tcPr>
            <w:tcW w:w="250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Watch</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36,362</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34,787</w:t>
            </w:r>
          </w:p>
        </w:tc>
        <w:tc>
          <w:tcPr>
            <w:tcW w:w="1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9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48,383</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18,543</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2,021</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28,452</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89,344</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257,892</w:t>
            </w:r>
          </w:p>
        </w:tc>
      </w:tr>
      <w:tr>
        <w:trPr>
          <w:trHeight w:val="170"/>
        </w:trPr>
        <w:tc>
          <w:tcPr>
            <w:tcW w:w="2500" w:type="dxa"/>
            <w:vAlign w:val="bottom"/>
            <w:gridSpan w:val="2"/>
          </w:tcPr>
          <w:p>
            <w:pPr>
              <w:ind w:left="180"/>
              <w:spacing w:after="0"/>
              <w:rPr>
                <w:sz w:val="20"/>
                <w:szCs w:val="20"/>
                <w:color w:val="auto"/>
              </w:rPr>
            </w:pPr>
            <w:r>
              <w:rPr>
                <w:rFonts w:ascii="Verdana" w:cs="Verdana" w:eastAsia="Verdana" w:hAnsi="Verdana"/>
                <w:sz w:val="13"/>
                <w:szCs w:val="13"/>
                <w:color w:val="auto"/>
              </w:rPr>
              <w:t>Special Mention</w:t>
            </w:r>
          </w:p>
        </w:tc>
        <w:tc>
          <w:tcPr>
            <w:tcW w:w="2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1,574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2,431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Verdana" w:cs="Verdana" w:eastAsia="Verdana" w:hAnsi="Verdana"/>
                <w:sz w:val="13"/>
                <w:szCs w:val="13"/>
                <w:color w:val="auto"/>
              </w:rPr>
              <w:t>6,417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2,897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315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2,648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22,092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38,374</w:t>
            </w:r>
          </w:p>
        </w:tc>
      </w:tr>
      <w:tr>
        <w:trPr>
          <w:trHeight w:val="181"/>
        </w:trPr>
        <w:tc>
          <w:tcPr>
            <w:tcW w:w="250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Substandard</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15,561</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7,227</w:t>
            </w:r>
          </w:p>
        </w:tc>
        <w:tc>
          <w:tcPr>
            <w:tcW w:w="1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9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894</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713</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406</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2,495</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13,995</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41,291</w:t>
            </w:r>
          </w:p>
        </w:tc>
      </w:tr>
      <w:tr>
        <w:trPr>
          <w:trHeight w:val="170"/>
        </w:trPr>
        <w:tc>
          <w:tcPr>
            <w:tcW w:w="2500" w:type="dxa"/>
            <w:vAlign w:val="bottom"/>
            <w:gridSpan w:val="2"/>
          </w:tcPr>
          <w:p>
            <w:pPr>
              <w:ind w:left="180"/>
              <w:spacing w:after="0"/>
              <w:rPr>
                <w:sz w:val="20"/>
                <w:szCs w:val="20"/>
                <w:color w:val="auto"/>
              </w:rPr>
            </w:pPr>
            <w:r>
              <w:rPr>
                <w:rFonts w:ascii="Verdana" w:cs="Verdana" w:eastAsia="Verdana" w:hAnsi="Verdana"/>
                <w:sz w:val="13"/>
                <w:szCs w:val="13"/>
                <w:color w:val="auto"/>
              </w:rPr>
              <w:t>Substandard non-accrual</w:t>
            </w:r>
          </w:p>
        </w:tc>
        <w:tc>
          <w:tcPr>
            <w:tcW w:w="2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76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72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Verdana" w:cs="Verdana" w:eastAsia="Verdana" w:hAnsi="Verdana"/>
                <w:sz w:val="13"/>
                <w:szCs w:val="13"/>
                <w:color w:val="auto"/>
              </w:rPr>
              <w:t>484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45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1,368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2,297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4,342</w:t>
            </w:r>
          </w:p>
        </w:tc>
      </w:tr>
      <w:tr>
        <w:trPr>
          <w:trHeight w:val="174"/>
        </w:trPr>
        <w:tc>
          <w:tcPr>
            <w:tcW w:w="2500" w:type="dxa"/>
            <w:vAlign w:val="bottom"/>
            <w:tcBorders>
              <w:top w:val="single" w:sz="8" w:color="E0E7ED"/>
            </w:tcBorders>
            <w:gridSpan w:val="2"/>
            <w:shd w:val="clear" w:color="auto" w:fill="E0E7ED"/>
          </w:tcPr>
          <w:p>
            <w:pPr>
              <w:ind w:left="20"/>
              <w:spacing w:after="0"/>
              <w:rPr>
                <w:sz w:val="20"/>
                <w:szCs w:val="20"/>
                <w:color w:val="auto"/>
              </w:rPr>
            </w:pPr>
            <w:r>
              <w:rPr>
                <w:rFonts w:ascii="Verdana" w:cs="Verdana" w:eastAsia="Verdana" w:hAnsi="Verdana"/>
                <w:sz w:val="13"/>
                <w:szCs w:val="13"/>
                <w:color w:val="auto"/>
              </w:rPr>
              <w:t>Total commercial</w:t>
            </w: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222,180</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267,608</w:t>
            </w:r>
          </w:p>
        </w:tc>
        <w:tc>
          <w:tcPr>
            <w:tcW w:w="100" w:type="dxa"/>
            <w:vAlign w:val="bottom"/>
            <w:tcBorders>
              <w:top w:val="single" w:sz="8" w:color="E0E7ED"/>
            </w:tcBorders>
            <w:shd w:val="clear" w:color="auto" w:fill="E0E7ED"/>
          </w:tcPr>
          <w:p>
            <w:pPr>
              <w:spacing w:after="0"/>
              <w:rPr>
                <w:sz w:val="15"/>
                <w:szCs w:val="15"/>
                <w:color w:val="auto"/>
              </w:rPr>
            </w:pPr>
          </w:p>
        </w:tc>
        <w:tc>
          <w:tcPr>
            <w:tcW w:w="100" w:type="dxa"/>
            <w:vAlign w:val="bottom"/>
            <w:tcBorders>
              <w:top w:val="single" w:sz="8" w:color="auto"/>
              <w:bottom w:val="single" w:sz="8" w:color="auto"/>
            </w:tcBorders>
            <w:shd w:val="clear" w:color="auto" w:fill="E0E7ED"/>
          </w:tcPr>
          <w:p>
            <w:pPr>
              <w:spacing w:after="0"/>
              <w:rPr>
                <w:sz w:val="15"/>
                <w:szCs w:val="15"/>
                <w:color w:val="auto"/>
              </w:rPr>
            </w:pPr>
          </w:p>
        </w:tc>
        <w:tc>
          <w:tcPr>
            <w:tcW w:w="9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233,705</w:t>
            </w: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157,379</w:t>
            </w:r>
          </w:p>
        </w:tc>
        <w:tc>
          <w:tcPr>
            <w:tcW w:w="8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80,836</w:t>
            </w: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167,221</w:t>
            </w:r>
          </w:p>
        </w:tc>
        <w:tc>
          <w:tcPr>
            <w:tcW w:w="100" w:type="dxa"/>
            <w:vAlign w:val="bottom"/>
            <w:tcBorders>
              <w:top w:val="single" w:sz="8" w:color="E0E7ED"/>
            </w:tcBorders>
            <w:shd w:val="clear" w:color="auto" w:fill="E0E7ED"/>
          </w:tcPr>
          <w:p>
            <w:pPr>
              <w:spacing w:after="0"/>
              <w:rPr>
                <w:sz w:val="15"/>
                <w:szCs w:val="15"/>
                <w:color w:val="auto"/>
              </w:rPr>
            </w:pPr>
          </w:p>
        </w:tc>
        <w:tc>
          <w:tcPr>
            <w:tcW w:w="120" w:type="dxa"/>
            <w:vAlign w:val="bottom"/>
            <w:tcBorders>
              <w:top w:val="single" w:sz="8" w:color="auto"/>
              <w:bottom w:val="single" w:sz="8" w:color="auto"/>
            </w:tcBorders>
            <w:shd w:val="clear" w:color="auto" w:fill="E0E7ED"/>
          </w:tcPr>
          <w:p>
            <w:pPr>
              <w:spacing w:after="0"/>
              <w:rPr>
                <w:sz w:val="15"/>
                <w:szCs w:val="15"/>
                <w:color w:val="auto"/>
              </w:rPr>
            </w:pPr>
          </w:p>
        </w:tc>
        <w:tc>
          <w:tcPr>
            <w:tcW w:w="9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748,568</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1,877,497</w:t>
            </w:r>
          </w:p>
        </w:tc>
      </w:tr>
      <w:tr>
        <w:trPr>
          <w:trHeight w:val="164"/>
        </w:trPr>
        <w:tc>
          <w:tcPr>
            <w:tcW w:w="2500" w:type="dxa"/>
            <w:vAlign w:val="bottom"/>
            <w:gridSpan w:val="2"/>
          </w:tcPr>
          <w:p>
            <w:pPr>
              <w:ind w:left="20"/>
              <w:spacing w:after="0" w:line="153" w:lineRule="exact"/>
              <w:rPr>
                <w:sz w:val="20"/>
                <w:szCs w:val="20"/>
                <w:color w:val="auto"/>
              </w:rPr>
            </w:pPr>
            <w:r>
              <w:rPr>
                <w:rFonts w:ascii="Verdana" w:cs="Verdana" w:eastAsia="Verdana" w:hAnsi="Verdana"/>
                <w:sz w:val="13"/>
                <w:szCs w:val="13"/>
                <w:color w:val="auto"/>
              </w:rPr>
              <w:t>Gross charge-offs</w:t>
            </w: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14,980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tcPr>
          <w:p>
            <w:pPr>
              <w:jc w:val="right"/>
              <w:spacing w:after="0"/>
              <w:rPr>
                <w:sz w:val="20"/>
                <w:szCs w:val="20"/>
                <w:color w:val="auto"/>
              </w:rPr>
            </w:pPr>
            <w:r>
              <w:rPr>
                <w:rFonts w:ascii="Verdana" w:cs="Verdana" w:eastAsia="Verdana" w:hAnsi="Verdana"/>
                <w:sz w:val="13"/>
                <w:szCs w:val="13"/>
                <w:color w:val="auto"/>
              </w:rPr>
              <w:t>128</w:t>
            </w:r>
          </w:p>
        </w:tc>
        <w:tc>
          <w:tcPr>
            <w:tcW w:w="10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22</w:t>
            </w:r>
          </w:p>
        </w:tc>
        <w:tc>
          <w:tcPr>
            <w:tcW w:w="80" w:type="dxa"/>
            <w:vAlign w:val="bottom"/>
          </w:tcPr>
          <w:p>
            <w:pPr>
              <w:spacing w:after="0"/>
              <w:rPr>
                <w:sz w:val="14"/>
                <w:szCs w:val="14"/>
                <w:color w:val="auto"/>
              </w:rPr>
            </w:pPr>
          </w:p>
        </w:tc>
        <w:tc>
          <w:tcPr>
            <w:tcW w:w="220" w:type="dxa"/>
            <w:vAlign w:val="bottom"/>
          </w:tcPr>
          <w:p>
            <w:pPr>
              <w:jc w:val="right"/>
              <w:ind w:right="57"/>
              <w:spacing w:after="0"/>
              <w:rPr>
                <w:sz w:val="20"/>
                <w:szCs w:val="20"/>
                <w:color w:val="auto"/>
              </w:rPr>
            </w:pPr>
            <w:r>
              <w:rPr>
                <w:rFonts w:ascii="Verdana" w:cs="Verdana" w:eastAsia="Verdana" w:hAnsi="Verdana"/>
                <w:sz w:val="13"/>
                <w:szCs w:val="13"/>
                <w:color w:val="auto"/>
                <w:w w:val="95"/>
              </w:rPr>
              <w:t>$</w:t>
            </w: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10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00" w:type="dxa"/>
            <w:vAlign w:val="bottom"/>
          </w:tcPr>
          <w:p>
            <w:pPr>
              <w:jc w:val="right"/>
              <w:spacing w:after="0"/>
              <w:rPr>
                <w:sz w:val="20"/>
                <w:szCs w:val="20"/>
                <w:color w:val="auto"/>
              </w:rPr>
            </w:pPr>
            <w:r>
              <w:rPr>
                <w:rFonts w:ascii="Verdana" w:cs="Verdana" w:eastAsia="Verdana" w:hAnsi="Verdana"/>
                <w:sz w:val="13"/>
                <w:szCs w:val="13"/>
                <w:color w:val="auto"/>
              </w:rPr>
              <w:t>303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15,433</w:t>
            </w:r>
          </w:p>
        </w:tc>
      </w:tr>
      <w:tr>
        <w:trPr>
          <w:trHeight w:val="208"/>
        </w:trPr>
        <w:tc>
          <w:tcPr>
            <w:tcW w:w="24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8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82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9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8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20" w:type="dxa"/>
            <w:vAlign w:val="bottom"/>
            <w:shd w:val="clear" w:color="auto" w:fill="E0E7ED"/>
          </w:tcPr>
          <w:p>
            <w:pPr>
              <w:spacing w:after="0"/>
              <w:rPr>
                <w:sz w:val="18"/>
                <w:szCs w:val="18"/>
                <w:color w:val="auto"/>
              </w:rPr>
            </w:pPr>
          </w:p>
        </w:tc>
        <w:tc>
          <w:tcPr>
            <w:tcW w:w="8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8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120" w:type="dxa"/>
            <w:vAlign w:val="bottom"/>
            <w:shd w:val="clear" w:color="auto" w:fill="E0E7ED"/>
          </w:tcPr>
          <w:p>
            <w:pPr>
              <w:spacing w:after="0"/>
              <w:rPr>
                <w:sz w:val="18"/>
                <w:szCs w:val="18"/>
                <w:color w:val="auto"/>
              </w:rPr>
            </w:pPr>
          </w:p>
        </w:tc>
        <w:tc>
          <w:tcPr>
            <w:tcW w:w="9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820" w:type="dxa"/>
            <w:vAlign w:val="bottom"/>
            <w:shd w:val="clear" w:color="auto" w:fill="E0E7ED"/>
          </w:tcPr>
          <w:p>
            <w:pPr>
              <w:spacing w:after="0"/>
              <w:rPr>
                <w:sz w:val="18"/>
                <w:szCs w:val="18"/>
                <w:color w:val="auto"/>
              </w:rPr>
            </w:pPr>
          </w:p>
        </w:tc>
      </w:tr>
      <w:tr>
        <w:trPr>
          <w:trHeight w:val="170"/>
        </w:trPr>
        <w:tc>
          <w:tcPr>
            <w:tcW w:w="2500" w:type="dxa"/>
            <w:vAlign w:val="bottom"/>
            <w:gridSpan w:val="2"/>
          </w:tcPr>
          <w:p>
            <w:pPr>
              <w:ind w:left="20"/>
              <w:spacing w:after="0"/>
              <w:rPr>
                <w:sz w:val="20"/>
                <w:szCs w:val="20"/>
                <w:color w:val="auto"/>
              </w:rPr>
            </w:pPr>
            <w:r>
              <w:rPr>
                <w:rFonts w:ascii="Verdana" w:cs="Verdana" w:eastAsia="Verdana" w:hAnsi="Verdana"/>
                <w:sz w:val="13"/>
                <w:szCs w:val="13"/>
                <w:b w:val="1"/>
                <w:bCs w:val="1"/>
                <w:color w:val="auto"/>
              </w:rPr>
              <w:t>Commercial real estate</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1"/>
        </w:trPr>
        <w:tc>
          <w:tcPr>
            <w:tcW w:w="250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Pass</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211,288</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373,175</w:t>
            </w:r>
          </w:p>
        </w:tc>
        <w:tc>
          <w:tcPr>
            <w:tcW w:w="1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9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819,235</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651,901</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370,205</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365,236</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23,441</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2,814,481</w:t>
            </w:r>
          </w:p>
        </w:tc>
      </w:tr>
      <w:tr>
        <w:trPr>
          <w:trHeight w:val="170"/>
        </w:trPr>
        <w:tc>
          <w:tcPr>
            <w:tcW w:w="2500" w:type="dxa"/>
            <w:vAlign w:val="bottom"/>
            <w:gridSpan w:val="2"/>
          </w:tcPr>
          <w:p>
            <w:pPr>
              <w:ind w:left="180"/>
              <w:spacing w:after="0"/>
              <w:rPr>
                <w:sz w:val="20"/>
                <w:szCs w:val="20"/>
                <w:color w:val="auto"/>
              </w:rPr>
            </w:pPr>
            <w:r>
              <w:rPr>
                <w:rFonts w:ascii="Verdana" w:cs="Verdana" w:eastAsia="Verdana" w:hAnsi="Verdana"/>
                <w:sz w:val="13"/>
                <w:szCs w:val="13"/>
                <w:color w:val="auto"/>
              </w:rPr>
              <w:t>Watch</w:t>
            </w:r>
          </w:p>
        </w:tc>
        <w:tc>
          <w:tcPr>
            <w:tcW w:w="2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97,909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142,283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Verdana" w:cs="Verdana" w:eastAsia="Verdana" w:hAnsi="Verdana"/>
                <w:sz w:val="13"/>
                <w:szCs w:val="13"/>
                <w:color w:val="auto"/>
              </w:rPr>
              <w:t>54,179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93,691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28,618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36,417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919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454,016</w:t>
            </w:r>
          </w:p>
        </w:tc>
      </w:tr>
      <w:tr>
        <w:trPr>
          <w:trHeight w:val="181"/>
        </w:trPr>
        <w:tc>
          <w:tcPr>
            <w:tcW w:w="250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Special Mention</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27,889</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1,435</w:t>
            </w:r>
          </w:p>
        </w:tc>
        <w:tc>
          <w:tcPr>
            <w:tcW w:w="1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9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8,085</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1,796</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8,958</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7,007</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8</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55,178</w:t>
            </w:r>
          </w:p>
        </w:tc>
      </w:tr>
      <w:tr>
        <w:trPr>
          <w:trHeight w:val="170"/>
        </w:trPr>
        <w:tc>
          <w:tcPr>
            <w:tcW w:w="2500" w:type="dxa"/>
            <w:vAlign w:val="bottom"/>
            <w:gridSpan w:val="2"/>
          </w:tcPr>
          <w:p>
            <w:pPr>
              <w:ind w:left="180"/>
              <w:spacing w:after="0"/>
              <w:rPr>
                <w:sz w:val="20"/>
                <w:szCs w:val="20"/>
                <w:color w:val="auto"/>
              </w:rPr>
            </w:pPr>
            <w:r>
              <w:rPr>
                <w:rFonts w:ascii="Verdana" w:cs="Verdana" w:eastAsia="Verdana" w:hAnsi="Verdana"/>
                <w:sz w:val="13"/>
                <w:szCs w:val="13"/>
                <w:color w:val="auto"/>
              </w:rPr>
              <w:t>Substandard</w:t>
            </w:r>
          </w:p>
        </w:tc>
        <w:tc>
          <w:tcPr>
            <w:tcW w:w="2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19,829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2,068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Verdana" w:cs="Verdana" w:eastAsia="Verdana" w:hAnsi="Verdana"/>
                <w:sz w:val="13"/>
                <w:szCs w:val="13"/>
                <w:color w:val="auto"/>
              </w:rPr>
              <w:t>4,667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51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131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4,786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50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31,582</w:t>
            </w:r>
          </w:p>
        </w:tc>
      </w:tr>
      <w:tr>
        <w:trPr>
          <w:trHeight w:val="181"/>
        </w:trPr>
        <w:tc>
          <w:tcPr>
            <w:tcW w:w="250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Substandard non-accrual</w:t>
            </w:r>
          </w:p>
        </w:tc>
        <w:tc>
          <w:tcPr>
            <w:tcW w:w="200" w:type="dxa"/>
            <w:vAlign w:val="bottom"/>
            <w:shd w:val="clear" w:color="auto" w:fill="E0E7ED"/>
          </w:tcPr>
          <w:p>
            <w:pPr>
              <w:spacing w:after="0"/>
              <w:rPr>
                <w:sz w:val="15"/>
                <w:szCs w:val="15"/>
                <w:color w:val="auto"/>
              </w:rPr>
            </w:pPr>
          </w:p>
        </w:tc>
        <w:tc>
          <w:tcPr>
            <w:tcW w:w="8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40</w:t>
            </w:r>
          </w:p>
        </w:tc>
        <w:tc>
          <w:tcPr>
            <w:tcW w:w="1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0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18</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492</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550</w:t>
            </w:r>
          </w:p>
        </w:tc>
      </w:tr>
      <w:tr>
        <w:trPr>
          <w:trHeight w:val="164"/>
        </w:trPr>
        <w:tc>
          <w:tcPr>
            <w:tcW w:w="2500" w:type="dxa"/>
            <w:vAlign w:val="bottom"/>
            <w:tcBorders>
              <w:bottom w:val="single" w:sz="8" w:color="E0E7ED"/>
            </w:tcBorders>
            <w:gridSpan w:val="2"/>
          </w:tcPr>
          <w:p>
            <w:pPr>
              <w:ind w:left="20"/>
              <w:spacing w:after="0" w:line="153" w:lineRule="exact"/>
              <w:rPr>
                <w:sz w:val="20"/>
                <w:szCs w:val="20"/>
                <w:color w:val="auto"/>
              </w:rPr>
            </w:pPr>
            <w:r>
              <w:rPr>
                <w:rFonts w:ascii="Verdana" w:cs="Verdana" w:eastAsia="Verdana" w:hAnsi="Verdana"/>
                <w:sz w:val="13"/>
                <w:szCs w:val="13"/>
                <w:color w:val="auto"/>
              </w:rPr>
              <w:t>Total commercial real estate</w:t>
            </w:r>
          </w:p>
        </w:tc>
        <w:tc>
          <w:tcPr>
            <w:tcW w:w="2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356,915</w:t>
            </w:r>
          </w:p>
        </w:tc>
        <w:tc>
          <w:tcPr>
            <w:tcW w:w="8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519,001</w:t>
            </w:r>
          </w:p>
        </w:tc>
        <w:tc>
          <w:tcPr>
            <w:tcW w:w="100" w:type="dxa"/>
            <w:vAlign w:val="bottom"/>
            <w:tcBorders>
              <w:bottom w:val="single" w:sz="8" w:color="E0E7ED"/>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886,166</w:t>
            </w:r>
          </w:p>
        </w:tc>
        <w:tc>
          <w:tcPr>
            <w:tcW w:w="10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747,439</w:t>
            </w:r>
          </w:p>
        </w:tc>
        <w:tc>
          <w:tcPr>
            <w:tcW w:w="80" w:type="dxa"/>
            <w:vAlign w:val="bottom"/>
            <w:tcBorders>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407,930</w:t>
            </w:r>
          </w:p>
        </w:tc>
        <w:tc>
          <w:tcPr>
            <w:tcW w:w="10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413,938</w:t>
            </w:r>
          </w:p>
        </w:tc>
        <w:tc>
          <w:tcPr>
            <w:tcW w:w="100" w:type="dxa"/>
            <w:vAlign w:val="bottom"/>
            <w:tcBorders>
              <w:bottom w:val="single" w:sz="8" w:color="E0E7ED"/>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24,418</w:t>
            </w:r>
          </w:p>
        </w:tc>
        <w:tc>
          <w:tcPr>
            <w:tcW w:w="8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3,355,807</w:t>
            </w:r>
          </w:p>
        </w:tc>
      </w:tr>
      <w:tr>
        <w:trPr>
          <w:trHeight w:val="174"/>
        </w:trPr>
        <w:tc>
          <w:tcPr>
            <w:tcW w:w="2500" w:type="dxa"/>
            <w:vAlign w:val="bottom"/>
            <w:gridSpan w:val="2"/>
            <w:shd w:val="clear" w:color="auto" w:fill="E0E7ED"/>
          </w:tcPr>
          <w:p>
            <w:pPr>
              <w:ind w:left="20"/>
              <w:spacing w:after="0"/>
              <w:rPr>
                <w:sz w:val="20"/>
                <w:szCs w:val="20"/>
                <w:color w:val="auto"/>
              </w:rPr>
            </w:pPr>
            <w:r>
              <w:rPr>
                <w:rFonts w:ascii="Verdana" w:cs="Verdana" w:eastAsia="Verdana" w:hAnsi="Verdana"/>
                <w:sz w:val="13"/>
                <w:szCs w:val="13"/>
                <w:color w:val="auto"/>
              </w:rPr>
              <w:t>Gross charge-offs</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9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315</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315</w:t>
            </w:r>
          </w:p>
        </w:tc>
      </w:tr>
      <w:tr>
        <w:trPr>
          <w:trHeight w:val="203"/>
        </w:trPr>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76"/>
        </w:trPr>
        <w:tc>
          <w:tcPr>
            <w:tcW w:w="2500" w:type="dxa"/>
            <w:vAlign w:val="bottom"/>
            <w:gridSpan w:val="2"/>
            <w:shd w:val="clear" w:color="auto" w:fill="E0E7ED"/>
          </w:tcPr>
          <w:p>
            <w:pPr>
              <w:ind w:left="20"/>
              <w:spacing w:after="0"/>
              <w:rPr>
                <w:sz w:val="20"/>
                <w:szCs w:val="20"/>
                <w:color w:val="auto"/>
              </w:rPr>
            </w:pPr>
            <w:r>
              <w:rPr>
                <w:rFonts w:ascii="Verdana" w:cs="Verdana" w:eastAsia="Verdana" w:hAnsi="Verdana"/>
                <w:sz w:val="13"/>
                <w:szCs w:val="13"/>
                <w:b w:val="1"/>
                <w:bCs w:val="1"/>
                <w:color w:val="auto"/>
              </w:rPr>
              <w:t>Real estate construction</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9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r>
      <w:tr>
        <w:trPr>
          <w:trHeight w:val="170"/>
        </w:trPr>
        <w:tc>
          <w:tcPr>
            <w:tcW w:w="2500" w:type="dxa"/>
            <w:vAlign w:val="bottom"/>
            <w:gridSpan w:val="2"/>
          </w:tcPr>
          <w:p>
            <w:pPr>
              <w:ind w:left="180"/>
              <w:spacing w:after="0"/>
              <w:rPr>
                <w:sz w:val="20"/>
                <w:szCs w:val="20"/>
                <w:color w:val="auto"/>
              </w:rPr>
            </w:pPr>
            <w:r>
              <w:rPr>
                <w:rFonts w:ascii="Verdana" w:cs="Verdana" w:eastAsia="Verdana" w:hAnsi="Verdana"/>
                <w:sz w:val="13"/>
                <w:szCs w:val="13"/>
                <w:color w:val="auto"/>
              </w:rPr>
              <w:t>Pass</w:t>
            </w:r>
          </w:p>
        </w:tc>
        <w:tc>
          <w:tcPr>
            <w:tcW w:w="2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156,726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120,079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Verdana" w:cs="Verdana" w:eastAsia="Verdana" w:hAnsi="Verdana"/>
                <w:sz w:val="13"/>
                <w:szCs w:val="13"/>
                <w:color w:val="auto"/>
              </w:rPr>
              <w:t>14,450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54,133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2,344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1,192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7,798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356,722</w:t>
            </w:r>
          </w:p>
        </w:tc>
      </w:tr>
      <w:tr>
        <w:trPr>
          <w:trHeight w:val="181"/>
        </w:trPr>
        <w:tc>
          <w:tcPr>
            <w:tcW w:w="250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Watch</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1,686</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6,471</w:t>
            </w:r>
          </w:p>
        </w:tc>
        <w:tc>
          <w:tcPr>
            <w:tcW w:w="1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0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19,480</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20" w:type="dxa"/>
            <w:vAlign w:val="bottom"/>
            <w:shd w:val="clear" w:color="auto" w:fill="E0E7ED"/>
          </w:tcPr>
          <w:p>
            <w:pPr>
              <w:spacing w:after="0"/>
              <w:rPr>
                <w:sz w:val="15"/>
                <w:szCs w:val="15"/>
                <w:color w:val="auto"/>
              </w:rPr>
            </w:pPr>
          </w:p>
        </w:tc>
        <w:tc>
          <w:tcPr>
            <w:tcW w:w="9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27,637</w:t>
            </w:r>
          </w:p>
        </w:tc>
      </w:tr>
      <w:tr>
        <w:trPr>
          <w:trHeight w:val="170"/>
        </w:trPr>
        <w:tc>
          <w:tcPr>
            <w:tcW w:w="2500" w:type="dxa"/>
            <w:vAlign w:val="bottom"/>
            <w:gridSpan w:val="2"/>
          </w:tcPr>
          <w:p>
            <w:pPr>
              <w:ind w:left="180"/>
              <w:spacing w:after="0"/>
              <w:rPr>
                <w:sz w:val="20"/>
                <w:szCs w:val="20"/>
                <w:color w:val="auto"/>
              </w:rPr>
            </w:pPr>
            <w:r>
              <w:rPr>
                <w:rFonts w:ascii="Verdana" w:cs="Verdana" w:eastAsia="Verdana" w:hAnsi="Verdana"/>
                <w:sz w:val="13"/>
                <w:szCs w:val="13"/>
                <w:color w:val="auto"/>
              </w:rPr>
              <w:t>Special Mention</w:t>
            </w: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8,306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62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8,368</w:t>
            </w:r>
          </w:p>
        </w:tc>
      </w:tr>
      <w:tr>
        <w:trPr>
          <w:trHeight w:val="181"/>
        </w:trPr>
        <w:tc>
          <w:tcPr>
            <w:tcW w:w="250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Substandard</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5,250</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10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20" w:type="dxa"/>
            <w:vAlign w:val="bottom"/>
            <w:shd w:val="clear" w:color="auto" w:fill="E0E7ED"/>
          </w:tcPr>
          <w:p>
            <w:pPr>
              <w:spacing w:after="0"/>
              <w:rPr>
                <w:sz w:val="15"/>
                <w:szCs w:val="15"/>
                <w:color w:val="auto"/>
              </w:rPr>
            </w:pPr>
          </w:p>
        </w:tc>
        <w:tc>
          <w:tcPr>
            <w:tcW w:w="9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5,250</w:t>
            </w:r>
          </w:p>
        </w:tc>
      </w:tr>
      <w:tr>
        <w:trPr>
          <w:trHeight w:val="170"/>
        </w:trPr>
        <w:tc>
          <w:tcPr>
            <w:tcW w:w="2500" w:type="dxa"/>
            <w:vAlign w:val="bottom"/>
            <w:gridSpan w:val="2"/>
          </w:tcPr>
          <w:p>
            <w:pPr>
              <w:ind w:left="180"/>
              <w:spacing w:after="0"/>
              <w:rPr>
                <w:sz w:val="20"/>
                <w:szCs w:val="20"/>
                <w:color w:val="auto"/>
              </w:rPr>
            </w:pPr>
            <w:r>
              <w:rPr>
                <w:rFonts w:ascii="Verdana" w:cs="Verdana" w:eastAsia="Verdana" w:hAnsi="Verdana"/>
                <w:sz w:val="13"/>
                <w:szCs w:val="13"/>
                <w:color w:val="auto"/>
              </w:rPr>
              <w:t>Substandard non-accrual</w:t>
            </w: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Verdana" w:cs="Verdana" w:eastAsia="Verdana" w:hAnsi="Verdana"/>
                <w:sz w:val="13"/>
                <w:szCs w:val="13"/>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w:t>
            </w:r>
          </w:p>
        </w:tc>
      </w:tr>
      <w:tr>
        <w:trPr>
          <w:trHeight w:val="174"/>
        </w:trPr>
        <w:tc>
          <w:tcPr>
            <w:tcW w:w="2500" w:type="dxa"/>
            <w:vAlign w:val="bottom"/>
            <w:tcBorders>
              <w:top w:val="single" w:sz="8" w:color="E0E7ED"/>
            </w:tcBorders>
            <w:gridSpan w:val="2"/>
            <w:shd w:val="clear" w:color="auto" w:fill="E0E7ED"/>
          </w:tcPr>
          <w:p>
            <w:pPr>
              <w:ind w:left="20"/>
              <w:spacing w:after="0"/>
              <w:rPr>
                <w:sz w:val="20"/>
                <w:szCs w:val="20"/>
                <w:color w:val="auto"/>
              </w:rPr>
            </w:pPr>
            <w:r>
              <w:rPr>
                <w:rFonts w:ascii="Verdana" w:cs="Verdana" w:eastAsia="Verdana" w:hAnsi="Verdana"/>
                <w:sz w:val="13"/>
                <w:szCs w:val="13"/>
                <w:color w:val="auto"/>
              </w:rPr>
              <w:t>Total real estate construction</w:t>
            </w: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163,662</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134,856</w:t>
            </w:r>
          </w:p>
        </w:tc>
        <w:tc>
          <w:tcPr>
            <w:tcW w:w="100" w:type="dxa"/>
            <w:vAlign w:val="bottom"/>
            <w:tcBorders>
              <w:top w:val="single" w:sz="8" w:color="E0E7ED"/>
            </w:tcBorders>
            <w:shd w:val="clear" w:color="auto" w:fill="E0E7ED"/>
          </w:tcPr>
          <w:p>
            <w:pPr>
              <w:spacing w:after="0"/>
              <w:rPr>
                <w:sz w:val="15"/>
                <w:szCs w:val="15"/>
                <w:color w:val="auto"/>
              </w:rPr>
            </w:pPr>
          </w:p>
        </w:tc>
        <w:tc>
          <w:tcPr>
            <w:tcW w:w="100" w:type="dxa"/>
            <w:vAlign w:val="bottom"/>
            <w:tcBorders>
              <w:top w:val="single" w:sz="8" w:color="auto"/>
              <w:bottom w:val="single" w:sz="8" w:color="auto"/>
            </w:tcBorders>
            <w:shd w:val="clear" w:color="auto" w:fill="E0E7ED"/>
          </w:tcPr>
          <w:p>
            <w:pPr>
              <w:spacing w:after="0"/>
              <w:rPr>
                <w:sz w:val="15"/>
                <w:szCs w:val="15"/>
                <w:color w:val="auto"/>
              </w:rPr>
            </w:pPr>
          </w:p>
        </w:tc>
        <w:tc>
          <w:tcPr>
            <w:tcW w:w="9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14,450</w:t>
            </w: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73,675</w:t>
            </w:r>
          </w:p>
        </w:tc>
        <w:tc>
          <w:tcPr>
            <w:tcW w:w="8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2,344</w:t>
            </w: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1,192</w:t>
            </w:r>
          </w:p>
        </w:tc>
        <w:tc>
          <w:tcPr>
            <w:tcW w:w="100" w:type="dxa"/>
            <w:vAlign w:val="bottom"/>
            <w:tcBorders>
              <w:top w:val="single" w:sz="8" w:color="E0E7ED"/>
            </w:tcBorders>
            <w:shd w:val="clear" w:color="auto" w:fill="E0E7ED"/>
          </w:tcPr>
          <w:p>
            <w:pPr>
              <w:spacing w:after="0"/>
              <w:rPr>
                <w:sz w:val="15"/>
                <w:szCs w:val="15"/>
                <w:color w:val="auto"/>
              </w:rPr>
            </w:pPr>
          </w:p>
        </w:tc>
        <w:tc>
          <w:tcPr>
            <w:tcW w:w="120" w:type="dxa"/>
            <w:vAlign w:val="bottom"/>
            <w:tcBorders>
              <w:top w:val="single" w:sz="8" w:color="auto"/>
              <w:bottom w:val="single" w:sz="8" w:color="auto"/>
            </w:tcBorders>
            <w:shd w:val="clear" w:color="auto" w:fill="E0E7ED"/>
          </w:tcPr>
          <w:p>
            <w:pPr>
              <w:spacing w:after="0"/>
              <w:rPr>
                <w:sz w:val="15"/>
                <w:szCs w:val="15"/>
                <w:color w:val="auto"/>
              </w:rPr>
            </w:pPr>
          </w:p>
        </w:tc>
        <w:tc>
          <w:tcPr>
            <w:tcW w:w="9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7,798</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397,977</w:t>
            </w:r>
          </w:p>
        </w:tc>
      </w:tr>
      <w:tr>
        <w:trPr>
          <w:trHeight w:val="164"/>
        </w:trPr>
        <w:tc>
          <w:tcPr>
            <w:tcW w:w="2500" w:type="dxa"/>
            <w:vAlign w:val="bottom"/>
            <w:gridSpan w:val="2"/>
          </w:tcPr>
          <w:p>
            <w:pPr>
              <w:ind w:left="20"/>
              <w:spacing w:after="0" w:line="153" w:lineRule="exact"/>
              <w:rPr>
                <w:sz w:val="20"/>
                <w:szCs w:val="20"/>
                <w:color w:val="auto"/>
              </w:rPr>
            </w:pPr>
            <w:r>
              <w:rPr>
                <w:rFonts w:ascii="Verdana" w:cs="Verdana" w:eastAsia="Verdana" w:hAnsi="Verdana"/>
                <w:sz w:val="13"/>
                <w:szCs w:val="13"/>
                <w:color w:val="auto"/>
              </w:rPr>
              <w:t>Gross charge-offs</w:t>
            </w:r>
          </w:p>
        </w:tc>
        <w:tc>
          <w:tcPr>
            <w:tcW w:w="2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Verdana" w:cs="Verdana" w:eastAsia="Verdana" w:hAnsi="Verdana"/>
                <w:sz w:val="13"/>
                <w:szCs w:val="13"/>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w:t>
            </w:r>
          </w:p>
        </w:tc>
      </w:tr>
      <w:tr>
        <w:trPr>
          <w:trHeight w:val="208"/>
        </w:trPr>
        <w:tc>
          <w:tcPr>
            <w:tcW w:w="24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8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82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9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8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20" w:type="dxa"/>
            <w:vAlign w:val="bottom"/>
            <w:shd w:val="clear" w:color="auto" w:fill="E0E7ED"/>
          </w:tcPr>
          <w:p>
            <w:pPr>
              <w:spacing w:after="0"/>
              <w:rPr>
                <w:sz w:val="18"/>
                <w:szCs w:val="18"/>
                <w:color w:val="auto"/>
              </w:rPr>
            </w:pPr>
          </w:p>
        </w:tc>
        <w:tc>
          <w:tcPr>
            <w:tcW w:w="8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8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120" w:type="dxa"/>
            <w:vAlign w:val="bottom"/>
            <w:shd w:val="clear" w:color="auto" w:fill="E0E7ED"/>
          </w:tcPr>
          <w:p>
            <w:pPr>
              <w:spacing w:after="0"/>
              <w:rPr>
                <w:sz w:val="18"/>
                <w:szCs w:val="18"/>
                <w:color w:val="auto"/>
              </w:rPr>
            </w:pPr>
          </w:p>
        </w:tc>
        <w:tc>
          <w:tcPr>
            <w:tcW w:w="9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820" w:type="dxa"/>
            <w:vAlign w:val="bottom"/>
            <w:shd w:val="clear" w:color="auto" w:fill="E0E7ED"/>
          </w:tcPr>
          <w:p>
            <w:pPr>
              <w:spacing w:after="0"/>
              <w:rPr>
                <w:sz w:val="18"/>
                <w:szCs w:val="18"/>
                <w:color w:val="auto"/>
              </w:rPr>
            </w:pPr>
          </w:p>
        </w:tc>
      </w:tr>
      <w:tr>
        <w:trPr>
          <w:trHeight w:val="170"/>
        </w:trPr>
        <w:tc>
          <w:tcPr>
            <w:tcW w:w="2500" w:type="dxa"/>
            <w:vAlign w:val="bottom"/>
            <w:gridSpan w:val="2"/>
          </w:tcPr>
          <w:p>
            <w:pPr>
              <w:ind w:left="20"/>
              <w:spacing w:after="0"/>
              <w:rPr>
                <w:sz w:val="20"/>
                <w:szCs w:val="20"/>
                <w:color w:val="auto"/>
              </w:rPr>
            </w:pPr>
            <w:r>
              <w:rPr>
                <w:rFonts w:ascii="Verdana" w:cs="Verdana" w:eastAsia="Verdana" w:hAnsi="Verdana"/>
                <w:sz w:val="13"/>
                <w:szCs w:val="13"/>
                <w:b w:val="1"/>
                <w:bCs w:val="1"/>
                <w:color w:val="auto"/>
              </w:rPr>
              <w:t>Retail real estate</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1"/>
        </w:trPr>
        <w:tc>
          <w:tcPr>
            <w:tcW w:w="250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Pass</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66,952</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244,309</w:t>
            </w:r>
          </w:p>
        </w:tc>
        <w:tc>
          <w:tcPr>
            <w:tcW w:w="1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9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374,402</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363,006</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150,835</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283,136</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210,188</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1,692,828</w:t>
            </w:r>
          </w:p>
        </w:tc>
      </w:tr>
      <w:tr>
        <w:trPr>
          <w:trHeight w:val="170"/>
        </w:trPr>
        <w:tc>
          <w:tcPr>
            <w:tcW w:w="2500" w:type="dxa"/>
            <w:vAlign w:val="bottom"/>
            <w:gridSpan w:val="2"/>
          </w:tcPr>
          <w:p>
            <w:pPr>
              <w:ind w:left="180"/>
              <w:spacing w:after="0"/>
              <w:rPr>
                <w:sz w:val="20"/>
                <w:szCs w:val="20"/>
                <w:color w:val="auto"/>
              </w:rPr>
            </w:pPr>
            <w:r>
              <w:rPr>
                <w:rFonts w:ascii="Verdana" w:cs="Verdana" w:eastAsia="Verdana" w:hAnsi="Verdana"/>
                <w:sz w:val="13"/>
                <w:szCs w:val="13"/>
                <w:color w:val="auto"/>
              </w:rPr>
              <w:t>Watch</w:t>
            </w:r>
          </w:p>
        </w:tc>
        <w:tc>
          <w:tcPr>
            <w:tcW w:w="2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804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634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Verdana" w:cs="Verdana" w:eastAsia="Verdana" w:hAnsi="Verdana"/>
                <w:sz w:val="13"/>
                <w:szCs w:val="13"/>
                <w:color w:val="auto"/>
              </w:rPr>
              <w:t>2,780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3,419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891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130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720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9,378</w:t>
            </w:r>
          </w:p>
        </w:tc>
      </w:tr>
      <w:tr>
        <w:trPr>
          <w:trHeight w:val="181"/>
        </w:trPr>
        <w:tc>
          <w:tcPr>
            <w:tcW w:w="250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Special Mention</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150</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9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347</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375</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872</w:t>
            </w:r>
          </w:p>
        </w:tc>
      </w:tr>
      <w:tr>
        <w:trPr>
          <w:trHeight w:val="170"/>
        </w:trPr>
        <w:tc>
          <w:tcPr>
            <w:tcW w:w="2500" w:type="dxa"/>
            <w:vAlign w:val="bottom"/>
            <w:gridSpan w:val="2"/>
          </w:tcPr>
          <w:p>
            <w:pPr>
              <w:ind w:left="180"/>
              <w:spacing w:after="0"/>
              <w:rPr>
                <w:sz w:val="20"/>
                <w:szCs w:val="20"/>
                <w:color w:val="auto"/>
              </w:rPr>
            </w:pPr>
            <w:r>
              <w:rPr>
                <w:rFonts w:ascii="Verdana" w:cs="Verdana" w:eastAsia="Verdana" w:hAnsi="Verdana"/>
                <w:sz w:val="13"/>
                <w:szCs w:val="13"/>
                <w:color w:val="auto"/>
              </w:rPr>
              <w:t>Substandard</w:t>
            </w: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254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Verdana" w:cs="Verdana" w:eastAsia="Verdana" w:hAnsi="Verdana"/>
                <w:sz w:val="13"/>
                <w:szCs w:val="13"/>
                <w:color w:val="auto"/>
              </w:rPr>
              <w:t>1,028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509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786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2,581</w:t>
            </w:r>
          </w:p>
        </w:tc>
      </w:tr>
      <w:tr>
        <w:trPr>
          <w:trHeight w:val="181"/>
        </w:trPr>
        <w:tc>
          <w:tcPr>
            <w:tcW w:w="250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Substandard non-accrual</w:t>
            </w:r>
          </w:p>
        </w:tc>
        <w:tc>
          <w:tcPr>
            <w:tcW w:w="200" w:type="dxa"/>
            <w:vAlign w:val="bottom"/>
            <w:shd w:val="clear" w:color="auto" w:fill="E0E7ED"/>
          </w:tcPr>
          <w:p>
            <w:pPr>
              <w:spacing w:after="0"/>
              <w:rPr>
                <w:sz w:val="15"/>
                <w:szCs w:val="15"/>
                <w:color w:val="auto"/>
              </w:rPr>
            </w:pPr>
          </w:p>
        </w:tc>
        <w:tc>
          <w:tcPr>
            <w:tcW w:w="8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9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159</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92</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241</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1,732</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888</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3,112</w:t>
            </w:r>
          </w:p>
        </w:tc>
      </w:tr>
      <w:tr>
        <w:trPr>
          <w:trHeight w:val="164"/>
        </w:trPr>
        <w:tc>
          <w:tcPr>
            <w:tcW w:w="2500" w:type="dxa"/>
            <w:vAlign w:val="bottom"/>
            <w:tcBorders>
              <w:bottom w:val="single" w:sz="8" w:color="E0E7ED"/>
            </w:tcBorders>
            <w:gridSpan w:val="2"/>
          </w:tcPr>
          <w:p>
            <w:pPr>
              <w:ind w:left="20"/>
              <w:spacing w:after="0" w:line="153" w:lineRule="exact"/>
              <w:rPr>
                <w:sz w:val="20"/>
                <w:szCs w:val="20"/>
                <w:color w:val="auto"/>
              </w:rPr>
            </w:pPr>
            <w:r>
              <w:rPr>
                <w:rFonts w:ascii="Verdana" w:cs="Verdana" w:eastAsia="Verdana" w:hAnsi="Verdana"/>
                <w:sz w:val="13"/>
                <w:szCs w:val="13"/>
                <w:color w:val="auto"/>
              </w:rPr>
              <w:t>Total retail real estate</w:t>
            </w:r>
          </w:p>
        </w:tc>
        <w:tc>
          <w:tcPr>
            <w:tcW w:w="2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67,906</w:t>
            </w:r>
          </w:p>
        </w:tc>
        <w:tc>
          <w:tcPr>
            <w:tcW w:w="8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245,197</w:t>
            </w:r>
          </w:p>
        </w:tc>
        <w:tc>
          <w:tcPr>
            <w:tcW w:w="100" w:type="dxa"/>
            <w:vAlign w:val="bottom"/>
            <w:tcBorders>
              <w:bottom w:val="single" w:sz="8" w:color="E0E7ED"/>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378,716</w:t>
            </w:r>
          </w:p>
        </w:tc>
        <w:tc>
          <w:tcPr>
            <w:tcW w:w="10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367,026</w:t>
            </w:r>
          </w:p>
        </w:tc>
        <w:tc>
          <w:tcPr>
            <w:tcW w:w="80" w:type="dxa"/>
            <w:vAlign w:val="bottom"/>
            <w:tcBorders>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151,967</w:t>
            </w:r>
          </w:p>
        </w:tc>
        <w:tc>
          <w:tcPr>
            <w:tcW w:w="10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286,159</w:t>
            </w:r>
          </w:p>
        </w:tc>
        <w:tc>
          <w:tcPr>
            <w:tcW w:w="100" w:type="dxa"/>
            <w:vAlign w:val="bottom"/>
            <w:tcBorders>
              <w:bottom w:val="single" w:sz="8" w:color="E0E7ED"/>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211,800</w:t>
            </w:r>
          </w:p>
        </w:tc>
        <w:tc>
          <w:tcPr>
            <w:tcW w:w="8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1,708,771</w:t>
            </w:r>
          </w:p>
        </w:tc>
      </w:tr>
      <w:tr>
        <w:trPr>
          <w:trHeight w:val="174"/>
        </w:trPr>
        <w:tc>
          <w:tcPr>
            <w:tcW w:w="2500" w:type="dxa"/>
            <w:vAlign w:val="bottom"/>
            <w:gridSpan w:val="2"/>
            <w:shd w:val="clear" w:color="auto" w:fill="E0E7ED"/>
          </w:tcPr>
          <w:p>
            <w:pPr>
              <w:ind w:left="20"/>
              <w:spacing w:after="0"/>
              <w:rPr>
                <w:sz w:val="20"/>
                <w:szCs w:val="20"/>
                <w:color w:val="auto"/>
              </w:rPr>
            </w:pPr>
            <w:r>
              <w:rPr>
                <w:rFonts w:ascii="Verdana" w:cs="Verdana" w:eastAsia="Verdana" w:hAnsi="Verdana"/>
                <w:sz w:val="13"/>
                <w:szCs w:val="13"/>
                <w:color w:val="auto"/>
              </w:rPr>
              <w:t>Gross charge-offs</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9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159</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159</w:t>
            </w:r>
          </w:p>
        </w:tc>
      </w:tr>
      <w:tr>
        <w:trPr>
          <w:trHeight w:val="203"/>
        </w:trPr>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75"/>
        </w:trPr>
        <w:tc>
          <w:tcPr>
            <w:tcW w:w="2500" w:type="dxa"/>
            <w:vAlign w:val="bottom"/>
            <w:gridSpan w:val="2"/>
            <w:shd w:val="clear" w:color="auto" w:fill="E0E7ED"/>
          </w:tcPr>
          <w:p>
            <w:pPr>
              <w:ind w:left="20"/>
              <w:spacing w:after="0"/>
              <w:rPr>
                <w:sz w:val="20"/>
                <w:szCs w:val="20"/>
                <w:color w:val="auto"/>
              </w:rPr>
            </w:pPr>
            <w:r>
              <w:rPr>
                <w:rFonts w:ascii="Verdana" w:cs="Verdana" w:eastAsia="Verdana" w:hAnsi="Verdana"/>
                <w:sz w:val="13"/>
                <w:szCs w:val="13"/>
                <w:b w:val="1"/>
                <w:bCs w:val="1"/>
                <w:color w:val="auto"/>
              </w:rPr>
              <w:t>Retail other</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9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r>
      <w:tr>
        <w:trPr>
          <w:trHeight w:val="170"/>
        </w:trPr>
        <w:tc>
          <w:tcPr>
            <w:tcW w:w="2500" w:type="dxa"/>
            <w:vAlign w:val="bottom"/>
            <w:gridSpan w:val="2"/>
          </w:tcPr>
          <w:p>
            <w:pPr>
              <w:ind w:left="180"/>
              <w:spacing w:after="0"/>
              <w:rPr>
                <w:sz w:val="20"/>
                <w:szCs w:val="20"/>
                <w:color w:val="auto"/>
              </w:rPr>
            </w:pPr>
            <w:r>
              <w:rPr>
                <w:rFonts w:ascii="Verdana" w:cs="Verdana" w:eastAsia="Verdana" w:hAnsi="Verdana"/>
                <w:sz w:val="13"/>
                <w:szCs w:val="13"/>
                <w:color w:val="auto"/>
              </w:rPr>
              <w:t>Pass</w:t>
            </w:r>
          </w:p>
        </w:tc>
        <w:tc>
          <w:tcPr>
            <w:tcW w:w="2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4,455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65,336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Verdana" w:cs="Verdana" w:eastAsia="Verdana" w:hAnsi="Verdana"/>
                <w:sz w:val="13"/>
                <w:szCs w:val="13"/>
                <w:color w:val="auto"/>
              </w:rPr>
              <w:t>66,707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15,016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3,559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1,198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312,586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468,857</w:t>
            </w:r>
          </w:p>
        </w:tc>
      </w:tr>
      <w:tr>
        <w:trPr>
          <w:trHeight w:val="181"/>
        </w:trPr>
        <w:tc>
          <w:tcPr>
            <w:tcW w:w="250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Watch</w:t>
            </w:r>
          </w:p>
        </w:tc>
        <w:tc>
          <w:tcPr>
            <w:tcW w:w="200" w:type="dxa"/>
            <w:vAlign w:val="bottom"/>
            <w:shd w:val="clear" w:color="auto" w:fill="E0E7ED"/>
          </w:tcPr>
          <w:p>
            <w:pPr>
              <w:spacing w:after="0"/>
              <w:rPr>
                <w:sz w:val="15"/>
                <w:szCs w:val="15"/>
                <w:color w:val="auto"/>
              </w:rPr>
            </w:pPr>
          </w:p>
        </w:tc>
        <w:tc>
          <w:tcPr>
            <w:tcW w:w="8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10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20" w:type="dxa"/>
            <w:vAlign w:val="bottom"/>
            <w:shd w:val="clear" w:color="auto" w:fill="E0E7ED"/>
          </w:tcPr>
          <w:p>
            <w:pPr>
              <w:spacing w:after="0"/>
              <w:rPr>
                <w:sz w:val="15"/>
                <w:szCs w:val="15"/>
                <w:color w:val="auto"/>
              </w:rPr>
            </w:pPr>
          </w:p>
        </w:tc>
        <w:tc>
          <w:tcPr>
            <w:tcW w:w="9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r>
      <w:tr>
        <w:trPr>
          <w:trHeight w:val="170"/>
        </w:trPr>
        <w:tc>
          <w:tcPr>
            <w:tcW w:w="2500" w:type="dxa"/>
            <w:vAlign w:val="bottom"/>
            <w:gridSpan w:val="2"/>
          </w:tcPr>
          <w:p>
            <w:pPr>
              <w:ind w:left="180"/>
              <w:spacing w:after="0"/>
              <w:rPr>
                <w:sz w:val="20"/>
                <w:szCs w:val="20"/>
                <w:color w:val="auto"/>
              </w:rPr>
            </w:pPr>
            <w:r>
              <w:rPr>
                <w:rFonts w:ascii="Verdana" w:cs="Verdana" w:eastAsia="Verdana" w:hAnsi="Verdana"/>
                <w:sz w:val="13"/>
                <w:szCs w:val="13"/>
                <w:color w:val="auto"/>
              </w:rPr>
              <w:t>Special Mention</w:t>
            </w: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Verdana" w:cs="Verdana" w:eastAsia="Verdana" w:hAnsi="Verdana"/>
                <w:sz w:val="13"/>
                <w:szCs w:val="13"/>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w:t>
            </w:r>
          </w:p>
        </w:tc>
      </w:tr>
      <w:tr>
        <w:trPr>
          <w:trHeight w:val="181"/>
        </w:trPr>
        <w:tc>
          <w:tcPr>
            <w:tcW w:w="250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Substandard</w:t>
            </w:r>
          </w:p>
        </w:tc>
        <w:tc>
          <w:tcPr>
            <w:tcW w:w="200" w:type="dxa"/>
            <w:vAlign w:val="bottom"/>
            <w:shd w:val="clear" w:color="auto" w:fill="E0E7ED"/>
          </w:tcPr>
          <w:p>
            <w:pPr>
              <w:spacing w:after="0"/>
              <w:rPr>
                <w:sz w:val="15"/>
                <w:szCs w:val="15"/>
                <w:color w:val="auto"/>
              </w:rPr>
            </w:pPr>
          </w:p>
        </w:tc>
        <w:tc>
          <w:tcPr>
            <w:tcW w:w="8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10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20" w:type="dxa"/>
            <w:vAlign w:val="bottom"/>
            <w:shd w:val="clear" w:color="auto" w:fill="E0E7ED"/>
          </w:tcPr>
          <w:p>
            <w:pPr>
              <w:spacing w:after="0"/>
              <w:rPr>
                <w:sz w:val="15"/>
                <w:szCs w:val="15"/>
                <w:color w:val="auto"/>
              </w:rPr>
            </w:pPr>
          </w:p>
        </w:tc>
        <w:tc>
          <w:tcPr>
            <w:tcW w:w="9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r>
      <w:tr>
        <w:trPr>
          <w:trHeight w:val="170"/>
        </w:trPr>
        <w:tc>
          <w:tcPr>
            <w:tcW w:w="2500" w:type="dxa"/>
            <w:vAlign w:val="bottom"/>
            <w:gridSpan w:val="2"/>
          </w:tcPr>
          <w:p>
            <w:pPr>
              <w:ind w:left="180"/>
              <w:spacing w:after="0"/>
              <w:rPr>
                <w:sz w:val="20"/>
                <w:szCs w:val="20"/>
                <w:color w:val="auto"/>
              </w:rPr>
            </w:pPr>
            <w:r>
              <w:rPr>
                <w:rFonts w:ascii="Verdana" w:cs="Verdana" w:eastAsia="Verdana" w:hAnsi="Verdana"/>
                <w:sz w:val="13"/>
                <w:szCs w:val="13"/>
                <w:color w:val="auto"/>
              </w:rPr>
              <w:t>Substandard non-accrual</w:t>
            </w: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Verdana" w:cs="Verdana" w:eastAsia="Verdana" w:hAnsi="Verdana"/>
                <w:sz w:val="13"/>
                <w:szCs w:val="13"/>
                <w:color w:val="auto"/>
              </w:rPr>
              <w:t>67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11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188</w:t>
            </w:r>
          </w:p>
        </w:tc>
      </w:tr>
      <w:tr>
        <w:trPr>
          <w:trHeight w:val="174"/>
        </w:trPr>
        <w:tc>
          <w:tcPr>
            <w:tcW w:w="2500" w:type="dxa"/>
            <w:vAlign w:val="bottom"/>
            <w:tcBorders>
              <w:top w:val="single" w:sz="8" w:color="E0E7ED"/>
            </w:tcBorders>
            <w:gridSpan w:val="2"/>
            <w:shd w:val="clear" w:color="auto" w:fill="E0E7ED"/>
          </w:tcPr>
          <w:p>
            <w:pPr>
              <w:ind w:left="20"/>
              <w:spacing w:after="0"/>
              <w:rPr>
                <w:sz w:val="20"/>
                <w:szCs w:val="20"/>
                <w:color w:val="auto"/>
              </w:rPr>
            </w:pPr>
            <w:r>
              <w:rPr>
                <w:rFonts w:ascii="Verdana" w:cs="Verdana" w:eastAsia="Verdana" w:hAnsi="Verdana"/>
                <w:sz w:val="13"/>
                <w:szCs w:val="13"/>
                <w:color w:val="auto"/>
              </w:rPr>
              <w:t>Total retail other</w:t>
            </w: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4,455</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65,446</w:t>
            </w:r>
          </w:p>
        </w:tc>
        <w:tc>
          <w:tcPr>
            <w:tcW w:w="100" w:type="dxa"/>
            <w:vAlign w:val="bottom"/>
            <w:tcBorders>
              <w:top w:val="single" w:sz="8" w:color="E0E7ED"/>
            </w:tcBorders>
            <w:shd w:val="clear" w:color="auto" w:fill="E0E7ED"/>
          </w:tcPr>
          <w:p>
            <w:pPr>
              <w:spacing w:after="0"/>
              <w:rPr>
                <w:sz w:val="15"/>
                <w:szCs w:val="15"/>
                <w:color w:val="auto"/>
              </w:rPr>
            </w:pPr>
          </w:p>
        </w:tc>
        <w:tc>
          <w:tcPr>
            <w:tcW w:w="100" w:type="dxa"/>
            <w:vAlign w:val="bottom"/>
            <w:tcBorders>
              <w:top w:val="single" w:sz="8" w:color="auto"/>
              <w:bottom w:val="single" w:sz="8" w:color="auto"/>
            </w:tcBorders>
            <w:shd w:val="clear" w:color="auto" w:fill="E0E7ED"/>
          </w:tcPr>
          <w:p>
            <w:pPr>
              <w:spacing w:after="0"/>
              <w:rPr>
                <w:sz w:val="15"/>
                <w:szCs w:val="15"/>
                <w:color w:val="auto"/>
              </w:rPr>
            </w:pPr>
          </w:p>
        </w:tc>
        <w:tc>
          <w:tcPr>
            <w:tcW w:w="9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66,774</w:t>
            </w: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15,016</w:t>
            </w:r>
          </w:p>
        </w:tc>
        <w:tc>
          <w:tcPr>
            <w:tcW w:w="8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3,559</w:t>
            </w: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1,209</w:t>
            </w:r>
          </w:p>
        </w:tc>
        <w:tc>
          <w:tcPr>
            <w:tcW w:w="100" w:type="dxa"/>
            <w:vAlign w:val="bottom"/>
            <w:tcBorders>
              <w:top w:val="single" w:sz="8" w:color="E0E7ED"/>
            </w:tcBorders>
            <w:shd w:val="clear" w:color="auto" w:fill="E0E7ED"/>
          </w:tcPr>
          <w:p>
            <w:pPr>
              <w:spacing w:after="0"/>
              <w:rPr>
                <w:sz w:val="15"/>
                <w:szCs w:val="15"/>
                <w:color w:val="auto"/>
              </w:rPr>
            </w:pPr>
          </w:p>
        </w:tc>
        <w:tc>
          <w:tcPr>
            <w:tcW w:w="120" w:type="dxa"/>
            <w:vAlign w:val="bottom"/>
            <w:tcBorders>
              <w:top w:val="single" w:sz="8" w:color="auto"/>
              <w:bottom w:val="single" w:sz="8" w:color="auto"/>
            </w:tcBorders>
            <w:shd w:val="clear" w:color="auto" w:fill="E0E7ED"/>
          </w:tcPr>
          <w:p>
            <w:pPr>
              <w:spacing w:after="0"/>
              <w:rPr>
                <w:sz w:val="15"/>
                <w:szCs w:val="15"/>
                <w:color w:val="auto"/>
              </w:rPr>
            </w:pPr>
          </w:p>
        </w:tc>
        <w:tc>
          <w:tcPr>
            <w:tcW w:w="9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312,586</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469,045</w:t>
            </w:r>
          </w:p>
        </w:tc>
      </w:tr>
      <w:tr>
        <w:trPr>
          <w:trHeight w:val="164"/>
        </w:trPr>
        <w:tc>
          <w:tcPr>
            <w:tcW w:w="2500" w:type="dxa"/>
            <w:vAlign w:val="bottom"/>
            <w:gridSpan w:val="2"/>
          </w:tcPr>
          <w:p>
            <w:pPr>
              <w:ind w:left="20"/>
              <w:spacing w:after="0" w:line="153" w:lineRule="exact"/>
              <w:rPr>
                <w:sz w:val="20"/>
                <w:szCs w:val="20"/>
                <w:color w:val="auto"/>
              </w:rPr>
            </w:pPr>
            <w:r>
              <w:rPr>
                <w:rFonts w:ascii="Verdana" w:cs="Verdana" w:eastAsia="Verdana" w:hAnsi="Verdana"/>
                <w:sz w:val="13"/>
                <w:szCs w:val="13"/>
                <w:color w:val="auto"/>
              </w:rPr>
              <w:t>Gross charge-offs</w:t>
            </w:r>
          </w:p>
        </w:tc>
        <w:tc>
          <w:tcPr>
            <w:tcW w:w="2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Verdana" w:cs="Verdana" w:eastAsia="Verdana" w:hAnsi="Verdana"/>
                <w:sz w:val="13"/>
                <w:szCs w:val="13"/>
                <w:color w:val="auto"/>
              </w:rPr>
              <w:t>88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72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302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503</w:t>
            </w:r>
          </w:p>
        </w:tc>
      </w:tr>
      <w:tr>
        <w:trPr>
          <w:trHeight w:val="208"/>
        </w:trPr>
        <w:tc>
          <w:tcPr>
            <w:tcW w:w="24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8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82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9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8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20" w:type="dxa"/>
            <w:vAlign w:val="bottom"/>
            <w:shd w:val="clear" w:color="auto" w:fill="E0E7ED"/>
          </w:tcPr>
          <w:p>
            <w:pPr>
              <w:spacing w:after="0"/>
              <w:rPr>
                <w:sz w:val="18"/>
                <w:szCs w:val="18"/>
                <w:color w:val="auto"/>
              </w:rPr>
            </w:pPr>
          </w:p>
        </w:tc>
        <w:tc>
          <w:tcPr>
            <w:tcW w:w="8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8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120" w:type="dxa"/>
            <w:vAlign w:val="bottom"/>
            <w:shd w:val="clear" w:color="auto" w:fill="E0E7ED"/>
          </w:tcPr>
          <w:p>
            <w:pPr>
              <w:spacing w:after="0"/>
              <w:rPr>
                <w:sz w:val="18"/>
                <w:szCs w:val="18"/>
                <w:color w:val="auto"/>
              </w:rPr>
            </w:pPr>
          </w:p>
        </w:tc>
        <w:tc>
          <w:tcPr>
            <w:tcW w:w="9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820" w:type="dxa"/>
            <w:vAlign w:val="bottom"/>
            <w:shd w:val="clear" w:color="auto" w:fill="E0E7ED"/>
          </w:tcPr>
          <w:p>
            <w:pPr>
              <w:spacing w:after="0"/>
              <w:rPr>
                <w:sz w:val="18"/>
                <w:szCs w:val="18"/>
                <w:color w:val="auto"/>
              </w:rPr>
            </w:pPr>
          </w:p>
        </w:tc>
      </w:tr>
      <w:tr>
        <w:trPr>
          <w:trHeight w:val="175"/>
        </w:trPr>
        <w:tc>
          <w:tcPr>
            <w:tcW w:w="2500" w:type="dxa"/>
            <w:vAlign w:val="bottom"/>
            <w:gridSpan w:val="2"/>
          </w:tcPr>
          <w:p>
            <w:pPr>
              <w:ind w:left="20"/>
              <w:spacing w:after="0"/>
              <w:rPr>
                <w:sz w:val="20"/>
                <w:szCs w:val="20"/>
                <w:color w:val="auto"/>
              </w:rPr>
            </w:pPr>
            <w:r>
              <w:rPr>
                <w:rFonts w:ascii="Verdana" w:cs="Verdana" w:eastAsia="Verdana" w:hAnsi="Verdana"/>
                <w:sz w:val="13"/>
                <w:szCs w:val="13"/>
                <w:b w:val="1"/>
                <w:bCs w:val="1"/>
                <w:color w:val="auto"/>
              </w:rPr>
              <w:t>Total portfolio loans</w:t>
            </w:r>
          </w:p>
        </w:tc>
        <w:tc>
          <w:tcPr>
            <w:tcW w:w="200" w:type="dxa"/>
            <w:vAlign w:val="bottom"/>
            <w:tcBorders>
              <w:bottom w:val="single" w:sz="8" w:color="auto"/>
            </w:tcBorders>
          </w:tcPr>
          <w:p>
            <w:pPr>
              <w:jc w:val="right"/>
              <w:ind w:right="37"/>
              <w:spacing w:after="0"/>
              <w:rPr>
                <w:sz w:val="20"/>
                <w:szCs w:val="20"/>
                <w:color w:val="auto"/>
              </w:rPr>
            </w:pPr>
            <w:r>
              <w:rPr>
                <w:rFonts w:ascii="Verdana" w:cs="Verdana" w:eastAsia="Verdana" w:hAnsi="Verdana"/>
                <w:sz w:val="13"/>
                <w:szCs w:val="13"/>
                <w:color w:val="auto"/>
                <w:w w:val="95"/>
              </w:rPr>
              <w:t>$</w:t>
            </w:r>
          </w:p>
        </w:tc>
        <w:tc>
          <w:tcPr>
            <w:tcW w:w="80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815,118</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1,232,108</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1,579,811</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1,360,535</w:t>
            </w:r>
          </w:p>
        </w:tc>
        <w:tc>
          <w:tcPr>
            <w:tcW w:w="80" w:type="dxa"/>
            <w:vAlign w:val="bottom"/>
          </w:tcPr>
          <w:p>
            <w:pPr>
              <w:spacing w:after="0"/>
              <w:rPr>
                <w:sz w:val="15"/>
                <w:szCs w:val="15"/>
                <w:color w:val="auto"/>
              </w:rPr>
            </w:pPr>
          </w:p>
        </w:tc>
        <w:tc>
          <w:tcPr>
            <w:tcW w:w="220" w:type="dxa"/>
            <w:vAlign w:val="bottom"/>
            <w:tcBorders>
              <w:bottom w:val="single" w:sz="8" w:color="auto"/>
            </w:tcBorders>
          </w:tcPr>
          <w:p>
            <w:pPr>
              <w:jc w:val="right"/>
              <w:ind w:right="57"/>
              <w:spacing w:after="0"/>
              <w:rPr>
                <w:sz w:val="20"/>
                <w:szCs w:val="20"/>
                <w:color w:val="auto"/>
              </w:rPr>
            </w:pPr>
            <w:r>
              <w:rPr>
                <w:rFonts w:ascii="Verdana" w:cs="Verdana" w:eastAsia="Verdana" w:hAnsi="Verdana"/>
                <w:sz w:val="13"/>
                <w:szCs w:val="13"/>
                <w:color w:val="auto"/>
                <w:w w:val="95"/>
              </w:rPr>
              <w:t>$</w:t>
            </w:r>
          </w:p>
        </w:tc>
        <w:tc>
          <w:tcPr>
            <w:tcW w:w="80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646,636</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37"/>
              <w:spacing w:after="0"/>
              <w:rPr>
                <w:sz w:val="20"/>
                <w:szCs w:val="20"/>
                <w:color w:val="auto"/>
              </w:rPr>
            </w:pPr>
            <w:r>
              <w:rPr>
                <w:rFonts w:ascii="Verdana" w:cs="Verdana" w:eastAsia="Verdana" w:hAnsi="Verdana"/>
                <w:sz w:val="13"/>
                <w:szCs w:val="13"/>
                <w:color w:val="auto"/>
                <w:w w:val="95"/>
              </w:rPr>
              <w:t>$</w:t>
            </w:r>
          </w:p>
        </w:tc>
        <w:tc>
          <w:tcPr>
            <w:tcW w:w="80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869,719</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1,305,170</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7,809,097</w:t>
            </w:r>
          </w:p>
        </w:tc>
      </w:tr>
      <w:tr>
        <w:trPr>
          <w:trHeight w:val="20"/>
        </w:trPr>
        <w:tc>
          <w:tcPr>
            <w:tcW w:w="240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5"/>
        </w:trPr>
        <w:tc>
          <w:tcPr>
            <w:tcW w:w="2500" w:type="dxa"/>
            <w:vAlign w:val="bottom"/>
            <w:tcBorders>
              <w:bottom w:val="single" w:sz="8" w:color="E0E7ED"/>
            </w:tcBorders>
            <w:gridSpan w:val="2"/>
            <w:shd w:val="clear" w:color="auto" w:fill="E0E7ED"/>
          </w:tcPr>
          <w:p>
            <w:pPr>
              <w:ind w:left="20"/>
              <w:spacing w:after="0"/>
              <w:rPr>
                <w:sz w:val="20"/>
                <w:szCs w:val="20"/>
                <w:color w:val="auto"/>
              </w:rPr>
            </w:pPr>
            <w:r>
              <w:rPr>
                <w:rFonts w:ascii="Verdana" w:cs="Verdana" w:eastAsia="Verdana" w:hAnsi="Verdana"/>
                <w:sz w:val="13"/>
                <w:szCs w:val="13"/>
                <w:b w:val="1"/>
                <w:bCs w:val="1"/>
                <w:color w:val="auto"/>
              </w:rPr>
              <w:t>Total gross charge-offs</w:t>
            </w:r>
          </w:p>
        </w:tc>
        <w:tc>
          <w:tcPr>
            <w:tcW w:w="200" w:type="dxa"/>
            <w:vAlign w:val="bottom"/>
            <w:tcBorders>
              <w:bottom w:val="single" w:sz="8" w:color="auto"/>
            </w:tcBorders>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80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7</w:t>
            </w:r>
          </w:p>
        </w:tc>
        <w:tc>
          <w:tcPr>
            <w:tcW w:w="80" w:type="dxa"/>
            <w:vAlign w:val="bottom"/>
            <w:tcBorders>
              <w:bottom w:val="single" w:sz="8" w:color="E0E7ED"/>
            </w:tcBorders>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15,010</w:t>
            </w:r>
          </w:p>
        </w:tc>
        <w:tc>
          <w:tcPr>
            <w:tcW w:w="10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216</w:t>
            </w:r>
          </w:p>
        </w:tc>
        <w:tc>
          <w:tcPr>
            <w:tcW w:w="100" w:type="dxa"/>
            <w:vAlign w:val="bottom"/>
            <w:tcBorders>
              <w:bottom w:val="single" w:sz="8" w:color="E0E7ED"/>
            </w:tcBorders>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94</w:t>
            </w:r>
          </w:p>
        </w:tc>
        <w:tc>
          <w:tcPr>
            <w:tcW w:w="80" w:type="dxa"/>
            <w:vAlign w:val="bottom"/>
            <w:tcBorders>
              <w:bottom w:val="single" w:sz="8" w:color="E0E7ED"/>
            </w:tcBorders>
            <w:shd w:val="clear" w:color="auto" w:fill="E0E7ED"/>
          </w:tcPr>
          <w:p>
            <w:pPr>
              <w:spacing w:after="0"/>
              <w:rPr>
                <w:sz w:val="16"/>
                <w:szCs w:val="16"/>
                <w:color w:val="auto"/>
              </w:rPr>
            </w:pPr>
          </w:p>
        </w:tc>
        <w:tc>
          <w:tcPr>
            <w:tcW w:w="220" w:type="dxa"/>
            <w:vAlign w:val="bottom"/>
            <w:tcBorders>
              <w:bottom w:val="single" w:sz="8" w:color="auto"/>
            </w:tcBorders>
            <w:shd w:val="clear" w:color="auto" w:fill="E0E7ED"/>
          </w:tcPr>
          <w:p>
            <w:pPr>
              <w:jc w:val="right"/>
              <w:ind w:right="57"/>
              <w:spacing w:after="0"/>
              <w:rPr>
                <w:sz w:val="20"/>
                <w:szCs w:val="20"/>
                <w:color w:val="auto"/>
              </w:rPr>
            </w:pPr>
            <w:r>
              <w:rPr>
                <w:rFonts w:ascii="Verdana" w:cs="Verdana" w:eastAsia="Verdana" w:hAnsi="Verdana"/>
                <w:sz w:val="13"/>
                <w:szCs w:val="13"/>
                <w:color w:val="auto"/>
                <w:w w:val="95"/>
              </w:rPr>
              <w:t>$</w:t>
            </w:r>
          </w:p>
        </w:tc>
        <w:tc>
          <w:tcPr>
            <w:tcW w:w="80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4</w:t>
            </w:r>
          </w:p>
        </w:tc>
        <w:tc>
          <w:tcPr>
            <w:tcW w:w="100" w:type="dxa"/>
            <w:vAlign w:val="bottom"/>
            <w:tcBorders>
              <w:bottom w:val="single" w:sz="8" w:color="E0E7ED"/>
            </w:tcBorders>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8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1,079</w:t>
            </w:r>
          </w:p>
        </w:tc>
        <w:tc>
          <w:tcPr>
            <w:tcW w:w="100" w:type="dxa"/>
            <w:vAlign w:val="bottom"/>
            <w:tcBorders>
              <w:bottom w:val="single" w:sz="8" w:color="E0E7ED"/>
            </w:tcBorders>
            <w:shd w:val="clear" w:color="auto" w:fill="E0E7ED"/>
          </w:tcPr>
          <w:p>
            <w:pPr>
              <w:spacing w:after="0"/>
              <w:rPr>
                <w:sz w:val="16"/>
                <w:szCs w:val="16"/>
                <w:color w:val="auto"/>
              </w:rPr>
            </w:pPr>
          </w:p>
        </w:tc>
        <w:tc>
          <w:tcPr>
            <w:tcW w:w="1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tcBorders>
              <w:bottom w:val="single" w:sz="8" w:color="E0E7ED"/>
            </w:tcBorders>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16,410</w:t>
            </w:r>
          </w:p>
        </w:tc>
      </w:tr>
      <w:tr>
        <w:trPr>
          <w:trHeight w:val="20"/>
        </w:trPr>
        <w:tc>
          <w:tcPr>
            <w:tcW w:w="240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8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8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bottom w:val="single" w:sz="8" w:color="auto"/>
            </w:tcBorders>
          </w:tcPr>
          <w:p>
            <w:pPr>
              <w:spacing w:after="0" w:line="20" w:lineRule="exact"/>
              <w:rPr>
                <w:sz w:val="1"/>
                <w:szCs w:val="1"/>
                <w:color w:val="auto"/>
              </w:rPr>
            </w:pPr>
          </w:p>
        </w:tc>
        <w:tc>
          <w:tcPr>
            <w:tcW w:w="9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8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8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8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E0E7ED"/>
              <w:bottom w:val="single" w:sz="8" w:color="auto"/>
            </w:tcBorders>
          </w:tcPr>
          <w:p>
            <w:pPr>
              <w:spacing w:after="0" w:line="20" w:lineRule="exact"/>
              <w:rPr>
                <w:sz w:val="1"/>
                <w:szCs w:val="1"/>
                <w:color w:val="auto"/>
              </w:rPr>
            </w:pPr>
          </w:p>
        </w:tc>
        <w:tc>
          <w:tcPr>
            <w:tcW w:w="9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820" w:type="dxa"/>
            <w:vAlign w:val="bottom"/>
            <w:tcBorders>
              <w:top w:val="single" w:sz="8" w:color="E0E7ED"/>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940"/>
        <w:spacing w:after="0"/>
        <w:rPr>
          <w:sz w:val="20"/>
          <w:szCs w:val="20"/>
          <w:color w:val="auto"/>
        </w:rPr>
      </w:pPr>
      <w:r>
        <w:rPr>
          <w:rFonts w:ascii="Verdana" w:cs="Verdana" w:eastAsia="Verdana" w:hAnsi="Verdana"/>
          <w:sz w:val="17"/>
          <w:szCs w:val="17"/>
          <w:color w:val="808285"/>
        </w:rPr>
        <w:t xml:space="preserve">First Busey Corporation (BUSE) | </w:t>
      </w:r>
      <w:r>
        <w:rPr>
          <w:rFonts w:ascii="Verdana" w:cs="Verdana" w:eastAsia="Verdana" w:hAnsi="Verdana"/>
          <w:sz w:val="17"/>
          <w:szCs w:val="17"/>
          <w:b w:val="1"/>
          <w:bCs w:val="1"/>
          <w:color w:val="376484"/>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28" w:name="page29"/>
    <w:bookmarkEnd w:id="28"/>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40" w:type="dxa"/>
            <w:vAlign w:val="bottom"/>
            <w:tcBorders>
              <w:bottom w:val="single" w:sz="8" w:color="auto"/>
            </w:tcBorders>
            <w:gridSpan w:val="11"/>
          </w:tcPr>
          <w:p>
            <w:pPr>
              <w:ind w:left="220"/>
              <w:spacing w:after="0"/>
              <w:rPr>
                <w:sz w:val="20"/>
                <w:szCs w:val="20"/>
                <w:color w:val="auto"/>
              </w:rPr>
            </w:pPr>
            <w:r>
              <w:rPr>
                <w:rFonts w:ascii="Verdana" w:cs="Verdana" w:eastAsia="Verdana" w:hAnsi="Verdana"/>
                <w:sz w:val="13"/>
                <w:szCs w:val="13"/>
                <w:b w:val="1"/>
                <w:bCs w:val="1"/>
                <w:color w:val="auto"/>
              </w:rPr>
              <w:t>As of and For The Year Ended December 31, 2023</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83"/>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240" w:type="dxa"/>
            <w:vAlign w:val="bottom"/>
            <w:tcBorders>
              <w:bottom w:val="single" w:sz="8" w:color="auto"/>
            </w:tcBorders>
            <w:gridSpan w:val="11"/>
          </w:tcPr>
          <w:p>
            <w:pPr>
              <w:ind w:left="80"/>
              <w:spacing w:after="0"/>
              <w:rPr>
                <w:sz w:val="20"/>
                <w:szCs w:val="20"/>
                <w:color w:val="auto"/>
              </w:rPr>
            </w:pPr>
            <w:r>
              <w:rPr>
                <w:rFonts w:ascii="Verdana" w:cs="Verdana" w:eastAsia="Verdana" w:hAnsi="Verdana"/>
                <w:sz w:val="13"/>
                <w:szCs w:val="13"/>
                <w:b w:val="1"/>
                <w:bCs w:val="1"/>
                <w:color w:val="auto"/>
              </w:rPr>
              <w:t>Term Loans Amortized Cost Basis by Origination Year</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Verdana" w:cs="Verdana" w:eastAsia="Verdana" w:hAnsi="Verdana"/>
                <w:sz w:val="13"/>
                <w:szCs w:val="13"/>
                <w:b w:val="1"/>
                <w:bCs w:val="1"/>
                <w:color w:val="auto"/>
                <w:w w:val="97"/>
              </w:rPr>
              <w:t>Revolving</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4"/>
        </w:trPr>
        <w:tc>
          <w:tcPr>
            <w:tcW w:w="2480" w:type="dxa"/>
            <w:vAlign w:val="bottom"/>
            <w:gridSpan w:val="2"/>
          </w:tcPr>
          <w:p>
            <w:pPr>
              <w:ind w:left="520"/>
              <w:spacing w:after="0"/>
              <w:rPr>
                <w:sz w:val="20"/>
                <w:szCs w:val="20"/>
                <w:color w:val="auto"/>
              </w:rPr>
            </w:pPr>
            <w:r>
              <w:rPr>
                <w:rFonts w:ascii="Verdana" w:cs="Verdana" w:eastAsia="Verdana" w:hAnsi="Verdana"/>
                <w:sz w:val="13"/>
                <w:szCs w:val="13"/>
                <w:b w:val="1"/>
                <w:bCs w:val="1"/>
                <w:color w:val="auto"/>
              </w:rPr>
              <w:t>Risk Grade Ratings</w:t>
            </w:r>
          </w:p>
        </w:tc>
        <w:tc>
          <w:tcPr>
            <w:tcW w:w="200" w:type="dxa"/>
            <w:vAlign w:val="bottom"/>
          </w:tcPr>
          <w:p>
            <w:pPr>
              <w:spacing w:after="0"/>
              <w:rPr>
                <w:sz w:val="15"/>
                <w:szCs w:val="15"/>
                <w:color w:val="auto"/>
              </w:rPr>
            </w:pPr>
          </w:p>
        </w:tc>
        <w:tc>
          <w:tcPr>
            <w:tcW w:w="820" w:type="dxa"/>
            <w:vAlign w:val="bottom"/>
          </w:tcPr>
          <w:p>
            <w:pPr>
              <w:jc w:val="right"/>
              <w:ind w:right="277"/>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57"/>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57"/>
              <w:spacing w:after="0"/>
              <w:rPr>
                <w:sz w:val="20"/>
                <w:szCs w:val="20"/>
                <w:color w:val="auto"/>
              </w:rPr>
            </w:pPr>
            <w:r>
              <w:rPr>
                <w:rFonts w:ascii="Verdana" w:cs="Verdana" w:eastAsia="Verdana" w:hAnsi="Verdana"/>
                <w:sz w:val="13"/>
                <w:szCs w:val="13"/>
                <w:b w:val="1"/>
                <w:bCs w:val="1"/>
                <w:color w:val="auto"/>
              </w:rPr>
              <w:t>2021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77"/>
              <w:spacing w:after="0"/>
              <w:rPr>
                <w:sz w:val="20"/>
                <w:szCs w:val="20"/>
                <w:color w:val="auto"/>
              </w:rPr>
            </w:pPr>
            <w:r>
              <w:rPr>
                <w:rFonts w:ascii="Verdana" w:cs="Verdana" w:eastAsia="Verdana" w:hAnsi="Verdana"/>
                <w:sz w:val="13"/>
                <w:szCs w:val="13"/>
                <w:b w:val="1"/>
                <w:bCs w:val="1"/>
                <w:color w:val="auto"/>
              </w:rPr>
              <w:t>2020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57"/>
              <w:spacing w:after="0"/>
              <w:rPr>
                <w:sz w:val="20"/>
                <w:szCs w:val="20"/>
                <w:color w:val="auto"/>
              </w:rPr>
            </w:pPr>
            <w:r>
              <w:rPr>
                <w:rFonts w:ascii="Verdana" w:cs="Verdana" w:eastAsia="Verdana" w:hAnsi="Verdana"/>
                <w:sz w:val="13"/>
                <w:szCs w:val="13"/>
                <w:b w:val="1"/>
                <w:bCs w:val="1"/>
                <w:color w:val="auto"/>
              </w:rPr>
              <w:t>2019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Verdana" w:cs="Verdana" w:eastAsia="Verdana" w:hAnsi="Verdana"/>
                <w:sz w:val="13"/>
                <w:szCs w:val="13"/>
                <w:b w:val="1"/>
                <w:bCs w:val="1"/>
                <w:color w:val="auto"/>
              </w:rPr>
              <w:t>Prior</w:t>
            </w:r>
          </w:p>
        </w:tc>
        <w:tc>
          <w:tcPr>
            <w:tcW w:w="12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Verdana" w:cs="Verdana" w:eastAsia="Verdana" w:hAnsi="Verdana"/>
                <w:sz w:val="13"/>
                <w:szCs w:val="13"/>
                <w:b w:val="1"/>
                <w:bCs w:val="1"/>
                <w:color w:val="auto"/>
                <w:w w:val="97"/>
              </w:rPr>
              <w:t>Loans</w:t>
            </w:r>
          </w:p>
        </w:tc>
        <w:tc>
          <w:tcPr>
            <w:tcW w:w="200" w:type="dxa"/>
            <w:vAlign w:val="bottom"/>
          </w:tcPr>
          <w:p>
            <w:pPr>
              <w:spacing w:after="0"/>
              <w:rPr>
                <w:sz w:val="15"/>
                <w:szCs w:val="15"/>
                <w:color w:val="auto"/>
              </w:rPr>
            </w:pPr>
          </w:p>
        </w:tc>
        <w:tc>
          <w:tcPr>
            <w:tcW w:w="820" w:type="dxa"/>
            <w:vAlign w:val="bottom"/>
          </w:tcPr>
          <w:p>
            <w:pPr>
              <w:jc w:val="right"/>
              <w:ind w:right="257"/>
              <w:spacing w:after="0"/>
              <w:rPr>
                <w:sz w:val="20"/>
                <w:szCs w:val="20"/>
                <w:color w:val="auto"/>
              </w:rPr>
            </w:pPr>
            <w:r>
              <w:rPr>
                <w:rFonts w:ascii="Verdana" w:cs="Verdana" w:eastAsia="Verdana" w:hAnsi="Verdana"/>
                <w:sz w:val="13"/>
                <w:szCs w:val="13"/>
                <w:b w:val="1"/>
                <w:bCs w:val="1"/>
                <w:color w:val="auto"/>
              </w:rPr>
              <w:t>Total</w:t>
            </w:r>
          </w:p>
        </w:tc>
      </w:tr>
      <w:tr>
        <w:trPr>
          <w:trHeight w:val="174"/>
        </w:trPr>
        <w:tc>
          <w:tcPr>
            <w:tcW w:w="2380" w:type="dxa"/>
            <w:vAlign w:val="bottom"/>
            <w:tcBorders>
              <w:top w:val="single" w:sz="8" w:color="auto"/>
            </w:tcBorders>
            <w:shd w:val="clear" w:color="auto" w:fill="E0E7ED"/>
          </w:tcPr>
          <w:p>
            <w:pPr>
              <w:ind w:left="20"/>
              <w:spacing w:after="0"/>
              <w:rPr>
                <w:sz w:val="20"/>
                <w:szCs w:val="20"/>
                <w:color w:val="auto"/>
              </w:rPr>
            </w:pPr>
            <w:r>
              <w:rPr>
                <w:rFonts w:ascii="Verdana" w:cs="Verdana" w:eastAsia="Verdana" w:hAnsi="Verdana"/>
                <w:sz w:val="13"/>
                <w:szCs w:val="13"/>
                <w:b w:val="1"/>
                <w:bCs w:val="1"/>
                <w:color w:val="auto"/>
              </w:rPr>
              <w:t>C&amp;I and other commercial</w:t>
            </w: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tcBorders>
            <w:shd w:val="clear" w:color="auto" w:fill="E0E7ED"/>
          </w:tcPr>
          <w:p>
            <w:pPr>
              <w:spacing w:after="0"/>
              <w:rPr>
                <w:sz w:val="15"/>
                <w:szCs w:val="15"/>
                <w:color w:val="auto"/>
              </w:rPr>
            </w:pPr>
          </w:p>
        </w:tc>
        <w:tc>
          <w:tcPr>
            <w:tcW w:w="820" w:type="dxa"/>
            <w:vAlign w:val="bottom"/>
            <w:tcBorders>
              <w:top w:val="single" w:sz="8" w:color="auto"/>
            </w:tcBorders>
            <w:shd w:val="clear" w:color="auto" w:fill="E0E7ED"/>
          </w:tcPr>
          <w:p>
            <w:pPr>
              <w:spacing w:after="0"/>
              <w:rPr>
                <w:sz w:val="15"/>
                <w:szCs w:val="15"/>
                <w:color w:val="auto"/>
              </w:rPr>
            </w:pP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tcBorders>
            <w:shd w:val="clear" w:color="auto" w:fill="E0E7ED"/>
          </w:tcPr>
          <w:p>
            <w:pPr>
              <w:spacing w:after="0"/>
              <w:rPr>
                <w:sz w:val="15"/>
                <w:szCs w:val="15"/>
                <w:color w:val="auto"/>
              </w:rPr>
            </w:pPr>
          </w:p>
        </w:tc>
        <w:tc>
          <w:tcPr>
            <w:tcW w:w="820" w:type="dxa"/>
            <w:vAlign w:val="bottom"/>
            <w:tcBorders>
              <w:top w:val="single" w:sz="8" w:color="auto"/>
            </w:tcBorders>
            <w:shd w:val="clear" w:color="auto" w:fill="E0E7ED"/>
          </w:tcPr>
          <w:p>
            <w:pPr>
              <w:spacing w:after="0"/>
              <w:rPr>
                <w:sz w:val="15"/>
                <w:szCs w:val="15"/>
                <w:color w:val="auto"/>
              </w:rPr>
            </w:pPr>
          </w:p>
        </w:tc>
        <w:tc>
          <w:tcPr>
            <w:tcW w:w="100" w:type="dxa"/>
            <w:vAlign w:val="bottom"/>
            <w:tcBorders>
              <w:top w:val="single" w:sz="8" w:color="E0E7ED"/>
            </w:tcBorders>
            <w:shd w:val="clear" w:color="auto" w:fill="E0E7ED"/>
          </w:tcPr>
          <w:p>
            <w:pPr>
              <w:spacing w:after="0"/>
              <w:rPr>
                <w:sz w:val="15"/>
                <w:szCs w:val="15"/>
                <w:color w:val="auto"/>
              </w:rPr>
            </w:pPr>
          </w:p>
        </w:tc>
        <w:tc>
          <w:tcPr>
            <w:tcW w:w="180" w:type="dxa"/>
            <w:vAlign w:val="bottom"/>
            <w:tcBorders>
              <w:top w:val="single" w:sz="8" w:color="auto"/>
            </w:tcBorders>
            <w:shd w:val="clear" w:color="auto" w:fill="E0E7ED"/>
          </w:tcPr>
          <w:p>
            <w:pPr>
              <w:spacing w:after="0"/>
              <w:rPr>
                <w:sz w:val="15"/>
                <w:szCs w:val="15"/>
                <w:color w:val="auto"/>
              </w:rPr>
            </w:pPr>
          </w:p>
        </w:tc>
        <w:tc>
          <w:tcPr>
            <w:tcW w:w="820" w:type="dxa"/>
            <w:vAlign w:val="bottom"/>
            <w:tcBorders>
              <w:top w:val="single" w:sz="8" w:color="auto"/>
            </w:tcBorders>
            <w:shd w:val="clear" w:color="auto" w:fill="E0E7ED"/>
          </w:tcPr>
          <w:p>
            <w:pPr>
              <w:spacing w:after="0"/>
              <w:rPr>
                <w:sz w:val="15"/>
                <w:szCs w:val="15"/>
                <w:color w:val="auto"/>
              </w:rPr>
            </w:pPr>
          </w:p>
        </w:tc>
        <w:tc>
          <w:tcPr>
            <w:tcW w:w="10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tcBorders>
            <w:shd w:val="clear" w:color="auto" w:fill="E0E7ED"/>
          </w:tcPr>
          <w:p>
            <w:pPr>
              <w:spacing w:after="0"/>
              <w:rPr>
                <w:sz w:val="15"/>
                <w:szCs w:val="15"/>
                <w:color w:val="auto"/>
              </w:rPr>
            </w:pPr>
          </w:p>
        </w:tc>
        <w:tc>
          <w:tcPr>
            <w:tcW w:w="800" w:type="dxa"/>
            <w:vAlign w:val="bottom"/>
            <w:tcBorders>
              <w:top w:val="single" w:sz="8" w:color="auto"/>
            </w:tcBorders>
            <w:shd w:val="clear" w:color="auto" w:fill="E0E7ED"/>
          </w:tcPr>
          <w:p>
            <w:pPr>
              <w:spacing w:after="0"/>
              <w:rPr>
                <w:sz w:val="15"/>
                <w:szCs w:val="15"/>
                <w:color w:val="auto"/>
              </w:rPr>
            </w:pPr>
          </w:p>
        </w:tc>
        <w:tc>
          <w:tcPr>
            <w:tcW w:w="8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tcBorders>
            <w:shd w:val="clear" w:color="auto" w:fill="E0E7ED"/>
          </w:tcPr>
          <w:p>
            <w:pPr>
              <w:spacing w:after="0"/>
              <w:rPr>
                <w:sz w:val="15"/>
                <w:szCs w:val="15"/>
                <w:color w:val="auto"/>
              </w:rPr>
            </w:pPr>
          </w:p>
        </w:tc>
        <w:tc>
          <w:tcPr>
            <w:tcW w:w="800" w:type="dxa"/>
            <w:vAlign w:val="bottom"/>
            <w:tcBorders>
              <w:top w:val="single" w:sz="8" w:color="auto"/>
            </w:tcBorders>
            <w:shd w:val="clear" w:color="auto" w:fill="E0E7ED"/>
          </w:tcPr>
          <w:p>
            <w:pPr>
              <w:spacing w:after="0"/>
              <w:rPr>
                <w:sz w:val="15"/>
                <w:szCs w:val="15"/>
                <w:color w:val="auto"/>
              </w:rPr>
            </w:pP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tcBorders>
            <w:shd w:val="clear" w:color="auto" w:fill="E0E7ED"/>
          </w:tcPr>
          <w:p>
            <w:pPr>
              <w:spacing w:after="0"/>
              <w:rPr>
                <w:sz w:val="15"/>
                <w:szCs w:val="15"/>
                <w:color w:val="auto"/>
              </w:rPr>
            </w:pPr>
          </w:p>
        </w:tc>
        <w:tc>
          <w:tcPr>
            <w:tcW w:w="800" w:type="dxa"/>
            <w:vAlign w:val="bottom"/>
            <w:tcBorders>
              <w:top w:val="single" w:sz="8" w:color="auto"/>
            </w:tcBorders>
            <w:shd w:val="clear" w:color="auto" w:fill="E0E7ED"/>
          </w:tcPr>
          <w:p>
            <w:pPr>
              <w:spacing w:after="0"/>
              <w:rPr>
                <w:sz w:val="15"/>
                <w:szCs w:val="15"/>
                <w:color w:val="auto"/>
              </w:rPr>
            </w:pPr>
          </w:p>
        </w:tc>
        <w:tc>
          <w:tcPr>
            <w:tcW w:w="100" w:type="dxa"/>
            <w:vAlign w:val="bottom"/>
            <w:tcBorders>
              <w:top w:val="single" w:sz="8" w:color="E0E7ED"/>
            </w:tcBorders>
            <w:shd w:val="clear" w:color="auto" w:fill="E0E7ED"/>
          </w:tcPr>
          <w:p>
            <w:pPr>
              <w:spacing w:after="0"/>
              <w:rPr>
                <w:sz w:val="15"/>
                <w:szCs w:val="15"/>
                <w:color w:val="auto"/>
              </w:rPr>
            </w:pPr>
          </w:p>
        </w:tc>
        <w:tc>
          <w:tcPr>
            <w:tcW w:w="120" w:type="dxa"/>
            <w:vAlign w:val="bottom"/>
            <w:tcBorders>
              <w:top w:val="single" w:sz="8" w:color="auto"/>
            </w:tcBorders>
            <w:shd w:val="clear" w:color="auto" w:fill="E0E7ED"/>
          </w:tcPr>
          <w:p>
            <w:pPr>
              <w:spacing w:after="0"/>
              <w:rPr>
                <w:sz w:val="15"/>
                <w:szCs w:val="15"/>
                <w:color w:val="auto"/>
              </w:rPr>
            </w:pPr>
          </w:p>
        </w:tc>
        <w:tc>
          <w:tcPr>
            <w:tcW w:w="900" w:type="dxa"/>
            <w:vAlign w:val="bottom"/>
            <w:tcBorders>
              <w:top w:val="single" w:sz="8" w:color="auto"/>
            </w:tcBorders>
            <w:shd w:val="clear" w:color="auto" w:fill="E0E7ED"/>
          </w:tcPr>
          <w:p>
            <w:pPr>
              <w:spacing w:after="0"/>
              <w:rPr>
                <w:sz w:val="15"/>
                <w:szCs w:val="15"/>
                <w:color w:val="auto"/>
              </w:rPr>
            </w:pP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tcBorders>
            <w:shd w:val="clear" w:color="auto" w:fill="E0E7ED"/>
          </w:tcPr>
          <w:p>
            <w:pPr>
              <w:spacing w:after="0"/>
              <w:rPr>
                <w:sz w:val="15"/>
                <w:szCs w:val="15"/>
                <w:color w:val="auto"/>
              </w:rPr>
            </w:pPr>
          </w:p>
        </w:tc>
        <w:tc>
          <w:tcPr>
            <w:tcW w:w="820" w:type="dxa"/>
            <w:vAlign w:val="bottom"/>
            <w:tcBorders>
              <w:top w:val="single" w:sz="8" w:color="auto"/>
            </w:tcBorders>
            <w:shd w:val="clear" w:color="auto" w:fill="E0E7ED"/>
          </w:tcPr>
          <w:p>
            <w:pPr>
              <w:spacing w:after="0"/>
              <w:rPr>
                <w:sz w:val="15"/>
                <w:szCs w:val="15"/>
                <w:color w:val="auto"/>
              </w:rPr>
            </w:pPr>
          </w:p>
        </w:tc>
      </w:tr>
      <w:tr>
        <w:trPr>
          <w:trHeight w:val="170"/>
        </w:trPr>
        <w:tc>
          <w:tcPr>
            <w:tcW w:w="2480" w:type="dxa"/>
            <w:vAlign w:val="bottom"/>
            <w:gridSpan w:val="2"/>
          </w:tcPr>
          <w:p>
            <w:pPr>
              <w:ind w:left="180"/>
              <w:spacing w:after="0"/>
              <w:rPr>
                <w:sz w:val="20"/>
                <w:szCs w:val="20"/>
                <w:color w:val="auto"/>
              </w:rPr>
            </w:pPr>
            <w:r>
              <w:rPr>
                <w:rFonts w:ascii="Verdana" w:cs="Verdana" w:eastAsia="Verdana" w:hAnsi="Verdana"/>
                <w:sz w:val="13"/>
                <w:szCs w:val="13"/>
                <w:color w:val="auto"/>
              </w:rPr>
              <w:t>Pass</w:t>
            </w: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306,578</w:t>
            </w:r>
          </w:p>
        </w:tc>
        <w:tc>
          <w:tcPr>
            <w:tcW w:w="8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220,847</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Verdana" w:cs="Verdana" w:eastAsia="Verdana" w:hAnsi="Verdana"/>
                <w:sz w:val="13"/>
                <w:szCs w:val="13"/>
                <w:color w:val="auto"/>
                <w:w w:val="95"/>
              </w:rPr>
              <w:t>$</w:t>
            </w:r>
          </w:p>
        </w:tc>
        <w:tc>
          <w:tcPr>
            <w:tcW w:w="820" w:type="dxa"/>
            <w:vAlign w:val="bottom"/>
          </w:tcPr>
          <w:p>
            <w:pPr>
              <w:jc w:val="right"/>
              <w:spacing w:after="0"/>
              <w:rPr>
                <w:sz w:val="20"/>
                <w:szCs w:val="20"/>
                <w:color w:val="auto"/>
              </w:rPr>
            </w:pPr>
            <w:r>
              <w:rPr>
                <w:rFonts w:ascii="Verdana" w:cs="Verdana" w:eastAsia="Verdana" w:hAnsi="Verdana"/>
                <w:sz w:val="13"/>
                <w:szCs w:val="13"/>
                <w:color w:val="auto"/>
              </w:rPr>
              <w:t>159,130</w:t>
            </w:r>
          </w:p>
        </w:tc>
        <w:tc>
          <w:tcPr>
            <w:tcW w:w="100" w:type="dxa"/>
            <w:vAlign w:val="bottom"/>
          </w:tcPr>
          <w:p>
            <w:pPr>
              <w:spacing w:after="0"/>
              <w:rPr>
                <w:sz w:val="14"/>
                <w:szCs w:val="14"/>
                <w:color w:val="auto"/>
              </w:rPr>
            </w:pPr>
          </w:p>
        </w:tc>
        <w:tc>
          <w:tcPr>
            <w:tcW w:w="220" w:type="dxa"/>
            <w:vAlign w:val="bottom"/>
          </w:tcPr>
          <w:p>
            <w:pPr>
              <w:jc w:val="right"/>
              <w:ind w:right="57"/>
              <w:spacing w:after="0"/>
              <w:rPr>
                <w:sz w:val="20"/>
                <w:szCs w:val="20"/>
                <w:color w:val="auto"/>
              </w:rPr>
            </w:pPr>
            <w:r>
              <w:rPr>
                <w:rFonts w:ascii="Verdana" w:cs="Verdana" w:eastAsia="Verdana" w:hAnsi="Verdana"/>
                <w:sz w:val="13"/>
                <w:szCs w:val="13"/>
                <w:color w:val="auto"/>
                <w:w w:val="95"/>
              </w:rPr>
              <w:t>$</w:t>
            </w: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71,025</w:t>
            </w:r>
          </w:p>
        </w:tc>
        <w:tc>
          <w:tcPr>
            <w:tcW w:w="80" w:type="dxa"/>
            <w:vAlign w:val="bottom"/>
          </w:tcPr>
          <w:p>
            <w:pPr>
              <w:spacing w:after="0"/>
              <w:rPr>
                <w:sz w:val="14"/>
                <w:szCs w:val="14"/>
                <w:color w:val="auto"/>
              </w:rPr>
            </w:pPr>
          </w:p>
        </w:tc>
        <w:tc>
          <w:tcPr>
            <w:tcW w:w="220" w:type="dxa"/>
            <w:vAlign w:val="bottom"/>
          </w:tcPr>
          <w:p>
            <w:pPr>
              <w:jc w:val="right"/>
              <w:ind w:right="57"/>
              <w:spacing w:after="0"/>
              <w:rPr>
                <w:sz w:val="20"/>
                <w:szCs w:val="20"/>
                <w:color w:val="auto"/>
              </w:rPr>
            </w:pPr>
            <w:r>
              <w:rPr>
                <w:rFonts w:ascii="Verdana" w:cs="Verdana" w:eastAsia="Verdana" w:hAnsi="Verdana"/>
                <w:sz w:val="13"/>
                <w:szCs w:val="13"/>
                <w:color w:val="auto"/>
                <w:w w:val="95"/>
              </w:rPr>
              <w:t>$</w:t>
            </w: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35,927</w:t>
            </w:r>
          </w:p>
        </w:tc>
        <w:tc>
          <w:tcPr>
            <w:tcW w:w="10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00" w:type="dxa"/>
            <w:vAlign w:val="bottom"/>
          </w:tcPr>
          <w:p>
            <w:pPr>
              <w:jc w:val="right"/>
              <w:spacing w:after="0"/>
              <w:rPr>
                <w:sz w:val="20"/>
                <w:szCs w:val="20"/>
                <w:color w:val="auto"/>
              </w:rPr>
            </w:pPr>
            <w:r>
              <w:rPr>
                <w:rFonts w:ascii="Verdana" w:cs="Verdana" w:eastAsia="Verdana" w:hAnsi="Verdana"/>
                <w:sz w:val="13"/>
                <w:szCs w:val="13"/>
                <w:color w:val="auto"/>
              </w:rPr>
              <w:t>143,078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526,170</w:t>
            </w:r>
          </w:p>
        </w:tc>
        <w:tc>
          <w:tcPr>
            <w:tcW w:w="8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1,462,755</w:t>
            </w:r>
          </w:p>
        </w:tc>
      </w:tr>
      <w:tr>
        <w:trPr>
          <w:trHeight w:val="181"/>
        </w:trPr>
        <w:tc>
          <w:tcPr>
            <w:tcW w:w="248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Watch</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78,603</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65,703</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21,421</w:t>
            </w: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23,919</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7,035</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21,293</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78,442</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296,416</w:t>
            </w:r>
          </w:p>
        </w:tc>
      </w:tr>
      <w:tr>
        <w:trPr>
          <w:trHeight w:val="170"/>
        </w:trPr>
        <w:tc>
          <w:tcPr>
            <w:tcW w:w="2480" w:type="dxa"/>
            <w:vAlign w:val="bottom"/>
            <w:gridSpan w:val="2"/>
          </w:tcPr>
          <w:p>
            <w:pPr>
              <w:ind w:left="180"/>
              <w:spacing w:after="0"/>
              <w:rPr>
                <w:sz w:val="20"/>
                <w:szCs w:val="20"/>
                <w:color w:val="auto"/>
              </w:rPr>
            </w:pPr>
            <w:r>
              <w:rPr>
                <w:rFonts w:ascii="Verdana" w:cs="Verdana" w:eastAsia="Verdana" w:hAnsi="Verdana"/>
                <w:sz w:val="13"/>
                <w:szCs w:val="13"/>
                <w:color w:val="auto"/>
              </w:rPr>
              <w:t>Special Mention</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792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8,224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2,917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1,076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686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3,274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29,519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46,488</w:t>
            </w:r>
          </w:p>
        </w:tc>
      </w:tr>
      <w:tr>
        <w:trPr>
          <w:trHeight w:val="181"/>
        </w:trPr>
        <w:tc>
          <w:tcPr>
            <w:tcW w:w="248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Substandard</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8,715</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765</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942</w:t>
            </w: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426</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3,734</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1,859</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11,292</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27,733</w:t>
            </w:r>
          </w:p>
        </w:tc>
      </w:tr>
      <w:tr>
        <w:trPr>
          <w:trHeight w:val="170"/>
        </w:trPr>
        <w:tc>
          <w:tcPr>
            <w:tcW w:w="2480" w:type="dxa"/>
            <w:vAlign w:val="bottom"/>
            <w:gridSpan w:val="2"/>
          </w:tcPr>
          <w:p>
            <w:pPr>
              <w:ind w:left="180"/>
              <w:spacing w:after="0"/>
              <w:rPr>
                <w:sz w:val="20"/>
                <w:szCs w:val="20"/>
                <w:color w:val="auto"/>
              </w:rPr>
            </w:pPr>
            <w:r>
              <w:rPr>
                <w:rFonts w:ascii="Verdana" w:cs="Verdana" w:eastAsia="Verdana" w:hAnsi="Verdana"/>
                <w:sz w:val="13"/>
                <w:szCs w:val="13"/>
                <w:color w:val="auto"/>
              </w:rPr>
              <w:t>Substandard non-accrual</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166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Verdana" w:cs="Verdana" w:eastAsia="Verdana" w:hAnsi="Verdana"/>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117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84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128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407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1,700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2,602</w:t>
            </w:r>
          </w:p>
        </w:tc>
      </w:tr>
      <w:tr>
        <w:trPr>
          <w:trHeight w:val="174"/>
        </w:trPr>
        <w:tc>
          <w:tcPr>
            <w:tcW w:w="2480" w:type="dxa"/>
            <w:vAlign w:val="bottom"/>
            <w:tcBorders>
              <w:top w:val="single" w:sz="8" w:color="E0E7ED"/>
            </w:tcBorders>
            <w:gridSpan w:val="2"/>
            <w:shd w:val="clear" w:color="auto" w:fill="E0E7ED"/>
          </w:tcPr>
          <w:p>
            <w:pPr>
              <w:ind w:left="20"/>
              <w:spacing w:after="0"/>
              <w:rPr>
                <w:sz w:val="20"/>
                <w:szCs w:val="20"/>
                <w:color w:val="auto"/>
              </w:rPr>
            </w:pPr>
            <w:r>
              <w:rPr>
                <w:rFonts w:ascii="Verdana" w:cs="Verdana" w:eastAsia="Verdana" w:hAnsi="Verdana"/>
                <w:sz w:val="13"/>
                <w:szCs w:val="13"/>
                <w:color w:val="auto"/>
              </w:rPr>
              <w:t>Total commercial</w:t>
            </w: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394,854</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295,539</w:t>
            </w:r>
          </w:p>
        </w:tc>
        <w:tc>
          <w:tcPr>
            <w:tcW w:w="100" w:type="dxa"/>
            <w:vAlign w:val="bottom"/>
            <w:tcBorders>
              <w:top w:val="single" w:sz="8" w:color="E0E7ED"/>
            </w:tcBorders>
            <w:shd w:val="clear" w:color="auto" w:fill="E0E7ED"/>
          </w:tcPr>
          <w:p>
            <w:pPr>
              <w:spacing w:after="0"/>
              <w:rPr>
                <w:sz w:val="15"/>
                <w:szCs w:val="15"/>
                <w:color w:val="auto"/>
              </w:rPr>
            </w:pPr>
          </w:p>
        </w:tc>
        <w:tc>
          <w:tcPr>
            <w:tcW w:w="18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184,527</w:t>
            </w:r>
          </w:p>
        </w:tc>
        <w:tc>
          <w:tcPr>
            <w:tcW w:w="10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96,530</w:t>
            </w:r>
          </w:p>
        </w:tc>
        <w:tc>
          <w:tcPr>
            <w:tcW w:w="8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47,510</w:t>
            </w: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169,911</w:t>
            </w:r>
          </w:p>
        </w:tc>
        <w:tc>
          <w:tcPr>
            <w:tcW w:w="100" w:type="dxa"/>
            <w:vAlign w:val="bottom"/>
            <w:tcBorders>
              <w:top w:val="single" w:sz="8" w:color="E0E7ED"/>
            </w:tcBorders>
            <w:shd w:val="clear" w:color="auto" w:fill="E0E7ED"/>
          </w:tcPr>
          <w:p>
            <w:pPr>
              <w:spacing w:after="0"/>
              <w:rPr>
                <w:sz w:val="15"/>
                <w:szCs w:val="15"/>
                <w:color w:val="auto"/>
              </w:rPr>
            </w:pPr>
          </w:p>
        </w:tc>
        <w:tc>
          <w:tcPr>
            <w:tcW w:w="120" w:type="dxa"/>
            <w:vAlign w:val="bottom"/>
            <w:tcBorders>
              <w:top w:val="single" w:sz="8" w:color="auto"/>
              <w:bottom w:val="single" w:sz="8" w:color="auto"/>
            </w:tcBorders>
            <w:shd w:val="clear" w:color="auto" w:fill="E0E7ED"/>
          </w:tcPr>
          <w:p>
            <w:pPr>
              <w:spacing w:after="0"/>
              <w:rPr>
                <w:sz w:val="15"/>
                <w:szCs w:val="15"/>
                <w:color w:val="auto"/>
              </w:rPr>
            </w:pPr>
          </w:p>
        </w:tc>
        <w:tc>
          <w:tcPr>
            <w:tcW w:w="9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647,123</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1,835,994</w:t>
            </w:r>
          </w:p>
        </w:tc>
      </w:tr>
      <w:tr>
        <w:trPr>
          <w:trHeight w:val="164"/>
        </w:trPr>
        <w:tc>
          <w:tcPr>
            <w:tcW w:w="2480" w:type="dxa"/>
            <w:vAlign w:val="bottom"/>
            <w:gridSpan w:val="2"/>
          </w:tcPr>
          <w:p>
            <w:pPr>
              <w:ind w:left="20"/>
              <w:spacing w:after="0" w:line="153" w:lineRule="exact"/>
              <w:rPr>
                <w:sz w:val="20"/>
                <w:szCs w:val="20"/>
                <w:color w:val="auto"/>
              </w:rPr>
            </w:pPr>
            <w:r>
              <w:rPr>
                <w:rFonts w:ascii="Verdana" w:cs="Verdana" w:eastAsia="Verdana" w:hAnsi="Verdana"/>
                <w:sz w:val="13"/>
                <w:szCs w:val="13"/>
                <w:color w:val="auto"/>
              </w:rPr>
              <w:t>Gross charge-offs</w:t>
            </w: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284</w:t>
            </w:r>
          </w:p>
        </w:tc>
        <w:tc>
          <w:tcPr>
            <w:tcW w:w="8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Verdana" w:cs="Verdana" w:eastAsia="Verdana" w:hAnsi="Verdana"/>
                <w:sz w:val="13"/>
                <w:szCs w:val="13"/>
                <w:color w:val="auto"/>
                <w:w w:val="95"/>
              </w:rPr>
              <w:t>$</w:t>
            </w:r>
          </w:p>
        </w:tc>
        <w:tc>
          <w:tcPr>
            <w:tcW w:w="820" w:type="dxa"/>
            <w:vAlign w:val="bottom"/>
          </w:tcPr>
          <w:p>
            <w:pPr>
              <w:jc w:val="right"/>
              <w:spacing w:after="0"/>
              <w:rPr>
                <w:sz w:val="20"/>
                <w:szCs w:val="20"/>
                <w:color w:val="auto"/>
              </w:rPr>
            </w:pPr>
            <w:r>
              <w:rPr>
                <w:rFonts w:ascii="Verdana" w:cs="Verdana" w:eastAsia="Verdana" w:hAnsi="Verdana"/>
                <w:sz w:val="13"/>
                <w:szCs w:val="13"/>
                <w:color w:val="auto"/>
              </w:rPr>
              <w:t>420</w:t>
            </w:r>
          </w:p>
        </w:tc>
        <w:tc>
          <w:tcPr>
            <w:tcW w:w="100" w:type="dxa"/>
            <w:vAlign w:val="bottom"/>
          </w:tcPr>
          <w:p>
            <w:pPr>
              <w:spacing w:after="0"/>
              <w:rPr>
                <w:sz w:val="14"/>
                <w:szCs w:val="14"/>
                <w:color w:val="auto"/>
              </w:rPr>
            </w:pPr>
          </w:p>
        </w:tc>
        <w:tc>
          <w:tcPr>
            <w:tcW w:w="220" w:type="dxa"/>
            <w:vAlign w:val="bottom"/>
          </w:tcPr>
          <w:p>
            <w:pPr>
              <w:jc w:val="right"/>
              <w:ind w:right="57"/>
              <w:spacing w:after="0"/>
              <w:rPr>
                <w:sz w:val="20"/>
                <w:szCs w:val="20"/>
                <w:color w:val="auto"/>
              </w:rPr>
            </w:pPr>
            <w:r>
              <w:rPr>
                <w:rFonts w:ascii="Verdana" w:cs="Verdana" w:eastAsia="Verdana" w:hAnsi="Verdana"/>
                <w:sz w:val="13"/>
                <w:szCs w:val="13"/>
                <w:color w:val="auto"/>
                <w:w w:val="95"/>
              </w:rPr>
              <w:t>$</w:t>
            </w: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4"/>
                <w:szCs w:val="14"/>
                <w:color w:val="auto"/>
              </w:rPr>
            </w:pPr>
          </w:p>
        </w:tc>
        <w:tc>
          <w:tcPr>
            <w:tcW w:w="220" w:type="dxa"/>
            <w:vAlign w:val="bottom"/>
          </w:tcPr>
          <w:p>
            <w:pPr>
              <w:jc w:val="right"/>
              <w:ind w:right="57"/>
              <w:spacing w:after="0"/>
              <w:rPr>
                <w:sz w:val="20"/>
                <w:szCs w:val="20"/>
                <w:color w:val="auto"/>
              </w:rPr>
            </w:pPr>
            <w:r>
              <w:rPr>
                <w:rFonts w:ascii="Verdana" w:cs="Verdana" w:eastAsia="Verdana" w:hAnsi="Verdana"/>
                <w:sz w:val="13"/>
                <w:szCs w:val="13"/>
                <w:color w:val="auto"/>
                <w:w w:val="95"/>
              </w:rPr>
              <w:t>$</w:t>
            </w: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316</w:t>
            </w:r>
          </w:p>
        </w:tc>
        <w:tc>
          <w:tcPr>
            <w:tcW w:w="10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00" w:type="dxa"/>
            <w:vAlign w:val="bottom"/>
          </w:tcPr>
          <w:p>
            <w:pPr>
              <w:jc w:val="right"/>
              <w:spacing w:after="0"/>
              <w:rPr>
                <w:sz w:val="20"/>
                <w:szCs w:val="20"/>
                <w:color w:val="auto"/>
              </w:rPr>
            </w:pPr>
            <w:r>
              <w:rPr>
                <w:rFonts w:ascii="Verdana" w:cs="Verdana" w:eastAsia="Verdana" w:hAnsi="Verdana"/>
                <w:sz w:val="13"/>
                <w:szCs w:val="13"/>
                <w:color w:val="auto"/>
              </w:rPr>
              <w:t>1,409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2,429</w:t>
            </w:r>
          </w:p>
        </w:tc>
      </w:tr>
      <w:tr>
        <w:trPr>
          <w:trHeight w:val="181"/>
        </w:trPr>
        <w:tc>
          <w:tcPr>
            <w:tcW w:w="23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r>
      <w:tr>
        <w:trPr>
          <w:trHeight w:val="170"/>
        </w:trPr>
        <w:tc>
          <w:tcPr>
            <w:tcW w:w="2480" w:type="dxa"/>
            <w:vAlign w:val="bottom"/>
            <w:gridSpan w:val="2"/>
          </w:tcPr>
          <w:p>
            <w:pPr>
              <w:ind w:left="20"/>
              <w:spacing w:after="0"/>
              <w:rPr>
                <w:sz w:val="20"/>
                <w:szCs w:val="20"/>
                <w:color w:val="auto"/>
              </w:rPr>
            </w:pPr>
            <w:r>
              <w:rPr>
                <w:rFonts w:ascii="Verdana" w:cs="Verdana" w:eastAsia="Verdana" w:hAnsi="Verdana"/>
                <w:sz w:val="13"/>
                <w:szCs w:val="13"/>
                <w:b w:val="1"/>
                <w:bCs w:val="1"/>
                <w:color w:val="auto"/>
              </w:rPr>
              <w:t>Commercial real estate</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1"/>
        </w:trPr>
        <w:tc>
          <w:tcPr>
            <w:tcW w:w="248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Pass</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395,644</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824,506</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720,052</w:t>
            </w: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399,195</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271,078</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199,662</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16,893</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2,827,030</w:t>
            </w:r>
          </w:p>
        </w:tc>
      </w:tr>
      <w:tr>
        <w:trPr>
          <w:trHeight w:val="170"/>
        </w:trPr>
        <w:tc>
          <w:tcPr>
            <w:tcW w:w="2480" w:type="dxa"/>
            <w:vAlign w:val="bottom"/>
            <w:gridSpan w:val="2"/>
          </w:tcPr>
          <w:p>
            <w:pPr>
              <w:ind w:left="180"/>
              <w:spacing w:after="0"/>
              <w:rPr>
                <w:sz w:val="20"/>
                <w:szCs w:val="20"/>
                <w:color w:val="auto"/>
              </w:rPr>
            </w:pPr>
            <w:r>
              <w:rPr>
                <w:rFonts w:ascii="Verdana" w:cs="Verdana" w:eastAsia="Verdana" w:hAnsi="Verdana"/>
                <w:sz w:val="13"/>
                <w:szCs w:val="13"/>
                <w:color w:val="auto"/>
              </w:rPr>
              <w:t>Watch</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166,795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47,070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92,848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34,010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68,196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19,396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3,112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431,427</w:t>
            </w:r>
          </w:p>
        </w:tc>
      </w:tr>
      <w:tr>
        <w:trPr>
          <w:trHeight w:val="181"/>
        </w:trPr>
        <w:tc>
          <w:tcPr>
            <w:tcW w:w="248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Special Mention</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14,313</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10,507</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12,446</w:t>
            </w: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4,968</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3,297</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3,014</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48,545</w:t>
            </w:r>
          </w:p>
        </w:tc>
      </w:tr>
      <w:tr>
        <w:trPr>
          <w:trHeight w:val="170"/>
        </w:trPr>
        <w:tc>
          <w:tcPr>
            <w:tcW w:w="2480" w:type="dxa"/>
            <w:vAlign w:val="bottom"/>
            <w:gridSpan w:val="2"/>
          </w:tcPr>
          <w:p>
            <w:pPr>
              <w:ind w:left="180"/>
              <w:spacing w:after="0"/>
              <w:rPr>
                <w:sz w:val="20"/>
                <w:szCs w:val="20"/>
                <w:color w:val="auto"/>
              </w:rPr>
            </w:pPr>
            <w:r>
              <w:rPr>
                <w:rFonts w:ascii="Verdana" w:cs="Verdana" w:eastAsia="Verdana" w:hAnsi="Verdana"/>
                <w:sz w:val="13"/>
                <w:szCs w:val="13"/>
                <w:color w:val="auto"/>
              </w:rPr>
              <w:t>Substandard</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1,796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188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18,862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2,938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1,802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3,856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50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29,492</w:t>
            </w:r>
          </w:p>
        </w:tc>
      </w:tr>
      <w:tr>
        <w:trPr>
          <w:trHeight w:val="181"/>
        </w:trPr>
        <w:tc>
          <w:tcPr>
            <w:tcW w:w="248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Substandard non-accrual</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47</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79</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85</w:t>
            </w: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23</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609</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843</w:t>
            </w:r>
          </w:p>
        </w:tc>
      </w:tr>
      <w:tr>
        <w:trPr>
          <w:trHeight w:val="164"/>
        </w:trPr>
        <w:tc>
          <w:tcPr>
            <w:tcW w:w="2480" w:type="dxa"/>
            <w:vAlign w:val="bottom"/>
            <w:tcBorders>
              <w:bottom w:val="single" w:sz="8" w:color="E0E7ED"/>
            </w:tcBorders>
            <w:gridSpan w:val="2"/>
          </w:tcPr>
          <w:p>
            <w:pPr>
              <w:ind w:left="20"/>
              <w:spacing w:after="0" w:line="153" w:lineRule="exact"/>
              <w:rPr>
                <w:sz w:val="20"/>
                <w:szCs w:val="20"/>
                <w:color w:val="auto"/>
              </w:rPr>
            </w:pPr>
            <w:r>
              <w:rPr>
                <w:rFonts w:ascii="Verdana" w:cs="Verdana" w:eastAsia="Verdana" w:hAnsi="Verdana"/>
                <w:sz w:val="13"/>
                <w:szCs w:val="13"/>
                <w:color w:val="auto"/>
              </w:rPr>
              <w:t>Total commercial real estate</w:t>
            </w: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578,595</w:t>
            </w:r>
          </w:p>
        </w:tc>
        <w:tc>
          <w:tcPr>
            <w:tcW w:w="8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882,350</w:t>
            </w:r>
          </w:p>
        </w:tc>
        <w:tc>
          <w:tcPr>
            <w:tcW w:w="100" w:type="dxa"/>
            <w:vAlign w:val="bottom"/>
            <w:tcBorders>
              <w:bottom w:val="single" w:sz="8" w:color="E0E7ED"/>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844,293</w:t>
            </w:r>
          </w:p>
        </w:tc>
        <w:tc>
          <w:tcPr>
            <w:tcW w:w="100" w:type="dxa"/>
            <w:vAlign w:val="bottom"/>
            <w:tcBorders>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441,134</w:t>
            </w:r>
          </w:p>
        </w:tc>
        <w:tc>
          <w:tcPr>
            <w:tcW w:w="80" w:type="dxa"/>
            <w:vAlign w:val="bottom"/>
            <w:tcBorders>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344,373</w:t>
            </w:r>
          </w:p>
        </w:tc>
        <w:tc>
          <w:tcPr>
            <w:tcW w:w="10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226,537</w:t>
            </w:r>
          </w:p>
        </w:tc>
        <w:tc>
          <w:tcPr>
            <w:tcW w:w="100" w:type="dxa"/>
            <w:vAlign w:val="bottom"/>
            <w:tcBorders>
              <w:bottom w:val="single" w:sz="8" w:color="E0E7ED"/>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20,055</w:t>
            </w:r>
          </w:p>
        </w:tc>
        <w:tc>
          <w:tcPr>
            <w:tcW w:w="8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3,337,337</w:t>
            </w:r>
          </w:p>
        </w:tc>
      </w:tr>
      <w:tr>
        <w:trPr>
          <w:trHeight w:val="174"/>
        </w:trPr>
        <w:tc>
          <w:tcPr>
            <w:tcW w:w="2480" w:type="dxa"/>
            <w:vAlign w:val="bottom"/>
            <w:gridSpan w:val="2"/>
            <w:shd w:val="clear" w:color="auto" w:fill="E0E7ED"/>
          </w:tcPr>
          <w:p>
            <w:pPr>
              <w:ind w:left="20"/>
              <w:spacing w:after="0"/>
              <w:rPr>
                <w:sz w:val="20"/>
                <w:szCs w:val="20"/>
                <w:color w:val="auto"/>
              </w:rPr>
            </w:pPr>
            <w:r>
              <w:rPr>
                <w:rFonts w:ascii="Verdana" w:cs="Verdana" w:eastAsia="Verdana" w:hAnsi="Verdana"/>
                <w:sz w:val="13"/>
                <w:szCs w:val="13"/>
                <w:color w:val="auto"/>
              </w:rPr>
              <w:t>Gross charge-offs</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953</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953</w:t>
            </w:r>
          </w:p>
        </w:tc>
      </w:tr>
      <w:tr>
        <w:trPr>
          <w:trHeight w:val="175"/>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480" w:type="dxa"/>
            <w:vAlign w:val="bottom"/>
            <w:gridSpan w:val="2"/>
            <w:shd w:val="clear" w:color="auto" w:fill="E0E7ED"/>
          </w:tcPr>
          <w:p>
            <w:pPr>
              <w:ind w:left="20"/>
              <w:spacing w:after="0"/>
              <w:rPr>
                <w:sz w:val="20"/>
                <w:szCs w:val="20"/>
                <w:color w:val="auto"/>
              </w:rPr>
            </w:pPr>
            <w:r>
              <w:rPr>
                <w:rFonts w:ascii="Verdana" w:cs="Verdana" w:eastAsia="Verdana" w:hAnsi="Verdana"/>
                <w:sz w:val="13"/>
                <w:szCs w:val="13"/>
                <w:b w:val="1"/>
                <w:bCs w:val="1"/>
                <w:color w:val="auto"/>
              </w:rPr>
              <w:t>Real estate construction</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r>
      <w:tr>
        <w:trPr>
          <w:trHeight w:val="170"/>
        </w:trPr>
        <w:tc>
          <w:tcPr>
            <w:tcW w:w="2480" w:type="dxa"/>
            <w:vAlign w:val="bottom"/>
            <w:gridSpan w:val="2"/>
          </w:tcPr>
          <w:p>
            <w:pPr>
              <w:ind w:left="180"/>
              <w:spacing w:after="0"/>
              <w:rPr>
                <w:sz w:val="20"/>
                <w:szCs w:val="20"/>
                <w:color w:val="auto"/>
              </w:rPr>
            </w:pPr>
            <w:r>
              <w:rPr>
                <w:rFonts w:ascii="Verdana" w:cs="Verdana" w:eastAsia="Verdana" w:hAnsi="Verdana"/>
                <w:sz w:val="13"/>
                <w:szCs w:val="13"/>
                <w:color w:val="auto"/>
              </w:rPr>
              <w:t>Pass</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204,952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128,462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85,086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2,616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1,323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2,934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22,638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448,011</w:t>
            </w:r>
          </w:p>
        </w:tc>
      </w:tr>
      <w:tr>
        <w:trPr>
          <w:trHeight w:val="181"/>
        </w:trPr>
        <w:tc>
          <w:tcPr>
            <w:tcW w:w="248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Watch</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2,859</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4,406</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507</w:t>
            </w: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322</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41</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20" w:type="dxa"/>
            <w:vAlign w:val="bottom"/>
            <w:shd w:val="clear" w:color="auto" w:fill="E0E7ED"/>
          </w:tcPr>
          <w:p>
            <w:pPr>
              <w:spacing w:after="0"/>
              <w:rPr>
                <w:sz w:val="15"/>
                <w:szCs w:val="15"/>
                <w:color w:val="auto"/>
              </w:rPr>
            </w:pPr>
          </w:p>
        </w:tc>
        <w:tc>
          <w:tcPr>
            <w:tcW w:w="9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8,135</w:t>
            </w:r>
          </w:p>
        </w:tc>
      </w:tr>
      <w:tr>
        <w:trPr>
          <w:trHeight w:val="170"/>
        </w:trPr>
        <w:tc>
          <w:tcPr>
            <w:tcW w:w="2480" w:type="dxa"/>
            <w:vAlign w:val="bottom"/>
            <w:gridSpan w:val="2"/>
          </w:tcPr>
          <w:p>
            <w:pPr>
              <w:ind w:left="180"/>
              <w:spacing w:after="0"/>
              <w:rPr>
                <w:sz w:val="20"/>
                <w:szCs w:val="20"/>
                <w:color w:val="auto"/>
              </w:rPr>
            </w:pPr>
            <w:r>
              <w:rPr>
                <w:rFonts w:ascii="Verdana" w:cs="Verdana" w:eastAsia="Verdana" w:hAnsi="Verdana"/>
                <w:sz w:val="13"/>
                <w:szCs w:val="13"/>
                <w:color w:val="auto"/>
              </w:rPr>
              <w:t>Substandard</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5,327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Verdana" w:cs="Verdana" w:eastAsia="Verdana" w:hAnsi="Verdana"/>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5,327</w:t>
            </w:r>
          </w:p>
        </w:tc>
      </w:tr>
      <w:tr>
        <w:trPr>
          <w:trHeight w:val="181"/>
        </w:trPr>
        <w:tc>
          <w:tcPr>
            <w:tcW w:w="248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Substandard non-accrual</w:t>
            </w:r>
          </w:p>
        </w:tc>
        <w:tc>
          <w:tcPr>
            <w:tcW w:w="20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3"/>
                <w:szCs w:val="13"/>
                <w:color w:val="auto"/>
              </w:rPr>
              <w:t>—</w:t>
            </w:r>
          </w:p>
        </w:tc>
        <w:tc>
          <w:tcPr>
            <w:tcW w:w="18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5"/>
                <w:szCs w:val="15"/>
                <w:color w:val="auto"/>
              </w:rPr>
            </w:pPr>
          </w:p>
        </w:tc>
        <w:tc>
          <w:tcPr>
            <w:tcW w:w="8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244</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244</w:t>
            </w:r>
          </w:p>
        </w:tc>
      </w:tr>
      <w:tr>
        <w:trPr>
          <w:trHeight w:val="164"/>
        </w:trPr>
        <w:tc>
          <w:tcPr>
            <w:tcW w:w="2480" w:type="dxa"/>
            <w:vAlign w:val="bottom"/>
            <w:tcBorders>
              <w:bottom w:val="single" w:sz="8" w:color="E0E7ED"/>
            </w:tcBorders>
            <w:gridSpan w:val="2"/>
          </w:tcPr>
          <w:p>
            <w:pPr>
              <w:ind w:left="20"/>
              <w:spacing w:after="0" w:line="153" w:lineRule="exact"/>
              <w:rPr>
                <w:sz w:val="20"/>
                <w:szCs w:val="20"/>
                <w:color w:val="auto"/>
              </w:rPr>
            </w:pPr>
            <w:r>
              <w:rPr>
                <w:rFonts w:ascii="Verdana" w:cs="Verdana" w:eastAsia="Verdana" w:hAnsi="Verdana"/>
                <w:sz w:val="13"/>
                <w:szCs w:val="13"/>
                <w:color w:val="auto"/>
              </w:rPr>
              <w:t>Total real estate construction</w:t>
            </w: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213,138</w:t>
            </w:r>
          </w:p>
        </w:tc>
        <w:tc>
          <w:tcPr>
            <w:tcW w:w="8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132,868</w:t>
            </w:r>
          </w:p>
        </w:tc>
        <w:tc>
          <w:tcPr>
            <w:tcW w:w="100" w:type="dxa"/>
            <w:vAlign w:val="bottom"/>
            <w:tcBorders>
              <w:bottom w:val="single" w:sz="8" w:color="E0E7ED"/>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85,593</w:t>
            </w:r>
          </w:p>
        </w:tc>
        <w:tc>
          <w:tcPr>
            <w:tcW w:w="100" w:type="dxa"/>
            <w:vAlign w:val="bottom"/>
            <w:tcBorders>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2,938</w:t>
            </w:r>
          </w:p>
        </w:tc>
        <w:tc>
          <w:tcPr>
            <w:tcW w:w="80" w:type="dxa"/>
            <w:vAlign w:val="bottom"/>
            <w:tcBorders>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1,364</w:t>
            </w:r>
          </w:p>
        </w:tc>
        <w:tc>
          <w:tcPr>
            <w:tcW w:w="10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3,178</w:t>
            </w:r>
          </w:p>
        </w:tc>
        <w:tc>
          <w:tcPr>
            <w:tcW w:w="100" w:type="dxa"/>
            <w:vAlign w:val="bottom"/>
            <w:tcBorders>
              <w:bottom w:val="single" w:sz="8" w:color="E0E7ED"/>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22,638</w:t>
            </w:r>
          </w:p>
        </w:tc>
        <w:tc>
          <w:tcPr>
            <w:tcW w:w="8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461,717</w:t>
            </w:r>
          </w:p>
        </w:tc>
      </w:tr>
      <w:tr>
        <w:trPr>
          <w:trHeight w:val="174"/>
        </w:trPr>
        <w:tc>
          <w:tcPr>
            <w:tcW w:w="2480" w:type="dxa"/>
            <w:vAlign w:val="bottom"/>
            <w:gridSpan w:val="2"/>
            <w:shd w:val="clear" w:color="auto" w:fill="E0E7ED"/>
          </w:tcPr>
          <w:p>
            <w:pPr>
              <w:ind w:left="20"/>
              <w:spacing w:after="0"/>
              <w:rPr>
                <w:sz w:val="20"/>
                <w:szCs w:val="20"/>
                <w:color w:val="auto"/>
              </w:rPr>
            </w:pPr>
            <w:r>
              <w:rPr>
                <w:rFonts w:ascii="Verdana" w:cs="Verdana" w:eastAsia="Verdana" w:hAnsi="Verdana"/>
                <w:sz w:val="13"/>
                <w:szCs w:val="13"/>
                <w:color w:val="auto"/>
              </w:rPr>
              <w:t>Gross charge-offs</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r>
      <w:tr>
        <w:trPr>
          <w:trHeight w:val="175"/>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2480" w:type="dxa"/>
            <w:vAlign w:val="bottom"/>
            <w:gridSpan w:val="2"/>
            <w:shd w:val="clear" w:color="auto" w:fill="E0E7ED"/>
          </w:tcPr>
          <w:p>
            <w:pPr>
              <w:ind w:left="20"/>
              <w:spacing w:after="0"/>
              <w:rPr>
                <w:sz w:val="20"/>
                <w:szCs w:val="20"/>
                <w:color w:val="auto"/>
              </w:rPr>
            </w:pPr>
            <w:r>
              <w:rPr>
                <w:rFonts w:ascii="Verdana" w:cs="Verdana" w:eastAsia="Verdana" w:hAnsi="Verdana"/>
                <w:sz w:val="13"/>
                <w:szCs w:val="13"/>
                <w:b w:val="1"/>
                <w:bCs w:val="1"/>
                <w:color w:val="auto"/>
              </w:rPr>
              <w:t>Retail real estate</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r>
      <w:tr>
        <w:trPr>
          <w:trHeight w:val="170"/>
        </w:trPr>
        <w:tc>
          <w:tcPr>
            <w:tcW w:w="2480" w:type="dxa"/>
            <w:vAlign w:val="bottom"/>
            <w:gridSpan w:val="2"/>
          </w:tcPr>
          <w:p>
            <w:pPr>
              <w:ind w:left="180"/>
              <w:spacing w:after="0"/>
              <w:rPr>
                <w:sz w:val="20"/>
                <w:szCs w:val="20"/>
                <w:color w:val="auto"/>
              </w:rPr>
            </w:pPr>
            <w:r>
              <w:rPr>
                <w:rFonts w:ascii="Verdana" w:cs="Verdana" w:eastAsia="Verdana" w:hAnsi="Verdana"/>
                <w:sz w:val="13"/>
                <w:szCs w:val="13"/>
                <w:color w:val="auto"/>
              </w:rPr>
              <w:t>Pass</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243,400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376,922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411,723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156,762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70,099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256,571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187,420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1,702,897</w:t>
            </w:r>
          </w:p>
        </w:tc>
      </w:tr>
      <w:tr>
        <w:trPr>
          <w:trHeight w:val="181"/>
        </w:trPr>
        <w:tc>
          <w:tcPr>
            <w:tcW w:w="248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Watch</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1,096</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4,137</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2,442</w:t>
            </w: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954</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536</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234</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1,745</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11,144</w:t>
            </w:r>
          </w:p>
        </w:tc>
      </w:tr>
      <w:tr>
        <w:trPr>
          <w:trHeight w:val="170"/>
        </w:trPr>
        <w:tc>
          <w:tcPr>
            <w:tcW w:w="2480" w:type="dxa"/>
            <w:vAlign w:val="bottom"/>
            <w:gridSpan w:val="2"/>
          </w:tcPr>
          <w:p>
            <w:pPr>
              <w:ind w:left="180"/>
              <w:spacing w:after="0"/>
              <w:rPr>
                <w:sz w:val="20"/>
                <w:szCs w:val="20"/>
                <w:color w:val="auto"/>
              </w:rPr>
            </w:pPr>
            <w:r>
              <w:rPr>
                <w:rFonts w:ascii="Verdana" w:cs="Verdana" w:eastAsia="Verdana" w:hAnsi="Verdana"/>
                <w:sz w:val="13"/>
                <w:szCs w:val="13"/>
                <w:color w:val="auto"/>
              </w:rPr>
              <w:t>Special Mention</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286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358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380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1,024</w:t>
            </w:r>
          </w:p>
        </w:tc>
      </w:tr>
      <w:tr>
        <w:trPr>
          <w:trHeight w:val="181"/>
        </w:trPr>
        <w:tc>
          <w:tcPr>
            <w:tcW w:w="248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Substandard</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69</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72</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292</w:t>
            </w: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49</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80</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997</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236</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1,795</w:t>
            </w:r>
          </w:p>
        </w:tc>
      </w:tr>
      <w:tr>
        <w:trPr>
          <w:trHeight w:val="170"/>
        </w:trPr>
        <w:tc>
          <w:tcPr>
            <w:tcW w:w="2480" w:type="dxa"/>
            <w:vAlign w:val="bottom"/>
            <w:gridSpan w:val="2"/>
          </w:tcPr>
          <w:p>
            <w:pPr>
              <w:ind w:left="180"/>
              <w:spacing w:after="0"/>
              <w:rPr>
                <w:sz w:val="20"/>
                <w:szCs w:val="20"/>
                <w:color w:val="auto"/>
              </w:rPr>
            </w:pPr>
            <w:r>
              <w:rPr>
                <w:rFonts w:ascii="Verdana" w:cs="Verdana" w:eastAsia="Verdana" w:hAnsi="Verdana"/>
                <w:sz w:val="13"/>
                <w:szCs w:val="13"/>
                <w:color w:val="auto"/>
              </w:rPr>
              <w:t>Substandard non-accrual</w:t>
            </w:r>
          </w:p>
        </w:tc>
        <w:tc>
          <w:tcPr>
            <w:tcW w:w="2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528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121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267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100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1,960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619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3,595</w:t>
            </w:r>
          </w:p>
        </w:tc>
      </w:tr>
      <w:tr>
        <w:trPr>
          <w:trHeight w:val="174"/>
        </w:trPr>
        <w:tc>
          <w:tcPr>
            <w:tcW w:w="2480" w:type="dxa"/>
            <w:vAlign w:val="bottom"/>
            <w:tcBorders>
              <w:top w:val="single" w:sz="8" w:color="E0E7ED"/>
            </w:tcBorders>
            <w:gridSpan w:val="2"/>
            <w:shd w:val="clear" w:color="auto" w:fill="E0E7ED"/>
          </w:tcPr>
          <w:p>
            <w:pPr>
              <w:ind w:left="20"/>
              <w:spacing w:after="0"/>
              <w:rPr>
                <w:sz w:val="20"/>
                <w:szCs w:val="20"/>
                <w:color w:val="auto"/>
              </w:rPr>
            </w:pPr>
            <w:r>
              <w:rPr>
                <w:rFonts w:ascii="Verdana" w:cs="Verdana" w:eastAsia="Verdana" w:hAnsi="Verdana"/>
                <w:sz w:val="13"/>
                <w:szCs w:val="13"/>
                <w:color w:val="auto"/>
              </w:rPr>
              <w:t>Total retail real estate</w:t>
            </w: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244,851</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382,017</w:t>
            </w:r>
          </w:p>
        </w:tc>
        <w:tc>
          <w:tcPr>
            <w:tcW w:w="100" w:type="dxa"/>
            <w:vAlign w:val="bottom"/>
            <w:tcBorders>
              <w:top w:val="single" w:sz="8" w:color="E0E7ED"/>
            </w:tcBorders>
            <w:shd w:val="clear" w:color="auto" w:fill="E0E7ED"/>
          </w:tcPr>
          <w:p>
            <w:pPr>
              <w:spacing w:after="0"/>
              <w:rPr>
                <w:sz w:val="15"/>
                <w:szCs w:val="15"/>
                <w:color w:val="auto"/>
              </w:rPr>
            </w:pPr>
          </w:p>
        </w:tc>
        <w:tc>
          <w:tcPr>
            <w:tcW w:w="18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414,578</w:t>
            </w:r>
          </w:p>
        </w:tc>
        <w:tc>
          <w:tcPr>
            <w:tcW w:w="10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158,032</w:t>
            </w:r>
          </w:p>
        </w:tc>
        <w:tc>
          <w:tcPr>
            <w:tcW w:w="8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70,815</w:t>
            </w: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260,142</w:t>
            </w:r>
          </w:p>
        </w:tc>
        <w:tc>
          <w:tcPr>
            <w:tcW w:w="100" w:type="dxa"/>
            <w:vAlign w:val="bottom"/>
            <w:tcBorders>
              <w:top w:val="single" w:sz="8" w:color="E0E7ED"/>
            </w:tcBorders>
            <w:shd w:val="clear" w:color="auto" w:fill="E0E7ED"/>
          </w:tcPr>
          <w:p>
            <w:pPr>
              <w:spacing w:after="0"/>
              <w:rPr>
                <w:sz w:val="15"/>
                <w:szCs w:val="15"/>
                <w:color w:val="auto"/>
              </w:rPr>
            </w:pPr>
          </w:p>
        </w:tc>
        <w:tc>
          <w:tcPr>
            <w:tcW w:w="120" w:type="dxa"/>
            <w:vAlign w:val="bottom"/>
            <w:tcBorders>
              <w:top w:val="single" w:sz="8" w:color="auto"/>
              <w:bottom w:val="single" w:sz="8" w:color="auto"/>
            </w:tcBorders>
            <w:shd w:val="clear" w:color="auto" w:fill="E0E7ED"/>
          </w:tcPr>
          <w:p>
            <w:pPr>
              <w:spacing w:after="0"/>
              <w:rPr>
                <w:sz w:val="15"/>
                <w:szCs w:val="15"/>
                <w:color w:val="auto"/>
              </w:rPr>
            </w:pPr>
          </w:p>
        </w:tc>
        <w:tc>
          <w:tcPr>
            <w:tcW w:w="9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190,020</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1,720,455</w:t>
            </w:r>
          </w:p>
        </w:tc>
      </w:tr>
      <w:tr>
        <w:trPr>
          <w:trHeight w:val="164"/>
        </w:trPr>
        <w:tc>
          <w:tcPr>
            <w:tcW w:w="2480" w:type="dxa"/>
            <w:vAlign w:val="bottom"/>
            <w:gridSpan w:val="2"/>
          </w:tcPr>
          <w:p>
            <w:pPr>
              <w:ind w:left="20"/>
              <w:spacing w:after="0" w:line="153" w:lineRule="exact"/>
              <w:rPr>
                <w:sz w:val="20"/>
                <w:szCs w:val="20"/>
                <w:color w:val="auto"/>
              </w:rPr>
            </w:pPr>
            <w:r>
              <w:rPr>
                <w:rFonts w:ascii="Verdana" w:cs="Verdana" w:eastAsia="Verdana" w:hAnsi="Verdana"/>
                <w:sz w:val="13"/>
                <w:szCs w:val="13"/>
                <w:color w:val="auto"/>
              </w:rPr>
              <w:t>Gross charge-offs</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29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72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301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407</w:t>
            </w:r>
          </w:p>
        </w:tc>
      </w:tr>
      <w:tr>
        <w:trPr>
          <w:trHeight w:val="181"/>
        </w:trPr>
        <w:tc>
          <w:tcPr>
            <w:tcW w:w="23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r>
      <w:tr>
        <w:trPr>
          <w:trHeight w:val="170"/>
        </w:trPr>
        <w:tc>
          <w:tcPr>
            <w:tcW w:w="2480" w:type="dxa"/>
            <w:vAlign w:val="bottom"/>
            <w:gridSpan w:val="2"/>
          </w:tcPr>
          <w:p>
            <w:pPr>
              <w:ind w:left="20"/>
              <w:spacing w:after="0"/>
              <w:rPr>
                <w:sz w:val="20"/>
                <w:szCs w:val="20"/>
                <w:color w:val="auto"/>
              </w:rPr>
            </w:pPr>
            <w:r>
              <w:rPr>
                <w:rFonts w:ascii="Verdana" w:cs="Verdana" w:eastAsia="Verdana" w:hAnsi="Verdana"/>
                <w:sz w:val="13"/>
                <w:szCs w:val="13"/>
                <w:b w:val="1"/>
                <w:bCs w:val="1"/>
                <w:color w:val="auto"/>
              </w:rPr>
              <w:t>Retail other</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1"/>
        </w:trPr>
        <w:tc>
          <w:tcPr>
            <w:tcW w:w="248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Pass</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88,885</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92,931</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23,019</w:t>
            </w: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6,701</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4,597</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854</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78,387</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295,374</w:t>
            </w:r>
          </w:p>
        </w:tc>
      </w:tr>
      <w:tr>
        <w:trPr>
          <w:trHeight w:val="170"/>
        </w:trPr>
        <w:tc>
          <w:tcPr>
            <w:tcW w:w="2480" w:type="dxa"/>
            <w:vAlign w:val="bottom"/>
            <w:gridSpan w:val="2"/>
          </w:tcPr>
          <w:p>
            <w:pPr>
              <w:ind w:left="180"/>
              <w:spacing w:after="0"/>
              <w:rPr>
                <w:sz w:val="20"/>
                <w:szCs w:val="20"/>
                <w:color w:val="auto"/>
              </w:rPr>
            </w:pPr>
            <w:r>
              <w:rPr>
                <w:rFonts w:ascii="Verdana" w:cs="Verdana" w:eastAsia="Verdana" w:hAnsi="Verdana"/>
                <w:sz w:val="13"/>
                <w:szCs w:val="13"/>
                <w:color w:val="auto"/>
              </w:rPr>
              <w:t>Substandard non-accrual</w:t>
            </w:r>
          </w:p>
        </w:tc>
        <w:tc>
          <w:tcPr>
            <w:tcW w:w="2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93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62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157</w:t>
            </w:r>
          </w:p>
        </w:tc>
      </w:tr>
      <w:tr>
        <w:trPr>
          <w:trHeight w:val="174"/>
        </w:trPr>
        <w:tc>
          <w:tcPr>
            <w:tcW w:w="2480" w:type="dxa"/>
            <w:vAlign w:val="bottom"/>
            <w:tcBorders>
              <w:top w:val="single" w:sz="8" w:color="E0E7ED"/>
            </w:tcBorders>
            <w:gridSpan w:val="2"/>
            <w:shd w:val="clear" w:color="auto" w:fill="E0E7ED"/>
          </w:tcPr>
          <w:p>
            <w:pPr>
              <w:ind w:left="20"/>
              <w:spacing w:after="0"/>
              <w:rPr>
                <w:sz w:val="20"/>
                <w:szCs w:val="20"/>
                <w:color w:val="auto"/>
              </w:rPr>
            </w:pPr>
            <w:r>
              <w:rPr>
                <w:rFonts w:ascii="Verdana" w:cs="Verdana" w:eastAsia="Verdana" w:hAnsi="Verdana"/>
                <w:sz w:val="13"/>
                <w:szCs w:val="13"/>
                <w:color w:val="auto"/>
              </w:rPr>
              <w:t>Total retail other</w:t>
            </w: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88,885</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93,024</w:t>
            </w:r>
          </w:p>
        </w:tc>
        <w:tc>
          <w:tcPr>
            <w:tcW w:w="100" w:type="dxa"/>
            <w:vAlign w:val="bottom"/>
            <w:tcBorders>
              <w:top w:val="single" w:sz="8" w:color="E0E7ED"/>
            </w:tcBorders>
            <w:shd w:val="clear" w:color="auto" w:fill="E0E7ED"/>
          </w:tcPr>
          <w:p>
            <w:pPr>
              <w:spacing w:after="0"/>
              <w:rPr>
                <w:sz w:val="15"/>
                <w:szCs w:val="15"/>
                <w:color w:val="auto"/>
              </w:rPr>
            </w:pPr>
          </w:p>
        </w:tc>
        <w:tc>
          <w:tcPr>
            <w:tcW w:w="18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23,081</w:t>
            </w:r>
          </w:p>
        </w:tc>
        <w:tc>
          <w:tcPr>
            <w:tcW w:w="10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6,701</w:t>
            </w:r>
          </w:p>
        </w:tc>
        <w:tc>
          <w:tcPr>
            <w:tcW w:w="8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4,597</w:t>
            </w: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856</w:t>
            </w:r>
          </w:p>
        </w:tc>
        <w:tc>
          <w:tcPr>
            <w:tcW w:w="100" w:type="dxa"/>
            <w:vAlign w:val="bottom"/>
            <w:tcBorders>
              <w:top w:val="single" w:sz="8" w:color="E0E7ED"/>
            </w:tcBorders>
            <w:shd w:val="clear" w:color="auto" w:fill="E0E7ED"/>
          </w:tcPr>
          <w:p>
            <w:pPr>
              <w:spacing w:after="0"/>
              <w:rPr>
                <w:sz w:val="15"/>
                <w:szCs w:val="15"/>
                <w:color w:val="auto"/>
              </w:rPr>
            </w:pPr>
          </w:p>
        </w:tc>
        <w:tc>
          <w:tcPr>
            <w:tcW w:w="120" w:type="dxa"/>
            <w:vAlign w:val="bottom"/>
            <w:tcBorders>
              <w:top w:val="single" w:sz="8" w:color="auto"/>
              <w:bottom w:val="single" w:sz="8" w:color="auto"/>
            </w:tcBorders>
            <w:shd w:val="clear" w:color="auto" w:fill="E0E7ED"/>
          </w:tcPr>
          <w:p>
            <w:pPr>
              <w:spacing w:after="0"/>
              <w:rPr>
                <w:sz w:val="15"/>
                <w:szCs w:val="15"/>
                <w:color w:val="auto"/>
              </w:rPr>
            </w:pPr>
          </w:p>
        </w:tc>
        <w:tc>
          <w:tcPr>
            <w:tcW w:w="9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78,387</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295,531</w:t>
            </w:r>
          </w:p>
        </w:tc>
      </w:tr>
      <w:tr>
        <w:trPr>
          <w:trHeight w:val="164"/>
        </w:trPr>
        <w:tc>
          <w:tcPr>
            <w:tcW w:w="2480" w:type="dxa"/>
            <w:vAlign w:val="bottom"/>
            <w:gridSpan w:val="2"/>
          </w:tcPr>
          <w:p>
            <w:pPr>
              <w:ind w:left="20"/>
              <w:spacing w:after="0" w:line="153" w:lineRule="exact"/>
              <w:rPr>
                <w:sz w:val="20"/>
                <w:szCs w:val="20"/>
                <w:color w:val="auto"/>
              </w:rPr>
            </w:pPr>
            <w:r>
              <w:rPr>
                <w:rFonts w:ascii="Verdana" w:cs="Verdana" w:eastAsia="Verdana" w:hAnsi="Verdana"/>
                <w:sz w:val="13"/>
                <w:szCs w:val="13"/>
                <w:color w:val="auto"/>
              </w:rPr>
              <w:t>Gross charge-offs</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71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172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373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629</w:t>
            </w:r>
          </w:p>
        </w:tc>
      </w:tr>
      <w:tr>
        <w:trPr>
          <w:trHeight w:val="181"/>
        </w:trPr>
        <w:tc>
          <w:tcPr>
            <w:tcW w:w="23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r>
      <w:tr>
        <w:trPr>
          <w:trHeight w:val="175"/>
        </w:trPr>
        <w:tc>
          <w:tcPr>
            <w:tcW w:w="2480" w:type="dxa"/>
            <w:vAlign w:val="bottom"/>
            <w:gridSpan w:val="2"/>
          </w:tcPr>
          <w:p>
            <w:pPr>
              <w:ind w:left="20"/>
              <w:spacing w:after="0"/>
              <w:rPr>
                <w:sz w:val="20"/>
                <w:szCs w:val="20"/>
                <w:color w:val="auto"/>
              </w:rPr>
            </w:pPr>
            <w:r>
              <w:rPr>
                <w:rFonts w:ascii="Verdana" w:cs="Verdana" w:eastAsia="Verdana" w:hAnsi="Verdana"/>
                <w:sz w:val="13"/>
                <w:szCs w:val="13"/>
                <w:b w:val="1"/>
                <w:bCs w:val="1"/>
                <w:color w:val="auto"/>
              </w:rPr>
              <w:t>Total portfolio loans</w:t>
            </w:r>
          </w:p>
        </w:tc>
        <w:tc>
          <w:tcPr>
            <w:tcW w:w="200" w:type="dxa"/>
            <w:vAlign w:val="bottom"/>
            <w:tcBorders>
              <w:bottom w:val="single" w:sz="8" w:color="auto"/>
            </w:tcBorders>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1,520,323</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1,785,798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1,552,072</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57"/>
              <w:spacing w:after="0"/>
              <w:rPr>
                <w:sz w:val="20"/>
                <w:szCs w:val="20"/>
                <w:color w:val="auto"/>
              </w:rPr>
            </w:pPr>
            <w:r>
              <w:rPr>
                <w:rFonts w:ascii="Verdana" w:cs="Verdana" w:eastAsia="Verdana" w:hAnsi="Verdana"/>
                <w:sz w:val="13"/>
                <w:szCs w:val="13"/>
                <w:color w:val="auto"/>
                <w:w w:val="95"/>
              </w:rPr>
              <w:t>$</w:t>
            </w:r>
          </w:p>
        </w:tc>
        <w:tc>
          <w:tcPr>
            <w:tcW w:w="80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705,335</w:t>
            </w:r>
          </w:p>
        </w:tc>
        <w:tc>
          <w:tcPr>
            <w:tcW w:w="80" w:type="dxa"/>
            <w:vAlign w:val="bottom"/>
          </w:tcPr>
          <w:p>
            <w:pPr>
              <w:spacing w:after="0"/>
              <w:rPr>
                <w:sz w:val="15"/>
                <w:szCs w:val="15"/>
                <w:color w:val="auto"/>
              </w:rPr>
            </w:pPr>
          </w:p>
        </w:tc>
        <w:tc>
          <w:tcPr>
            <w:tcW w:w="220" w:type="dxa"/>
            <w:vAlign w:val="bottom"/>
            <w:tcBorders>
              <w:bottom w:val="single" w:sz="8" w:color="auto"/>
            </w:tcBorders>
          </w:tcPr>
          <w:p>
            <w:pPr>
              <w:jc w:val="right"/>
              <w:ind w:right="57"/>
              <w:spacing w:after="0"/>
              <w:rPr>
                <w:sz w:val="20"/>
                <w:szCs w:val="20"/>
                <w:color w:val="auto"/>
              </w:rPr>
            </w:pPr>
            <w:r>
              <w:rPr>
                <w:rFonts w:ascii="Verdana" w:cs="Verdana" w:eastAsia="Verdana" w:hAnsi="Verdana"/>
                <w:sz w:val="13"/>
                <w:szCs w:val="13"/>
                <w:color w:val="auto"/>
                <w:w w:val="95"/>
              </w:rPr>
              <w:t>$</w:t>
            </w:r>
          </w:p>
        </w:tc>
        <w:tc>
          <w:tcPr>
            <w:tcW w:w="80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468,659</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37"/>
              <w:spacing w:after="0"/>
              <w:rPr>
                <w:sz w:val="20"/>
                <w:szCs w:val="20"/>
                <w:color w:val="auto"/>
              </w:rPr>
            </w:pPr>
            <w:r>
              <w:rPr>
                <w:rFonts w:ascii="Verdana" w:cs="Verdana" w:eastAsia="Verdana" w:hAnsi="Verdana"/>
                <w:sz w:val="13"/>
                <w:szCs w:val="13"/>
                <w:color w:val="auto"/>
                <w:w w:val="95"/>
              </w:rPr>
              <w:t>$</w:t>
            </w:r>
          </w:p>
        </w:tc>
        <w:tc>
          <w:tcPr>
            <w:tcW w:w="80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660,624</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958,223</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7,651,034</w:t>
            </w:r>
          </w:p>
        </w:tc>
      </w:tr>
      <w:tr>
        <w:trPr>
          <w:trHeight w:val="20"/>
        </w:trPr>
        <w:tc>
          <w:tcPr>
            <w:tcW w:w="238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5"/>
        </w:trPr>
        <w:tc>
          <w:tcPr>
            <w:tcW w:w="2480" w:type="dxa"/>
            <w:vAlign w:val="bottom"/>
            <w:tcBorders>
              <w:bottom w:val="single" w:sz="8" w:color="E0E7ED"/>
            </w:tcBorders>
            <w:gridSpan w:val="2"/>
            <w:shd w:val="clear" w:color="auto" w:fill="E0E7ED"/>
          </w:tcPr>
          <w:p>
            <w:pPr>
              <w:ind w:left="20"/>
              <w:spacing w:after="0"/>
              <w:rPr>
                <w:sz w:val="20"/>
                <w:szCs w:val="20"/>
                <w:color w:val="auto"/>
              </w:rPr>
            </w:pPr>
            <w:r>
              <w:rPr>
                <w:rFonts w:ascii="Verdana" w:cs="Verdana" w:eastAsia="Verdana" w:hAnsi="Verdana"/>
                <w:sz w:val="13"/>
                <w:szCs w:val="13"/>
                <w:b w:val="1"/>
                <w:bCs w:val="1"/>
                <w:color w:val="auto"/>
              </w:rPr>
              <w:t>Total gross charge-offs</w:t>
            </w:r>
          </w:p>
        </w:tc>
        <w:tc>
          <w:tcPr>
            <w:tcW w:w="200" w:type="dxa"/>
            <w:vAlign w:val="bottom"/>
            <w:tcBorders>
              <w:bottom w:val="single" w:sz="8" w:color="auto"/>
            </w:tcBorders>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289</w:t>
            </w:r>
          </w:p>
        </w:tc>
        <w:tc>
          <w:tcPr>
            <w:tcW w:w="80" w:type="dxa"/>
            <w:vAlign w:val="bottom"/>
            <w:tcBorders>
              <w:bottom w:val="single" w:sz="8" w:color="E0E7ED"/>
            </w:tcBorders>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76</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592</w:t>
            </w:r>
          </w:p>
        </w:tc>
        <w:tc>
          <w:tcPr>
            <w:tcW w:w="100" w:type="dxa"/>
            <w:vAlign w:val="bottom"/>
            <w:tcBorders>
              <w:bottom w:val="single" w:sz="8" w:color="E0E7ED"/>
            </w:tcBorders>
            <w:shd w:val="clear" w:color="auto" w:fill="E0E7ED"/>
          </w:tcPr>
          <w:p>
            <w:pPr>
              <w:spacing w:after="0"/>
              <w:rPr>
                <w:sz w:val="16"/>
                <w:szCs w:val="16"/>
                <w:color w:val="auto"/>
              </w:rPr>
            </w:pPr>
          </w:p>
        </w:tc>
        <w:tc>
          <w:tcPr>
            <w:tcW w:w="220" w:type="dxa"/>
            <w:vAlign w:val="bottom"/>
            <w:tcBorders>
              <w:bottom w:val="single" w:sz="8" w:color="auto"/>
            </w:tcBorders>
            <w:shd w:val="clear" w:color="auto" w:fill="E0E7ED"/>
          </w:tcPr>
          <w:p>
            <w:pPr>
              <w:jc w:val="right"/>
              <w:ind w:right="57"/>
              <w:spacing w:after="0"/>
              <w:rPr>
                <w:sz w:val="20"/>
                <w:szCs w:val="20"/>
                <w:color w:val="auto"/>
              </w:rPr>
            </w:pPr>
            <w:r>
              <w:rPr>
                <w:rFonts w:ascii="Verdana" w:cs="Verdana" w:eastAsia="Verdana" w:hAnsi="Verdana"/>
                <w:sz w:val="13"/>
                <w:szCs w:val="13"/>
                <w:color w:val="auto"/>
                <w:w w:val="95"/>
              </w:rPr>
              <w:t>$</w:t>
            </w:r>
          </w:p>
        </w:tc>
        <w:tc>
          <w:tcPr>
            <w:tcW w:w="80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34</w:t>
            </w:r>
          </w:p>
        </w:tc>
        <w:tc>
          <w:tcPr>
            <w:tcW w:w="80" w:type="dxa"/>
            <w:vAlign w:val="bottom"/>
            <w:tcBorders>
              <w:bottom w:val="single" w:sz="8" w:color="E0E7ED"/>
            </w:tcBorders>
            <w:shd w:val="clear" w:color="auto" w:fill="E0E7ED"/>
          </w:tcPr>
          <w:p>
            <w:pPr>
              <w:spacing w:after="0"/>
              <w:rPr>
                <w:sz w:val="16"/>
                <w:szCs w:val="16"/>
                <w:color w:val="auto"/>
              </w:rPr>
            </w:pPr>
          </w:p>
        </w:tc>
        <w:tc>
          <w:tcPr>
            <w:tcW w:w="220" w:type="dxa"/>
            <w:vAlign w:val="bottom"/>
            <w:tcBorders>
              <w:bottom w:val="single" w:sz="8" w:color="auto"/>
            </w:tcBorders>
            <w:shd w:val="clear" w:color="auto" w:fill="E0E7ED"/>
          </w:tcPr>
          <w:p>
            <w:pPr>
              <w:jc w:val="right"/>
              <w:ind w:right="57"/>
              <w:spacing w:after="0"/>
              <w:rPr>
                <w:sz w:val="20"/>
                <w:szCs w:val="20"/>
                <w:color w:val="auto"/>
              </w:rPr>
            </w:pPr>
            <w:r>
              <w:rPr>
                <w:rFonts w:ascii="Verdana" w:cs="Verdana" w:eastAsia="Verdana" w:hAnsi="Verdana"/>
                <w:sz w:val="13"/>
                <w:szCs w:val="13"/>
                <w:color w:val="auto"/>
                <w:w w:val="95"/>
              </w:rPr>
              <w:t>$</w:t>
            </w:r>
          </w:p>
        </w:tc>
        <w:tc>
          <w:tcPr>
            <w:tcW w:w="80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391</w:t>
            </w:r>
          </w:p>
        </w:tc>
        <w:tc>
          <w:tcPr>
            <w:tcW w:w="100" w:type="dxa"/>
            <w:vAlign w:val="bottom"/>
            <w:tcBorders>
              <w:bottom w:val="single" w:sz="8" w:color="E0E7ED"/>
            </w:tcBorders>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8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3,036</w:t>
            </w:r>
          </w:p>
        </w:tc>
        <w:tc>
          <w:tcPr>
            <w:tcW w:w="100" w:type="dxa"/>
            <w:vAlign w:val="bottom"/>
            <w:tcBorders>
              <w:bottom w:val="single" w:sz="8" w:color="E0E7ED"/>
            </w:tcBorders>
            <w:shd w:val="clear" w:color="auto" w:fill="E0E7ED"/>
          </w:tcPr>
          <w:p>
            <w:pPr>
              <w:spacing w:after="0"/>
              <w:rPr>
                <w:sz w:val="16"/>
                <w:szCs w:val="16"/>
                <w:color w:val="auto"/>
              </w:rPr>
            </w:pPr>
          </w:p>
        </w:tc>
        <w:tc>
          <w:tcPr>
            <w:tcW w:w="1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tcBorders>
              <w:bottom w:val="single" w:sz="8" w:color="E0E7ED"/>
            </w:tcBorders>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4,418</w:t>
            </w:r>
          </w:p>
        </w:tc>
      </w:tr>
      <w:tr>
        <w:trPr>
          <w:trHeight w:val="20"/>
        </w:trPr>
        <w:tc>
          <w:tcPr>
            <w:tcW w:w="238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8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8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8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8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8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8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E0E7ED"/>
              <w:bottom w:val="single" w:sz="8" w:color="auto"/>
            </w:tcBorders>
          </w:tcPr>
          <w:p>
            <w:pPr>
              <w:spacing w:after="0" w:line="20" w:lineRule="exact"/>
              <w:rPr>
                <w:sz w:val="1"/>
                <w:szCs w:val="1"/>
                <w:color w:val="auto"/>
              </w:rPr>
            </w:pPr>
          </w:p>
        </w:tc>
        <w:tc>
          <w:tcPr>
            <w:tcW w:w="9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820" w:type="dxa"/>
            <w:vAlign w:val="bottom"/>
            <w:tcBorders>
              <w:top w:val="single" w:sz="8" w:color="E0E7ED"/>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940"/>
        <w:spacing w:after="0"/>
        <w:rPr>
          <w:sz w:val="20"/>
          <w:szCs w:val="20"/>
          <w:color w:val="auto"/>
        </w:rPr>
      </w:pPr>
      <w:r>
        <w:rPr>
          <w:rFonts w:ascii="Verdana" w:cs="Verdana" w:eastAsia="Verdana" w:hAnsi="Verdana"/>
          <w:sz w:val="17"/>
          <w:szCs w:val="17"/>
          <w:color w:val="808285"/>
        </w:rPr>
        <w:t xml:space="preserve">First Busey Corporation (BUSE) | </w:t>
      </w:r>
      <w:r>
        <w:rPr>
          <w:rFonts w:ascii="Verdana" w:cs="Verdana" w:eastAsia="Verdana" w:hAnsi="Verdana"/>
          <w:sz w:val="17"/>
          <w:szCs w:val="17"/>
          <w:b w:val="1"/>
          <w:bCs w:val="1"/>
          <w:color w:val="376484"/>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29" w:name="page30"/>
    <w:bookmarkEnd w:id="29"/>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Past Due and Non-accrual Loans</w:t>
      </w:r>
    </w:p>
    <w:p>
      <w:pPr>
        <w:spacing w:after="0" w:line="17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An analysis of the amortized cost basis of portfolio loans that were past due and still accruing, or on a non-accrual status, is presented in the table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3"/>
          </w:tcPr>
          <w:p>
            <w:pPr>
              <w:jc w:val="right"/>
              <w:ind w:right="119"/>
              <w:spacing w:after="0"/>
              <w:rPr>
                <w:sz w:val="20"/>
                <w:szCs w:val="20"/>
                <w:color w:val="auto"/>
              </w:rPr>
            </w:pPr>
            <w:r>
              <w:rPr>
                <w:rFonts w:ascii="Verdana" w:cs="Verdana" w:eastAsia="Verdana" w:hAnsi="Verdana"/>
                <w:sz w:val="13"/>
                <w:szCs w:val="13"/>
                <w:b w:val="1"/>
                <w:bCs w:val="1"/>
                <w:color w:val="auto"/>
              </w:rPr>
              <w:t>As of September 30, 2024</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000" w:type="dxa"/>
            <w:vAlign w:val="bottom"/>
            <w:tcBorders>
              <w:bottom w:val="single" w:sz="8" w:color="auto"/>
            </w:tcBorders>
            <w:gridSpan w:val="7"/>
          </w:tcPr>
          <w:p>
            <w:pPr>
              <w:jc w:val="center"/>
              <w:ind w:left="95"/>
              <w:spacing w:after="0"/>
              <w:rPr>
                <w:sz w:val="20"/>
                <w:szCs w:val="20"/>
                <w:color w:val="auto"/>
              </w:rPr>
            </w:pPr>
            <w:r>
              <w:rPr>
                <w:rFonts w:ascii="Verdana" w:cs="Verdana" w:eastAsia="Verdana" w:hAnsi="Verdana"/>
                <w:sz w:val="13"/>
                <w:szCs w:val="13"/>
                <w:b w:val="1"/>
                <w:bCs w:val="1"/>
                <w:color w:val="auto"/>
                <w:w w:val="96"/>
              </w:rPr>
              <w:t>Loans past due, still accruing</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vMerge w:val="restart"/>
          </w:tcPr>
          <w:p>
            <w:pPr>
              <w:jc w:val="center"/>
              <w:ind w:right="135"/>
              <w:spacing w:after="0"/>
              <w:rPr>
                <w:sz w:val="20"/>
                <w:szCs w:val="20"/>
                <w:color w:val="auto"/>
              </w:rPr>
            </w:pPr>
            <w:r>
              <w:rPr>
                <w:rFonts w:ascii="Verdana" w:cs="Verdana" w:eastAsia="Verdana" w:hAnsi="Verdana"/>
                <w:sz w:val="13"/>
                <w:szCs w:val="13"/>
                <w:b w:val="1"/>
                <w:bCs w:val="1"/>
                <w:color w:val="auto"/>
                <w:w w:val="97"/>
              </w:rPr>
              <w:t>Non-accrual</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3"/>
            <w:vMerge w:val="restart"/>
          </w:tcPr>
          <w:p>
            <w:pPr>
              <w:ind w:left="100"/>
              <w:spacing w:after="0"/>
              <w:rPr>
                <w:sz w:val="20"/>
                <w:szCs w:val="20"/>
                <w:color w:val="auto"/>
              </w:rPr>
            </w:pPr>
            <w:r>
              <w:rPr>
                <w:rFonts w:ascii="Verdana" w:cs="Verdana" w:eastAsia="Verdana" w:hAnsi="Verdana"/>
                <w:sz w:val="13"/>
                <w:szCs w:val="13"/>
                <w:b w:val="1"/>
                <w:bCs w:val="1"/>
                <w:color w:val="auto"/>
              </w:rPr>
              <w:t>30-59 Days</w:t>
            </w:r>
          </w:p>
        </w:tc>
        <w:tc>
          <w:tcPr>
            <w:tcW w:w="240" w:type="dxa"/>
            <w:vAlign w:val="bottom"/>
          </w:tcPr>
          <w:p>
            <w:pPr>
              <w:spacing w:after="0"/>
              <w:rPr>
                <w:sz w:val="2"/>
                <w:szCs w:val="2"/>
                <w:color w:val="auto"/>
              </w:rPr>
            </w:pPr>
          </w:p>
        </w:tc>
        <w:tc>
          <w:tcPr>
            <w:tcW w:w="1340" w:type="dxa"/>
            <w:vAlign w:val="bottom"/>
            <w:gridSpan w:val="2"/>
            <w:vMerge w:val="restart"/>
          </w:tcPr>
          <w:p>
            <w:pPr>
              <w:jc w:val="center"/>
              <w:ind w:right="320"/>
              <w:spacing w:after="0"/>
              <w:rPr>
                <w:sz w:val="20"/>
                <w:szCs w:val="20"/>
                <w:color w:val="auto"/>
              </w:rPr>
            </w:pPr>
            <w:r>
              <w:rPr>
                <w:rFonts w:ascii="Verdana" w:cs="Verdana" w:eastAsia="Verdana" w:hAnsi="Verdana"/>
                <w:sz w:val="13"/>
                <w:szCs w:val="13"/>
                <w:b w:val="1"/>
                <w:bCs w:val="1"/>
                <w:color w:val="auto"/>
                <w:w w:val="98"/>
              </w:rPr>
              <w:t>60-89 Days</w:t>
            </w:r>
          </w:p>
        </w:tc>
        <w:tc>
          <w:tcPr>
            <w:tcW w:w="1080" w:type="dxa"/>
            <w:vAlign w:val="bottom"/>
            <w:vMerge w:val="restart"/>
          </w:tcPr>
          <w:p>
            <w:pPr>
              <w:jc w:val="right"/>
              <w:spacing w:after="0"/>
              <w:rPr>
                <w:sz w:val="20"/>
                <w:szCs w:val="20"/>
                <w:color w:val="auto"/>
              </w:rPr>
            </w:pPr>
            <w:r>
              <w:rPr>
                <w:rFonts w:ascii="Verdana" w:cs="Verdana" w:eastAsia="Verdana" w:hAnsi="Verdana"/>
                <w:sz w:val="13"/>
                <w:szCs w:val="13"/>
                <w:b w:val="1"/>
                <w:bCs w:val="1"/>
                <w:color w:val="auto"/>
              </w:rPr>
              <w:t>90+Days</w:t>
            </w: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135"/>
              <w:spacing w:after="0"/>
              <w:rPr>
                <w:sz w:val="20"/>
                <w:szCs w:val="20"/>
                <w:color w:val="auto"/>
              </w:rPr>
            </w:pPr>
            <w:r>
              <w:rPr>
                <w:rFonts w:ascii="Verdana" w:cs="Verdana" w:eastAsia="Verdana" w:hAnsi="Verdana"/>
                <w:sz w:val="13"/>
                <w:szCs w:val="13"/>
                <w:b w:val="1"/>
                <w:bCs w:val="1"/>
                <w:color w:val="auto"/>
                <w:w w:val="97"/>
              </w:rPr>
              <w:t>Loans</w:t>
            </w:r>
          </w:p>
        </w:tc>
        <w:tc>
          <w:tcPr>
            <w:tcW w:w="0" w:type="dxa"/>
            <w:vAlign w:val="bottom"/>
          </w:tcPr>
          <w:p>
            <w:pPr>
              <w:spacing w:after="0"/>
              <w:rPr>
                <w:sz w:val="1"/>
                <w:szCs w:val="1"/>
                <w:color w:val="auto"/>
              </w:rPr>
            </w:pPr>
          </w:p>
        </w:tc>
      </w:tr>
      <w:tr>
        <w:trPr>
          <w:trHeight w:val="255"/>
        </w:trPr>
        <w:tc>
          <w:tcPr>
            <w:tcW w:w="49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 loans</w:t>
            </w:r>
          </w:p>
        </w:tc>
        <w:tc>
          <w:tcPr>
            <w:tcW w:w="24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080" w:type="dxa"/>
            <w:vAlign w:val="bottom"/>
            <w:tcBorders>
              <w:top w:val="single" w:sz="8" w:color="auto"/>
            </w:tcBorders>
            <w:shd w:val="clear" w:color="auto" w:fill="E0E7ED"/>
          </w:tcPr>
          <w:p>
            <w:pPr>
              <w:spacing w:after="0"/>
              <w:rPr>
                <w:sz w:val="22"/>
                <w:szCs w:val="22"/>
                <w:color w:val="auto"/>
              </w:rPr>
            </w:pPr>
          </w:p>
        </w:tc>
        <w:tc>
          <w:tcPr>
            <w:tcW w:w="42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C&amp;I and other commercial</w:t>
            </w:r>
          </w:p>
        </w:tc>
        <w:tc>
          <w:tcPr>
            <w:tcW w:w="240" w:type="dxa"/>
            <w:vAlign w:val="bottom"/>
          </w:tcPr>
          <w:p>
            <w:pPr>
              <w:jc w:val="right"/>
              <w:ind w:right="30"/>
              <w:spacing w:after="0"/>
              <w:rPr>
                <w:sz w:val="20"/>
                <w:szCs w:val="20"/>
                <w:color w:val="auto"/>
              </w:rPr>
            </w:pPr>
            <w:r>
              <w:rPr>
                <w:rFonts w:ascii="Verdana" w:cs="Verdana" w:eastAsia="Verdana" w:hAnsi="Verdana"/>
                <w:sz w:val="18"/>
                <w:szCs w:val="18"/>
                <w:color w:val="auto"/>
                <w:w w:val="86"/>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1,579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3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1080" w:type="dxa"/>
            <w:vAlign w:val="bottom"/>
          </w:tcPr>
          <w:p>
            <w:pPr>
              <w:jc w:val="right"/>
              <w:ind w:right="859"/>
              <w:spacing w:after="0"/>
              <w:rPr>
                <w:sz w:val="20"/>
                <w:szCs w:val="20"/>
                <w:color w:val="auto"/>
              </w:rPr>
            </w:pPr>
            <w:r>
              <w:rPr>
                <w:rFonts w:ascii="Verdana" w:cs="Verdana" w:eastAsia="Verdana" w:hAnsi="Verdana"/>
                <w:sz w:val="18"/>
                <w:szCs w:val="18"/>
                <w:color w:val="auto"/>
              </w:rPr>
              <w:t>$</w:t>
            </w:r>
          </w:p>
        </w:tc>
        <w:tc>
          <w:tcPr>
            <w:tcW w:w="52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ind w:right="15"/>
              <w:spacing w:after="0"/>
              <w:rPr>
                <w:sz w:val="20"/>
                <w:szCs w:val="20"/>
                <w:color w:val="auto"/>
              </w:rPr>
            </w:pPr>
            <w:r>
              <w:rPr>
                <w:rFonts w:ascii="Verdana" w:cs="Verdana" w:eastAsia="Verdana" w:hAnsi="Verdana"/>
                <w:sz w:val="18"/>
                <w:szCs w:val="18"/>
                <w:color w:val="auto"/>
              </w:rPr>
              <w:t>4,342</w:t>
            </w:r>
          </w:p>
        </w:tc>
        <w:tc>
          <w:tcPr>
            <w:tcW w:w="0" w:type="dxa"/>
            <w:vAlign w:val="bottom"/>
          </w:tcPr>
          <w:p>
            <w:pPr>
              <w:spacing w:after="0"/>
              <w:rPr>
                <w:sz w:val="1"/>
                <w:szCs w:val="1"/>
                <w:color w:val="auto"/>
              </w:rPr>
            </w:pPr>
          </w:p>
        </w:tc>
      </w:tr>
      <w:tr>
        <w:trPr>
          <w:trHeight w:val="277"/>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24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1,286</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10</w:t>
            </w:r>
          </w:p>
        </w:tc>
        <w:tc>
          <w:tcPr>
            <w:tcW w:w="80" w:type="dxa"/>
            <w:vAlign w:val="bottom"/>
            <w:shd w:val="clear" w:color="auto" w:fill="E0E7ED"/>
          </w:tcPr>
          <w:p>
            <w:pPr>
              <w:spacing w:after="0"/>
              <w:rPr>
                <w:sz w:val="24"/>
                <w:szCs w:val="24"/>
                <w:color w:val="auto"/>
              </w:rPr>
            </w:pPr>
          </w:p>
        </w:tc>
        <w:tc>
          <w:tcPr>
            <w:tcW w:w="1080" w:type="dxa"/>
            <w:vAlign w:val="bottom"/>
            <w:shd w:val="clear" w:color="auto" w:fill="E0E7ED"/>
          </w:tcPr>
          <w:p>
            <w:pPr>
              <w:spacing w:after="0"/>
              <w:rPr>
                <w:sz w:val="24"/>
                <w:szCs w:val="24"/>
                <w:color w:val="auto"/>
              </w:rPr>
            </w:pPr>
          </w:p>
        </w:tc>
        <w:tc>
          <w:tcPr>
            <w:tcW w:w="52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550</w:t>
            </w:r>
          </w:p>
        </w:tc>
        <w:tc>
          <w:tcPr>
            <w:tcW w:w="0" w:type="dxa"/>
            <w:vAlign w:val="bottom"/>
          </w:tcPr>
          <w:p>
            <w:pPr>
              <w:spacing w:after="0"/>
              <w:rPr>
                <w:sz w:val="1"/>
                <w:szCs w:val="1"/>
                <w:color w:val="auto"/>
              </w:rPr>
            </w:pPr>
          </w:p>
        </w:tc>
      </w:tr>
      <w:tr>
        <w:trPr>
          <w:trHeight w:val="263"/>
        </w:trPr>
        <w:tc>
          <w:tcPr>
            <w:tcW w:w="498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Real estate construction</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23</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E0E7ED"/>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w:t>
            </w:r>
          </w:p>
        </w:tc>
        <w:tc>
          <w:tcPr>
            <w:tcW w:w="80" w:type="dxa"/>
            <w:vAlign w:val="bottom"/>
            <w:tcBorders>
              <w:bottom w:val="single" w:sz="8" w:color="E0E7ED"/>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00" w:type="dxa"/>
            <w:vAlign w:val="bottom"/>
            <w:tcBorders>
              <w:bottom w:val="single" w:sz="8" w:color="E0E7E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0" w:type="dxa"/>
            <w:vAlign w:val="bottom"/>
          </w:tcPr>
          <w:p>
            <w:pPr>
              <w:spacing w:after="0"/>
              <w:rPr>
                <w:sz w:val="1"/>
                <w:szCs w:val="1"/>
                <w:color w:val="auto"/>
              </w:rPr>
            </w:pPr>
          </w:p>
        </w:tc>
      </w:tr>
      <w:tr>
        <w:trPr>
          <w:trHeight w:val="270"/>
        </w:trPr>
        <w:tc>
          <w:tcPr>
            <w:tcW w:w="49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Past due and non-accrual commercial loans</w:t>
            </w:r>
          </w:p>
        </w:tc>
        <w:tc>
          <w:tcPr>
            <w:tcW w:w="240" w:type="dxa"/>
            <w:vAlign w:val="bottom"/>
            <w:shd w:val="clear" w:color="auto" w:fill="E0E7ED"/>
          </w:tcPr>
          <w:p>
            <w:pPr>
              <w:spacing w:after="0"/>
              <w:rPr>
                <w:sz w:val="23"/>
                <w:szCs w:val="23"/>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2,888</w:t>
            </w:r>
          </w:p>
        </w:tc>
        <w:tc>
          <w:tcPr>
            <w:tcW w:w="2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26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10</w:t>
            </w:r>
          </w:p>
        </w:tc>
        <w:tc>
          <w:tcPr>
            <w:tcW w:w="80" w:type="dxa"/>
            <w:vAlign w:val="bottom"/>
            <w:shd w:val="clear" w:color="auto" w:fill="E0E7ED"/>
          </w:tcPr>
          <w:p>
            <w:pPr>
              <w:spacing w:after="0"/>
              <w:rPr>
                <w:sz w:val="23"/>
                <w:szCs w:val="23"/>
                <w:color w:val="auto"/>
              </w:rPr>
            </w:pPr>
          </w:p>
        </w:tc>
        <w:tc>
          <w:tcPr>
            <w:tcW w:w="1080" w:type="dxa"/>
            <w:vAlign w:val="bottom"/>
            <w:shd w:val="clear" w:color="auto" w:fill="E0E7ED"/>
          </w:tcPr>
          <w:p>
            <w:pPr>
              <w:spacing w:after="0"/>
              <w:rPr>
                <w:sz w:val="23"/>
                <w:szCs w:val="23"/>
                <w:color w:val="auto"/>
              </w:rPr>
            </w:pPr>
          </w:p>
        </w:tc>
        <w:tc>
          <w:tcPr>
            <w:tcW w:w="52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shd w:val="clear" w:color="auto" w:fill="E0E7ED"/>
          </w:tcPr>
          <w:p>
            <w:pPr>
              <w:spacing w:after="0"/>
              <w:rPr>
                <w:sz w:val="23"/>
                <w:szCs w:val="23"/>
                <w:color w:val="auto"/>
              </w:rPr>
            </w:pPr>
          </w:p>
        </w:tc>
        <w:tc>
          <w:tcPr>
            <w:tcW w:w="128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4,892</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Verdana" w:cs="Verdana" w:eastAsia="Verdana" w:hAnsi="Verdana"/>
                <w:sz w:val="18"/>
                <w:szCs w:val="18"/>
                <w:b w:val="1"/>
                <w:bCs w:val="1"/>
                <w:color w:val="auto"/>
              </w:rPr>
              <w:t>Retail loans</w:t>
            </w:r>
          </w:p>
        </w:tc>
        <w:tc>
          <w:tcPr>
            <w:tcW w:w="2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24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4,423</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620</w:t>
            </w:r>
          </w:p>
        </w:tc>
        <w:tc>
          <w:tcPr>
            <w:tcW w:w="80" w:type="dxa"/>
            <w:vAlign w:val="bottom"/>
            <w:shd w:val="clear" w:color="auto" w:fill="E0E7ED"/>
          </w:tcPr>
          <w:p>
            <w:pPr>
              <w:spacing w:after="0"/>
              <w:rPr>
                <w:sz w:val="24"/>
                <w:szCs w:val="24"/>
                <w:color w:val="auto"/>
              </w:rPr>
            </w:pPr>
          </w:p>
        </w:tc>
        <w:tc>
          <w:tcPr>
            <w:tcW w:w="1080" w:type="dxa"/>
            <w:vAlign w:val="bottom"/>
            <w:shd w:val="clear" w:color="auto" w:fill="E0E7ED"/>
          </w:tcPr>
          <w:p>
            <w:pPr>
              <w:spacing w:after="0"/>
              <w:rPr>
                <w:sz w:val="24"/>
                <w:szCs w:val="24"/>
                <w:color w:val="auto"/>
              </w:rPr>
            </w:pPr>
          </w:p>
        </w:tc>
        <w:tc>
          <w:tcPr>
            <w:tcW w:w="4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25</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28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3,112</w:t>
            </w:r>
          </w:p>
        </w:tc>
        <w:tc>
          <w:tcPr>
            <w:tcW w:w="0" w:type="dxa"/>
            <w:vAlign w:val="bottom"/>
          </w:tcPr>
          <w:p>
            <w:pPr>
              <w:spacing w:after="0"/>
              <w:rPr>
                <w:sz w:val="1"/>
                <w:szCs w:val="1"/>
                <w:color w:val="auto"/>
              </w:rPr>
            </w:pP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Retail other</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2,120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15"/>
              <w:spacing w:after="0"/>
              <w:rPr>
                <w:sz w:val="20"/>
                <w:szCs w:val="20"/>
                <w:color w:val="auto"/>
              </w:rPr>
            </w:pPr>
            <w:r>
              <w:rPr>
                <w:rFonts w:ascii="Verdana" w:cs="Verdana" w:eastAsia="Verdana" w:hAnsi="Verdana"/>
                <w:sz w:val="18"/>
                <w:szCs w:val="18"/>
                <w:color w:val="auto"/>
              </w:rPr>
              <w:t>80</w:t>
            </w: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2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188</w:t>
            </w:r>
          </w:p>
        </w:tc>
        <w:tc>
          <w:tcPr>
            <w:tcW w:w="0" w:type="dxa"/>
            <w:vAlign w:val="bottom"/>
          </w:tcPr>
          <w:p>
            <w:pPr>
              <w:spacing w:after="0"/>
              <w:rPr>
                <w:sz w:val="1"/>
                <w:szCs w:val="1"/>
                <w:color w:val="auto"/>
              </w:rPr>
            </w:pPr>
          </w:p>
        </w:tc>
      </w:tr>
      <w:tr>
        <w:trPr>
          <w:trHeight w:val="263"/>
        </w:trPr>
        <w:tc>
          <w:tcPr>
            <w:tcW w:w="49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Past due and non-accrual retail loans</w:t>
            </w:r>
          </w:p>
        </w:tc>
        <w:tc>
          <w:tcPr>
            <w:tcW w:w="240" w:type="dxa"/>
            <w:vAlign w:val="bottom"/>
            <w:tcBorders>
              <w:top w:val="single" w:sz="8" w:color="auto"/>
              <w:bottom w:val="single" w:sz="8" w:color="auto"/>
            </w:tcBorders>
            <w:shd w:val="clear" w:color="auto" w:fill="E0E7ED"/>
          </w:tcPr>
          <w:p>
            <w:pPr>
              <w:spacing w:after="0"/>
              <w:rPr>
                <w:sz w:val="22"/>
                <w:szCs w:val="22"/>
                <w:color w:val="auto"/>
              </w:rPr>
            </w:pPr>
          </w:p>
        </w:tc>
        <w:tc>
          <w:tcPr>
            <w:tcW w:w="12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6,543</w:t>
            </w:r>
          </w:p>
        </w:tc>
        <w:tc>
          <w:tcPr>
            <w:tcW w:w="20" w:type="dxa"/>
            <w:vAlign w:val="bottom"/>
            <w:tcBorders>
              <w:top w:val="single" w:sz="8" w:color="auto"/>
              <w:bottom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bottom w:val="single" w:sz="8" w:color="auto"/>
            </w:tcBorders>
            <w:shd w:val="clear" w:color="auto" w:fill="E0E7ED"/>
          </w:tcPr>
          <w:p>
            <w:pPr>
              <w:spacing w:after="0"/>
              <w:rPr>
                <w:sz w:val="22"/>
                <w:szCs w:val="22"/>
                <w:color w:val="auto"/>
              </w:rPr>
            </w:pPr>
          </w:p>
        </w:tc>
        <w:tc>
          <w:tcPr>
            <w:tcW w:w="1260" w:type="dxa"/>
            <w:vAlign w:val="bottom"/>
            <w:tcBorders>
              <w:top w:val="single" w:sz="8" w:color="auto"/>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700</w:t>
            </w:r>
          </w:p>
        </w:tc>
        <w:tc>
          <w:tcPr>
            <w:tcW w:w="80" w:type="dxa"/>
            <w:vAlign w:val="bottom"/>
            <w:tcBorders>
              <w:top w:val="single" w:sz="8" w:color="E0E7ED"/>
            </w:tcBorders>
            <w:shd w:val="clear" w:color="auto" w:fill="E0E7ED"/>
          </w:tcPr>
          <w:p>
            <w:pPr>
              <w:spacing w:after="0"/>
              <w:rPr>
                <w:sz w:val="22"/>
                <w:szCs w:val="22"/>
                <w:color w:val="auto"/>
              </w:rPr>
            </w:pPr>
          </w:p>
        </w:tc>
        <w:tc>
          <w:tcPr>
            <w:tcW w:w="1080" w:type="dxa"/>
            <w:vAlign w:val="bottom"/>
            <w:tcBorders>
              <w:top w:val="single" w:sz="8" w:color="auto"/>
              <w:bottom w:val="single" w:sz="8" w:color="auto"/>
            </w:tcBorders>
            <w:shd w:val="clear" w:color="auto" w:fill="E0E7ED"/>
          </w:tcPr>
          <w:p>
            <w:pPr>
              <w:spacing w:after="0"/>
              <w:rPr>
                <w:sz w:val="22"/>
                <w:szCs w:val="22"/>
                <w:color w:val="auto"/>
              </w:rPr>
            </w:pPr>
          </w:p>
        </w:tc>
        <w:tc>
          <w:tcPr>
            <w:tcW w:w="4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25</w:t>
            </w:r>
          </w:p>
        </w:tc>
        <w:tc>
          <w:tcPr>
            <w:tcW w:w="10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bottom w:val="single" w:sz="8" w:color="auto"/>
            </w:tcBorders>
            <w:shd w:val="clear" w:color="auto" w:fill="E0E7ED"/>
          </w:tcPr>
          <w:p>
            <w:pPr>
              <w:spacing w:after="0"/>
              <w:rPr>
                <w:sz w:val="22"/>
                <w:szCs w:val="22"/>
                <w:color w:val="auto"/>
              </w:rPr>
            </w:pPr>
          </w:p>
        </w:tc>
        <w:tc>
          <w:tcPr>
            <w:tcW w:w="1280" w:type="dxa"/>
            <w:vAlign w:val="bottom"/>
            <w:tcBorders>
              <w:top w:val="single" w:sz="8" w:color="auto"/>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3,300</w:t>
            </w:r>
          </w:p>
        </w:tc>
        <w:tc>
          <w:tcPr>
            <w:tcW w:w="0" w:type="dxa"/>
            <w:vAlign w:val="bottom"/>
          </w:tcPr>
          <w:p>
            <w:pPr>
              <w:spacing w:after="0"/>
              <w:rPr>
                <w:sz w:val="1"/>
                <w:szCs w:val="1"/>
                <w:color w:val="auto"/>
              </w:rPr>
            </w:pPr>
          </w:p>
        </w:tc>
      </w:tr>
      <w:tr>
        <w:trPr>
          <w:trHeight w:val="270"/>
        </w:trPr>
        <w:tc>
          <w:tcPr>
            <w:tcW w:w="4980" w:type="dxa"/>
            <w:vAlign w:val="bottom"/>
          </w:tcPr>
          <w:p>
            <w:pPr>
              <w:ind w:left="20"/>
              <w:spacing w:after="0"/>
              <w:rPr>
                <w:sz w:val="20"/>
                <w:szCs w:val="20"/>
                <w:color w:val="auto"/>
              </w:rPr>
            </w:pPr>
            <w:r>
              <w:rPr>
                <w:rFonts w:ascii="Verdana" w:cs="Verdana" w:eastAsia="Verdana" w:hAnsi="Verdana"/>
                <w:sz w:val="18"/>
                <w:szCs w:val="18"/>
                <w:color w:val="auto"/>
              </w:rPr>
              <w:t>Total past due and non-accrual loans</w:t>
            </w:r>
          </w:p>
        </w:tc>
        <w:tc>
          <w:tcPr>
            <w:tcW w:w="240" w:type="dxa"/>
            <w:vAlign w:val="bottom"/>
            <w:tcBorders>
              <w:bottom w:val="single" w:sz="8" w:color="auto"/>
            </w:tcBorders>
          </w:tcPr>
          <w:p>
            <w:pPr>
              <w:jc w:val="right"/>
              <w:ind w:right="30"/>
              <w:spacing w:after="0"/>
              <w:rPr>
                <w:sz w:val="20"/>
                <w:szCs w:val="20"/>
                <w:color w:val="auto"/>
              </w:rPr>
            </w:pPr>
            <w:r>
              <w:rPr>
                <w:rFonts w:ascii="Verdana" w:cs="Verdana" w:eastAsia="Verdana" w:hAnsi="Verdana"/>
                <w:sz w:val="18"/>
                <w:szCs w:val="18"/>
                <w:color w:val="auto"/>
                <w:w w:val="86"/>
              </w:rPr>
              <w:t>$</w:t>
            </w: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9,431</w:t>
            </w:r>
          </w:p>
        </w:tc>
        <w:tc>
          <w:tcPr>
            <w:tcW w:w="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710</w:t>
            </w:r>
          </w:p>
        </w:tc>
        <w:tc>
          <w:tcPr>
            <w:tcW w:w="80" w:type="dxa"/>
            <w:vAlign w:val="bottom"/>
          </w:tcPr>
          <w:p>
            <w:pPr>
              <w:spacing w:after="0"/>
              <w:rPr>
                <w:sz w:val="23"/>
                <w:szCs w:val="23"/>
                <w:color w:val="auto"/>
              </w:rPr>
            </w:pPr>
          </w:p>
        </w:tc>
        <w:tc>
          <w:tcPr>
            <w:tcW w:w="1080" w:type="dxa"/>
            <w:vAlign w:val="bottom"/>
            <w:tcBorders>
              <w:bottom w:val="single" w:sz="8" w:color="auto"/>
            </w:tcBorders>
          </w:tcPr>
          <w:p>
            <w:pPr>
              <w:jc w:val="right"/>
              <w:ind w:right="859"/>
              <w:spacing w:after="0"/>
              <w:rPr>
                <w:sz w:val="20"/>
                <w:szCs w:val="20"/>
                <w:color w:val="auto"/>
              </w:rPr>
            </w:pPr>
            <w:r>
              <w:rPr>
                <w:rFonts w:ascii="Verdana" w:cs="Verdana" w:eastAsia="Verdana" w:hAnsi="Verdana"/>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25</w:t>
            </w:r>
          </w:p>
        </w:tc>
        <w:tc>
          <w:tcPr>
            <w:tcW w:w="10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8,192</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0"/>
        </w:trPr>
        <w:tc>
          <w:tcPr>
            <w:tcW w:w="4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right"/>
              <w:ind w:right="139"/>
              <w:spacing w:after="0"/>
              <w:rPr>
                <w:sz w:val="20"/>
                <w:szCs w:val="20"/>
                <w:color w:val="auto"/>
              </w:rPr>
            </w:pPr>
            <w:r>
              <w:rPr>
                <w:rFonts w:ascii="Verdana" w:cs="Verdana" w:eastAsia="Verdana" w:hAnsi="Verdana"/>
                <w:sz w:val="13"/>
                <w:szCs w:val="13"/>
                <w:b w:val="1"/>
                <w:bCs w:val="1"/>
                <w:color w:val="auto"/>
              </w:rPr>
              <w:t>As of December 31, 2023</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9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000" w:type="dxa"/>
            <w:vAlign w:val="bottom"/>
            <w:tcBorders>
              <w:bottom w:val="single" w:sz="8" w:color="auto"/>
            </w:tcBorders>
            <w:gridSpan w:val="7"/>
          </w:tcPr>
          <w:p>
            <w:pPr>
              <w:jc w:val="center"/>
              <w:ind w:left="95"/>
              <w:spacing w:after="0"/>
              <w:rPr>
                <w:sz w:val="20"/>
                <w:szCs w:val="20"/>
                <w:color w:val="auto"/>
              </w:rPr>
            </w:pPr>
            <w:r>
              <w:rPr>
                <w:rFonts w:ascii="Verdana" w:cs="Verdana" w:eastAsia="Verdana" w:hAnsi="Verdana"/>
                <w:sz w:val="13"/>
                <w:szCs w:val="13"/>
                <w:b w:val="1"/>
                <w:bCs w:val="1"/>
                <w:color w:val="auto"/>
                <w:w w:val="96"/>
              </w:rPr>
              <w:t>Loans past due, still accruing</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vMerge w:val="restart"/>
          </w:tcPr>
          <w:p>
            <w:pPr>
              <w:jc w:val="center"/>
              <w:ind w:right="135"/>
              <w:spacing w:after="0"/>
              <w:rPr>
                <w:sz w:val="20"/>
                <w:szCs w:val="20"/>
                <w:color w:val="auto"/>
              </w:rPr>
            </w:pPr>
            <w:r>
              <w:rPr>
                <w:rFonts w:ascii="Verdana" w:cs="Verdana" w:eastAsia="Verdana" w:hAnsi="Verdana"/>
                <w:sz w:val="13"/>
                <w:szCs w:val="13"/>
                <w:b w:val="1"/>
                <w:bCs w:val="1"/>
                <w:color w:val="auto"/>
                <w:w w:val="97"/>
              </w:rPr>
              <w:t>Non-accrual</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3"/>
            <w:vMerge w:val="restart"/>
          </w:tcPr>
          <w:p>
            <w:pPr>
              <w:ind w:left="100"/>
              <w:spacing w:after="0"/>
              <w:rPr>
                <w:sz w:val="20"/>
                <w:szCs w:val="20"/>
                <w:color w:val="auto"/>
              </w:rPr>
            </w:pPr>
            <w:r>
              <w:rPr>
                <w:rFonts w:ascii="Verdana" w:cs="Verdana" w:eastAsia="Verdana" w:hAnsi="Verdana"/>
                <w:sz w:val="13"/>
                <w:szCs w:val="13"/>
                <w:b w:val="1"/>
                <w:bCs w:val="1"/>
                <w:color w:val="auto"/>
              </w:rPr>
              <w:t>30-59 Days</w:t>
            </w:r>
          </w:p>
        </w:tc>
        <w:tc>
          <w:tcPr>
            <w:tcW w:w="240" w:type="dxa"/>
            <w:vAlign w:val="bottom"/>
          </w:tcPr>
          <w:p>
            <w:pPr>
              <w:spacing w:after="0"/>
              <w:rPr>
                <w:sz w:val="2"/>
                <w:szCs w:val="2"/>
                <w:color w:val="auto"/>
              </w:rPr>
            </w:pPr>
          </w:p>
        </w:tc>
        <w:tc>
          <w:tcPr>
            <w:tcW w:w="1340" w:type="dxa"/>
            <w:vAlign w:val="bottom"/>
            <w:gridSpan w:val="2"/>
            <w:vMerge w:val="restart"/>
          </w:tcPr>
          <w:p>
            <w:pPr>
              <w:jc w:val="center"/>
              <w:ind w:right="340"/>
              <w:spacing w:after="0"/>
              <w:rPr>
                <w:sz w:val="20"/>
                <w:szCs w:val="20"/>
                <w:color w:val="auto"/>
              </w:rPr>
            </w:pPr>
            <w:r>
              <w:rPr>
                <w:rFonts w:ascii="Verdana" w:cs="Verdana" w:eastAsia="Verdana" w:hAnsi="Verdana"/>
                <w:sz w:val="13"/>
                <w:szCs w:val="13"/>
                <w:b w:val="1"/>
                <w:bCs w:val="1"/>
                <w:color w:val="auto"/>
                <w:w w:val="95"/>
              </w:rPr>
              <w:t>60-89 Days</w:t>
            </w:r>
          </w:p>
        </w:tc>
        <w:tc>
          <w:tcPr>
            <w:tcW w:w="1080" w:type="dxa"/>
            <w:vAlign w:val="bottom"/>
            <w:vMerge w:val="restart"/>
          </w:tcPr>
          <w:p>
            <w:pPr>
              <w:jc w:val="right"/>
              <w:spacing w:after="0"/>
              <w:rPr>
                <w:sz w:val="20"/>
                <w:szCs w:val="20"/>
                <w:color w:val="auto"/>
              </w:rPr>
            </w:pPr>
            <w:r>
              <w:rPr>
                <w:rFonts w:ascii="Verdana" w:cs="Verdana" w:eastAsia="Verdana" w:hAnsi="Verdana"/>
                <w:sz w:val="13"/>
                <w:szCs w:val="13"/>
                <w:b w:val="1"/>
                <w:bCs w:val="1"/>
                <w:color w:val="auto"/>
              </w:rPr>
              <w:t>90+Days</w:t>
            </w: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135"/>
              <w:spacing w:after="0"/>
              <w:rPr>
                <w:sz w:val="20"/>
                <w:szCs w:val="20"/>
                <w:color w:val="auto"/>
              </w:rPr>
            </w:pPr>
            <w:r>
              <w:rPr>
                <w:rFonts w:ascii="Verdana" w:cs="Verdana" w:eastAsia="Verdana" w:hAnsi="Verdana"/>
                <w:sz w:val="13"/>
                <w:szCs w:val="13"/>
                <w:b w:val="1"/>
                <w:bCs w:val="1"/>
                <w:color w:val="auto"/>
                <w:w w:val="97"/>
              </w:rPr>
              <w:t>Loans</w:t>
            </w:r>
          </w:p>
        </w:tc>
        <w:tc>
          <w:tcPr>
            <w:tcW w:w="0" w:type="dxa"/>
            <w:vAlign w:val="bottom"/>
          </w:tcPr>
          <w:p>
            <w:pPr>
              <w:spacing w:after="0"/>
              <w:rPr>
                <w:sz w:val="1"/>
                <w:szCs w:val="1"/>
                <w:color w:val="auto"/>
              </w:rPr>
            </w:pPr>
          </w:p>
        </w:tc>
      </w:tr>
      <w:tr>
        <w:trPr>
          <w:trHeight w:val="255"/>
        </w:trPr>
        <w:tc>
          <w:tcPr>
            <w:tcW w:w="49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 loans</w:t>
            </w:r>
          </w:p>
        </w:tc>
        <w:tc>
          <w:tcPr>
            <w:tcW w:w="24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2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080" w:type="dxa"/>
            <w:vAlign w:val="bottom"/>
            <w:tcBorders>
              <w:top w:val="single" w:sz="8" w:color="auto"/>
            </w:tcBorders>
            <w:shd w:val="clear" w:color="auto" w:fill="E0E7ED"/>
          </w:tcPr>
          <w:p>
            <w:pPr>
              <w:spacing w:after="0"/>
              <w:rPr>
                <w:sz w:val="22"/>
                <w:szCs w:val="22"/>
                <w:color w:val="auto"/>
              </w:rPr>
            </w:pPr>
          </w:p>
        </w:tc>
        <w:tc>
          <w:tcPr>
            <w:tcW w:w="42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C&amp;I and other commercial</w:t>
            </w:r>
          </w:p>
        </w:tc>
        <w:tc>
          <w:tcPr>
            <w:tcW w:w="240" w:type="dxa"/>
            <w:vAlign w:val="bottom"/>
          </w:tcPr>
          <w:p>
            <w:pPr>
              <w:jc w:val="right"/>
              <w:ind w:right="30"/>
              <w:spacing w:after="0"/>
              <w:rPr>
                <w:sz w:val="20"/>
                <w:szCs w:val="20"/>
                <w:color w:val="auto"/>
              </w:rPr>
            </w:pPr>
            <w:r>
              <w:rPr>
                <w:rFonts w:ascii="Verdana" w:cs="Verdana" w:eastAsia="Verdana" w:hAnsi="Verdana"/>
                <w:sz w:val="18"/>
                <w:szCs w:val="18"/>
                <w:color w:val="auto"/>
                <w:w w:val="86"/>
              </w:rPr>
              <w:t>$</w:t>
            </w:r>
          </w:p>
        </w:tc>
        <w:tc>
          <w:tcPr>
            <w:tcW w:w="1340" w:type="dxa"/>
            <w:vAlign w:val="bottom"/>
            <w:gridSpan w:val="3"/>
          </w:tcPr>
          <w:p>
            <w:pPr>
              <w:jc w:val="right"/>
              <w:ind w:right="180"/>
              <w:spacing w:after="0"/>
              <w:rPr>
                <w:sz w:val="20"/>
                <w:szCs w:val="20"/>
                <w:color w:val="auto"/>
              </w:rPr>
            </w:pPr>
            <w:r>
              <w:rPr>
                <w:rFonts w:ascii="Verdana" w:cs="Verdana" w:eastAsia="Verdana" w:hAnsi="Verdana"/>
                <w:sz w:val="18"/>
                <w:szCs w:val="18"/>
                <w:color w:val="auto"/>
              </w:rPr>
              <w:t>—</w:t>
            </w:r>
          </w:p>
        </w:tc>
        <w:tc>
          <w:tcPr>
            <w:tcW w:w="240" w:type="dxa"/>
            <w:vAlign w:val="bottom"/>
          </w:tcPr>
          <w:p>
            <w:pPr>
              <w:jc w:val="right"/>
              <w:ind w:right="30"/>
              <w:spacing w:after="0"/>
              <w:rPr>
                <w:sz w:val="20"/>
                <w:szCs w:val="20"/>
                <w:color w:val="auto"/>
              </w:rPr>
            </w:pPr>
            <w:r>
              <w:rPr>
                <w:rFonts w:ascii="Verdana" w:cs="Verdana" w:eastAsia="Verdana" w:hAnsi="Verdana"/>
                <w:sz w:val="18"/>
                <w:szCs w:val="18"/>
                <w:color w:val="auto"/>
                <w:w w:val="86"/>
              </w:rPr>
              <w:t>$</w:t>
            </w:r>
          </w:p>
        </w:tc>
        <w:tc>
          <w:tcPr>
            <w:tcW w:w="1260" w:type="dxa"/>
            <w:vAlign w:val="bottom"/>
          </w:tcPr>
          <w:p>
            <w:pPr>
              <w:jc w:val="right"/>
              <w:ind w:right="15"/>
              <w:spacing w:after="0"/>
              <w:rPr>
                <w:sz w:val="20"/>
                <w:szCs w:val="20"/>
                <w:color w:val="auto"/>
              </w:rPr>
            </w:pPr>
            <w:r>
              <w:rPr>
                <w:rFonts w:ascii="Verdana" w:cs="Verdana" w:eastAsia="Verdana" w:hAnsi="Verdana"/>
                <w:sz w:val="18"/>
                <w:szCs w:val="18"/>
                <w:color w:val="auto"/>
              </w:rPr>
              <w:t>214</w:t>
            </w:r>
          </w:p>
        </w:tc>
        <w:tc>
          <w:tcPr>
            <w:tcW w:w="80" w:type="dxa"/>
            <w:vAlign w:val="bottom"/>
          </w:tcPr>
          <w:p>
            <w:pPr>
              <w:spacing w:after="0"/>
              <w:rPr>
                <w:sz w:val="22"/>
                <w:szCs w:val="22"/>
                <w:color w:val="auto"/>
              </w:rPr>
            </w:pPr>
          </w:p>
        </w:tc>
        <w:tc>
          <w:tcPr>
            <w:tcW w:w="1080" w:type="dxa"/>
            <w:vAlign w:val="bottom"/>
          </w:tcPr>
          <w:p>
            <w:pPr>
              <w:jc w:val="right"/>
              <w:ind w:right="859"/>
              <w:spacing w:after="0"/>
              <w:rPr>
                <w:sz w:val="20"/>
                <w:szCs w:val="20"/>
                <w:color w:val="auto"/>
              </w:rPr>
            </w:pPr>
            <w:r>
              <w:rPr>
                <w:rFonts w:ascii="Verdana" w:cs="Verdana" w:eastAsia="Verdana" w:hAnsi="Verdana"/>
                <w:sz w:val="18"/>
                <w:szCs w:val="18"/>
                <w:color w:val="auto"/>
              </w:rPr>
              <w:t>$</w:t>
            </w:r>
          </w:p>
        </w:tc>
        <w:tc>
          <w:tcPr>
            <w:tcW w:w="52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ind w:right="15"/>
              <w:spacing w:after="0"/>
              <w:rPr>
                <w:sz w:val="20"/>
                <w:szCs w:val="20"/>
                <w:color w:val="auto"/>
              </w:rPr>
            </w:pPr>
            <w:r>
              <w:rPr>
                <w:rFonts w:ascii="Verdana" w:cs="Verdana" w:eastAsia="Verdana" w:hAnsi="Verdana"/>
                <w:sz w:val="18"/>
                <w:szCs w:val="18"/>
                <w:color w:val="auto"/>
              </w:rPr>
              <w:t>2,602</w:t>
            </w:r>
          </w:p>
        </w:tc>
        <w:tc>
          <w:tcPr>
            <w:tcW w:w="0" w:type="dxa"/>
            <w:vAlign w:val="bottom"/>
          </w:tcPr>
          <w:p>
            <w:pPr>
              <w:spacing w:after="0"/>
              <w:rPr>
                <w:sz w:val="1"/>
                <w:szCs w:val="1"/>
                <w:color w:val="auto"/>
              </w:rPr>
            </w:pPr>
          </w:p>
        </w:tc>
      </w:tr>
      <w:tr>
        <w:trPr>
          <w:trHeight w:val="277"/>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24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752</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3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1080" w:type="dxa"/>
            <w:vAlign w:val="bottom"/>
            <w:shd w:val="clear" w:color="auto" w:fill="E0E7ED"/>
          </w:tcPr>
          <w:p>
            <w:pPr>
              <w:spacing w:after="0"/>
              <w:rPr>
                <w:sz w:val="24"/>
                <w:szCs w:val="24"/>
                <w:color w:val="auto"/>
              </w:rPr>
            </w:pPr>
          </w:p>
        </w:tc>
        <w:tc>
          <w:tcPr>
            <w:tcW w:w="52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843</w:t>
            </w:r>
          </w:p>
        </w:tc>
        <w:tc>
          <w:tcPr>
            <w:tcW w:w="0" w:type="dxa"/>
            <w:vAlign w:val="bottom"/>
          </w:tcPr>
          <w:p>
            <w:pPr>
              <w:spacing w:after="0"/>
              <w:rPr>
                <w:sz w:val="1"/>
                <w:szCs w:val="1"/>
                <w:color w:val="auto"/>
              </w:rPr>
            </w:pPr>
          </w:p>
        </w:tc>
      </w:tr>
      <w:tr>
        <w:trPr>
          <w:trHeight w:val="264"/>
        </w:trPr>
        <w:tc>
          <w:tcPr>
            <w:tcW w:w="498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Real estate construction</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24</w:t>
            </w:r>
          </w:p>
        </w:tc>
        <w:tc>
          <w:tcPr>
            <w:tcW w:w="20" w:type="dxa"/>
            <w:vAlign w:val="bottom"/>
            <w:tcBorders>
              <w:bottom w:val="single" w:sz="8" w:color="E0E7ED"/>
            </w:tcBorders>
          </w:tcPr>
          <w:p>
            <w:pPr>
              <w:spacing w:after="0"/>
              <w:rPr>
                <w:sz w:val="22"/>
                <w:szCs w:val="22"/>
                <w:color w:val="auto"/>
              </w:rPr>
            </w:pPr>
          </w:p>
        </w:tc>
        <w:tc>
          <w:tcPr>
            <w:tcW w:w="80" w:type="dxa"/>
            <w:vAlign w:val="bottom"/>
            <w:tcBorders>
              <w:bottom w:val="single" w:sz="8" w:color="E0E7ED"/>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w:t>
            </w:r>
          </w:p>
        </w:tc>
        <w:tc>
          <w:tcPr>
            <w:tcW w:w="80" w:type="dxa"/>
            <w:vAlign w:val="bottom"/>
            <w:tcBorders>
              <w:bottom w:val="single" w:sz="8" w:color="E0E7ED"/>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00" w:type="dxa"/>
            <w:vAlign w:val="bottom"/>
            <w:tcBorders>
              <w:bottom w:val="single" w:sz="8" w:color="E0E7E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244</w:t>
            </w:r>
          </w:p>
        </w:tc>
        <w:tc>
          <w:tcPr>
            <w:tcW w:w="0" w:type="dxa"/>
            <w:vAlign w:val="bottom"/>
          </w:tcPr>
          <w:p>
            <w:pPr>
              <w:spacing w:after="0"/>
              <w:rPr>
                <w:sz w:val="1"/>
                <w:szCs w:val="1"/>
                <w:color w:val="auto"/>
              </w:rPr>
            </w:pPr>
          </w:p>
        </w:tc>
      </w:tr>
      <w:tr>
        <w:trPr>
          <w:trHeight w:val="270"/>
        </w:trPr>
        <w:tc>
          <w:tcPr>
            <w:tcW w:w="49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Past due and non-accrual commercial loans</w:t>
            </w:r>
          </w:p>
        </w:tc>
        <w:tc>
          <w:tcPr>
            <w:tcW w:w="240" w:type="dxa"/>
            <w:vAlign w:val="bottom"/>
            <w:shd w:val="clear" w:color="auto" w:fill="E0E7ED"/>
          </w:tcPr>
          <w:p>
            <w:pPr>
              <w:spacing w:after="0"/>
              <w:rPr>
                <w:sz w:val="23"/>
                <w:szCs w:val="23"/>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776</w:t>
            </w:r>
          </w:p>
        </w:tc>
        <w:tc>
          <w:tcPr>
            <w:tcW w:w="2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26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214</w:t>
            </w:r>
          </w:p>
        </w:tc>
        <w:tc>
          <w:tcPr>
            <w:tcW w:w="80" w:type="dxa"/>
            <w:vAlign w:val="bottom"/>
            <w:shd w:val="clear" w:color="auto" w:fill="E0E7ED"/>
          </w:tcPr>
          <w:p>
            <w:pPr>
              <w:spacing w:after="0"/>
              <w:rPr>
                <w:sz w:val="23"/>
                <w:szCs w:val="23"/>
                <w:color w:val="auto"/>
              </w:rPr>
            </w:pPr>
          </w:p>
        </w:tc>
        <w:tc>
          <w:tcPr>
            <w:tcW w:w="1080" w:type="dxa"/>
            <w:vAlign w:val="bottom"/>
            <w:shd w:val="clear" w:color="auto" w:fill="E0E7ED"/>
          </w:tcPr>
          <w:p>
            <w:pPr>
              <w:spacing w:after="0"/>
              <w:rPr>
                <w:sz w:val="23"/>
                <w:szCs w:val="23"/>
                <w:color w:val="auto"/>
              </w:rPr>
            </w:pPr>
          </w:p>
        </w:tc>
        <w:tc>
          <w:tcPr>
            <w:tcW w:w="52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shd w:val="clear" w:color="auto" w:fill="E0E7ED"/>
          </w:tcPr>
          <w:p>
            <w:pPr>
              <w:spacing w:after="0"/>
              <w:rPr>
                <w:sz w:val="23"/>
                <w:szCs w:val="23"/>
                <w:color w:val="auto"/>
              </w:rPr>
            </w:pPr>
          </w:p>
        </w:tc>
        <w:tc>
          <w:tcPr>
            <w:tcW w:w="128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3,689</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Verdana" w:cs="Verdana" w:eastAsia="Verdana" w:hAnsi="Verdana"/>
                <w:sz w:val="18"/>
                <w:szCs w:val="18"/>
                <w:b w:val="1"/>
                <w:bCs w:val="1"/>
                <w:color w:val="auto"/>
              </w:rPr>
              <w:t>Retail loans</w:t>
            </w:r>
          </w:p>
        </w:tc>
        <w:tc>
          <w:tcPr>
            <w:tcW w:w="2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24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2,781</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927</w:t>
            </w:r>
          </w:p>
        </w:tc>
        <w:tc>
          <w:tcPr>
            <w:tcW w:w="80" w:type="dxa"/>
            <w:vAlign w:val="bottom"/>
            <w:shd w:val="clear" w:color="auto" w:fill="E0E7ED"/>
          </w:tcPr>
          <w:p>
            <w:pPr>
              <w:spacing w:after="0"/>
              <w:rPr>
                <w:sz w:val="24"/>
                <w:szCs w:val="24"/>
                <w:color w:val="auto"/>
              </w:rPr>
            </w:pPr>
          </w:p>
        </w:tc>
        <w:tc>
          <w:tcPr>
            <w:tcW w:w="1080" w:type="dxa"/>
            <w:vAlign w:val="bottom"/>
            <w:shd w:val="clear" w:color="auto" w:fill="E0E7ED"/>
          </w:tcPr>
          <w:p>
            <w:pPr>
              <w:spacing w:after="0"/>
              <w:rPr>
                <w:sz w:val="24"/>
                <w:szCs w:val="24"/>
                <w:color w:val="auto"/>
              </w:rPr>
            </w:pPr>
          </w:p>
        </w:tc>
        <w:tc>
          <w:tcPr>
            <w:tcW w:w="4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92"/>
              </w:rPr>
              <w:t>366</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28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3,595</w:t>
            </w:r>
          </w:p>
        </w:tc>
        <w:tc>
          <w:tcPr>
            <w:tcW w:w="0" w:type="dxa"/>
            <w:vAlign w:val="bottom"/>
          </w:tcPr>
          <w:p>
            <w:pPr>
              <w:spacing w:after="0"/>
              <w:rPr>
                <w:sz w:val="1"/>
                <w:szCs w:val="1"/>
                <w:color w:val="auto"/>
              </w:rPr>
            </w:pPr>
          </w:p>
        </w:tc>
      </w:tr>
      <w:tr>
        <w:trPr>
          <w:trHeight w:val="264"/>
        </w:trPr>
        <w:tc>
          <w:tcPr>
            <w:tcW w:w="498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Retail other</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886</w:t>
            </w:r>
          </w:p>
        </w:tc>
        <w:tc>
          <w:tcPr>
            <w:tcW w:w="20" w:type="dxa"/>
            <w:vAlign w:val="bottom"/>
            <w:tcBorders>
              <w:bottom w:val="single" w:sz="8" w:color="E0E7ED"/>
            </w:tcBorders>
          </w:tcPr>
          <w:p>
            <w:pPr>
              <w:spacing w:after="0"/>
              <w:rPr>
                <w:sz w:val="22"/>
                <w:szCs w:val="22"/>
                <w:color w:val="auto"/>
              </w:rPr>
            </w:pPr>
          </w:p>
        </w:tc>
        <w:tc>
          <w:tcPr>
            <w:tcW w:w="80" w:type="dxa"/>
            <w:vAlign w:val="bottom"/>
            <w:tcBorders>
              <w:bottom w:val="single" w:sz="8" w:color="E0E7ED"/>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195</w:t>
            </w:r>
          </w:p>
        </w:tc>
        <w:tc>
          <w:tcPr>
            <w:tcW w:w="80" w:type="dxa"/>
            <w:vAlign w:val="bottom"/>
            <w:tcBorders>
              <w:bottom w:val="single" w:sz="8" w:color="E0E7ED"/>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9</w:t>
            </w:r>
          </w:p>
        </w:tc>
        <w:tc>
          <w:tcPr>
            <w:tcW w:w="100" w:type="dxa"/>
            <w:vAlign w:val="bottom"/>
            <w:tcBorders>
              <w:bottom w:val="single" w:sz="8" w:color="E0E7E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157</w:t>
            </w:r>
          </w:p>
        </w:tc>
        <w:tc>
          <w:tcPr>
            <w:tcW w:w="0" w:type="dxa"/>
            <w:vAlign w:val="bottom"/>
          </w:tcPr>
          <w:p>
            <w:pPr>
              <w:spacing w:after="0"/>
              <w:rPr>
                <w:sz w:val="1"/>
                <w:szCs w:val="1"/>
                <w:color w:val="auto"/>
              </w:rPr>
            </w:pPr>
          </w:p>
        </w:tc>
      </w:tr>
      <w:tr>
        <w:trPr>
          <w:trHeight w:val="263"/>
        </w:trPr>
        <w:tc>
          <w:tcPr>
            <w:tcW w:w="49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Past due and non-accrual retail loans</w:t>
            </w:r>
          </w:p>
        </w:tc>
        <w:tc>
          <w:tcPr>
            <w:tcW w:w="240" w:type="dxa"/>
            <w:vAlign w:val="bottom"/>
            <w:tcBorders>
              <w:bottom w:val="single" w:sz="8" w:color="auto"/>
            </w:tcBorders>
            <w:shd w:val="clear" w:color="auto" w:fill="E0E7ED"/>
          </w:tcPr>
          <w:p>
            <w:pPr>
              <w:spacing w:after="0"/>
              <w:rPr>
                <w:sz w:val="22"/>
                <w:szCs w:val="22"/>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3,667</w:t>
            </w:r>
          </w:p>
        </w:tc>
        <w:tc>
          <w:tcPr>
            <w:tcW w:w="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40" w:type="dxa"/>
            <w:vAlign w:val="bottom"/>
            <w:tcBorders>
              <w:bottom w:val="single" w:sz="8" w:color="auto"/>
            </w:tcBorders>
            <w:shd w:val="clear" w:color="auto" w:fill="E0E7ED"/>
          </w:tcPr>
          <w:p>
            <w:pPr>
              <w:spacing w:after="0"/>
              <w:rPr>
                <w:sz w:val="22"/>
                <w:szCs w:val="22"/>
                <w:color w:val="auto"/>
              </w:rPr>
            </w:pPr>
          </w:p>
        </w:tc>
        <w:tc>
          <w:tcPr>
            <w:tcW w:w="126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1,122</w:t>
            </w:r>
          </w:p>
        </w:tc>
        <w:tc>
          <w:tcPr>
            <w:tcW w:w="80" w:type="dxa"/>
            <w:vAlign w:val="bottom"/>
            <w:shd w:val="clear" w:color="auto" w:fill="E0E7ED"/>
          </w:tcPr>
          <w:p>
            <w:pPr>
              <w:spacing w:after="0"/>
              <w:rPr>
                <w:sz w:val="22"/>
                <w:szCs w:val="22"/>
                <w:color w:val="auto"/>
              </w:rPr>
            </w:pPr>
          </w:p>
        </w:tc>
        <w:tc>
          <w:tcPr>
            <w:tcW w:w="1080" w:type="dxa"/>
            <w:vAlign w:val="bottom"/>
            <w:tcBorders>
              <w:bottom w:val="single" w:sz="8" w:color="auto"/>
            </w:tcBorders>
            <w:shd w:val="clear" w:color="auto" w:fill="E0E7ED"/>
          </w:tcPr>
          <w:p>
            <w:pPr>
              <w:spacing w:after="0"/>
              <w:rPr>
                <w:sz w:val="22"/>
                <w:szCs w:val="22"/>
                <w:color w:val="auto"/>
              </w:rPr>
            </w:pPr>
          </w:p>
        </w:tc>
        <w:tc>
          <w:tcPr>
            <w:tcW w:w="4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w w:val="92"/>
              </w:rPr>
              <w:t>375</w:t>
            </w:r>
          </w:p>
        </w:tc>
        <w:tc>
          <w:tcPr>
            <w:tcW w:w="100" w:type="dxa"/>
            <w:vAlign w:val="bottom"/>
            <w:shd w:val="clear" w:color="auto" w:fill="E0E7ED"/>
          </w:tcPr>
          <w:p>
            <w:pPr>
              <w:spacing w:after="0"/>
              <w:rPr>
                <w:sz w:val="22"/>
                <w:szCs w:val="22"/>
                <w:color w:val="auto"/>
              </w:rPr>
            </w:pPr>
          </w:p>
        </w:tc>
        <w:tc>
          <w:tcPr>
            <w:tcW w:w="220" w:type="dxa"/>
            <w:vAlign w:val="bottom"/>
            <w:tcBorders>
              <w:bottom w:val="single" w:sz="8" w:color="auto"/>
            </w:tcBorders>
            <w:shd w:val="clear" w:color="auto" w:fill="E0E7ED"/>
          </w:tcPr>
          <w:p>
            <w:pPr>
              <w:spacing w:after="0"/>
              <w:rPr>
                <w:sz w:val="22"/>
                <w:szCs w:val="22"/>
                <w:color w:val="auto"/>
              </w:rPr>
            </w:pPr>
          </w:p>
        </w:tc>
        <w:tc>
          <w:tcPr>
            <w:tcW w:w="128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3,752</w:t>
            </w:r>
          </w:p>
        </w:tc>
        <w:tc>
          <w:tcPr>
            <w:tcW w:w="0" w:type="dxa"/>
            <w:vAlign w:val="bottom"/>
          </w:tcPr>
          <w:p>
            <w:pPr>
              <w:spacing w:after="0"/>
              <w:rPr>
                <w:sz w:val="1"/>
                <w:szCs w:val="1"/>
                <w:color w:val="auto"/>
              </w:rPr>
            </w:pPr>
          </w:p>
        </w:tc>
      </w:tr>
      <w:tr>
        <w:trPr>
          <w:trHeight w:val="270"/>
        </w:trPr>
        <w:tc>
          <w:tcPr>
            <w:tcW w:w="4980" w:type="dxa"/>
            <w:vAlign w:val="bottom"/>
          </w:tcPr>
          <w:p>
            <w:pPr>
              <w:ind w:left="20"/>
              <w:spacing w:after="0"/>
              <w:rPr>
                <w:sz w:val="20"/>
                <w:szCs w:val="20"/>
                <w:color w:val="auto"/>
              </w:rPr>
            </w:pPr>
            <w:r>
              <w:rPr>
                <w:rFonts w:ascii="Verdana" w:cs="Verdana" w:eastAsia="Verdana" w:hAnsi="Verdana"/>
                <w:sz w:val="18"/>
                <w:szCs w:val="18"/>
                <w:color w:val="auto"/>
              </w:rPr>
              <w:t>Total past due and non-accrual loans</w:t>
            </w:r>
          </w:p>
        </w:tc>
        <w:tc>
          <w:tcPr>
            <w:tcW w:w="240" w:type="dxa"/>
            <w:vAlign w:val="bottom"/>
            <w:tcBorders>
              <w:bottom w:val="single" w:sz="8" w:color="auto"/>
            </w:tcBorders>
          </w:tcPr>
          <w:p>
            <w:pPr>
              <w:jc w:val="right"/>
              <w:ind w:right="30"/>
              <w:spacing w:after="0"/>
              <w:rPr>
                <w:sz w:val="20"/>
                <w:szCs w:val="20"/>
                <w:color w:val="auto"/>
              </w:rPr>
            </w:pPr>
            <w:r>
              <w:rPr>
                <w:rFonts w:ascii="Verdana" w:cs="Verdana" w:eastAsia="Verdana" w:hAnsi="Verdana"/>
                <w:sz w:val="18"/>
                <w:szCs w:val="18"/>
                <w:color w:val="auto"/>
                <w:w w:val="86"/>
              </w:rPr>
              <w:t>$</w:t>
            </w: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4,443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Borders>
              <w:bottom w:val="single" w:sz="8" w:color="auto"/>
            </w:tcBorders>
          </w:tcPr>
          <w:p>
            <w:pPr>
              <w:jc w:val="right"/>
              <w:ind w:right="30"/>
              <w:spacing w:after="0"/>
              <w:rPr>
                <w:sz w:val="20"/>
                <w:szCs w:val="20"/>
                <w:color w:val="auto"/>
              </w:rPr>
            </w:pPr>
            <w:r>
              <w:rPr>
                <w:rFonts w:ascii="Verdana" w:cs="Verdana" w:eastAsia="Verdana" w:hAnsi="Verdana"/>
                <w:sz w:val="18"/>
                <w:szCs w:val="18"/>
                <w:color w:val="auto"/>
                <w:w w:val="86"/>
              </w:rPr>
              <w:t>$</w:t>
            </w:r>
          </w:p>
        </w:tc>
        <w:tc>
          <w:tcPr>
            <w:tcW w:w="126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1,336</w:t>
            </w:r>
          </w:p>
        </w:tc>
        <w:tc>
          <w:tcPr>
            <w:tcW w:w="80" w:type="dxa"/>
            <w:vAlign w:val="bottom"/>
          </w:tcPr>
          <w:p>
            <w:pPr>
              <w:spacing w:after="0"/>
              <w:rPr>
                <w:sz w:val="23"/>
                <w:szCs w:val="23"/>
                <w:color w:val="auto"/>
              </w:rPr>
            </w:pPr>
          </w:p>
        </w:tc>
        <w:tc>
          <w:tcPr>
            <w:tcW w:w="1080" w:type="dxa"/>
            <w:vAlign w:val="bottom"/>
            <w:tcBorders>
              <w:bottom w:val="single" w:sz="8" w:color="auto"/>
            </w:tcBorders>
          </w:tcPr>
          <w:p>
            <w:pPr>
              <w:jc w:val="right"/>
              <w:ind w:right="859"/>
              <w:spacing w:after="0"/>
              <w:rPr>
                <w:sz w:val="20"/>
                <w:szCs w:val="20"/>
                <w:color w:val="auto"/>
              </w:rPr>
            </w:pPr>
            <w:r>
              <w:rPr>
                <w:rFonts w:ascii="Verdana" w:cs="Verdana" w:eastAsia="Verdana" w:hAnsi="Verdana"/>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92"/>
              </w:rPr>
              <w:t>375</w:t>
            </w:r>
          </w:p>
        </w:tc>
        <w:tc>
          <w:tcPr>
            <w:tcW w:w="10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7,441</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Gross interest income recorded on 90+ days past due loans, and that would have been recorded on non-accrual loans if they had been accruing interest in accordance with their original terms, was $0.1 million and $0.6 million for the three and nine months ended September 30, 2024, respectively, and was $0.2 million and $0.9 million for the three and nine months ended September 30, 2023, respectively. The amount of interest collected on those loans and recognized on a cash basis that was included in interest income was immaterial for the three and nine months ended September 30, 2024 and 2023.</w:t>
      </w:r>
    </w:p>
    <w:p>
      <w:pPr>
        <w:spacing w:after="0" w:line="200" w:lineRule="exact"/>
        <w:rPr>
          <w:sz w:val="20"/>
          <w:szCs w:val="20"/>
          <w:color w:val="auto"/>
        </w:rPr>
      </w:pPr>
    </w:p>
    <w:p>
      <w:pPr>
        <w:spacing w:after="0" w:line="376" w:lineRule="exact"/>
        <w:rPr>
          <w:sz w:val="20"/>
          <w:szCs w:val="20"/>
          <w:color w:val="auto"/>
        </w:rPr>
      </w:pPr>
    </w:p>
    <w:p>
      <w:pPr>
        <w:ind w:left="7940"/>
        <w:spacing w:after="0"/>
        <w:rPr>
          <w:sz w:val="20"/>
          <w:szCs w:val="20"/>
          <w:color w:val="auto"/>
        </w:rPr>
      </w:pPr>
      <w:r>
        <w:rPr>
          <w:rFonts w:ascii="Verdana" w:cs="Verdana" w:eastAsia="Verdana" w:hAnsi="Verdana"/>
          <w:sz w:val="17"/>
          <w:szCs w:val="17"/>
          <w:color w:val="808285"/>
        </w:rPr>
        <w:t xml:space="preserve">First Busey Corporation (BUSE) | </w:t>
      </w:r>
      <w:r>
        <w:rPr>
          <w:rFonts w:ascii="Verdana" w:cs="Verdana" w:eastAsia="Verdana" w:hAnsi="Verdana"/>
          <w:sz w:val="17"/>
          <w:szCs w:val="17"/>
          <w:b w:val="1"/>
          <w:bCs w:val="1"/>
          <w:color w:val="376484"/>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30" w:name="page31"/>
    <w:bookmarkEnd w:id="30"/>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Loan Modifications for Borrowers Experiencing Financial Difficulty</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 xml:space="preserve">The following tables present the amortized cost basis of loans that were modified—specifically in the form of (1) principal forgiveness, (2) an interest rate reduction, (3) an other-than-insignificant payment deferral, and/or (4) a term extension— for borrowers experiencing financial difficulty during the periods indicated, disaggregated by lending activity and the type of modification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5"/>
          </w:tcPr>
          <w:p>
            <w:pPr>
              <w:jc w:val="right"/>
              <w:ind w:right="24"/>
              <w:spacing w:after="0"/>
              <w:rPr>
                <w:sz w:val="20"/>
                <w:szCs w:val="20"/>
                <w:color w:val="auto"/>
              </w:rPr>
            </w:pPr>
            <w:r>
              <w:rPr>
                <w:rFonts w:ascii="Verdana" w:cs="Verdana" w:eastAsia="Verdana" w:hAnsi="Verdana"/>
                <w:sz w:val="13"/>
                <w:szCs w:val="13"/>
                <w:b w:val="1"/>
                <w:bCs w:val="1"/>
                <w:color w:val="auto"/>
              </w:rPr>
              <w:t>Three Months Ended September 30, 2024</w:t>
            </w:r>
          </w:p>
        </w:tc>
        <w:tc>
          <w:tcPr>
            <w:tcW w:w="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780" w:type="dxa"/>
            <w:vAlign w:val="bottom"/>
          </w:tcPr>
          <w:p>
            <w:pPr>
              <w:spacing w:after="0"/>
              <w:rPr>
                <w:sz w:val="10"/>
                <w:szCs w:val="10"/>
                <w:color w:val="auto"/>
              </w:rPr>
            </w:pPr>
          </w:p>
        </w:tc>
        <w:tc>
          <w:tcPr>
            <w:tcW w:w="1460" w:type="dxa"/>
            <w:vAlign w:val="bottom"/>
            <w:gridSpan w:val="2"/>
            <w:vMerge w:val="restart"/>
          </w:tcPr>
          <w:p>
            <w:pPr>
              <w:jc w:val="right"/>
              <w:ind w:right="30"/>
              <w:spacing w:after="0"/>
              <w:rPr>
                <w:sz w:val="20"/>
                <w:szCs w:val="20"/>
                <w:color w:val="auto"/>
              </w:rPr>
            </w:pPr>
            <w:r>
              <w:rPr>
                <w:rFonts w:ascii="Verdana" w:cs="Verdana" w:eastAsia="Verdana" w:hAnsi="Verdana"/>
                <w:sz w:val="13"/>
                <w:szCs w:val="13"/>
                <w:b w:val="1"/>
                <w:bCs w:val="1"/>
                <w:color w:val="auto"/>
              </w:rPr>
              <w:t>Payment Deferral</w:t>
            </w:r>
          </w:p>
        </w:tc>
        <w:tc>
          <w:tcPr>
            <w:tcW w:w="80" w:type="dxa"/>
            <w:vAlign w:val="bottom"/>
          </w:tcPr>
          <w:p>
            <w:pPr>
              <w:spacing w:after="0"/>
              <w:rPr>
                <w:sz w:val="10"/>
                <w:szCs w:val="10"/>
                <w:color w:val="auto"/>
              </w:rPr>
            </w:pPr>
          </w:p>
        </w:tc>
        <w:tc>
          <w:tcPr>
            <w:tcW w:w="1740" w:type="dxa"/>
            <w:vAlign w:val="bottom"/>
            <w:gridSpan w:val="2"/>
          </w:tcPr>
          <w:p>
            <w:pPr>
              <w:ind w:left="160"/>
              <w:spacing w:after="0" w:line="122" w:lineRule="exact"/>
              <w:rPr>
                <w:sz w:val="20"/>
                <w:szCs w:val="20"/>
                <w:color w:val="auto"/>
              </w:rPr>
            </w:pPr>
            <w:r>
              <w:rPr>
                <w:rFonts w:ascii="Verdana" w:cs="Verdana" w:eastAsia="Verdana" w:hAnsi="Verdana"/>
                <w:sz w:val="10"/>
                <w:szCs w:val="10"/>
                <w:b w:val="1"/>
                <w:bCs w:val="1"/>
                <w:color w:val="auto"/>
              </w:rPr>
              <w:t xml:space="preserve">% of Total Class of </w:t>
            </w:r>
            <w:r>
              <w:rPr>
                <w:rFonts w:ascii="Verdana" w:cs="Verdana" w:eastAsia="Verdana" w:hAnsi="Verdana"/>
                <w:sz w:val="13"/>
                <w:szCs w:val="13"/>
                <w:b w:val="1"/>
                <w:bCs w:val="1"/>
                <w:color w:val="auto"/>
                <w:vertAlign w:val="subscript"/>
              </w:rPr>
              <w:t>1</w:t>
            </w:r>
          </w:p>
        </w:tc>
        <w:tc>
          <w:tcPr>
            <w:tcW w:w="1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Verdana" w:cs="Verdana" w:eastAsia="Verdana" w:hAnsi="Verdana"/>
                <w:sz w:val="13"/>
                <w:szCs w:val="13"/>
                <w:b w:val="1"/>
                <w:bCs w:val="1"/>
                <w:color w:val="auto"/>
                <w:w w:val="94"/>
              </w:rPr>
              <w:t>Term Extension</w:t>
            </w:r>
          </w:p>
        </w:tc>
        <w:tc>
          <w:tcPr>
            <w:tcW w:w="220" w:type="dxa"/>
            <w:vAlign w:val="bottom"/>
          </w:tcPr>
          <w:p>
            <w:pPr>
              <w:jc w:val="right"/>
              <w:ind w:right="124"/>
              <w:spacing w:after="0"/>
              <w:rPr>
                <w:sz w:val="20"/>
                <w:szCs w:val="20"/>
                <w:color w:val="auto"/>
              </w:rPr>
            </w:pPr>
            <w:r>
              <w:rPr>
                <w:rFonts w:ascii="Verdana" w:cs="Verdana" w:eastAsia="Verdana" w:hAnsi="Verdana"/>
                <w:sz w:val="7"/>
                <w:szCs w:val="7"/>
                <w:b w:val="1"/>
                <w:bCs w:val="1"/>
                <w:color w:val="auto"/>
                <w:w w:val="78"/>
              </w:rPr>
              <w:t>2</w:t>
            </w:r>
          </w:p>
        </w:tc>
        <w:tc>
          <w:tcPr>
            <w:tcW w:w="80" w:type="dxa"/>
            <w:vAlign w:val="bottom"/>
          </w:tcPr>
          <w:p>
            <w:pPr>
              <w:spacing w:after="0"/>
              <w:rPr>
                <w:sz w:val="10"/>
                <w:szCs w:val="10"/>
                <w:color w:val="auto"/>
              </w:rPr>
            </w:pPr>
          </w:p>
        </w:tc>
        <w:tc>
          <w:tcPr>
            <w:tcW w:w="1640" w:type="dxa"/>
            <w:vAlign w:val="bottom"/>
          </w:tcPr>
          <w:p>
            <w:pPr>
              <w:jc w:val="right"/>
              <w:ind w:right="77"/>
              <w:spacing w:after="0" w:line="122" w:lineRule="exact"/>
              <w:rPr>
                <w:sz w:val="20"/>
                <w:szCs w:val="20"/>
                <w:color w:val="auto"/>
              </w:rPr>
            </w:pPr>
            <w:r>
              <w:rPr>
                <w:rFonts w:ascii="Verdana" w:cs="Verdana" w:eastAsia="Verdana" w:hAnsi="Verdana"/>
                <w:sz w:val="13"/>
                <w:szCs w:val="13"/>
                <w:b w:val="1"/>
                <w:bCs w:val="1"/>
                <w:color w:val="auto"/>
              </w:rPr>
              <w:t>% of Total Class of</w:t>
            </w:r>
          </w:p>
        </w:tc>
        <w:tc>
          <w:tcPr>
            <w:tcW w:w="0" w:type="dxa"/>
            <w:vAlign w:val="bottom"/>
          </w:tcPr>
          <w:p>
            <w:pPr>
              <w:spacing w:after="0"/>
              <w:rPr>
                <w:sz w:val="1"/>
                <w:szCs w:val="1"/>
                <w:color w:val="auto"/>
              </w:rPr>
            </w:pPr>
          </w:p>
        </w:tc>
      </w:tr>
      <w:tr>
        <w:trPr>
          <w:trHeight w:val="170"/>
        </w:trPr>
        <w:tc>
          <w:tcPr>
            <w:tcW w:w="478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2"/>
          </w:tcPr>
          <w:p>
            <w:pPr>
              <w:ind w:left="40"/>
              <w:spacing w:after="0"/>
              <w:rPr>
                <w:sz w:val="20"/>
                <w:szCs w:val="20"/>
                <w:color w:val="auto"/>
              </w:rPr>
            </w:pPr>
            <w:r>
              <w:rPr>
                <w:rFonts w:ascii="Verdana" w:cs="Verdana" w:eastAsia="Verdana" w:hAnsi="Verdana"/>
                <w:sz w:val="13"/>
                <w:szCs w:val="13"/>
                <w:b w:val="1"/>
                <w:bCs w:val="1"/>
                <w:color w:val="auto"/>
              </w:rPr>
              <w:t>Financing Receivable</w:t>
            </w:r>
          </w:p>
        </w:tc>
        <w:tc>
          <w:tcPr>
            <w:tcW w:w="1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jc w:val="right"/>
              <w:ind w:right="17"/>
              <w:spacing w:after="0"/>
              <w:rPr>
                <w:sz w:val="20"/>
                <w:szCs w:val="20"/>
                <w:color w:val="auto"/>
              </w:rPr>
            </w:pPr>
            <w:r>
              <w:rPr>
                <w:rFonts w:ascii="Verdana" w:cs="Verdana" w:eastAsia="Verdana" w:hAnsi="Verdana"/>
                <w:sz w:val="13"/>
                <w:szCs w:val="13"/>
                <w:b w:val="1"/>
                <w:bCs w:val="1"/>
                <w:color w:val="auto"/>
              </w:rPr>
              <w:t>Financing Receivable</w:t>
            </w:r>
          </w:p>
        </w:tc>
        <w:tc>
          <w:tcPr>
            <w:tcW w:w="0" w:type="dxa"/>
            <w:vAlign w:val="bottom"/>
          </w:tcPr>
          <w:p>
            <w:pPr>
              <w:spacing w:after="0"/>
              <w:rPr>
                <w:sz w:val="1"/>
                <w:szCs w:val="1"/>
                <w:color w:val="auto"/>
              </w:rPr>
            </w:pPr>
          </w:p>
        </w:tc>
      </w:tr>
      <w:tr>
        <w:trPr>
          <w:trHeight w:val="255"/>
        </w:trPr>
        <w:tc>
          <w:tcPr>
            <w:tcW w:w="47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Modified Loans</w:t>
            </w:r>
          </w:p>
        </w:tc>
        <w:tc>
          <w:tcPr>
            <w:tcW w:w="580" w:type="dxa"/>
            <w:vAlign w:val="bottom"/>
            <w:tcBorders>
              <w:top w:val="single" w:sz="8" w:color="auto"/>
            </w:tcBorders>
            <w:shd w:val="clear" w:color="auto" w:fill="E0E7ED"/>
          </w:tcPr>
          <w:p>
            <w:pPr>
              <w:spacing w:after="0"/>
              <w:rPr>
                <w:sz w:val="22"/>
                <w:szCs w:val="22"/>
                <w:color w:val="auto"/>
              </w:rPr>
            </w:pPr>
          </w:p>
        </w:tc>
        <w:tc>
          <w:tcPr>
            <w:tcW w:w="88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4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140" w:type="dxa"/>
            <w:vAlign w:val="bottom"/>
            <w:tcBorders>
              <w:top w:val="single" w:sz="8" w:color="auto"/>
            </w:tcBorders>
            <w:shd w:val="clear" w:color="auto" w:fill="E0E7ED"/>
          </w:tcPr>
          <w:p>
            <w:pPr>
              <w:spacing w:after="0"/>
              <w:rPr>
                <w:sz w:val="22"/>
                <w:szCs w:val="22"/>
                <w:color w:val="auto"/>
              </w:rPr>
            </w:pPr>
          </w:p>
        </w:tc>
        <w:tc>
          <w:tcPr>
            <w:tcW w:w="1100" w:type="dxa"/>
            <w:vAlign w:val="bottom"/>
            <w:tcBorders>
              <w:top w:val="single" w:sz="8" w:color="auto"/>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4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780" w:type="dxa"/>
            <w:vAlign w:val="bottom"/>
          </w:tcPr>
          <w:p>
            <w:pPr>
              <w:ind w:left="180"/>
              <w:spacing w:after="0"/>
              <w:rPr>
                <w:sz w:val="20"/>
                <w:szCs w:val="20"/>
                <w:color w:val="auto"/>
              </w:rPr>
            </w:pPr>
            <w:r>
              <w:rPr>
                <w:rFonts w:ascii="Verdana" w:cs="Verdana" w:eastAsia="Verdana" w:hAnsi="Verdana"/>
                <w:sz w:val="18"/>
                <w:szCs w:val="18"/>
                <w:color w:val="auto"/>
              </w:rPr>
              <w:t>C&amp;I and other commercial</w:t>
            </w:r>
          </w:p>
        </w:tc>
        <w:tc>
          <w:tcPr>
            <w:tcW w:w="580" w:type="dxa"/>
            <w:vAlign w:val="bottom"/>
          </w:tcPr>
          <w:p>
            <w:pPr>
              <w:jc w:val="right"/>
              <w:ind w:right="379"/>
              <w:spacing w:after="0"/>
              <w:rPr>
                <w:sz w:val="20"/>
                <w:szCs w:val="20"/>
                <w:color w:val="auto"/>
              </w:rPr>
            </w:pPr>
            <w:r>
              <w:rPr>
                <w:rFonts w:ascii="Verdana" w:cs="Verdana" w:eastAsia="Verdana" w:hAnsi="Verdana"/>
                <w:sz w:val="18"/>
                <w:szCs w:val="18"/>
                <w:color w:val="auto"/>
                <w:w w:val="86"/>
              </w:rPr>
              <w:t>$</w:t>
            </w:r>
          </w:p>
        </w:tc>
        <w:tc>
          <w:tcPr>
            <w:tcW w:w="880" w:type="dxa"/>
            <w:vAlign w:val="bottom"/>
          </w:tcPr>
          <w:p>
            <w:pPr>
              <w:jc w:val="right"/>
              <w:ind w:right="10"/>
              <w:spacing w:after="0"/>
              <w:rPr>
                <w:sz w:val="20"/>
                <w:szCs w:val="20"/>
                <w:color w:val="auto"/>
              </w:rPr>
            </w:pPr>
            <w:r>
              <w:rPr>
                <w:rFonts w:ascii="Verdana" w:cs="Verdana" w:eastAsia="Verdana" w:hAnsi="Verdana"/>
                <w:sz w:val="18"/>
                <w:szCs w:val="18"/>
                <w:color w:val="auto"/>
              </w:rPr>
              <w:t>325</w:t>
            </w:r>
          </w:p>
        </w:tc>
        <w:tc>
          <w:tcPr>
            <w:tcW w:w="80" w:type="dxa"/>
            <w:vAlign w:val="bottom"/>
          </w:tcPr>
          <w:p>
            <w:pPr>
              <w:spacing w:after="0"/>
              <w:rPr>
                <w:sz w:val="22"/>
                <w:szCs w:val="22"/>
                <w:color w:val="auto"/>
              </w:rPr>
            </w:pPr>
          </w:p>
        </w:tc>
        <w:tc>
          <w:tcPr>
            <w:tcW w:w="1740" w:type="dxa"/>
            <w:vAlign w:val="bottom"/>
            <w:gridSpan w:val="2"/>
          </w:tcPr>
          <w:p>
            <w:pPr>
              <w:ind w:left="1180"/>
              <w:spacing w:after="0"/>
              <w:rPr>
                <w:sz w:val="20"/>
                <w:szCs w:val="20"/>
                <w:color w:val="auto"/>
              </w:rPr>
            </w:pPr>
            <w:r>
              <w:rPr>
                <w:rFonts w:ascii="Verdana" w:cs="Verdana" w:eastAsia="Verdana" w:hAnsi="Verdana"/>
                <w:sz w:val="18"/>
                <w:szCs w:val="18"/>
                <w:color w:val="auto"/>
              </w:rPr>
              <w:t>— %</w:t>
            </w:r>
          </w:p>
        </w:tc>
        <w:tc>
          <w:tcPr>
            <w:tcW w:w="14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320" w:type="dxa"/>
            <w:vAlign w:val="bottom"/>
            <w:gridSpan w:val="2"/>
          </w:tcPr>
          <w:p>
            <w:pPr>
              <w:jc w:val="right"/>
              <w:ind w:right="64"/>
              <w:spacing w:after="0"/>
              <w:rPr>
                <w:sz w:val="20"/>
                <w:szCs w:val="20"/>
                <w:color w:val="auto"/>
              </w:rPr>
            </w:pPr>
            <w:r>
              <w:rPr>
                <w:rFonts w:ascii="Verdana" w:cs="Verdana" w:eastAsia="Verdana" w:hAnsi="Verdana"/>
                <w:sz w:val="18"/>
                <w:szCs w:val="18"/>
                <w:color w:val="auto"/>
              </w:rPr>
              <w:t>14,537</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0.8 %</w:t>
            </w:r>
          </w:p>
        </w:tc>
        <w:tc>
          <w:tcPr>
            <w:tcW w:w="0" w:type="dxa"/>
            <w:vAlign w:val="bottom"/>
          </w:tcPr>
          <w:p>
            <w:pPr>
              <w:spacing w:after="0"/>
              <w:rPr>
                <w:sz w:val="1"/>
                <w:szCs w:val="1"/>
                <w:color w:val="auto"/>
              </w:rPr>
            </w:pPr>
          </w:p>
        </w:tc>
      </w:tr>
      <w:tr>
        <w:trPr>
          <w:trHeight w:val="277"/>
        </w:trPr>
        <w:tc>
          <w:tcPr>
            <w:tcW w:w="47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580" w:type="dxa"/>
            <w:vAlign w:val="bottom"/>
            <w:shd w:val="clear" w:color="auto" w:fill="E0E7ED"/>
          </w:tcPr>
          <w:p>
            <w:pPr>
              <w:spacing w:after="0"/>
              <w:rPr>
                <w:sz w:val="24"/>
                <w:szCs w:val="24"/>
                <w:color w:val="auto"/>
              </w:rPr>
            </w:pPr>
          </w:p>
        </w:tc>
        <w:tc>
          <w:tcPr>
            <w:tcW w:w="88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80" w:type="dxa"/>
            <w:vAlign w:val="bottom"/>
            <w:shd w:val="clear" w:color="auto" w:fill="E0E7ED"/>
          </w:tcPr>
          <w:p>
            <w:pPr>
              <w:spacing w:after="0"/>
              <w:rPr>
                <w:sz w:val="24"/>
                <w:szCs w:val="24"/>
                <w:color w:val="auto"/>
              </w:rPr>
            </w:pPr>
          </w:p>
        </w:tc>
        <w:tc>
          <w:tcPr>
            <w:tcW w:w="1740" w:type="dxa"/>
            <w:vAlign w:val="bottom"/>
            <w:gridSpan w:val="2"/>
            <w:shd w:val="clear" w:color="auto" w:fill="E0E7ED"/>
          </w:tcPr>
          <w:p>
            <w:pPr>
              <w:ind w:left="1180"/>
              <w:spacing w:after="0"/>
              <w:rPr>
                <w:sz w:val="20"/>
                <w:szCs w:val="20"/>
                <w:color w:val="auto"/>
              </w:rPr>
            </w:pPr>
            <w:r>
              <w:rPr>
                <w:rFonts w:ascii="Verdana" w:cs="Verdana" w:eastAsia="Verdana" w:hAnsi="Verdana"/>
                <w:sz w:val="18"/>
                <w:szCs w:val="18"/>
                <w:color w:val="auto"/>
              </w:rPr>
              <w:t>— %</w:t>
            </w:r>
          </w:p>
        </w:tc>
        <w:tc>
          <w:tcPr>
            <w:tcW w:w="140" w:type="dxa"/>
            <w:vAlign w:val="bottom"/>
            <w:shd w:val="clear" w:color="auto" w:fill="E0E7ED"/>
          </w:tcPr>
          <w:p>
            <w:pPr>
              <w:spacing w:after="0"/>
              <w:rPr>
                <w:sz w:val="24"/>
                <w:szCs w:val="24"/>
                <w:color w:val="auto"/>
              </w:rPr>
            </w:pPr>
          </w:p>
        </w:tc>
        <w:tc>
          <w:tcPr>
            <w:tcW w:w="1320" w:type="dxa"/>
            <w:vAlign w:val="bottom"/>
            <w:gridSpan w:val="2"/>
            <w:shd w:val="clear" w:color="auto" w:fill="E0E7ED"/>
          </w:tcPr>
          <w:p>
            <w:pPr>
              <w:jc w:val="right"/>
              <w:ind w:right="64"/>
              <w:spacing w:after="0"/>
              <w:rPr>
                <w:sz w:val="20"/>
                <w:szCs w:val="20"/>
                <w:color w:val="auto"/>
              </w:rPr>
            </w:pPr>
            <w:r>
              <w:rPr>
                <w:rFonts w:ascii="Verdana" w:cs="Verdana" w:eastAsia="Verdana" w:hAnsi="Verdana"/>
                <w:sz w:val="18"/>
                <w:szCs w:val="18"/>
                <w:color w:val="auto"/>
              </w:rPr>
              <w:t>18,448</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0.5 %</w:t>
            </w:r>
          </w:p>
        </w:tc>
        <w:tc>
          <w:tcPr>
            <w:tcW w:w="0" w:type="dxa"/>
            <w:vAlign w:val="bottom"/>
          </w:tcPr>
          <w:p>
            <w:pPr>
              <w:spacing w:after="0"/>
              <w:rPr>
                <w:sz w:val="1"/>
                <w:szCs w:val="1"/>
                <w:color w:val="auto"/>
              </w:rPr>
            </w:pPr>
          </w:p>
        </w:tc>
      </w:tr>
      <w:tr>
        <w:trPr>
          <w:trHeight w:val="263"/>
        </w:trPr>
        <w:tc>
          <w:tcPr>
            <w:tcW w:w="478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Real estate construction</w:t>
            </w: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8"/>
                <w:szCs w:val="18"/>
                <w:color w:val="auto"/>
              </w:rPr>
              <w:t>—</w:t>
            </w:r>
          </w:p>
        </w:tc>
        <w:tc>
          <w:tcPr>
            <w:tcW w:w="80" w:type="dxa"/>
            <w:vAlign w:val="bottom"/>
            <w:tcBorders>
              <w:bottom w:val="single" w:sz="8" w:color="E0E7ED"/>
            </w:tcBorders>
          </w:tcPr>
          <w:p>
            <w:pPr>
              <w:spacing w:after="0"/>
              <w:rPr>
                <w:sz w:val="22"/>
                <w:szCs w:val="22"/>
                <w:color w:val="auto"/>
              </w:rPr>
            </w:pPr>
          </w:p>
        </w:tc>
        <w:tc>
          <w:tcPr>
            <w:tcW w:w="1740" w:type="dxa"/>
            <w:vAlign w:val="bottom"/>
            <w:tcBorders>
              <w:bottom w:val="single" w:sz="8" w:color="E0E7ED"/>
            </w:tcBorders>
            <w:gridSpan w:val="2"/>
          </w:tcPr>
          <w:p>
            <w:pPr>
              <w:ind w:left="1180"/>
              <w:spacing w:after="0"/>
              <w:rPr>
                <w:sz w:val="20"/>
                <w:szCs w:val="20"/>
                <w:color w:val="auto"/>
              </w:rPr>
            </w:pPr>
            <w:r>
              <w:rPr>
                <w:rFonts w:ascii="Verdana" w:cs="Verdana" w:eastAsia="Verdana" w:hAnsi="Verdana"/>
                <w:sz w:val="18"/>
                <w:szCs w:val="18"/>
                <w:color w:val="auto"/>
              </w:rPr>
              <w:t>— %</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right"/>
              <w:ind w:right="64"/>
              <w:spacing w:after="0"/>
              <w:rPr>
                <w:sz w:val="20"/>
                <w:szCs w:val="20"/>
                <w:color w:val="auto"/>
              </w:rPr>
            </w:pPr>
            <w:r>
              <w:rPr>
                <w:rFonts w:ascii="Verdana" w:cs="Verdana" w:eastAsia="Verdana" w:hAnsi="Verdana"/>
                <w:sz w:val="18"/>
                <w:szCs w:val="18"/>
                <w:color w:val="auto"/>
              </w:rPr>
              <w:t>5,250</w:t>
            </w:r>
          </w:p>
        </w:tc>
        <w:tc>
          <w:tcPr>
            <w:tcW w:w="172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1.3 %</w:t>
            </w:r>
          </w:p>
        </w:tc>
        <w:tc>
          <w:tcPr>
            <w:tcW w:w="0" w:type="dxa"/>
            <w:vAlign w:val="bottom"/>
          </w:tcPr>
          <w:p>
            <w:pPr>
              <w:spacing w:after="0"/>
              <w:rPr>
                <w:sz w:val="1"/>
                <w:szCs w:val="1"/>
                <w:color w:val="auto"/>
              </w:rPr>
            </w:pPr>
          </w:p>
        </w:tc>
      </w:tr>
      <w:tr>
        <w:trPr>
          <w:trHeight w:val="295"/>
        </w:trPr>
        <w:tc>
          <w:tcPr>
            <w:tcW w:w="4780" w:type="dxa"/>
            <w:vAlign w:val="bottom"/>
            <w:tcBorders>
              <w:bottom w:val="single" w:sz="8" w:color="E0E7ED"/>
            </w:tcBorders>
            <w:shd w:val="clear" w:color="auto" w:fill="E0E7ED"/>
          </w:tcPr>
          <w:p>
            <w:pPr>
              <w:ind w:left="20"/>
              <w:spacing w:after="0" w:line="270" w:lineRule="exact"/>
              <w:rPr>
                <w:sz w:val="20"/>
                <w:szCs w:val="20"/>
                <w:color w:val="auto"/>
              </w:rPr>
            </w:pPr>
            <w:r>
              <w:rPr>
                <w:rFonts w:ascii="Verdana" w:cs="Verdana" w:eastAsia="Verdana" w:hAnsi="Verdana"/>
                <w:sz w:val="18"/>
                <w:szCs w:val="18"/>
                <w:color w:val="auto"/>
              </w:rPr>
              <w:t>Total of loans modified during the period</w:t>
            </w:r>
            <w:r>
              <w:rPr>
                <w:rFonts w:ascii="Verdana" w:cs="Verdana" w:eastAsia="Verdana" w:hAnsi="Verdana"/>
                <w:sz w:val="23"/>
                <w:szCs w:val="23"/>
                <w:color w:val="auto"/>
                <w:vertAlign w:val="superscript"/>
              </w:rPr>
              <w:t>3</w:t>
            </w:r>
          </w:p>
        </w:tc>
        <w:tc>
          <w:tcPr>
            <w:tcW w:w="580" w:type="dxa"/>
            <w:vAlign w:val="bottom"/>
            <w:tcBorders>
              <w:bottom w:val="single" w:sz="8" w:color="auto"/>
            </w:tcBorders>
            <w:shd w:val="clear" w:color="auto" w:fill="E0E7ED"/>
          </w:tcPr>
          <w:p>
            <w:pPr>
              <w:jc w:val="right"/>
              <w:ind w:right="379"/>
              <w:spacing w:after="0"/>
              <w:rPr>
                <w:sz w:val="20"/>
                <w:szCs w:val="20"/>
                <w:color w:val="auto"/>
              </w:rPr>
            </w:pPr>
            <w:r>
              <w:rPr>
                <w:rFonts w:ascii="Verdana" w:cs="Verdana" w:eastAsia="Verdana" w:hAnsi="Verdana"/>
                <w:sz w:val="18"/>
                <w:szCs w:val="18"/>
                <w:color w:val="auto"/>
                <w:w w:val="86"/>
              </w:rPr>
              <w:t>$</w:t>
            </w:r>
          </w:p>
        </w:tc>
        <w:tc>
          <w:tcPr>
            <w:tcW w:w="880" w:type="dxa"/>
            <w:vAlign w:val="bottom"/>
            <w:tcBorders>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rPr>
              <w:t>325</w:t>
            </w:r>
          </w:p>
        </w:tc>
        <w:tc>
          <w:tcPr>
            <w:tcW w:w="80" w:type="dxa"/>
            <w:vAlign w:val="bottom"/>
            <w:tcBorders>
              <w:bottom w:val="single" w:sz="8" w:color="E0E7ED"/>
            </w:tcBorders>
            <w:shd w:val="clear" w:color="auto" w:fill="E0E7ED"/>
          </w:tcPr>
          <w:p>
            <w:pPr>
              <w:spacing w:after="0"/>
              <w:rPr>
                <w:sz w:val="24"/>
                <w:szCs w:val="24"/>
                <w:color w:val="auto"/>
              </w:rPr>
            </w:pPr>
          </w:p>
        </w:tc>
        <w:tc>
          <w:tcPr>
            <w:tcW w:w="1740" w:type="dxa"/>
            <w:vAlign w:val="bottom"/>
            <w:tcBorders>
              <w:bottom w:val="single" w:sz="8" w:color="E0E7ED"/>
            </w:tcBorders>
            <w:gridSpan w:val="2"/>
            <w:shd w:val="clear" w:color="auto" w:fill="E0E7ED"/>
          </w:tcPr>
          <w:p>
            <w:pPr>
              <w:ind w:left="1180"/>
              <w:spacing w:after="0"/>
              <w:rPr>
                <w:sz w:val="20"/>
                <w:szCs w:val="20"/>
                <w:color w:val="auto"/>
              </w:rPr>
            </w:pPr>
            <w:r>
              <w:rPr>
                <w:rFonts w:ascii="Verdana" w:cs="Verdana" w:eastAsia="Verdana" w:hAnsi="Verdana"/>
                <w:sz w:val="18"/>
                <w:szCs w:val="18"/>
                <w:color w:val="auto"/>
              </w:rPr>
              <w:t>— %</w:t>
            </w:r>
          </w:p>
        </w:tc>
        <w:tc>
          <w:tcPr>
            <w:tcW w:w="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320" w:type="dxa"/>
            <w:vAlign w:val="bottom"/>
            <w:tcBorders>
              <w:bottom w:val="single" w:sz="8" w:color="auto"/>
            </w:tcBorders>
            <w:gridSpan w:val="2"/>
            <w:shd w:val="clear" w:color="auto" w:fill="E0E7ED"/>
          </w:tcPr>
          <w:p>
            <w:pPr>
              <w:jc w:val="right"/>
              <w:ind w:right="64"/>
              <w:spacing w:after="0"/>
              <w:rPr>
                <w:sz w:val="20"/>
                <w:szCs w:val="20"/>
                <w:color w:val="auto"/>
              </w:rPr>
            </w:pPr>
            <w:r>
              <w:rPr>
                <w:rFonts w:ascii="Verdana" w:cs="Verdana" w:eastAsia="Verdana" w:hAnsi="Verdana"/>
                <w:sz w:val="18"/>
                <w:szCs w:val="18"/>
                <w:color w:val="auto"/>
              </w:rPr>
              <w:t>38,235</w:t>
            </w:r>
          </w:p>
        </w:tc>
        <w:tc>
          <w:tcPr>
            <w:tcW w:w="1720" w:type="dxa"/>
            <w:vAlign w:val="bottom"/>
            <w:tcBorders>
              <w:bottom w:val="single" w:sz="8" w:color="E0E7ED"/>
            </w:tcBorders>
            <w:gridSpan w:val="2"/>
            <w:shd w:val="clear" w:color="auto" w:fill="E0E7ED"/>
          </w:tcPr>
          <w:p>
            <w:pPr>
              <w:jc w:val="right"/>
              <w:spacing w:after="0"/>
              <w:rPr>
                <w:sz w:val="20"/>
                <w:szCs w:val="20"/>
                <w:color w:val="auto"/>
              </w:rPr>
            </w:pPr>
            <w:r>
              <w:rPr>
                <w:rFonts w:ascii="Verdana" w:cs="Verdana" w:eastAsia="Verdana" w:hAnsi="Verdana"/>
                <w:sz w:val="18"/>
                <w:szCs w:val="18"/>
                <w:color w:val="auto"/>
              </w:rPr>
              <w:t>0.5 %</w:t>
            </w:r>
          </w:p>
        </w:tc>
        <w:tc>
          <w:tcPr>
            <w:tcW w:w="0" w:type="dxa"/>
            <w:vAlign w:val="bottom"/>
          </w:tcPr>
          <w:p>
            <w:pPr>
              <w:spacing w:after="0"/>
              <w:rPr>
                <w:sz w:val="1"/>
                <w:szCs w:val="1"/>
                <w:color w:val="auto"/>
              </w:rPr>
            </w:pPr>
          </w:p>
        </w:tc>
      </w:tr>
      <w:tr>
        <w:trPr>
          <w:trHeight w:val="20"/>
        </w:trPr>
        <w:tc>
          <w:tcPr>
            <w:tcW w:w="4780" w:type="dxa"/>
            <w:vAlign w:val="bottom"/>
            <w:tcBorders>
              <w:top w:val="single" w:sz="8" w:color="E0E7ED"/>
            </w:tcBorders>
          </w:tcPr>
          <w:p>
            <w:pPr>
              <w:spacing w:after="0" w:line="20" w:lineRule="exact"/>
              <w:rPr>
                <w:sz w:val="1"/>
                <w:szCs w:val="1"/>
                <w:color w:val="auto"/>
              </w:rPr>
            </w:pPr>
          </w:p>
        </w:tc>
        <w:tc>
          <w:tcPr>
            <w:tcW w:w="580" w:type="dxa"/>
            <w:vAlign w:val="bottom"/>
            <w:tcBorders>
              <w:top w:val="single" w:sz="8" w:color="E0E7ED"/>
              <w:bottom w:val="single" w:sz="8" w:color="auto"/>
            </w:tcBorders>
          </w:tcPr>
          <w:p>
            <w:pPr>
              <w:spacing w:after="0" w:line="20" w:lineRule="exact"/>
              <w:rPr>
                <w:sz w:val="1"/>
                <w:szCs w:val="1"/>
                <w:color w:val="auto"/>
              </w:rPr>
            </w:pPr>
          </w:p>
        </w:tc>
        <w:tc>
          <w:tcPr>
            <w:tcW w:w="8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40" w:type="dxa"/>
            <w:vAlign w:val="bottom"/>
            <w:tcBorders>
              <w:top w:val="single" w:sz="8" w:color="E0E7ED"/>
              <w:bottom w:val="single" w:sz="8" w:color="auto"/>
            </w:tcBorders>
          </w:tcPr>
          <w:p>
            <w:pPr>
              <w:spacing w:after="0" w:line="20" w:lineRule="exact"/>
              <w:rPr>
                <w:sz w:val="1"/>
                <w:szCs w:val="1"/>
                <w:color w:val="auto"/>
              </w:rPr>
            </w:pPr>
          </w:p>
        </w:tc>
        <w:tc>
          <w:tcPr>
            <w:tcW w:w="1100" w:type="dxa"/>
            <w:vAlign w:val="bottom"/>
            <w:tcBorders>
              <w:top w:val="single" w:sz="8" w:color="E0E7ED"/>
              <w:bottom w:val="single" w:sz="8" w:color="auto"/>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4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line="225" w:lineRule="auto"/>
        <w:tabs>
          <w:tab w:leader="none" w:pos="480" w:val="left"/>
        </w:tabs>
        <w:numPr>
          <w:ilvl w:val="0"/>
          <w:numId w:val="10"/>
        </w:numPr>
        <w:rPr>
          <w:rFonts w:ascii="Verdana" w:cs="Verdana" w:eastAsia="Verdana" w:hAnsi="Verdana"/>
          <w:sz w:val="13"/>
          <w:szCs w:val="13"/>
          <w:color w:val="auto"/>
        </w:rPr>
      </w:pPr>
      <w:r>
        <w:rPr>
          <w:rFonts w:ascii="Verdana" w:cs="Verdana" w:eastAsia="Verdana" w:hAnsi="Verdana"/>
          <w:sz w:val="13"/>
          <w:szCs w:val="13"/>
          <w:color w:val="auto"/>
        </w:rPr>
        <w:t>Modified loans represent an insignificant portion of C&amp;I and other commercial loans, rounding to zero percent.</w:t>
      </w:r>
    </w:p>
    <w:p>
      <w:pPr>
        <w:ind w:left="480" w:hanging="310"/>
        <w:spacing w:after="0"/>
        <w:tabs>
          <w:tab w:leader="none" w:pos="480" w:val="left"/>
        </w:tabs>
        <w:numPr>
          <w:ilvl w:val="0"/>
          <w:numId w:val="10"/>
        </w:numPr>
        <w:rPr>
          <w:rFonts w:ascii="Verdana" w:cs="Verdana" w:eastAsia="Verdana" w:hAnsi="Verdana"/>
          <w:sz w:val="13"/>
          <w:szCs w:val="13"/>
          <w:color w:val="auto"/>
        </w:rPr>
      </w:pPr>
      <w:r>
        <w:rPr>
          <w:rFonts w:ascii="Verdana" w:cs="Verdana" w:eastAsia="Verdana" w:hAnsi="Verdana"/>
          <w:sz w:val="13"/>
          <w:szCs w:val="13"/>
          <w:color w:val="auto"/>
        </w:rPr>
        <w:t>Modifications to extend loan terms also included, in some cases, interest rate increases during the extension period.</w:t>
      </w:r>
    </w:p>
    <w:p>
      <w:pPr>
        <w:spacing w:after="0" w:line="4" w:lineRule="exact"/>
        <w:rPr>
          <w:rFonts w:ascii="Verdana" w:cs="Verdana" w:eastAsia="Verdana" w:hAnsi="Verdana"/>
          <w:sz w:val="13"/>
          <w:szCs w:val="13"/>
          <w:color w:val="auto"/>
        </w:rPr>
      </w:pPr>
    </w:p>
    <w:p>
      <w:pPr>
        <w:ind w:left="480" w:hanging="310"/>
        <w:spacing w:after="0"/>
        <w:tabs>
          <w:tab w:leader="none" w:pos="480" w:val="left"/>
        </w:tabs>
        <w:numPr>
          <w:ilvl w:val="0"/>
          <w:numId w:val="10"/>
        </w:numPr>
        <w:rPr>
          <w:rFonts w:ascii="Verdana" w:cs="Verdana" w:eastAsia="Verdana" w:hAnsi="Verdana"/>
          <w:sz w:val="13"/>
          <w:szCs w:val="13"/>
          <w:color w:val="auto"/>
        </w:rPr>
      </w:pPr>
      <w:r>
        <w:rPr>
          <w:rFonts w:ascii="Verdana" w:cs="Verdana" w:eastAsia="Verdana" w:hAnsi="Verdana"/>
          <w:sz w:val="13"/>
          <w:szCs w:val="13"/>
          <w:color w:val="auto"/>
        </w:rPr>
        <w:t>All modifications were for loans classified as substandard.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4"/>
          </w:tcPr>
          <w:p>
            <w:pPr>
              <w:jc w:val="right"/>
              <w:spacing w:after="0"/>
              <w:rPr>
                <w:sz w:val="20"/>
                <w:szCs w:val="20"/>
                <w:color w:val="auto"/>
              </w:rPr>
            </w:pPr>
            <w:r>
              <w:rPr>
                <w:rFonts w:ascii="Verdana" w:cs="Verdana" w:eastAsia="Verdana" w:hAnsi="Verdana"/>
                <w:sz w:val="13"/>
                <w:szCs w:val="13"/>
                <w:b w:val="1"/>
                <w:bCs w:val="1"/>
                <w:color w:val="auto"/>
              </w:rPr>
              <w:t>Three Months Ended September 30, 2023</w:t>
            </w:r>
          </w:p>
        </w:tc>
        <w:tc>
          <w:tcPr>
            <w:tcW w:w="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4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jc w:val="right"/>
              <w:ind w:right="181"/>
              <w:spacing w:after="0" w:line="122" w:lineRule="exact"/>
              <w:rPr>
                <w:sz w:val="20"/>
                <w:szCs w:val="20"/>
                <w:color w:val="auto"/>
              </w:rPr>
            </w:pPr>
            <w:r>
              <w:rPr>
                <w:rFonts w:ascii="Verdana" w:cs="Verdana" w:eastAsia="Verdana" w:hAnsi="Verdana"/>
                <w:sz w:val="13"/>
                <w:szCs w:val="13"/>
                <w:b w:val="1"/>
                <w:bCs w:val="1"/>
                <w:color w:val="auto"/>
              </w:rPr>
              <w:t>Interest Rate</w:t>
            </w:r>
          </w:p>
        </w:tc>
        <w:tc>
          <w:tcPr>
            <w:tcW w:w="80" w:type="dxa"/>
            <w:vAlign w:val="bottom"/>
          </w:tcPr>
          <w:p>
            <w:pPr>
              <w:spacing w:after="0"/>
              <w:rPr>
                <w:sz w:val="10"/>
                <w:szCs w:val="10"/>
                <w:color w:val="auto"/>
              </w:rPr>
            </w:pPr>
          </w:p>
        </w:tc>
        <w:tc>
          <w:tcPr>
            <w:tcW w:w="1740" w:type="dxa"/>
            <w:vAlign w:val="bottom"/>
            <w:gridSpan w:val="2"/>
          </w:tcPr>
          <w:p>
            <w:pPr>
              <w:jc w:val="center"/>
              <w:ind w:right="80"/>
              <w:spacing w:after="0" w:line="122" w:lineRule="exact"/>
              <w:rPr>
                <w:sz w:val="20"/>
                <w:szCs w:val="20"/>
                <w:color w:val="auto"/>
              </w:rPr>
            </w:pPr>
            <w:r>
              <w:rPr>
                <w:rFonts w:ascii="Verdana" w:cs="Verdana" w:eastAsia="Verdana" w:hAnsi="Verdana"/>
                <w:sz w:val="13"/>
                <w:szCs w:val="13"/>
                <w:b w:val="1"/>
                <w:bCs w:val="1"/>
                <w:color w:val="auto"/>
                <w:w w:val="97"/>
              </w:rPr>
              <w:t>% of Total Class of</w:t>
            </w:r>
          </w:p>
        </w:tc>
        <w:tc>
          <w:tcPr>
            <w:tcW w:w="140" w:type="dxa"/>
            <w:vAlign w:val="bottom"/>
          </w:tcPr>
          <w:p>
            <w:pPr>
              <w:spacing w:after="0"/>
              <w:rPr>
                <w:sz w:val="10"/>
                <w:szCs w:val="10"/>
                <w:color w:val="auto"/>
              </w:rPr>
            </w:pPr>
          </w:p>
        </w:tc>
        <w:tc>
          <w:tcPr>
            <w:tcW w:w="1320" w:type="dxa"/>
            <w:vAlign w:val="bottom"/>
            <w:vMerge w:val="restart"/>
          </w:tcPr>
          <w:p>
            <w:pPr>
              <w:jc w:val="right"/>
              <w:ind w:right="77"/>
              <w:spacing w:after="0"/>
              <w:rPr>
                <w:sz w:val="20"/>
                <w:szCs w:val="20"/>
                <w:color w:val="auto"/>
              </w:rPr>
            </w:pPr>
            <w:r>
              <w:rPr>
                <w:rFonts w:ascii="Verdana" w:cs="Verdana" w:eastAsia="Verdana" w:hAnsi="Verdana"/>
                <w:sz w:val="13"/>
                <w:szCs w:val="13"/>
                <w:b w:val="1"/>
                <w:bCs w:val="1"/>
                <w:color w:val="auto"/>
                <w:w w:val="93"/>
              </w:rPr>
              <w:t>Term Extension</w:t>
            </w:r>
            <w:r>
              <w:rPr>
                <w:rFonts w:ascii="Verdana" w:cs="Verdana" w:eastAsia="Verdana" w:hAnsi="Verdana"/>
                <w:sz w:val="16"/>
                <w:szCs w:val="16"/>
                <w:b w:val="1"/>
                <w:bCs w:val="1"/>
                <w:color w:val="auto"/>
                <w:w w:val="93"/>
                <w:vertAlign w:val="superscript"/>
              </w:rPr>
              <w:t>3</w:t>
            </w:r>
          </w:p>
        </w:tc>
        <w:tc>
          <w:tcPr>
            <w:tcW w:w="80" w:type="dxa"/>
            <w:vAlign w:val="bottom"/>
          </w:tcPr>
          <w:p>
            <w:pPr>
              <w:spacing w:after="0"/>
              <w:rPr>
                <w:sz w:val="10"/>
                <w:szCs w:val="10"/>
                <w:color w:val="auto"/>
              </w:rPr>
            </w:pPr>
          </w:p>
        </w:tc>
        <w:tc>
          <w:tcPr>
            <w:tcW w:w="1640" w:type="dxa"/>
            <w:vAlign w:val="bottom"/>
          </w:tcPr>
          <w:p>
            <w:pPr>
              <w:jc w:val="right"/>
              <w:ind w:right="68"/>
              <w:spacing w:after="0" w:line="122" w:lineRule="exact"/>
              <w:rPr>
                <w:sz w:val="20"/>
                <w:szCs w:val="20"/>
                <w:color w:val="auto"/>
              </w:rPr>
            </w:pPr>
            <w:r>
              <w:rPr>
                <w:rFonts w:ascii="Verdana" w:cs="Verdana" w:eastAsia="Verdana" w:hAnsi="Verdana"/>
                <w:sz w:val="13"/>
                <w:szCs w:val="13"/>
                <w:b w:val="1"/>
                <w:bCs w:val="1"/>
                <w:color w:val="auto"/>
              </w:rPr>
              <w:t>% of Total Class of</w:t>
            </w:r>
          </w:p>
        </w:tc>
        <w:tc>
          <w:tcPr>
            <w:tcW w:w="0" w:type="dxa"/>
            <w:vAlign w:val="bottom"/>
          </w:tcPr>
          <w:p>
            <w:pPr>
              <w:spacing w:after="0"/>
              <w:rPr>
                <w:sz w:val="1"/>
                <w:szCs w:val="1"/>
                <w:color w:val="auto"/>
              </w:rPr>
            </w:pPr>
          </w:p>
        </w:tc>
      </w:tr>
      <w:tr>
        <w:trPr>
          <w:trHeight w:val="176"/>
        </w:trPr>
        <w:tc>
          <w:tcPr>
            <w:tcW w:w="4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281"/>
              <w:spacing w:after="0" w:line="176" w:lineRule="exact"/>
              <w:rPr>
                <w:sz w:val="20"/>
                <w:szCs w:val="20"/>
                <w:color w:val="auto"/>
              </w:rPr>
            </w:pPr>
            <w:r>
              <w:rPr>
                <w:rFonts w:ascii="Verdana" w:cs="Verdana" w:eastAsia="Verdana" w:hAnsi="Verdana"/>
                <w:sz w:val="13"/>
                <w:szCs w:val="13"/>
                <w:b w:val="1"/>
                <w:bCs w:val="1"/>
                <w:color w:val="auto"/>
              </w:rPr>
              <w:t>Reduction</w:t>
            </w:r>
            <w:r>
              <w:rPr>
                <w:rFonts w:ascii="Verdana" w:cs="Verdana" w:eastAsia="Verdana" w:hAnsi="Verdana"/>
                <w:sz w:val="16"/>
                <w:szCs w:val="16"/>
                <w:b w:val="1"/>
                <w:bCs w:val="1"/>
                <w:color w:val="auto"/>
                <w:vertAlign w:val="superscript"/>
              </w:rPr>
              <w:t>1</w:t>
            </w:r>
          </w:p>
        </w:tc>
        <w:tc>
          <w:tcPr>
            <w:tcW w:w="80" w:type="dxa"/>
            <w:vAlign w:val="bottom"/>
          </w:tcPr>
          <w:p>
            <w:pPr>
              <w:spacing w:after="0"/>
              <w:rPr>
                <w:sz w:val="15"/>
                <w:szCs w:val="15"/>
                <w:color w:val="auto"/>
              </w:rPr>
            </w:pPr>
          </w:p>
        </w:tc>
        <w:tc>
          <w:tcPr>
            <w:tcW w:w="1740" w:type="dxa"/>
            <w:vAlign w:val="bottom"/>
            <w:gridSpan w:val="2"/>
          </w:tcPr>
          <w:p>
            <w:pPr>
              <w:jc w:val="center"/>
              <w:ind w:right="100"/>
              <w:spacing w:after="0" w:line="176" w:lineRule="exact"/>
              <w:rPr>
                <w:sz w:val="20"/>
                <w:szCs w:val="20"/>
                <w:color w:val="auto"/>
              </w:rPr>
            </w:pPr>
            <w:r>
              <w:rPr>
                <w:rFonts w:ascii="Verdana" w:cs="Verdana" w:eastAsia="Verdana" w:hAnsi="Verdana"/>
                <w:sz w:val="13"/>
                <w:szCs w:val="13"/>
                <w:b w:val="1"/>
                <w:bCs w:val="1"/>
                <w:color w:val="auto"/>
                <w:w w:val="96"/>
              </w:rPr>
              <w:t>Financing Receivable</w:t>
            </w:r>
            <w:r>
              <w:rPr>
                <w:rFonts w:ascii="Verdana" w:cs="Verdana" w:eastAsia="Verdana" w:hAnsi="Verdana"/>
                <w:sz w:val="16"/>
                <w:szCs w:val="16"/>
                <w:b w:val="1"/>
                <w:bCs w:val="1"/>
                <w:color w:val="auto"/>
                <w:w w:val="96"/>
                <w:vertAlign w:val="superscript"/>
              </w:rPr>
              <w:t>2</w:t>
            </w:r>
          </w:p>
        </w:tc>
        <w:tc>
          <w:tcPr>
            <w:tcW w:w="1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jc w:val="right"/>
              <w:spacing w:after="0" w:line="176" w:lineRule="exact"/>
              <w:rPr>
                <w:sz w:val="20"/>
                <w:szCs w:val="20"/>
                <w:color w:val="auto"/>
              </w:rPr>
            </w:pPr>
            <w:r>
              <w:rPr>
                <w:rFonts w:ascii="Verdana" w:cs="Verdana" w:eastAsia="Verdana" w:hAnsi="Verdana"/>
                <w:sz w:val="13"/>
                <w:szCs w:val="13"/>
                <w:b w:val="1"/>
                <w:bCs w:val="1"/>
                <w:color w:val="auto"/>
                <w:w w:val="97"/>
              </w:rPr>
              <w:t>Financing Receivable</w:t>
            </w:r>
            <w:r>
              <w:rPr>
                <w:rFonts w:ascii="Verdana" w:cs="Verdana" w:eastAsia="Verdana" w:hAnsi="Verdana"/>
                <w:sz w:val="16"/>
                <w:szCs w:val="16"/>
                <w:b w:val="1"/>
                <w:bCs w:val="1"/>
                <w:color w:val="auto"/>
                <w:w w:val="97"/>
                <w:vertAlign w:val="superscript"/>
              </w:rPr>
              <w:t>2</w:t>
            </w:r>
          </w:p>
        </w:tc>
        <w:tc>
          <w:tcPr>
            <w:tcW w:w="0" w:type="dxa"/>
            <w:vAlign w:val="bottom"/>
          </w:tcPr>
          <w:p>
            <w:pPr>
              <w:spacing w:after="0"/>
              <w:rPr>
                <w:sz w:val="1"/>
                <w:szCs w:val="1"/>
                <w:color w:val="auto"/>
              </w:rPr>
            </w:pPr>
          </w:p>
        </w:tc>
      </w:tr>
      <w:tr>
        <w:trPr>
          <w:trHeight w:val="250"/>
        </w:trPr>
        <w:tc>
          <w:tcPr>
            <w:tcW w:w="47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Modified Loans</w:t>
            </w:r>
          </w:p>
        </w:tc>
        <w:tc>
          <w:tcPr>
            <w:tcW w:w="180" w:type="dxa"/>
            <w:vAlign w:val="bottom"/>
            <w:tcBorders>
              <w:top w:val="single" w:sz="8" w:color="auto"/>
            </w:tcBorders>
            <w:shd w:val="clear" w:color="auto" w:fill="E0E7ED"/>
          </w:tcPr>
          <w:p>
            <w:pPr>
              <w:spacing w:after="0"/>
              <w:rPr>
                <w:sz w:val="21"/>
                <w:szCs w:val="21"/>
                <w:color w:val="auto"/>
              </w:rPr>
            </w:pPr>
          </w:p>
        </w:tc>
        <w:tc>
          <w:tcPr>
            <w:tcW w:w="128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64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140" w:type="dxa"/>
            <w:vAlign w:val="bottom"/>
            <w:tcBorders>
              <w:top w:val="single" w:sz="8" w:color="auto"/>
            </w:tcBorders>
            <w:shd w:val="clear" w:color="auto" w:fill="E0E7ED"/>
          </w:tcPr>
          <w:p>
            <w:pPr>
              <w:spacing w:after="0"/>
              <w:rPr>
                <w:sz w:val="21"/>
                <w:szCs w:val="21"/>
                <w:color w:val="auto"/>
              </w:rPr>
            </w:pPr>
          </w:p>
        </w:tc>
        <w:tc>
          <w:tcPr>
            <w:tcW w:w="132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640" w:type="dxa"/>
            <w:vAlign w:val="bottom"/>
            <w:tcBorders>
              <w:top w:val="single" w:sz="8" w:color="auto"/>
            </w:tcBorders>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780" w:type="dxa"/>
            <w:vAlign w:val="bottom"/>
          </w:tcPr>
          <w:p>
            <w:pPr>
              <w:ind w:left="180"/>
              <w:spacing w:after="0"/>
              <w:rPr>
                <w:sz w:val="20"/>
                <w:szCs w:val="20"/>
                <w:color w:val="auto"/>
              </w:rPr>
            </w:pPr>
            <w:r>
              <w:rPr>
                <w:rFonts w:ascii="Verdana" w:cs="Verdana" w:eastAsia="Verdana" w:hAnsi="Verdana"/>
                <w:sz w:val="18"/>
                <w:szCs w:val="18"/>
                <w:color w:val="auto"/>
              </w:rPr>
              <w:t>C&amp;I and other commercial</w:t>
            </w:r>
          </w:p>
        </w:tc>
        <w:tc>
          <w:tcPr>
            <w:tcW w:w="18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280" w:type="dxa"/>
            <w:vAlign w:val="bottom"/>
          </w:tcPr>
          <w:p>
            <w:pPr>
              <w:jc w:val="right"/>
              <w:ind w:right="21"/>
              <w:spacing w:after="0"/>
              <w:rPr>
                <w:sz w:val="20"/>
                <w:szCs w:val="20"/>
                <w:color w:val="auto"/>
              </w:rPr>
            </w:pPr>
            <w:r>
              <w:rPr>
                <w:rFonts w:ascii="Verdana" w:cs="Verdana" w:eastAsia="Verdana" w:hAnsi="Verdana"/>
                <w:sz w:val="18"/>
                <w:szCs w:val="18"/>
                <w:color w:val="auto"/>
              </w:rPr>
              <w:t>—</w:t>
            </w:r>
          </w:p>
        </w:tc>
        <w:tc>
          <w:tcPr>
            <w:tcW w:w="80" w:type="dxa"/>
            <w:vAlign w:val="bottom"/>
          </w:tcPr>
          <w:p>
            <w:pPr>
              <w:spacing w:after="0"/>
              <w:rPr>
                <w:sz w:val="22"/>
                <w:szCs w:val="22"/>
                <w:color w:val="auto"/>
              </w:rPr>
            </w:pPr>
          </w:p>
        </w:tc>
        <w:tc>
          <w:tcPr>
            <w:tcW w:w="1740" w:type="dxa"/>
            <w:vAlign w:val="bottom"/>
            <w:gridSpan w:val="2"/>
          </w:tcPr>
          <w:p>
            <w:pPr>
              <w:ind w:left="1180"/>
              <w:spacing w:after="0"/>
              <w:rPr>
                <w:sz w:val="20"/>
                <w:szCs w:val="20"/>
                <w:color w:val="auto"/>
              </w:rPr>
            </w:pPr>
            <w:r>
              <w:rPr>
                <w:rFonts w:ascii="Verdana" w:cs="Verdana" w:eastAsia="Verdana" w:hAnsi="Verdana"/>
                <w:sz w:val="18"/>
                <w:szCs w:val="18"/>
                <w:color w:val="auto"/>
              </w:rPr>
              <w:t>— %</w:t>
            </w:r>
          </w:p>
        </w:tc>
        <w:tc>
          <w:tcPr>
            <w:tcW w:w="14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320" w:type="dxa"/>
            <w:vAlign w:val="bottom"/>
          </w:tcPr>
          <w:p>
            <w:pPr>
              <w:jc w:val="right"/>
              <w:ind w:right="17"/>
              <w:spacing w:after="0"/>
              <w:rPr>
                <w:sz w:val="20"/>
                <w:szCs w:val="20"/>
                <w:color w:val="auto"/>
              </w:rPr>
            </w:pPr>
            <w:r>
              <w:rPr>
                <w:rFonts w:ascii="Verdana" w:cs="Verdana" w:eastAsia="Verdana" w:hAnsi="Verdana"/>
                <w:sz w:val="18"/>
                <w:szCs w:val="18"/>
                <w:color w:val="auto"/>
              </w:rPr>
              <w:t>12,026</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0.6 %</w:t>
            </w:r>
          </w:p>
        </w:tc>
        <w:tc>
          <w:tcPr>
            <w:tcW w:w="0" w:type="dxa"/>
            <w:vAlign w:val="bottom"/>
          </w:tcPr>
          <w:p>
            <w:pPr>
              <w:spacing w:after="0"/>
              <w:rPr>
                <w:sz w:val="1"/>
                <w:szCs w:val="1"/>
                <w:color w:val="auto"/>
              </w:rPr>
            </w:pPr>
          </w:p>
        </w:tc>
      </w:tr>
      <w:tr>
        <w:trPr>
          <w:trHeight w:val="270"/>
        </w:trPr>
        <w:tc>
          <w:tcPr>
            <w:tcW w:w="47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180" w:type="dxa"/>
            <w:vAlign w:val="bottom"/>
            <w:tcBorders>
              <w:bottom w:val="single" w:sz="8" w:color="auto"/>
            </w:tcBorders>
            <w:shd w:val="clear" w:color="auto" w:fill="E0E7ED"/>
          </w:tcPr>
          <w:p>
            <w:pPr>
              <w:spacing w:after="0"/>
              <w:rPr>
                <w:sz w:val="23"/>
                <w:szCs w:val="23"/>
                <w:color w:val="auto"/>
              </w:rPr>
            </w:pPr>
          </w:p>
        </w:tc>
        <w:tc>
          <w:tcPr>
            <w:tcW w:w="1280" w:type="dxa"/>
            <w:vAlign w:val="bottom"/>
            <w:tcBorders>
              <w:bottom w:val="single" w:sz="8" w:color="auto"/>
            </w:tcBorders>
            <w:shd w:val="clear" w:color="auto" w:fill="E0E7ED"/>
          </w:tcPr>
          <w:p>
            <w:pPr>
              <w:jc w:val="right"/>
              <w:ind w:right="21"/>
              <w:spacing w:after="0"/>
              <w:rPr>
                <w:sz w:val="20"/>
                <w:szCs w:val="20"/>
                <w:color w:val="auto"/>
              </w:rPr>
            </w:pPr>
            <w:r>
              <w:rPr>
                <w:rFonts w:ascii="Verdana" w:cs="Verdana" w:eastAsia="Verdana" w:hAnsi="Verdana"/>
                <w:sz w:val="18"/>
                <w:szCs w:val="18"/>
                <w:color w:val="auto"/>
              </w:rPr>
              <w:t>880</w:t>
            </w:r>
          </w:p>
        </w:tc>
        <w:tc>
          <w:tcPr>
            <w:tcW w:w="80" w:type="dxa"/>
            <w:vAlign w:val="bottom"/>
            <w:shd w:val="clear" w:color="auto" w:fill="E0E7ED"/>
          </w:tcPr>
          <w:p>
            <w:pPr>
              <w:spacing w:after="0"/>
              <w:rPr>
                <w:sz w:val="23"/>
                <w:szCs w:val="23"/>
                <w:color w:val="auto"/>
              </w:rPr>
            </w:pPr>
          </w:p>
        </w:tc>
        <w:tc>
          <w:tcPr>
            <w:tcW w:w="1740" w:type="dxa"/>
            <w:vAlign w:val="bottom"/>
            <w:gridSpan w:val="2"/>
            <w:shd w:val="clear" w:color="auto" w:fill="E0E7ED"/>
          </w:tcPr>
          <w:p>
            <w:pPr>
              <w:ind w:left="1180"/>
              <w:spacing w:after="0"/>
              <w:rPr>
                <w:sz w:val="20"/>
                <w:szCs w:val="20"/>
                <w:color w:val="auto"/>
              </w:rPr>
            </w:pPr>
            <w:r>
              <w:rPr>
                <w:rFonts w:ascii="Verdana" w:cs="Verdana" w:eastAsia="Verdana" w:hAnsi="Verdana"/>
                <w:sz w:val="18"/>
                <w:szCs w:val="18"/>
                <w:color w:val="auto"/>
              </w:rPr>
              <w:t>— %</w:t>
            </w:r>
          </w:p>
        </w:tc>
        <w:tc>
          <w:tcPr>
            <w:tcW w:w="140" w:type="dxa"/>
            <w:vAlign w:val="bottom"/>
            <w:tcBorders>
              <w:bottom w:val="single" w:sz="8" w:color="auto"/>
            </w:tcBorders>
            <w:shd w:val="clear" w:color="auto" w:fill="E0E7ED"/>
          </w:tcPr>
          <w:p>
            <w:pPr>
              <w:spacing w:after="0"/>
              <w:rPr>
                <w:sz w:val="23"/>
                <w:szCs w:val="23"/>
                <w:color w:val="auto"/>
              </w:rPr>
            </w:pPr>
          </w:p>
        </w:tc>
        <w:tc>
          <w:tcPr>
            <w:tcW w:w="13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8"/>
                <w:szCs w:val="18"/>
                <w:color w:val="auto"/>
              </w:rPr>
              <w:t>553</w:t>
            </w:r>
          </w:p>
        </w:tc>
        <w:tc>
          <w:tcPr>
            <w:tcW w:w="80" w:type="dxa"/>
            <w:vAlign w:val="bottom"/>
            <w:shd w:val="clear" w:color="auto" w:fill="E0E7ED"/>
          </w:tcPr>
          <w:p>
            <w:pPr>
              <w:spacing w:after="0"/>
              <w:rPr>
                <w:sz w:val="23"/>
                <w:szCs w:val="23"/>
                <w:color w:val="auto"/>
              </w:rPr>
            </w:pPr>
          </w:p>
        </w:tc>
        <w:tc>
          <w:tcPr>
            <w:tcW w:w="16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 %</w:t>
            </w:r>
          </w:p>
        </w:tc>
        <w:tc>
          <w:tcPr>
            <w:tcW w:w="0" w:type="dxa"/>
            <w:vAlign w:val="bottom"/>
          </w:tcPr>
          <w:p>
            <w:pPr>
              <w:spacing w:after="0"/>
              <w:rPr>
                <w:sz w:val="1"/>
                <w:szCs w:val="1"/>
                <w:color w:val="auto"/>
              </w:rPr>
            </w:pPr>
          </w:p>
        </w:tc>
      </w:tr>
      <w:tr>
        <w:trPr>
          <w:trHeight w:val="270"/>
        </w:trPr>
        <w:tc>
          <w:tcPr>
            <w:tcW w:w="4780" w:type="dxa"/>
            <w:vAlign w:val="bottom"/>
          </w:tcPr>
          <w:p>
            <w:pPr>
              <w:ind w:left="20"/>
              <w:spacing w:after="0" w:line="270" w:lineRule="exact"/>
              <w:rPr>
                <w:sz w:val="20"/>
                <w:szCs w:val="20"/>
                <w:color w:val="auto"/>
              </w:rPr>
            </w:pPr>
            <w:r>
              <w:rPr>
                <w:rFonts w:ascii="Verdana" w:cs="Verdana" w:eastAsia="Verdana" w:hAnsi="Verdana"/>
                <w:sz w:val="18"/>
                <w:szCs w:val="18"/>
                <w:color w:val="auto"/>
              </w:rPr>
              <w:t>Total of loans modified during the period</w:t>
            </w:r>
            <w:r>
              <w:rPr>
                <w:rFonts w:ascii="Verdana" w:cs="Verdana" w:eastAsia="Verdana" w:hAnsi="Verdana"/>
                <w:sz w:val="23"/>
                <w:szCs w:val="23"/>
                <w:color w:val="auto"/>
                <w:vertAlign w:val="superscript"/>
              </w:rPr>
              <w:t>4</w:t>
            </w:r>
          </w:p>
        </w:tc>
        <w:tc>
          <w:tcPr>
            <w:tcW w:w="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86"/>
              </w:rPr>
              <w:t>$</w:t>
            </w:r>
          </w:p>
        </w:tc>
        <w:tc>
          <w:tcPr>
            <w:tcW w:w="1280" w:type="dxa"/>
            <w:vAlign w:val="bottom"/>
            <w:tcBorders>
              <w:bottom w:val="single" w:sz="8" w:color="auto"/>
            </w:tcBorders>
          </w:tcPr>
          <w:p>
            <w:pPr>
              <w:jc w:val="right"/>
              <w:ind w:right="21"/>
              <w:spacing w:after="0"/>
              <w:rPr>
                <w:sz w:val="20"/>
                <w:szCs w:val="20"/>
                <w:color w:val="auto"/>
              </w:rPr>
            </w:pPr>
            <w:r>
              <w:rPr>
                <w:rFonts w:ascii="Verdana" w:cs="Verdana" w:eastAsia="Verdana" w:hAnsi="Verdana"/>
                <w:sz w:val="18"/>
                <w:szCs w:val="18"/>
                <w:color w:val="auto"/>
              </w:rPr>
              <w:t>880</w:t>
            </w:r>
          </w:p>
        </w:tc>
        <w:tc>
          <w:tcPr>
            <w:tcW w:w="80" w:type="dxa"/>
            <w:vAlign w:val="bottom"/>
          </w:tcPr>
          <w:p>
            <w:pPr>
              <w:spacing w:after="0"/>
              <w:rPr>
                <w:sz w:val="23"/>
                <w:szCs w:val="23"/>
                <w:color w:val="auto"/>
              </w:rPr>
            </w:pPr>
          </w:p>
        </w:tc>
        <w:tc>
          <w:tcPr>
            <w:tcW w:w="1740" w:type="dxa"/>
            <w:vAlign w:val="bottom"/>
            <w:gridSpan w:val="2"/>
          </w:tcPr>
          <w:p>
            <w:pPr>
              <w:ind w:left="1180"/>
              <w:spacing w:after="0"/>
              <w:rPr>
                <w:sz w:val="20"/>
                <w:szCs w:val="20"/>
                <w:color w:val="auto"/>
              </w:rPr>
            </w:pPr>
            <w:r>
              <w:rPr>
                <w:rFonts w:ascii="Verdana" w:cs="Verdana" w:eastAsia="Verdana" w:hAnsi="Verdana"/>
                <w:sz w:val="18"/>
                <w:szCs w:val="18"/>
                <w:color w:val="auto"/>
              </w:rPr>
              <w:t>— %</w:t>
            </w:r>
          </w:p>
        </w:tc>
        <w:tc>
          <w:tcPr>
            <w:tcW w:w="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86"/>
              </w:rPr>
              <w:t>$</w:t>
            </w:r>
          </w:p>
        </w:tc>
        <w:tc>
          <w:tcPr>
            <w:tcW w:w="132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8"/>
                <w:szCs w:val="18"/>
                <w:color w:val="auto"/>
              </w:rPr>
              <w:t>12,579</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0.2 %</w:t>
            </w: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line="225" w:lineRule="auto"/>
        <w:tabs>
          <w:tab w:leader="none" w:pos="480" w:val="left"/>
        </w:tabs>
        <w:numPr>
          <w:ilvl w:val="0"/>
          <w:numId w:val="11"/>
        </w:numPr>
        <w:rPr>
          <w:rFonts w:ascii="Verdana" w:cs="Verdana" w:eastAsia="Verdana" w:hAnsi="Verdana"/>
          <w:sz w:val="13"/>
          <w:szCs w:val="13"/>
          <w:color w:val="auto"/>
        </w:rPr>
      </w:pPr>
      <w:r>
        <w:rPr>
          <w:rFonts w:ascii="Verdana" w:cs="Verdana" w:eastAsia="Verdana" w:hAnsi="Verdana"/>
          <w:sz w:val="13"/>
          <w:szCs w:val="13"/>
          <w:color w:val="auto"/>
        </w:rPr>
        <w:t>For one loan, the default rate was removed once forbearance was entered.</w:t>
      </w:r>
    </w:p>
    <w:p>
      <w:pPr>
        <w:ind w:left="480" w:hanging="310"/>
        <w:spacing w:after="0" w:line="225" w:lineRule="auto"/>
        <w:tabs>
          <w:tab w:leader="none" w:pos="480" w:val="left"/>
        </w:tabs>
        <w:numPr>
          <w:ilvl w:val="0"/>
          <w:numId w:val="11"/>
        </w:numPr>
        <w:rPr>
          <w:rFonts w:ascii="Verdana" w:cs="Verdana" w:eastAsia="Verdana" w:hAnsi="Verdana"/>
          <w:sz w:val="13"/>
          <w:szCs w:val="13"/>
          <w:color w:val="auto"/>
        </w:rPr>
      </w:pPr>
      <w:r>
        <w:rPr>
          <w:rFonts w:ascii="Verdana" w:cs="Verdana" w:eastAsia="Verdana" w:hAnsi="Verdana"/>
          <w:sz w:val="13"/>
          <w:szCs w:val="13"/>
          <w:color w:val="auto"/>
        </w:rPr>
        <w:t>Modified loans represented an insignificant portion of commercial real estate loans, rounding to zero percent.</w:t>
      </w:r>
    </w:p>
    <w:p>
      <w:pPr>
        <w:ind w:left="480" w:hanging="310"/>
        <w:spacing w:after="0"/>
        <w:tabs>
          <w:tab w:leader="none" w:pos="480" w:val="left"/>
        </w:tabs>
        <w:numPr>
          <w:ilvl w:val="0"/>
          <w:numId w:val="11"/>
        </w:numPr>
        <w:rPr>
          <w:rFonts w:ascii="Verdana" w:cs="Verdana" w:eastAsia="Verdana" w:hAnsi="Verdana"/>
          <w:sz w:val="13"/>
          <w:szCs w:val="13"/>
          <w:color w:val="auto"/>
        </w:rPr>
      </w:pPr>
      <w:r>
        <w:rPr>
          <w:rFonts w:ascii="Verdana" w:cs="Verdana" w:eastAsia="Verdana" w:hAnsi="Verdana"/>
          <w:sz w:val="13"/>
          <w:szCs w:val="13"/>
          <w:color w:val="auto"/>
        </w:rPr>
        <w:t>Modifications to extend loan terms also included, in some cases, interest rate increases during the extension period.</w:t>
      </w:r>
    </w:p>
    <w:p>
      <w:pPr>
        <w:spacing w:after="0" w:line="4" w:lineRule="exact"/>
        <w:rPr>
          <w:rFonts w:ascii="Verdana" w:cs="Verdana" w:eastAsia="Verdana" w:hAnsi="Verdana"/>
          <w:sz w:val="13"/>
          <w:szCs w:val="13"/>
          <w:color w:val="auto"/>
        </w:rPr>
      </w:pPr>
    </w:p>
    <w:p>
      <w:pPr>
        <w:ind w:left="480" w:hanging="310"/>
        <w:spacing w:after="0"/>
        <w:tabs>
          <w:tab w:leader="none" w:pos="480" w:val="left"/>
        </w:tabs>
        <w:numPr>
          <w:ilvl w:val="0"/>
          <w:numId w:val="11"/>
        </w:numPr>
        <w:rPr>
          <w:rFonts w:ascii="Verdana" w:cs="Verdana" w:eastAsia="Verdana" w:hAnsi="Verdana"/>
          <w:sz w:val="13"/>
          <w:szCs w:val="13"/>
          <w:color w:val="auto"/>
        </w:rPr>
      </w:pPr>
      <w:r>
        <w:rPr>
          <w:rFonts w:ascii="Verdana" w:cs="Verdana" w:eastAsia="Verdana" w:hAnsi="Verdana"/>
          <w:sz w:val="13"/>
          <w:szCs w:val="13"/>
          <w:color w:val="auto"/>
        </w:rPr>
        <w:t>All modifications were for loans classified as substandard.</w:t>
      </w:r>
    </w:p>
    <w:p>
      <w:pPr>
        <w:spacing w:after="0" w:line="395"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31" w:name="page32"/>
    <w:bookmarkEnd w:id="31"/>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4"/>
          </w:tcPr>
          <w:p>
            <w:pPr>
              <w:jc w:val="right"/>
              <w:ind w:right="15"/>
              <w:spacing w:after="0"/>
              <w:rPr>
                <w:sz w:val="20"/>
                <w:szCs w:val="20"/>
                <w:color w:val="auto"/>
              </w:rPr>
            </w:pPr>
            <w:r>
              <w:rPr>
                <w:rFonts w:ascii="Verdana" w:cs="Verdana" w:eastAsia="Verdana" w:hAnsi="Verdana"/>
                <w:sz w:val="13"/>
                <w:szCs w:val="13"/>
                <w:b w:val="1"/>
                <w:bCs w:val="1"/>
                <w:color w:val="auto"/>
              </w:rPr>
              <w:t>Nine Months Ended September 30, 2024</w:t>
            </w:r>
          </w:p>
        </w:tc>
        <w:tc>
          <w:tcPr>
            <w:tcW w:w="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780" w:type="dxa"/>
            <w:vAlign w:val="bottom"/>
          </w:tcPr>
          <w:p>
            <w:pPr>
              <w:spacing w:after="0"/>
              <w:rPr>
                <w:sz w:val="10"/>
                <w:szCs w:val="10"/>
                <w:color w:val="auto"/>
              </w:rPr>
            </w:pPr>
          </w:p>
        </w:tc>
        <w:tc>
          <w:tcPr>
            <w:tcW w:w="1460" w:type="dxa"/>
            <w:vAlign w:val="bottom"/>
            <w:gridSpan w:val="2"/>
            <w:vMerge w:val="restart"/>
          </w:tcPr>
          <w:p>
            <w:pPr>
              <w:jc w:val="right"/>
              <w:spacing w:after="0"/>
              <w:rPr>
                <w:sz w:val="20"/>
                <w:szCs w:val="20"/>
                <w:color w:val="auto"/>
              </w:rPr>
            </w:pPr>
            <w:r>
              <w:rPr>
                <w:rFonts w:ascii="Verdana" w:cs="Verdana" w:eastAsia="Verdana" w:hAnsi="Verdana"/>
                <w:sz w:val="13"/>
                <w:szCs w:val="13"/>
                <w:b w:val="1"/>
                <w:bCs w:val="1"/>
                <w:color w:val="auto"/>
              </w:rPr>
              <w:t>Payment Deferral</w:t>
            </w:r>
            <w:r>
              <w:rPr>
                <w:rFonts w:ascii="Verdana" w:cs="Verdana" w:eastAsia="Verdana" w:hAnsi="Verdana"/>
                <w:sz w:val="16"/>
                <w:szCs w:val="16"/>
                <w:b w:val="1"/>
                <w:bCs w:val="1"/>
                <w:color w:val="auto"/>
                <w:vertAlign w:val="superscript"/>
              </w:rPr>
              <w:t>1</w:t>
            </w:r>
          </w:p>
        </w:tc>
        <w:tc>
          <w:tcPr>
            <w:tcW w:w="80" w:type="dxa"/>
            <w:vAlign w:val="bottom"/>
          </w:tcPr>
          <w:p>
            <w:pPr>
              <w:spacing w:after="0"/>
              <w:rPr>
                <w:sz w:val="10"/>
                <w:szCs w:val="10"/>
                <w:color w:val="auto"/>
              </w:rPr>
            </w:pPr>
          </w:p>
        </w:tc>
        <w:tc>
          <w:tcPr>
            <w:tcW w:w="1740" w:type="dxa"/>
            <w:vAlign w:val="bottom"/>
            <w:gridSpan w:val="2"/>
          </w:tcPr>
          <w:p>
            <w:pPr>
              <w:ind w:left="160"/>
              <w:spacing w:after="0" w:line="122" w:lineRule="exact"/>
              <w:rPr>
                <w:sz w:val="20"/>
                <w:szCs w:val="20"/>
                <w:color w:val="auto"/>
              </w:rPr>
            </w:pPr>
            <w:r>
              <w:rPr>
                <w:rFonts w:ascii="Verdana" w:cs="Verdana" w:eastAsia="Verdana" w:hAnsi="Verdana"/>
                <w:sz w:val="13"/>
                <w:szCs w:val="13"/>
                <w:b w:val="1"/>
                <w:bCs w:val="1"/>
                <w:color w:val="auto"/>
              </w:rPr>
              <w:t>% of Total Class of</w:t>
            </w:r>
          </w:p>
        </w:tc>
        <w:tc>
          <w:tcPr>
            <w:tcW w:w="140" w:type="dxa"/>
            <w:vAlign w:val="bottom"/>
          </w:tcPr>
          <w:p>
            <w:pPr>
              <w:spacing w:after="0"/>
              <w:rPr>
                <w:sz w:val="10"/>
                <w:szCs w:val="10"/>
                <w:color w:val="auto"/>
              </w:rPr>
            </w:pPr>
          </w:p>
        </w:tc>
        <w:tc>
          <w:tcPr>
            <w:tcW w:w="1320" w:type="dxa"/>
            <w:vAlign w:val="bottom"/>
            <w:vMerge w:val="restart"/>
          </w:tcPr>
          <w:p>
            <w:pPr>
              <w:jc w:val="right"/>
              <w:ind w:right="75"/>
              <w:spacing w:after="0"/>
              <w:rPr>
                <w:sz w:val="20"/>
                <w:szCs w:val="20"/>
                <w:color w:val="auto"/>
              </w:rPr>
            </w:pPr>
            <w:r>
              <w:rPr>
                <w:rFonts w:ascii="Verdana" w:cs="Verdana" w:eastAsia="Verdana" w:hAnsi="Verdana"/>
                <w:sz w:val="13"/>
                <w:szCs w:val="13"/>
                <w:b w:val="1"/>
                <w:bCs w:val="1"/>
                <w:color w:val="auto"/>
                <w:w w:val="93"/>
              </w:rPr>
              <w:t>Term Extension</w:t>
            </w:r>
            <w:r>
              <w:rPr>
                <w:rFonts w:ascii="Verdana" w:cs="Verdana" w:eastAsia="Verdana" w:hAnsi="Verdana"/>
                <w:sz w:val="16"/>
                <w:szCs w:val="16"/>
                <w:b w:val="1"/>
                <w:bCs w:val="1"/>
                <w:color w:val="auto"/>
                <w:w w:val="93"/>
                <w:vertAlign w:val="superscript"/>
              </w:rPr>
              <w:t>1</w:t>
            </w:r>
          </w:p>
        </w:tc>
        <w:tc>
          <w:tcPr>
            <w:tcW w:w="80" w:type="dxa"/>
            <w:vAlign w:val="bottom"/>
          </w:tcPr>
          <w:p>
            <w:pPr>
              <w:spacing w:after="0"/>
              <w:rPr>
                <w:sz w:val="10"/>
                <w:szCs w:val="10"/>
                <w:color w:val="auto"/>
              </w:rPr>
            </w:pPr>
          </w:p>
        </w:tc>
        <w:tc>
          <w:tcPr>
            <w:tcW w:w="1640" w:type="dxa"/>
            <w:vAlign w:val="bottom"/>
          </w:tcPr>
          <w:p>
            <w:pPr>
              <w:jc w:val="right"/>
              <w:ind w:right="77"/>
              <w:spacing w:after="0" w:line="122" w:lineRule="exact"/>
              <w:rPr>
                <w:sz w:val="20"/>
                <w:szCs w:val="20"/>
                <w:color w:val="auto"/>
              </w:rPr>
            </w:pPr>
            <w:r>
              <w:rPr>
                <w:rFonts w:ascii="Verdana" w:cs="Verdana" w:eastAsia="Verdana" w:hAnsi="Verdana"/>
                <w:sz w:val="13"/>
                <w:szCs w:val="13"/>
                <w:b w:val="1"/>
                <w:bCs w:val="1"/>
                <w:color w:val="auto"/>
              </w:rPr>
              <w:t>% of Total Class of</w:t>
            </w:r>
          </w:p>
        </w:tc>
        <w:tc>
          <w:tcPr>
            <w:tcW w:w="0" w:type="dxa"/>
            <w:vAlign w:val="bottom"/>
          </w:tcPr>
          <w:p>
            <w:pPr>
              <w:spacing w:after="0"/>
              <w:rPr>
                <w:sz w:val="1"/>
                <w:szCs w:val="1"/>
                <w:color w:val="auto"/>
              </w:rPr>
            </w:pPr>
          </w:p>
        </w:tc>
      </w:tr>
      <w:tr>
        <w:trPr>
          <w:trHeight w:val="175"/>
        </w:trPr>
        <w:tc>
          <w:tcPr>
            <w:tcW w:w="478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ind w:left="40"/>
              <w:spacing w:after="0" w:line="176" w:lineRule="exact"/>
              <w:rPr>
                <w:sz w:val="20"/>
                <w:szCs w:val="20"/>
                <w:color w:val="auto"/>
              </w:rPr>
            </w:pPr>
            <w:r>
              <w:rPr>
                <w:rFonts w:ascii="Verdana" w:cs="Verdana" w:eastAsia="Verdana" w:hAnsi="Verdana"/>
                <w:sz w:val="13"/>
                <w:szCs w:val="13"/>
                <w:b w:val="1"/>
                <w:bCs w:val="1"/>
                <w:color w:val="auto"/>
              </w:rPr>
              <w:t>Financing Receivable</w:t>
            </w:r>
            <w:r>
              <w:rPr>
                <w:rFonts w:ascii="Verdana" w:cs="Verdana" w:eastAsia="Verdana" w:hAnsi="Verdana"/>
                <w:sz w:val="16"/>
                <w:szCs w:val="16"/>
                <w:b w:val="1"/>
                <w:bCs w:val="1"/>
                <w:color w:val="auto"/>
                <w:vertAlign w:val="superscript"/>
              </w:rPr>
              <w:t>2</w:t>
            </w:r>
          </w:p>
        </w:tc>
        <w:tc>
          <w:tcPr>
            <w:tcW w:w="1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jc w:val="right"/>
              <w:ind w:right="17"/>
              <w:spacing w:after="0"/>
              <w:rPr>
                <w:sz w:val="20"/>
                <w:szCs w:val="20"/>
                <w:color w:val="auto"/>
              </w:rPr>
            </w:pPr>
            <w:r>
              <w:rPr>
                <w:rFonts w:ascii="Verdana" w:cs="Verdana" w:eastAsia="Verdana" w:hAnsi="Verdana"/>
                <w:sz w:val="13"/>
                <w:szCs w:val="13"/>
                <w:b w:val="1"/>
                <w:bCs w:val="1"/>
                <w:color w:val="auto"/>
              </w:rPr>
              <w:t>Financing Receivable</w:t>
            </w:r>
          </w:p>
        </w:tc>
        <w:tc>
          <w:tcPr>
            <w:tcW w:w="0" w:type="dxa"/>
            <w:vAlign w:val="bottom"/>
          </w:tcPr>
          <w:p>
            <w:pPr>
              <w:spacing w:after="0"/>
              <w:rPr>
                <w:sz w:val="1"/>
                <w:szCs w:val="1"/>
                <w:color w:val="auto"/>
              </w:rPr>
            </w:pPr>
          </w:p>
        </w:tc>
      </w:tr>
      <w:tr>
        <w:trPr>
          <w:trHeight w:val="250"/>
        </w:trPr>
        <w:tc>
          <w:tcPr>
            <w:tcW w:w="47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Modified Loans</w:t>
            </w:r>
          </w:p>
        </w:tc>
        <w:tc>
          <w:tcPr>
            <w:tcW w:w="580" w:type="dxa"/>
            <w:vAlign w:val="bottom"/>
            <w:tcBorders>
              <w:top w:val="single" w:sz="8" w:color="auto"/>
            </w:tcBorders>
            <w:shd w:val="clear" w:color="auto" w:fill="E0E7ED"/>
          </w:tcPr>
          <w:p>
            <w:pPr>
              <w:spacing w:after="0"/>
              <w:rPr>
                <w:sz w:val="21"/>
                <w:szCs w:val="21"/>
                <w:color w:val="auto"/>
              </w:rPr>
            </w:pPr>
          </w:p>
        </w:tc>
        <w:tc>
          <w:tcPr>
            <w:tcW w:w="88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64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140" w:type="dxa"/>
            <w:vAlign w:val="bottom"/>
            <w:tcBorders>
              <w:top w:val="single" w:sz="8" w:color="auto"/>
            </w:tcBorders>
            <w:shd w:val="clear" w:color="auto" w:fill="E0E7ED"/>
          </w:tcPr>
          <w:p>
            <w:pPr>
              <w:spacing w:after="0"/>
              <w:rPr>
                <w:sz w:val="21"/>
                <w:szCs w:val="21"/>
                <w:color w:val="auto"/>
              </w:rPr>
            </w:pPr>
          </w:p>
        </w:tc>
        <w:tc>
          <w:tcPr>
            <w:tcW w:w="132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640" w:type="dxa"/>
            <w:vAlign w:val="bottom"/>
            <w:tcBorders>
              <w:top w:val="single" w:sz="8" w:color="auto"/>
            </w:tcBorders>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780" w:type="dxa"/>
            <w:vAlign w:val="bottom"/>
          </w:tcPr>
          <w:p>
            <w:pPr>
              <w:ind w:left="180"/>
              <w:spacing w:after="0"/>
              <w:rPr>
                <w:sz w:val="20"/>
                <w:szCs w:val="20"/>
                <w:color w:val="auto"/>
              </w:rPr>
            </w:pPr>
            <w:r>
              <w:rPr>
                <w:rFonts w:ascii="Verdana" w:cs="Verdana" w:eastAsia="Verdana" w:hAnsi="Verdana"/>
                <w:sz w:val="18"/>
                <w:szCs w:val="18"/>
                <w:color w:val="auto"/>
              </w:rPr>
              <w:t>C&amp;I and other commercial</w:t>
            </w:r>
          </w:p>
        </w:tc>
        <w:tc>
          <w:tcPr>
            <w:tcW w:w="580" w:type="dxa"/>
            <w:vAlign w:val="bottom"/>
          </w:tcPr>
          <w:p>
            <w:pPr>
              <w:jc w:val="right"/>
              <w:ind w:right="379"/>
              <w:spacing w:after="0"/>
              <w:rPr>
                <w:sz w:val="20"/>
                <w:szCs w:val="20"/>
                <w:color w:val="auto"/>
              </w:rPr>
            </w:pPr>
            <w:r>
              <w:rPr>
                <w:rFonts w:ascii="Verdana" w:cs="Verdana" w:eastAsia="Verdana" w:hAnsi="Verdana"/>
                <w:sz w:val="18"/>
                <w:szCs w:val="18"/>
                <w:color w:val="auto"/>
                <w:w w:val="86"/>
              </w:rPr>
              <w:t>$</w:t>
            </w:r>
          </w:p>
        </w:tc>
        <w:tc>
          <w:tcPr>
            <w:tcW w:w="880" w:type="dxa"/>
            <w:vAlign w:val="bottom"/>
          </w:tcPr>
          <w:p>
            <w:pPr>
              <w:jc w:val="right"/>
              <w:ind w:right="10"/>
              <w:spacing w:after="0"/>
              <w:rPr>
                <w:sz w:val="20"/>
                <w:szCs w:val="20"/>
                <w:color w:val="auto"/>
              </w:rPr>
            </w:pPr>
            <w:r>
              <w:rPr>
                <w:rFonts w:ascii="Verdana" w:cs="Verdana" w:eastAsia="Verdana" w:hAnsi="Verdana"/>
                <w:sz w:val="18"/>
                <w:szCs w:val="18"/>
                <w:color w:val="auto"/>
              </w:rPr>
              <w:t>325</w:t>
            </w:r>
          </w:p>
        </w:tc>
        <w:tc>
          <w:tcPr>
            <w:tcW w:w="80" w:type="dxa"/>
            <w:vAlign w:val="bottom"/>
          </w:tcPr>
          <w:p>
            <w:pPr>
              <w:spacing w:after="0"/>
              <w:rPr>
                <w:sz w:val="22"/>
                <w:szCs w:val="22"/>
                <w:color w:val="auto"/>
              </w:rPr>
            </w:pPr>
          </w:p>
        </w:tc>
        <w:tc>
          <w:tcPr>
            <w:tcW w:w="1740" w:type="dxa"/>
            <w:vAlign w:val="bottom"/>
            <w:gridSpan w:val="2"/>
          </w:tcPr>
          <w:p>
            <w:pPr>
              <w:ind w:left="1180"/>
              <w:spacing w:after="0"/>
              <w:rPr>
                <w:sz w:val="20"/>
                <w:szCs w:val="20"/>
                <w:color w:val="auto"/>
              </w:rPr>
            </w:pPr>
            <w:r>
              <w:rPr>
                <w:rFonts w:ascii="Verdana" w:cs="Verdana" w:eastAsia="Verdana" w:hAnsi="Verdana"/>
                <w:sz w:val="18"/>
                <w:szCs w:val="18"/>
                <w:color w:val="auto"/>
              </w:rPr>
              <w:t>— %</w:t>
            </w:r>
          </w:p>
        </w:tc>
        <w:tc>
          <w:tcPr>
            <w:tcW w:w="14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320" w:type="dxa"/>
            <w:vAlign w:val="bottom"/>
          </w:tcPr>
          <w:p>
            <w:pPr>
              <w:jc w:val="right"/>
              <w:ind w:right="15"/>
              <w:spacing w:after="0"/>
              <w:rPr>
                <w:sz w:val="20"/>
                <w:szCs w:val="20"/>
                <w:color w:val="auto"/>
              </w:rPr>
            </w:pPr>
            <w:r>
              <w:rPr>
                <w:rFonts w:ascii="Verdana" w:cs="Verdana" w:eastAsia="Verdana" w:hAnsi="Verdana"/>
                <w:sz w:val="18"/>
                <w:szCs w:val="18"/>
                <w:color w:val="auto"/>
              </w:rPr>
              <w:t>28,073</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1.5 %</w:t>
            </w:r>
          </w:p>
        </w:tc>
        <w:tc>
          <w:tcPr>
            <w:tcW w:w="0" w:type="dxa"/>
            <w:vAlign w:val="bottom"/>
          </w:tcPr>
          <w:p>
            <w:pPr>
              <w:spacing w:after="0"/>
              <w:rPr>
                <w:sz w:val="1"/>
                <w:szCs w:val="1"/>
                <w:color w:val="auto"/>
              </w:rPr>
            </w:pPr>
          </w:p>
        </w:tc>
      </w:tr>
      <w:tr>
        <w:trPr>
          <w:trHeight w:val="277"/>
        </w:trPr>
        <w:tc>
          <w:tcPr>
            <w:tcW w:w="47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580" w:type="dxa"/>
            <w:vAlign w:val="bottom"/>
            <w:shd w:val="clear" w:color="auto" w:fill="E0E7ED"/>
          </w:tcPr>
          <w:p>
            <w:pPr>
              <w:spacing w:after="0"/>
              <w:rPr>
                <w:sz w:val="24"/>
                <w:szCs w:val="24"/>
                <w:color w:val="auto"/>
              </w:rPr>
            </w:pPr>
          </w:p>
        </w:tc>
        <w:tc>
          <w:tcPr>
            <w:tcW w:w="88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80" w:type="dxa"/>
            <w:vAlign w:val="bottom"/>
            <w:shd w:val="clear" w:color="auto" w:fill="E0E7ED"/>
          </w:tcPr>
          <w:p>
            <w:pPr>
              <w:spacing w:after="0"/>
              <w:rPr>
                <w:sz w:val="24"/>
                <w:szCs w:val="24"/>
                <w:color w:val="auto"/>
              </w:rPr>
            </w:pPr>
          </w:p>
        </w:tc>
        <w:tc>
          <w:tcPr>
            <w:tcW w:w="1740" w:type="dxa"/>
            <w:vAlign w:val="bottom"/>
            <w:gridSpan w:val="2"/>
            <w:shd w:val="clear" w:color="auto" w:fill="E0E7ED"/>
          </w:tcPr>
          <w:p>
            <w:pPr>
              <w:ind w:left="1180"/>
              <w:spacing w:after="0"/>
              <w:rPr>
                <w:sz w:val="20"/>
                <w:szCs w:val="20"/>
                <w:color w:val="auto"/>
              </w:rPr>
            </w:pPr>
            <w:r>
              <w:rPr>
                <w:rFonts w:ascii="Verdana" w:cs="Verdana" w:eastAsia="Verdana" w:hAnsi="Verdana"/>
                <w:sz w:val="18"/>
                <w:szCs w:val="18"/>
                <w:color w:val="auto"/>
              </w:rPr>
              <w:t>— %</w:t>
            </w:r>
          </w:p>
        </w:tc>
        <w:tc>
          <w:tcPr>
            <w:tcW w:w="14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19,782</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0.6 %</w:t>
            </w:r>
          </w:p>
        </w:tc>
        <w:tc>
          <w:tcPr>
            <w:tcW w:w="0" w:type="dxa"/>
            <w:vAlign w:val="bottom"/>
          </w:tcPr>
          <w:p>
            <w:pPr>
              <w:spacing w:after="0"/>
              <w:rPr>
                <w:sz w:val="1"/>
                <w:szCs w:val="1"/>
                <w:color w:val="auto"/>
              </w:rPr>
            </w:pPr>
          </w:p>
        </w:tc>
      </w:tr>
      <w:tr>
        <w:trPr>
          <w:trHeight w:val="263"/>
        </w:trPr>
        <w:tc>
          <w:tcPr>
            <w:tcW w:w="478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Real estate construction</w:t>
            </w: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8"/>
                <w:szCs w:val="18"/>
                <w:color w:val="auto"/>
              </w:rPr>
              <w:t>—</w:t>
            </w:r>
          </w:p>
        </w:tc>
        <w:tc>
          <w:tcPr>
            <w:tcW w:w="80" w:type="dxa"/>
            <w:vAlign w:val="bottom"/>
            <w:tcBorders>
              <w:bottom w:val="single" w:sz="8" w:color="E0E7ED"/>
            </w:tcBorders>
          </w:tcPr>
          <w:p>
            <w:pPr>
              <w:spacing w:after="0"/>
              <w:rPr>
                <w:sz w:val="22"/>
                <w:szCs w:val="22"/>
                <w:color w:val="auto"/>
              </w:rPr>
            </w:pPr>
          </w:p>
        </w:tc>
        <w:tc>
          <w:tcPr>
            <w:tcW w:w="1740" w:type="dxa"/>
            <w:vAlign w:val="bottom"/>
            <w:tcBorders>
              <w:bottom w:val="single" w:sz="8" w:color="E0E7ED"/>
            </w:tcBorders>
            <w:gridSpan w:val="2"/>
          </w:tcPr>
          <w:p>
            <w:pPr>
              <w:ind w:left="1180"/>
              <w:spacing w:after="0"/>
              <w:rPr>
                <w:sz w:val="20"/>
                <w:szCs w:val="20"/>
                <w:color w:val="auto"/>
              </w:rPr>
            </w:pPr>
            <w:r>
              <w:rPr>
                <w:rFonts w:ascii="Verdana" w:cs="Verdana" w:eastAsia="Verdana" w:hAnsi="Verdana"/>
                <w:sz w:val="18"/>
                <w:szCs w:val="18"/>
                <w:color w:val="auto"/>
              </w:rPr>
              <w:t>— %</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5,250</w:t>
            </w:r>
          </w:p>
        </w:tc>
        <w:tc>
          <w:tcPr>
            <w:tcW w:w="172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1.3 %</w:t>
            </w:r>
          </w:p>
        </w:tc>
        <w:tc>
          <w:tcPr>
            <w:tcW w:w="0" w:type="dxa"/>
            <w:vAlign w:val="bottom"/>
          </w:tcPr>
          <w:p>
            <w:pPr>
              <w:spacing w:after="0"/>
              <w:rPr>
                <w:sz w:val="1"/>
                <w:szCs w:val="1"/>
                <w:color w:val="auto"/>
              </w:rPr>
            </w:pPr>
          </w:p>
        </w:tc>
      </w:tr>
      <w:tr>
        <w:trPr>
          <w:trHeight w:val="295"/>
        </w:trPr>
        <w:tc>
          <w:tcPr>
            <w:tcW w:w="4780" w:type="dxa"/>
            <w:vAlign w:val="bottom"/>
            <w:tcBorders>
              <w:bottom w:val="single" w:sz="8" w:color="E0E7ED"/>
            </w:tcBorders>
            <w:shd w:val="clear" w:color="auto" w:fill="E0E7ED"/>
          </w:tcPr>
          <w:p>
            <w:pPr>
              <w:ind w:left="20"/>
              <w:spacing w:after="0" w:line="270" w:lineRule="exact"/>
              <w:rPr>
                <w:sz w:val="20"/>
                <w:szCs w:val="20"/>
                <w:color w:val="auto"/>
              </w:rPr>
            </w:pPr>
            <w:r>
              <w:rPr>
                <w:rFonts w:ascii="Verdana" w:cs="Verdana" w:eastAsia="Verdana" w:hAnsi="Verdana"/>
                <w:sz w:val="18"/>
                <w:szCs w:val="18"/>
                <w:color w:val="auto"/>
              </w:rPr>
              <w:t>Total of loans modified during the period</w:t>
            </w:r>
            <w:r>
              <w:rPr>
                <w:rFonts w:ascii="Verdana" w:cs="Verdana" w:eastAsia="Verdana" w:hAnsi="Verdana"/>
                <w:sz w:val="23"/>
                <w:szCs w:val="23"/>
                <w:color w:val="auto"/>
                <w:vertAlign w:val="superscript"/>
              </w:rPr>
              <w:t>3</w:t>
            </w:r>
          </w:p>
        </w:tc>
        <w:tc>
          <w:tcPr>
            <w:tcW w:w="580" w:type="dxa"/>
            <w:vAlign w:val="bottom"/>
            <w:tcBorders>
              <w:bottom w:val="single" w:sz="8" w:color="auto"/>
            </w:tcBorders>
            <w:shd w:val="clear" w:color="auto" w:fill="E0E7ED"/>
          </w:tcPr>
          <w:p>
            <w:pPr>
              <w:jc w:val="right"/>
              <w:ind w:right="379"/>
              <w:spacing w:after="0"/>
              <w:rPr>
                <w:sz w:val="20"/>
                <w:szCs w:val="20"/>
                <w:color w:val="auto"/>
              </w:rPr>
            </w:pPr>
            <w:r>
              <w:rPr>
                <w:rFonts w:ascii="Verdana" w:cs="Verdana" w:eastAsia="Verdana" w:hAnsi="Verdana"/>
                <w:sz w:val="18"/>
                <w:szCs w:val="18"/>
                <w:color w:val="auto"/>
                <w:w w:val="86"/>
              </w:rPr>
              <w:t>$</w:t>
            </w:r>
          </w:p>
        </w:tc>
        <w:tc>
          <w:tcPr>
            <w:tcW w:w="880" w:type="dxa"/>
            <w:vAlign w:val="bottom"/>
            <w:tcBorders>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rPr>
              <w:t>325</w:t>
            </w:r>
          </w:p>
        </w:tc>
        <w:tc>
          <w:tcPr>
            <w:tcW w:w="80" w:type="dxa"/>
            <w:vAlign w:val="bottom"/>
            <w:tcBorders>
              <w:bottom w:val="single" w:sz="8" w:color="E0E7ED"/>
            </w:tcBorders>
            <w:shd w:val="clear" w:color="auto" w:fill="E0E7ED"/>
          </w:tcPr>
          <w:p>
            <w:pPr>
              <w:spacing w:after="0"/>
              <w:rPr>
                <w:sz w:val="24"/>
                <w:szCs w:val="24"/>
                <w:color w:val="auto"/>
              </w:rPr>
            </w:pPr>
          </w:p>
        </w:tc>
        <w:tc>
          <w:tcPr>
            <w:tcW w:w="1740" w:type="dxa"/>
            <w:vAlign w:val="bottom"/>
            <w:tcBorders>
              <w:bottom w:val="single" w:sz="8" w:color="E0E7ED"/>
            </w:tcBorders>
            <w:gridSpan w:val="2"/>
            <w:shd w:val="clear" w:color="auto" w:fill="E0E7ED"/>
          </w:tcPr>
          <w:p>
            <w:pPr>
              <w:ind w:left="1180"/>
              <w:spacing w:after="0"/>
              <w:rPr>
                <w:sz w:val="20"/>
                <w:szCs w:val="20"/>
                <w:color w:val="auto"/>
              </w:rPr>
            </w:pPr>
            <w:r>
              <w:rPr>
                <w:rFonts w:ascii="Verdana" w:cs="Verdana" w:eastAsia="Verdana" w:hAnsi="Verdana"/>
                <w:sz w:val="18"/>
                <w:szCs w:val="18"/>
                <w:color w:val="auto"/>
              </w:rPr>
              <w:t>— %</w:t>
            </w:r>
          </w:p>
        </w:tc>
        <w:tc>
          <w:tcPr>
            <w:tcW w:w="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32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53,105</w:t>
            </w:r>
          </w:p>
        </w:tc>
        <w:tc>
          <w:tcPr>
            <w:tcW w:w="1720" w:type="dxa"/>
            <w:vAlign w:val="bottom"/>
            <w:tcBorders>
              <w:bottom w:val="single" w:sz="8" w:color="E0E7ED"/>
            </w:tcBorders>
            <w:gridSpan w:val="2"/>
            <w:shd w:val="clear" w:color="auto" w:fill="E0E7ED"/>
          </w:tcPr>
          <w:p>
            <w:pPr>
              <w:jc w:val="right"/>
              <w:spacing w:after="0"/>
              <w:rPr>
                <w:sz w:val="20"/>
                <w:szCs w:val="20"/>
                <w:color w:val="auto"/>
              </w:rPr>
            </w:pPr>
            <w:r>
              <w:rPr>
                <w:rFonts w:ascii="Verdana" w:cs="Verdana" w:eastAsia="Verdana" w:hAnsi="Verdana"/>
                <w:sz w:val="18"/>
                <w:szCs w:val="18"/>
                <w:color w:val="auto"/>
              </w:rPr>
              <w:t>0.7 %</w:t>
            </w:r>
          </w:p>
        </w:tc>
        <w:tc>
          <w:tcPr>
            <w:tcW w:w="0" w:type="dxa"/>
            <w:vAlign w:val="bottom"/>
          </w:tcPr>
          <w:p>
            <w:pPr>
              <w:spacing w:after="0"/>
              <w:rPr>
                <w:sz w:val="1"/>
                <w:szCs w:val="1"/>
                <w:color w:val="auto"/>
              </w:rPr>
            </w:pPr>
          </w:p>
        </w:tc>
      </w:tr>
      <w:tr>
        <w:trPr>
          <w:trHeight w:val="20"/>
        </w:trPr>
        <w:tc>
          <w:tcPr>
            <w:tcW w:w="4780" w:type="dxa"/>
            <w:vAlign w:val="bottom"/>
            <w:tcBorders>
              <w:top w:val="single" w:sz="8" w:color="E0E7ED"/>
            </w:tcBorders>
          </w:tcPr>
          <w:p>
            <w:pPr>
              <w:spacing w:after="0" w:line="20" w:lineRule="exact"/>
              <w:rPr>
                <w:sz w:val="1"/>
                <w:szCs w:val="1"/>
                <w:color w:val="auto"/>
              </w:rPr>
            </w:pPr>
          </w:p>
        </w:tc>
        <w:tc>
          <w:tcPr>
            <w:tcW w:w="580" w:type="dxa"/>
            <w:vAlign w:val="bottom"/>
            <w:tcBorders>
              <w:top w:val="single" w:sz="8" w:color="E0E7ED"/>
              <w:bottom w:val="single" w:sz="8" w:color="auto"/>
            </w:tcBorders>
          </w:tcPr>
          <w:p>
            <w:pPr>
              <w:spacing w:after="0" w:line="20" w:lineRule="exact"/>
              <w:rPr>
                <w:sz w:val="1"/>
                <w:szCs w:val="1"/>
                <w:color w:val="auto"/>
              </w:rPr>
            </w:pPr>
          </w:p>
        </w:tc>
        <w:tc>
          <w:tcPr>
            <w:tcW w:w="8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40" w:type="dxa"/>
            <w:vAlign w:val="bottom"/>
            <w:tcBorders>
              <w:top w:val="single" w:sz="8" w:color="E0E7ED"/>
              <w:bottom w:val="single" w:sz="8" w:color="auto"/>
            </w:tcBorders>
          </w:tcPr>
          <w:p>
            <w:pPr>
              <w:spacing w:after="0" w:line="20" w:lineRule="exact"/>
              <w:rPr>
                <w:sz w:val="1"/>
                <w:szCs w:val="1"/>
                <w:color w:val="auto"/>
              </w:rPr>
            </w:pPr>
          </w:p>
        </w:tc>
        <w:tc>
          <w:tcPr>
            <w:tcW w:w="13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4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line="225" w:lineRule="auto"/>
        <w:tabs>
          <w:tab w:leader="none" w:pos="480" w:val="left"/>
        </w:tabs>
        <w:numPr>
          <w:ilvl w:val="0"/>
          <w:numId w:val="12"/>
        </w:numPr>
        <w:rPr>
          <w:rFonts w:ascii="Verdana" w:cs="Verdana" w:eastAsia="Verdana" w:hAnsi="Verdana"/>
          <w:sz w:val="13"/>
          <w:szCs w:val="13"/>
          <w:color w:val="auto"/>
        </w:rPr>
      </w:pPr>
      <w:r>
        <w:rPr>
          <w:rFonts w:ascii="Verdana" w:cs="Verdana" w:eastAsia="Verdana" w:hAnsi="Verdana"/>
          <w:sz w:val="13"/>
          <w:szCs w:val="13"/>
          <w:color w:val="auto"/>
        </w:rPr>
        <w:t>Modifications to extend loan terms also included, in some cases, interest rate increases during the extension period.</w:t>
      </w:r>
    </w:p>
    <w:p>
      <w:pPr>
        <w:ind w:left="480" w:hanging="310"/>
        <w:spacing w:after="0" w:line="225" w:lineRule="auto"/>
        <w:tabs>
          <w:tab w:leader="none" w:pos="480" w:val="left"/>
        </w:tabs>
        <w:numPr>
          <w:ilvl w:val="0"/>
          <w:numId w:val="12"/>
        </w:numPr>
        <w:rPr>
          <w:rFonts w:ascii="Verdana" w:cs="Verdana" w:eastAsia="Verdana" w:hAnsi="Verdana"/>
          <w:sz w:val="13"/>
          <w:szCs w:val="13"/>
          <w:color w:val="auto"/>
        </w:rPr>
      </w:pPr>
      <w:r>
        <w:rPr>
          <w:rFonts w:ascii="Verdana" w:cs="Verdana" w:eastAsia="Verdana" w:hAnsi="Verdana"/>
          <w:sz w:val="13"/>
          <w:szCs w:val="13"/>
          <w:color w:val="auto"/>
        </w:rPr>
        <w:t>Modified loans represent an insignificant portion of C&amp;I and other commercial loans, rounding to zero percent.</w:t>
      </w:r>
    </w:p>
    <w:p>
      <w:pPr>
        <w:ind w:left="480" w:hanging="310"/>
        <w:spacing w:after="0"/>
        <w:tabs>
          <w:tab w:leader="none" w:pos="480" w:val="left"/>
        </w:tabs>
        <w:numPr>
          <w:ilvl w:val="0"/>
          <w:numId w:val="12"/>
        </w:numPr>
        <w:rPr>
          <w:rFonts w:ascii="Verdana" w:cs="Verdana" w:eastAsia="Verdana" w:hAnsi="Verdana"/>
          <w:sz w:val="13"/>
          <w:szCs w:val="13"/>
          <w:color w:val="auto"/>
        </w:rPr>
      </w:pPr>
      <w:r>
        <w:rPr>
          <w:rFonts w:ascii="Verdana" w:cs="Verdana" w:eastAsia="Verdana" w:hAnsi="Verdana"/>
          <w:sz w:val="13"/>
          <w:szCs w:val="13"/>
          <w:color w:val="auto"/>
        </w:rPr>
        <w:t>All modifications were for loans classified as substandard.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5"/>
          </w:tcPr>
          <w:p>
            <w:pPr>
              <w:ind w:left="120"/>
              <w:spacing w:after="0"/>
              <w:rPr>
                <w:sz w:val="20"/>
                <w:szCs w:val="20"/>
                <w:color w:val="auto"/>
              </w:rPr>
            </w:pPr>
            <w:r>
              <w:rPr>
                <w:rFonts w:ascii="Verdana" w:cs="Verdana" w:eastAsia="Verdana" w:hAnsi="Verdana"/>
                <w:sz w:val="13"/>
                <w:szCs w:val="13"/>
                <w:b w:val="1"/>
                <w:bCs w:val="1"/>
                <w:color w:val="auto"/>
              </w:rPr>
              <w:t>Nine Months Ended September 30, 2023</w:t>
            </w: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vMerge w:val="restart"/>
          </w:tcPr>
          <w:p>
            <w:pPr>
              <w:jc w:val="right"/>
              <w:ind w:right="139"/>
              <w:spacing w:after="0"/>
              <w:rPr>
                <w:sz w:val="20"/>
                <w:szCs w:val="20"/>
                <w:color w:val="auto"/>
              </w:rPr>
            </w:pPr>
            <w:r>
              <w:rPr>
                <w:rFonts w:ascii="Verdana" w:cs="Verdana" w:eastAsia="Verdana" w:hAnsi="Verdana"/>
                <w:sz w:val="13"/>
                <w:szCs w:val="13"/>
                <w:b w:val="1"/>
                <w:bCs w:val="1"/>
                <w:color w:val="auto"/>
              </w:rPr>
              <w:t>Interest Rate</w:t>
            </w:r>
          </w:p>
        </w:tc>
        <w:tc>
          <w:tcPr>
            <w:tcW w:w="100" w:type="dxa"/>
            <w:vAlign w:val="bottom"/>
          </w:tcPr>
          <w:p>
            <w:pPr>
              <w:spacing w:after="0"/>
              <w:rPr>
                <w:sz w:val="10"/>
                <w:szCs w:val="10"/>
                <w:color w:val="auto"/>
              </w:rPr>
            </w:pPr>
          </w:p>
        </w:tc>
        <w:tc>
          <w:tcPr>
            <w:tcW w:w="1660" w:type="dxa"/>
            <w:vAlign w:val="bottom"/>
            <w:gridSpan w:val="2"/>
          </w:tcPr>
          <w:p>
            <w:pPr>
              <w:jc w:val="center"/>
              <w:ind w:right="100"/>
              <w:spacing w:after="0" w:line="122" w:lineRule="exact"/>
              <w:rPr>
                <w:sz w:val="20"/>
                <w:szCs w:val="20"/>
                <w:color w:val="auto"/>
              </w:rPr>
            </w:pPr>
            <w:r>
              <w:rPr>
                <w:rFonts w:ascii="Verdana" w:cs="Verdana" w:eastAsia="Verdana" w:hAnsi="Verdana"/>
                <w:sz w:val="13"/>
                <w:szCs w:val="13"/>
                <w:b w:val="1"/>
                <w:bCs w:val="1"/>
                <w:color w:val="auto"/>
                <w:w w:val="95"/>
              </w:rPr>
              <w:t>% of Total Class of</w:t>
            </w: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gridSpan w:val="2"/>
          </w:tcPr>
          <w:p>
            <w:pPr>
              <w:jc w:val="center"/>
              <w:ind w:right="100"/>
              <w:spacing w:after="0" w:line="122" w:lineRule="exact"/>
              <w:rPr>
                <w:sz w:val="20"/>
                <w:szCs w:val="20"/>
                <w:color w:val="auto"/>
              </w:rPr>
            </w:pPr>
            <w:r>
              <w:rPr>
                <w:rFonts w:ascii="Verdana" w:cs="Verdana" w:eastAsia="Verdana" w:hAnsi="Verdana"/>
                <w:sz w:val="13"/>
                <w:szCs w:val="13"/>
                <w:b w:val="1"/>
                <w:bCs w:val="1"/>
                <w:color w:val="auto"/>
                <w:w w:val="97"/>
              </w:rPr>
              <w:t>% of Total Class of</w:t>
            </w:r>
          </w:p>
        </w:tc>
        <w:tc>
          <w:tcPr>
            <w:tcW w:w="4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jc w:val="center"/>
              <w:spacing w:after="0" w:line="122" w:lineRule="exact"/>
              <w:rPr>
                <w:sz w:val="20"/>
                <w:szCs w:val="20"/>
                <w:color w:val="auto"/>
              </w:rPr>
            </w:pPr>
            <w:r>
              <w:rPr>
                <w:rFonts w:ascii="Verdana" w:cs="Verdana" w:eastAsia="Verdana" w:hAnsi="Verdana"/>
                <w:sz w:val="13"/>
                <w:szCs w:val="13"/>
                <w:b w:val="1"/>
                <w:bCs w:val="1"/>
                <w:color w:val="auto"/>
                <w:w w:val="97"/>
              </w:rPr>
              <w:t>% of Total Class of</w:t>
            </w:r>
          </w:p>
        </w:tc>
        <w:tc>
          <w:tcPr>
            <w:tcW w:w="0" w:type="dxa"/>
            <w:vAlign w:val="bottom"/>
          </w:tcPr>
          <w:p>
            <w:pPr>
              <w:spacing w:after="0"/>
              <w:rPr>
                <w:sz w:val="1"/>
                <w:szCs w:val="1"/>
                <w:color w:val="auto"/>
              </w:rPr>
            </w:pPr>
          </w:p>
        </w:tc>
      </w:tr>
      <w:tr>
        <w:trPr>
          <w:trHeight w:val="122"/>
        </w:trPr>
        <w:tc>
          <w:tcPr>
            <w:tcW w:w="1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gridSpan w:val="2"/>
          </w:tcPr>
          <w:p>
            <w:pPr>
              <w:jc w:val="center"/>
              <w:ind w:right="100"/>
              <w:spacing w:after="0" w:line="122" w:lineRule="exact"/>
              <w:rPr>
                <w:sz w:val="20"/>
                <w:szCs w:val="20"/>
                <w:color w:val="auto"/>
              </w:rPr>
            </w:pPr>
            <w:r>
              <w:rPr>
                <w:rFonts w:ascii="Verdana" w:cs="Verdana" w:eastAsia="Verdana" w:hAnsi="Verdana"/>
                <w:sz w:val="13"/>
                <w:szCs w:val="13"/>
                <w:b w:val="1"/>
                <w:bCs w:val="1"/>
                <w:color w:val="auto"/>
                <w:w w:val="96"/>
              </w:rPr>
              <w:t>Financing</w:t>
            </w:r>
          </w:p>
        </w:tc>
        <w:tc>
          <w:tcPr>
            <w:tcW w:w="1380" w:type="dxa"/>
            <w:vAlign w:val="bottom"/>
            <w:gridSpan w:val="2"/>
            <w:vMerge w:val="restart"/>
          </w:tcPr>
          <w:p>
            <w:pPr>
              <w:jc w:val="right"/>
              <w:spacing w:after="0"/>
              <w:rPr>
                <w:sz w:val="20"/>
                <w:szCs w:val="20"/>
                <w:color w:val="auto"/>
              </w:rPr>
            </w:pPr>
            <w:r>
              <w:rPr>
                <w:rFonts w:ascii="Verdana" w:cs="Verdana" w:eastAsia="Verdana" w:hAnsi="Verdana"/>
                <w:sz w:val="13"/>
                <w:szCs w:val="13"/>
                <w:b w:val="1"/>
                <w:bCs w:val="1"/>
                <w:color w:val="auto"/>
                <w:w w:val="97"/>
              </w:rPr>
              <w:t>Payment Deferral</w:t>
            </w:r>
            <w:r>
              <w:rPr>
                <w:rFonts w:ascii="Verdana" w:cs="Verdana" w:eastAsia="Verdana" w:hAnsi="Verdana"/>
                <w:sz w:val="16"/>
                <w:szCs w:val="16"/>
                <w:b w:val="1"/>
                <w:bCs w:val="1"/>
                <w:color w:val="auto"/>
                <w:w w:val="97"/>
                <w:vertAlign w:val="superscript"/>
              </w:rPr>
              <w:t>3</w:t>
            </w:r>
          </w:p>
        </w:tc>
        <w:tc>
          <w:tcPr>
            <w:tcW w:w="80" w:type="dxa"/>
            <w:vAlign w:val="bottom"/>
          </w:tcPr>
          <w:p>
            <w:pPr>
              <w:spacing w:after="0"/>
              <w:rPr>
                <w:sz w:val="10"/>
                <w:szCs w:val="10"/>
                <w:color w:val="auto"/>
              </w:rPr>
            </w:pPr>
          </w:p>
        </w:tc>
        <w:tc>
          <w:tcPr>
            <w:tcW w:w="1680" w:type="dxa"/>
            <w:vAlign w:val="bottom"/>
            <w:gridSpan w:val="2"/>
          </w:tcPr>
          <w:p>
            <w:pPr>
              <w:jc w:val="center"/>
              <w:ind w:right="80"/>
              <w:spacing w:after="0" w:line="122" w:lineRule="exact"/>
              <w:rPr>
                <w:sz w:val="20"/>
                <w:szCs w:val="20"/>
                <w:color w:val="auto"/>
              </w:rPr>
            </w:pPr>
            <w:r>
              <w:rPr>
                <w:rFonts w:ascii="Verdana" w:cs="Verdana" w:eastAsia="Verdana" w:hAnsi="Verdana"/>
                <w:sz w:val="13"/>
                <w:szCs w:val="13"/>
                <w:b w:val="1"/>
                <w:bCs w:val="1"/>
                <w:color w:val="auto"/>
                <w:w w:val="96"/>
              </w:rPr>
              <w:t>Financing</w:t>
            </w:r>
          </w:p>
        </w:tc>
        <w:tc>
          <w:tcPr>
            <w:tcW w:w="1400" w:type="dxa"/>
            <w:vAlign w:val="bottom"/>
            <w:gridSpan w:val="2"/>
            <w:vMerge w:val="restart"/>
          </w:tcPr>
          <w:p>
            <w:pPr>
              <w:jc w:val="right"/>
              <w:ind w:right="30"/>
              <w:spacing w:after="0"/>
              <w:rPr>
                <w:sz w:val="20"/>
                <w:szCs w:val="20"/>
                <w:color w:val="auto"/>
              </w:rPr>
            </w:pPr>
            <w:r>
              <w:rPr>
                <w:rFonts w:ascii="Verdana" w:cs="Verdana" w:eastAsia="Verdana" w:hAnsi="Verdana"/>
                <w:sz w:val="13"/>
                <w:szCs w:val="13"/>
                <w:b w:val="1"/>
                <w:bCs w:val="1"/>
                <w:color w:val="auto"/>
              </w:rPr>
              <w:t>Term Extension</w:t>
            </w:r>
            <w:r>
              <w:rPr>
                <w:rFonts w:ascii="Verdana" w:cs="Verdana" w:eastAsia="Verdana" w:hAnsi="Verdana"/>
                <w:sz w:val="16"/>
                <w:szCs w:val="16"/>
                <w:b w:val="1"/>
                <w:bCs w:val="1"/>
                <w:color w:val="auto"/>
                <w:vertAlign w:val="superscript"/>
              </w:rPr>
              <w:t>4</w:t>
            </w:r>
          </w:p>
        </w:tc>
        <w:tc>
          <w:tcPr>
            <w:tcW w:w="100" w:type="dxa"/>
            <w:vAlign w:val="bottom"/>
          </w:tcPr>
          <w:p>
            <w:pPr>
              <w:spacing w:after="0"/>
              <w:rPr>
                <w:sz w:val="10"/>
                <w:szCs w:val="10"/>
                <w:color w:val="auto"/>
              </w:rPr>
            </w:pPr>
          </w:p>
        </w:tc>
        <w:tc>
          <w:tcPr>
            <w:tcW w:w="1580" w:type="dxa"/>
            <w:vAlign w:val="bottom"/>
          </w:tcPr>
          <w:p>
            <w:pPr>
              <w:jc w:val="center"/>
              <w:spacing w:after="0" w:line="122" w:lineRule="exact"/>
              <w:rPr>
                <w:sz w:val="20"/>
                <w:szCs w:val="20"/>
                <w:color w:val="auto"/>
              </w:rPr>
            </w:pPr>
            <w:r>
              <w:rPr>
                <w:rFonts w:ascii="Verdana" w:cs="Verdana" w:eastAsia="Verdana" w:hAnsi="Verdana"/>
                <w:sz w:val="13"/>
                <w:szCs w:val="13"/>
                <w:b w:val="1"/>
                <w:bCs w:val="1"/>
                <w:color w:val="auto"/>
                <w:w w:val="99"/>
              </w:rPr>
              <w:t>Financing</w:t>
            </w:r>
          </w:p>
        </w:tc>
        <w:tc>
          <w:tcPr>
            <w:tcW w:w="0" w:type="dxa"/>
            <w:vAlign w:val="bottom"/>
          </w:tcPr>
          <w:p>
            <w:pPr>
              <w:spacing w:after="0"/>
              <w:rPr>
                <w:sz w:val="1"/>
                <w:szCs w:val="1"/>
                <w:color w:val="auto"/>
              </w:rPr>
            </w:pPr>
          </w:p>
        </w:tc>
      </w:tr>
      <w:tr>
        <w:trPr>
          <w:trHeight w:val="176"/>
        </w:trPr>
        <w:tc>
          <w:tcPr>
            <w:tcW w:w="1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ind w:right="219"/>
              <w:spacing w:after="0" w:line="176" w:lineRule="exact"/>
              <w:rPr>
                <w:sz w:val="20"/>
                <w:szCs w:val="20"/>
                <w:color w:val="auto"/>
              </w:rPr>
            </w:pPr>
            <w:r>
              <w:rPr>
                <w:rFonts w:ascii="Verdana" w:cs="Verdana" w:eastAsia="Verdana" w:hAnsi="Verdana"/>
                <w:sz w:val="13"/>
                <w:szCs w:val="13"/>
                <w:b w:val="1"/>
                <w:bCs w:val="1"/>
                <w:color w:val="auto"/>
              </w:rPr>
              <w:t>Reduction</w:t>
            </w:r>
            <w:r>
              <w:rPr>
                <w:rFonts w:ascii="Verdana" w:cs="Verdana" w:eastAsia="Verdana" w:hAnsi="Verdana"/>
                <w:sz w:val="16"/>
                <w:szCs w:val="16"/>
                <w:b w:val="1"/>
                <w:bCs w:val="1"/>
                <w:color w:val="auto"/>
                <w:vertAlign w:val="superscript"/>
              </w:rPr>
              <w:t>1</w:t>
            </w:r>
          </w:p>
        </w:tc>
        <w:tc>
          <w:tcPr>
            <w:tcW w:w="100" w:type="dxa"/>
            <w:vAlign w:val="bottom"/>
          </w:tcPr>
          <w:p>
            <w:pPr>
              <w:spacing w:after="0"/>
              <w:rPr>
                <w:sz w:val="15"/>
                <w:szCs w:val="15"/>
                <w:color w:val="auto"/>
              </w:rPr>
            </w:pPr>
          </w:p>
        </w:tc>
        <w:tc>
          <w:tcPr>
            <w:tcW w:w="1660" w:type="dxa"/>
            <w:vAlign w:val="bottom"/>
            <w:gridSpan w:val="2"/>
          </w:tcPr>
          <w:p>
            <w:pPr>
              <w:jc w:val="center"/>
              <w:ind w:right="120"/>
              <w:spacing w:after="0" w:line="176" w:lineRule="exact"/>
              <w:rPr>
                <w:sz w:val="20"/>
                <w:szCs w:val="20"/>
                <w:color w:val="auto"/>
              </w:rPr>
            </w:pPr>
            <w:r>
              <w:rPr>
                <w:rFonts w:ascii="Verdana" w:cs="Verdana" w:eastAsia="Verdana" w:hAnsi="Verdana"/>
                <w:sz w:val="13"/>
                <w:szCs w:val="13"/>
                <w:b w:val="1"/>
                <w:bCs w:val="1"/>
                <w:color w:val="auto"/>
                <w:w w:val="94"/>
              </w:rPr>
              <w:t>Receivable</w:t>
            </w:r>
            <w:r>
              <w:rPr>
                <w:rFonts w:ascii="Verdana" w:cs="Verdana" w:eastAsia="Verdana" w:hAnsi="Verdana"/>
                <w:sz w:val="16"/>
                <w:szCs w:val="16"/>
                <w:b w:val="1"/>
                <w:bCs w:val="1"/>
                <w:color w:val="auto"/>
                <w:w w:val="94"/>
                <w:vertAlign w:val="superscript"/>
              </w:rPr>
              <w:t>2</w:t>
            </w:r>
          </w:p>
        </w:tc>
        <w:tc>
          <w:tcPr>
            <w:tcW w:w="13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2"/>
          </w:tcPr>
          <w:p>
            <w:pPr>
              <w:jc w:val="center"/>
              <w:ind w:right="100"/>
              <w:spacing w:after="0" w:line="176" w:lineRule="exact"/>
              <w:rPr>
                <w:sz w:val="20"/>
                <w:szCs w:val="20"/>
                <w:color w:val="auto"/>
              </w:rPr>
            </w:pPr>
            <w:r>
              <w:rPr>
                <w:rFonts w:ascii="Verdana" w:cs="Verdana" w:eastAsia="Verdana" w:hAnsi="Verdana"/>
                <w:sz w:val="13"/>
                <w:szCs w:val="13"/>
                <w:b w:val="1"/>
                <w:bCs w:val="1"/>
                <w:color w:val="auto"/>
                <w:w w:val="94"/>
              </w:rPr>
              <w:t>Receivable</w:t>
            </w:r>
            <w:r>
              <w:rPr>
                <w:rFonts w:ascii="Verdana" w:cs="Verdana" w:eastAsia="Verdana" w:hAnsi="Verdana"/>
                <w:sz w:val="16"/>
                <w:szCs w:val="16"/>
                <w:b w:val="1"/>
                <w:bCs w:val="1"/>
                <w:color w:val="auto"/>
                <w:w w:val="94"/>
                <w:vertAlign w:val="superscript"/>
              </w:rPr>
              <w:t>2</w:t>
            </w:r>
          </w:p>
        </w:tc>
        <w:tc>
          <w:tcPr>
            <w:tcW w:w="14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Verdana" w:cs="Verdana" w:eastAsia="Verdana" w:hAnsi="Verdana"/>
                <w:sz w:val="13"/>
                <w:szCs w:val="13"/>
                <w:b w:val="1"/>
                <w:bCs w:val="1"/>
                <w:color w:val="auto"/>
                <w:w w:val="94"/>
              </w:rPr>
              <w:t>Receivable</w:t>
            </w:r>
            <w:r>
              <w:rPr>
                <w:rFonts w:ascii="Verdana" w:cs="Verdana" w:eastAsia="Verdana" w:hAnsi="Verdana"/>
                <w:sz w:val="16"/>
                <w:szCs w:val="16"/>
                <w:b w:val="1"/>
                <w:bCs w:val="1"/>
                <w:color w:val="auto"/>
                <w:w w:val="94"/>
                <w:vertAlign w:val="superscript"/>
              </w:rPr>
              <w:t>2</w:t>
            </w:r>
          </w:p>
        </w:tc>
        <w:tc>
          <w:tcPr>
            <w:tcW w:w="0" w:type="dxa"/>
            <w:vAlign w:val="bottom"/>
          </w:tcPr>
          <w:p>
            <w:pPr>
              <w:spacing w:after="0"/>
              <w:rPr>
                <w:sz w:val="1"/>
                <w:szCs w:val="1"/>
                <w:color w:val="auto"/>
              </w:rPr>
            </w:pPr>
          </w:p>
        </w:tc>
      </w:tr>
      <w:tr>
        <w:trPr>
          <w:trHeight w:val="250"/>
        </w:trPr>
        <w:tc>
          <w:tcPr>
            <w:tcW w:w="18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Modified Loans</w:t>
            </w:r>
          </w:p>
        </w:tc>
        <w:tc>
          <w:tcPr>
            <w:tcW w:w="160" w:type="dxa"/>
            <w:vAlign w:val="bottom"/>
            <w:tcBorders>
              <w:top w:val="single" w:sz="8" w:color="auto"/>
            </w:tcBorders>
            <w:shd w:val="clear" w:color="auto" w:fill="E0E7ED"/>
          </w:tcPr>
          <w:p>
            <w:pPr>
              <w:spacing w:after="0"/>
              <w:rPr>
                <w:sz w:val="21"/>
                <w:szCs w:val="21"/>
                <w:color w:val="auto"/>
              </w:rPr>
            </w:pPr>
          </w:p>
        </w:tc>
        <w:tc>
          <w:tcPr>
            <w:tcW w:w="122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156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540" w:type="dxa"/>
            <w:vAlign w:val="bottom"/>
            <w:tcBorders>
              <w:top w:val="single" w:sz="8" w:color="auto"/>
            </w:tcBorders>
            <w:shd w:val="clear" w:color="auto" w:fill="E0E7ED"/>
          </w:tcPr>
          <w:p>
            <w:pPr>
              <w:spacing w:after="0"/>
              <w:rPr>
                <w:sz w:val="21"/>
                <w:szCs w:val="21"/>
                <w:color w:val="auto"/>
              </w:rPr>
            </w:pPr>
          </w:p>
        </w:tc>
        <w:tc>
          <w:tcPr>
            <w:tcW w:w="84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58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400" w:type="dxa"/>
            <w:vAlign w:val="bottom"/>
            <w:tcBorders>
              <w:top w:val="single" w:sz="8" w:color="auto"/>
            </w:tcBorders>
            <w:shd w:val="clear" w:color="auto" w:fill="E0E7ED"/>
          </w:tcPr>
          <w:p>
            <w:pPr>
              <w:spacing w:after="0"/>
              <w:rPr>
                <w:sz w:val="21"/>
                <w:szCs w:val="21"/>
                <w:color w:val="auto"/>
              </w:rPr>
            </w:pPr>
          </w:p>
        </w:tc>
        <w:tc>
          <w:tcPr>
            <w:tcW w:w="100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1580" w:type="dxa"/>
            <w:vAlign w:val="bottom"/>
            <w:tcBorders>
              <w:top w:val="single" w:sz="8" w:color="auto"/>
            </w:tcBorders>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880" w:type="dxa"/>
            <w:vAlign w:val="bottom"/>
          </w:tcPr>
          <w:p>
            <w:pPr>
              <w:ind w:left="180"/>
              <w:spacing w:after="0"/>
              <w:rPr>
                <w:sz w:val="20"/>
                <w:szCs w:val="20"/>
                <w:color w:val="auto"/>
              </w:rPr>
            </w:pPr>
            <w:r>
              <w:rPr>
                <w:rFonts w:ascii="Verdana" w:cs="Verdana" w:eastAsia="Verdana" w:hAnsi="Verdana"/>
                <w:sz w:val="18"/>
                <w:szCs w:val="18"/>
                <w:color w:val="auto"/>
              </w:rPr>
              <w:t>C&amp;I and other</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880" w:type="dxa"/>
            <w:vAlign w:val="bottom"/>
          </w:tcPr>
          <w:p>
            <w:pPr>
              <w:ind w:left="180"/>
              <w:spacing w:after="0"/>
              <w:rPr>
                <w:sz w:val="20"/>
                <w:szCs w:val="20"/>
                <w:color w:val="auto"/>
              </w:rPr>
            </w:pPr>
            <w:r>
              <w:rPr>
                <w:rFonts w:ascii="Verdana" w:cs="Verdana" w:eastAsia="Verdana" w:hAnsi="Verdana"/>
                <w:sz w:val="18"/>
                <w:szCs w:val="18"/>
                <w:color w:val="auto"/>
              </w:rPr>
              <w:t>commercial</w:t>
            </w:r>
          </w:p>
        </w:tc>
        <w:tc>
          <w:tcPr>
            <w:tcW w:w="16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00" w:type="dxa"/>
            <w:vAlign w:val="bottom"/>
          </w:tcPr>
          <w:p>
            <w:pPr>
              <w:spacing w:after="0"/>
              <w:rPr>
                <w:sz w:val="21"/>
                <w:szCs w:val="21"/>
                <w:color w:val="auto"/>
              </w:rPr>
            </w:pPr>
          </w:p>
        </w:tc>
        <w:tc>
          <w:tcPr>
            <w:tcW w:w="2200" w:type="dxa"/>
            <w:vAlign w:val="bottom"/>
            <w:gridSpan w:val="3"/>
          </w:tcPr>
          <w:p>
            <w:pPr>
              <w:ind w:left="1100"/>
              <w:spacing w:after="0"/>
              <w:rPr>
                <w:sz w:val="20"/>
                <w:szCs w:val="20"/>
                <w:color w:val="auto"/>
              </w:rPr>
            </w:pPr>
            <w:r>
              <w:rPr>
                <w:rFonts w:ascii="Verdana" w:cs="Verdana" w:eastAsia="Verdana" w:hAnsi="Verdana"/>
                <w:sz w:val="18"/>
                <w:szCs w:val="18"/>
                <w:color w:val="auto"/>
              </w:rPr>
              <w:t>— % $</w:t>
            </w:r>
          </w:p>
        </w:tc>
        <w:tc>
          <w:tcPr>
            <w:tcW w:w="8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80" w:type="dxa"/>
            <w:vAlign w:val="bottom"/>
          </w:tcPr>
          <w:p>
            <w:pPr>
              <w:spacing w:after="0"/>
              <w:rPr>
                <w:sz w:val="21"/>
                <w:szCs w:val="21"/>
                <w:color w:val="auto"/>
              </w:rPr>
            </w:pPr>
          </w:p>
        </w:tc>
        <w:tc>
          <w:tcPr>
            <w:tcW w:w="2080" w:type="dxa"/>
            <w:vAlign w:val="bottom"/>
            <w:gridSpan w:val="3"/>
          </w:tcPr>
          <w:p>
            <w:pPr>
              <w:ind w:left="1120"/>
              <w:spacing w:after="0"/>
              <w:rPr>
                <w:sz w:val="20"/>
                <w:szCs w:val="20"/>
                <w:color w:val="auto"/>
              </w:rPr>
            </w:pPr>
            <w:r>
              <w:rPr>
                <w:rFonts w:ascii="Verdana" w:cs="Verdana" w:eastAsia="Verdana" w:hAnsi="Verdana"/>
                <w:sz w:val="18"/>
                <w:szCs w:val="18"/>
                <w:color w:val="auto"/>
              </w:rPr>
              <w:t>— % $</w:t>
            </w:r>
          </w:p>
        </w:tc>
        <w:tc>
          <w:tcPr>
            <w:tcW w:w="1000" w:type="dxa"/>
            <w:vAlign w:val="bottom"/>
          </w:tcPr>
          <w:p>
            <w:pPr>
              <w:jc w:val="right"/>
              <w:spacing w:after="0"/>
              <w:rPr>
                <w:sz w:val="20"/>
                <w:szCs w:val="20"/>
                <w:color w:val="auto"/>
              </w:rPr>
            </w:pPr>
            <w:r>
              <w:rPr>
                <w:rFonts w:ascii="Verdana" w:cs="Verdana" w:eastAsia="Verdana" w:hAnsi="Verdana"/>
                <w:sz w:val="18"/>
                <w:szCs w:val="18"/>
                <w:color w:val="auto"/>
              </w:rPr>
              <w:t>17,334</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0.9 %</w:t>
            </w:r>
          </w:p>
        </w:tc>
        <w:tc>
          <w:tcPr>
            <w:tcW w:w="0" w:type="dxa"/>
            <w:vAlign w:val="bottom"/>
          </w:tcPr>
          <w:p>
            <w:pPr>
              <w:spacing w:after="0"/>
              <w:rPr>
                <w:sz w:val="1"/>
                <w:szCs w:val="1"/>
                <w:color w:val="auto"/>
              </w:rPr>
            </w:pPr>
          </w:p>
        </w:tc>
      </w:tr>
      <w:tr>
        <w:trPr>
          <w:trHeight w:val="244"/>
        </w:trPr>
        <w:tc>
          <w:tcPr>
            <w:tcW w:w="18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w:t>
            </w:r>
          </w:p>
        </w:tc>
        <w:tc>
          <w:tcPr>
            <w:tcW w:w="16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5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540" w:type="dxa"/>
            <w:vAlign w:val="bottom"/>
            <w:shd w:val="clear" w:color="auto" w:fill="E0E7ED"/>
          </w:tcPr>
          <w:p>
            <w:pPr>
              <w:spacing w:after="0"/>
              <w:rPr>
                <w:sz w:val="21"/>
                <w:szCs w:val="21"/>
                <w:color w:val="auto"/>
              </w:rPr>
            </w:pPr>
          </w:p>
        </w:tc>
        <w:tc>
          <w:tcPr>
            <w:tcW w:w="8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5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400" w:type="dxa"/>
            <w:vAlign w:val="bottom"/>
            <w:shd w:val="clear" w:color="auto" w:fill="E0E7ED"/>
          </w:tcPr>
          <w:p>
            <w:pPr>
              <w:spacing w:after="0"/>
              <w:rPr>
                <w:sz w:val="21"/>
                <w:szCs w:val="21"/>
                <w:color w:val="auto"/>
              </w:rPr>
            </w:pPr>
          </w:p>
        </w:tc>
        <w:tc>
          <w:tcPr>
            <w:tcW w:w="10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58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8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estate</w:t>
            </w:r>
          </w:p>
        </w:tc>
        <w:tc>
          <w:tcPr>
            <w:tcW w:w="160" w:type="dxa"/>
            <w:vAlign w:val="bottom"/>
            <w:shd w:val="clear" w:color="auto" w:fill="E0E7ED"/>
          </w:tcPr>
          <w:p>
            <w:pPr>
              <w:spacing w:after="0"/>
              <w:rPr>
                <w:sz w:val="21"/>
                <w:szCs w:val="21"/>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880</w:t>
            </w:r>
          </w:p>
        </w:tc>
        <w:tc>
          <w:tcPr>
            <w:tcW w:w="100" w:type="dxa"/>
            <w:vAlign w:val="bottom"/>
            <w:shd w:val="clear" w:color="auto" w:fill="E0E7ED"/>
          </w:tcPr>
          <w:p>
            <w:pPr>
              <w:spacing w:after="0"/>
              <w:rPr>
                <w:sz w:val="21"/>
                <w:szCs w:val="21"/>
                <w:color w:val="auto"/>
              </w:rPr>
            </w:pPr>
          </w:p>
        </w:tc>
        <w:tc>
          <w:tcPr>
            <w:tcW w:w="1660" w:type="dxa"/>
            <w:vAlign w:val="bottom"/>
            <w:gridSpan w:val="2"/>
            <w:shd w:val="clear" w:color="auto" w:fill="E0E7ED"/>
          </w:tcPr>
          <w:p>
            <w:pPr>
              <w:ind w:left="1100"/>
              <w:spacing w:after="0"/>
              <w:rPr>
                <w:sz w:val="20"/>
                <w:szCs w:val="20"/>
                <w:color w:val="auto"/>
              </w:rPr>
            </w:pPr>
            <w:r>
              <w:rPr>
                <w:rFonts w:ascii="Verdana" w:cs="Verdana" w:eastAsia="Verdana" w:hAnsi="Verdana"/>
                <w:sz w:val="18"/>
                <w:szCs w:val="18"/>
                <w:color w:val="auto"/>
              </w:rPr>
              <w:t>— %</w:t>
            </w:r>
          </w:p>
        </w:tc>
        <w:tc>
          <w:tcPr>
            <w:tcW w:w="540" w:type="dxa"/>
            <w:vAlign w:val="bottom"/>
            <w:shd w:val="clear" w:color="auto" w:fill="E0E7ED"/>
          </w:tcPr>
          <w:p>
            <w:pPr>
              <w:spacing w:after="0"/>
              <w:rPr>
                <w:sz w:val="21"/>
                <w:szCs w:val="21"/>
                <w:color w:val="auto"/>
              </w:rPr>
            </w:pPr>
          </w:p>
        </w:tc>
        <w:tc>
          <w:tcPr>
            <w:tcW w:w="84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225</w:t>
            </w:r>
          </w:p>
        </w:tc>
        <w:tc>
          <w:tcPr>
            <w:tcW w:w="80" w:type="dxa"/>
            <w:vAlign w:val="bottom"/>
            <w:shd w:val="clear" w:color="auto" w:fill="E0E7ED"/>
          </w:tcPr>
          <w:p>
            <w:pPr>
              <w:spacing w:after="0"/>
              <w:rPr>
                <w:sz w:val="21"/>
                <w:szCs w:val="21"/>
                <w:color w:val="auto"/>
              </w:rPr>
            </w:pPr>
          </w:p>
        </w:tc>
        <w:tc>
          <w:tcPr>
            <w:tcW w:w="1680" w:type="dxa"/>
            <w:vAlign w:val="bottom"/>
            <w:gridSpan w:val="2"/>
            <w:shd w:val="clear" w:color="auto" w:fill="E0E7ED"/>
          </w:tcPr>
          <w:p>
            <w:pPr>
              <w:ind w:left="1120"/>
              <w:spacing w:after="0"/>
              <w:rPr>
                <w:sz w:val="20"/>
                <w:szCs w:val="20"/>
                <w:color w:val="auto"/>
              </w:rPr>
            </w:pPr>
            <w:r>
              <w:rPr>
                <w:rFonts w:ascii="Verdana" w:cs="Verdana" w:eastAsia="Verdana" w:hAnsi="Verdana"/>
                <w:sz w:val="18"/>
                <w:szCs w:val="18"/>
                <w:color w:val="auto"/>
              </w:rPr>
              <w:t>— %</w:t>
            </w:r>
          </w:p>
        </w:tc>
        <w:tc>
          <w:tcPr>
            <w:tcW w:w="400" w:type="dxa"/>
            <w:vAlign w:val="bottom"/>
            <w:shd w:val="clear" w:color="auto" w:fill="E0E7ED"/>
          </w:tcPr>
          <w:p>
            <w:pPr>
              <w:spacing w:after="0"/>
              <w:rPr>
                <w:sz w:val="21"/>
                <w:szCs w:val="21"/>
                <w:color w:val="auto"/>
              </w:rPr>
            </w:pPr>
          </w:p>
        </w:tc>
        <w:tc>
          <w:tcPr>
            <w:tcW w:w="10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1,003</w:t>
            </w:r>
          </w:p>
        </w:tc>
        <w:tc>
          <w:tcPr>
            <w:tcW w:w="100" w:type="dxa"/>
            <w:vAlign w:val="bottom"/>
            <w:shd w:val="clear" w:color="auto" w:fill="E0E7ED"/>
          </w:tcPr>
          <w:p>
            <w:pPr>
              <w:spacing w:after="0"/>
              <w:rPr>
                <w:sz w:val="21"/>
                <w:szCs w:val="21"/>
                <w:color w:val="auto"/>
              </w:rPr>
            </w:pPr>
          </w:p>
        </w:tc>
        <w:tc>
          <w:tcPr>
            <w:tcW w:w="15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 %</w:t>
            </w:r>
          </w:p>
        </w:tc>
        <w:tc>
          <w:tcPr>
            <w:tcW w:w="0" w:type="dxa"/>
            <w:vAlign w:val="bottom"/>
          </w:tcPr>
          <w:p>
            <w:pPr>
              <w:spacing w:after="0"/>
              <w:rPr>
                <w:sz w:val="1"/>
                <w:szCs w:val="1"/>
                <w:color w:val="auto"/>
              </w:rPr>
            </w:pPr>
          </w:p>
        </w:tc>
      </w:tr>
      <w:tr>
        <w:trPr>
          <w:trHeight w:val="238"/>
        </w:trPr>
        <w:tc>
          <w:tcPr>
            <w:tcW w:w="1880" w:type="dxa"/>
            <w:vAlign w:val="bottom"/>
          </w:tcPr>
          <w:p>
            <w:pPr>
              <w:ind w:left="180"/>
              <w:spacing w:after="0"/>
              <w:rPr>
                <w:sz w:val="20"/>
                <w:szCs w:val="20"/>
                <w:color w:val="auto"/>
              </w:rPr>
            </w:pPr>
            <w:r>
              <w:rPr>
                <w:rFonts w:ascii="Verdana" w:cs="Verdana" w:eastAsia="Verdana" w:hAnsi="Verdana"/>
                <w:sz w:val="18"/>
                <w:szCs w:val="18"/>
                <w:color w:val="auto"/>
              </w:rPr>
              <w:t>Real estate</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88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construction</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00" w:type="dxa"/>
            <w:vAlign w:val="bottom"/>
            <w:tcBorders>
              <w:bottom w:val="single" w:sz="8" w:color="E0E7ED"/>
            </w:tcBorders>
          </w:tcPr>
          <w:p>
            <w:pPr>
              <w:spacing w:after="0"/>
              <w:rPr>
                <w:sz w:val="21"/>
                <w:szCs w:val="21"/>
                <w:color w:val="auto"/>
              </w:rPr>
            </w:pPr>
          </w:p>
        </w:tc>
        <w:tc>
          <w:tcPr>
            <w:tcW w:w="1660" w:type="dxa"/>
            <w:vAlign w:val="bottom"/>
            <w:tcBorders>
              <w:bottom w:val="single" w:sz="8" w:color="E0E7ED"/>
            </w:tcBorders>
            <w:gridSpan w:val="2"/>
          </w:tcPr>
          <w:p>
            <w:pPr>
              <w:ind w:left="1100"/>
              <w:spacing w:after="0"/>
              <w:rPr>
                <w:sz w:val="20"/>
                <w:szCs w:val="20"/>
                <w:color w:val="auto"/>
              </w:rPr>
            </w:pPr>
            <w:r>
              <w:rPr>
                <w:rFonts w:ascii="Verdana" w:cs="Verdana" w:eastAsia="Verdana" w:hAnsi="Verdana"/>
                <w:sz w:val="18"/>
                <w:szCs w:val="18"/>
                <w:color w:val="auto"/>
              </w:rPr>
              <w:t>— %</w:t>
            </w:r>
          </w:p>
        </w:tc>
        <w:tc>
          <w:tcPr>
            <w:tcW w:w="5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8"/>
                <w:szCs w:val="18"/>
                <w:color w:val="auto"/>
              </w:rPr>
              <w:t>—</w:t>
            </w:r>
          </w:p>
        </w:tc>
        <w:tc>
          <w:tcPr>
            <w:tcW w:w="80" w:type="dxa"/>
            <w:vAlign w:val="bottom"/>
            <w:tcBorders>
              <w:bottom w:val="single" w:sz="8" w:color="E0E7ED"/>
            </w:tcBorders>
          </w:tcPr>
          <w:p>
            <w:pPr>
              <w:spacing w:after="0"/>
              <w:rPr>
                <w:sz w:val="21"/>
                <w:szCs w:val="21"/>
                <w:color w:val="auto"/>
              </w:rPr>
            </w:pPr>
          </w:p>
        </w:tc>
        <w:tc>
          <w:tcPr>
            <w:tcW w:w="1680" w:type="dxa"/>
            <w:vAlign w:val="bottom"/>
            <w:tcBorders>
              <w:bottom w:val="single" w:sz="8" w:color="E0E7ED"/>
            </w:tcBorders>
            <w:gridSpan w:val="2"/>
          </w:tcPr>
          <w:p>
            <w:pPr>
              <w:ind w:left="1120"/>
              <w:spacing w:after="0"/>
              <w:rPr>
                <w:sz w:val="20"/>
                <w:szCs w:val="20"/>
                <w:color w:val="auto"/>
              </w:rPr>
            </w:pPr>
            <w:r>
              <w:rPr>
                <w:rFonts w:ascii="Verdana" w:cs="Verdana" w:eastAsia="Verdana" w:hAnsi="Verdana"/>
                <w:sz w:val="18"/>
                <w:szCs w:val="18"/>
                <w:color w:val="auto"/>
              </w:rPr>
              <w:t>— %</w:t>
            </w:r>
          </w:p>
        </w:tc>
        <w:tc>
          <w:tcPr>
            <w:tcW w:w="4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5,353</w:t>
            </w:r>
          </w:p>
        </w:tc>
        <w:tc>
          <w:tcPr>
            <w:tcW w:w="168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1.0 %</w:t>
            </w:r>
          </w:p>
        </w:tc>
        <w:tc>
          <w:tcPr>
            <w:tcW w:w="0" w:type="dxa"/>
            <w:vAlign w:val="bottom"/>
          </w:tcPr>
          <w:p>
            <w:pPr>
              <w:spacing w:after="0"/>
              <w:rPr>
                <w:sz w:val="1"/>
                <w:szCs w:val="1"/>
                <w:color w:val="auto"/>
              </w:rPr>
            </w:pPr>
          </w:p>
        </w:tc>
      </w:tr>
      <w:tr>
        <w:trPr>
          <w:trHeight w:val="224"/>
        </w:trPr>
        <w:tc>
          <w:tcPr>
            <w:tcW w:w="1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of loans</w:t>
            </w:r>
          </w:p>
        </w:tc>
        <w:tc>
          <w:tcPr>
            <w:tcW w:w="160" w:type="dxa"/>
            <w:vAlign w:val="bottom"/>
            <w:shd w:val="clear" w:color="auto" w:fill="E0E7ED"/>
          </w:tcPr>
          <w:p>
            <w:pPr>
              <w:spacing w:after="0"/>
              <w:rPr>
                <w:sz w:val="19"/>
                <w:szCs w:val="19"/>
                <w:color w:val="auto"/>
              </w:rPr>
            </w:pPr>
          </w:p>
        </w:tc>
        <w:tc>
          <w:tcPr>
            <w:tcW w:w="122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156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540" w:type="dxa"/>
            <w:vAlign w:val="bottom"/>
            <w:shd w:val="clear" w:color="auto" w:fill="E0E7ED"/>
          </w:tcPr>
          <w:p>
            <w:pPr>
              <w:spacing w:after="0"/>
              <w:rPr>
                <w:sz w:val="19"/>
                <w:szCs w:val="19"/>
                <w:color w:val="auto"/>
              </w:rPr>
            </w:pPr>
          </w:p>
        </w:tc>
        <w:tc>
          <w:tcPr>
            <w:tcW w:w="84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158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400" w:type="dxa"/>
            <w:vAlign w:val="bottom"/>
            <w:shd w:val="clear" w:color="auto" w:fill="E0E7ED"/>
          </w:tcPr>
          <w:p>
            <w:pPr>
              <w:spacing w:after="0"/>
              <w:rPr>
                <w:sz w:val="19"/>
                <w:szCs w:val="19"/>
                <w:color w:val="auto"/>
              </w:rPr>
            </w:pPr>
          </w:p>
        </w:tc>
        <w:tc>
          <w:tcPr>
            <w:tcW w:w="100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1580" w:type="dxa"/>
            <w:vAlign w:val="bottom"/>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E0E7ED"/>
          </w:tcPr>
          <w:p>
            <w:pPr>
              <w:ind w:left="20"/>
              <w:spacing w:after="0" w:line="216" w:lineRule="exact"/>
              <w:rPr>
                <w:sz w:val="20"/>
                <w:szCs w:val="20"/>
                <w:color w:val="auto"/>
              </w:rPr>
            </w:pPr>
            <w:r>
              <w:rPr>
                <w:rFonts w:ascii="Verdana" w:cs="Verdana" w:eastAsia="Verdana" w:hAnsi="Verdana"/>
                <w:sz w:val="18"/>
                <w:szCs w:val="18"/>
                <w:color w:val="auto"/>
              </w:rPr>
              <w:t>modified during the</w:t>
            </w:r>
          </w:p>
        </w:tc>
        <w:tc>
          <w:tcPr>
            <w:tcW w:w="16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22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880</w:t>
            </w:r>
          </w:p>
        </w:tc>
        <w:tc>
          <w:tcPr>
            <w:tcW w:w="100" w:type="dxa"/>
            <w:vAlign w:val="bottom"/>
            <w:shd w:val="clear" w:color="auto" w:fill="E0E7ED"/>
          </w:tcPr>
          <w:p>
            <w:pPr>
              <w:spacing w:after="0"/>
              <w:rPr>
                <w:sz w:val="18"/>
                <w:szCs w:val="18"/>
                <w:color w:val="auto"/>
              </w:rPr>
            </w:pPr>
          </w:p>
        </w:tc>
        <w:tc>
          <w:tcPr>
            <w:tcW w:w="2200" w:type="dxa"/>
            <w:vAlign w:val="bottom"/>
            <w:gridSpan w:val="3"/>
            <w:vMerge w:val="restart"/>
            <w:shd w:val="clear" w:color="auto" w:fill="E0E7ED"/>
          </w:tcPr>
          <w:p>
            <w:pPr>
              <w:ind w:left="1100"/>
              <w:spacing w:after="0"/>
              <w:rPr>
                <w:sz w:val="20"/>
                <w:szCs w:val="20"/>
                <w:color w:val="auto"/>
              </w:rPr>
            </w:pPr>
            <w:r>
              <w:rPr>
                <w:rFonts w:ascii="Verdana" w:cs="Verdana" w:eastAsia="Verdana" w:hAnsi="Verdana"/>
                <w:sz w:val="18"/>
                <w:szCs w:val="18"/>
                <w:color w:val="auto"/>
              </w:rPr>
              <w:t>— % $</w:t>
            </w:r>
          </w:p>
        </w:tc>
        <w:tc>
          <w:tcPr>
            <w:tcW w:w="840" w:type="dxa"/>
            <w:vAlign w:val="bottom"/>
            <w:vMerge w:val="restart"/>
            <w:shd w:val="clear" w:color="auto" w:fill="E0E7ED"/>
          </w:tcPr>
          <w:p>
            <w:pPr>
              <w:jc w:val="right"/>
              <w:ind w:right="10"/>
              <w:spacing w:after="0"/>
              <w:rPr>
                <w:sz w:val="20"/>
                <w:szCs w:val="20"/>
                <w:color w:val="auto"/>
              </w:rPr>
            </w:pPr>
            <w:r>
              <w:rPr>
                <w:rFonts w:ascii="Verdana" w:cs="Verdana" w:eastAsia="Verdana" w:hAnsi="Verdana"/>
                <w:sz w:val="18"/>
                <w:szCs w:val="18"/>
                <w:color w:val="auto"/>
              </w:rPr>
              <w:t>225</w:t>
            </w:r>
          </w:p>
        </w:tc>
        <w:tc>
          <w:tcPr>
            <w:tcW w:w="80" w:type="dxa"/>
            <w:vAlign w:val="bottom"/>
            <w:shd w:val="clear" w:color="auto" w:fill="E0E7ED"/>
          </w:tcPr>
          <w:p>
            <w:pPr>
              <w:spacing w:after="0"/>
              <w:rPr>
                <w:sz w:val="18"/>
                <w:szCs w:val="18"/>
                <w:color w:val="auto"/>
              </w:rPr>
            </w:pPr>
          </w:p>
        </w:tc>
        <w:tc>
          <w:tcPr>
            <w:tcW w:w="2080" w:type="dxa"/>
            <w:vAlign w:val="bottom"/>
            <w:gridSpan w:val="3"/>
            <w:vMerge w:val="restart"/>
            <w:shd w:val="clear" w:color="auto" w:fill="E0E7ED"/>
          </w:tcPr>
          <w:p>
            <w:pPr>
              <w:ind w:left="1120"/>
              <w:spacing w:after="0"/>
              <w:rPr>
                <w:sz w:val="20"/>
                <w:szCs w:val="20"/>
                <w:color w:val="auto"/>
              </w:rPr>
            </w:pPr>
            <w:r>
              <w:rPr>
                <w:rFonts w:ascii="Verdana" w:cs="Verdana" w:eastAsia="Verdana" w:hAnsi="Verdana"/>
                <w:sz w:val="18"/>
                <w:szCs w:val="18"/>
                <w:color w:val="auto"/>
              </w:rPr>
              <w:t>— % $</w:t>
            </w:r>
          </w:p>
        </w:tc>
        <w:tc>
          <w:tcPr>
            <w:tcW w:w="100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23,690</w:t>
            </w:r>
          </w:p>
        </w:tc>
        <w:tc>
          <w:tcPr>
            <w:tcW w:w="100" w:type="dxa"/>
            <w:vAlign w:val="bottom"/>
            <w:shd w:val="clear" w:color="auto" w:fill="E0E7ED"/>
          </w:tcPr>
          <w:p>
            <w:pPr>
              <w:spacing w:after="0"/>
              <w:rPr>
                <w:sz w:val="18"/>
                <w:szCs w:val="18"/>
                <w:color w:val="auto"/>
              </w:rPr>
            </w:pPr>
          </w:p>
        </w:tc>
        <w:tc>
          <w:tcPr>
            <w:tcW w:w="1580" w:type="dxa"/>
            <w:vAlign w:val="bottom"/>
            <w:shd w:val="clear" w:color="auto" w:fill="E0E7ED"/>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period</w:t>
            </w:r>
            <w:r>
              <w:rPr>
                <w:rFonts w:ascii="Verdana" w:cs="Verdana" w:eastAsia="Verdana" w:hAnsi="Verdana"/>
                <w:sz w:val="11"/>
                <w:szCs w:val="11"/>
                <w:color w:val="auto"/>
              </w:rPr>
              <w:t>5</w:t>
            </w:r>
          </w:p>
        </w:tc>
        <w:tc>
          <w:tcPr>
            <w:tcW w:w="160" w:type="dxa"/>
            <w:vAlign w:val="bottom"/>
            <w:vMerge w:val="continue"/>
            <w:shd w:val="clear" w:color="auto" w:fill="E0E7ED"/>
          </w:tcPr>
          <w:p>
            <w:pPr>
              <w:spacing w:after="0"/>
              <w:rPr>
                <w:sz w:val="20"/>
                <w:szCs w:val="20"/>
                <w:color w:val="auto"/>
              </w:rPr>
            </w:pPr>
          </w:p>
        </w:tc>
        <w:tc>
          <w:tcPr>
            <w:tcW w:w="1220" w:type="dxa"/>
            <w:vAlign w:val="bottom"/>
            <w:vMerge w:val="continue"/>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200" w:type="dxa"/>
            <w:vAlign w:val="bottom"/>
            <w:gridSpan w:val="3"/>
            <w:vMerge w:val="continue"/>
            <w:shd w:val="clear" w:color="auto" w:fill="E0E7ED"/>
          </w:tcPr>
          <w:p>
            <w:pPr>
              <w:spacing w:after="0"/>
              <w:rPr>
                <w:sz w:val="20"/>
                <w:szCs w:val="20"/>
                <w:color w:val="auto"/>
              </w:rPr>
            </w:pPr>
          </w:p>
        </w:tc>
        <w:tc>
          <w:tcPr>
            <w:tcW w:w="840" w:type="dxa"/>
            <w:vAlign w:val="bottom"/>
            <w:vMerge w:val="continue"/>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080" w:type="dxa"/>
            <w:vAlign w:val="bottom"/>
            <w:gridSpan w:val="3"/>
            <w:vMerge w:val="continue"/>
            <w:shd w:val="clear" w:color="auto" w:fill="E0E7ED"/>
          </w:tcPr>
          <w:p>
            <w:pPr>
              <w:spacing w:after="0"/>
              <w:rPr>
                <w:sz w:val="20"/>
                <w:szCs w:val="20"/>
                <w:color w:val="auto"/>
              </w:rPr>
            </w:pPr>
          </w:p>
        </w:tc>
        <w:tc>
          <w:tcPr>
            <w:tcW w:w="1000" w:type="dxa"/>
            <w:vAlign w:val="bottom"/>
            <w:vMerge w:val="continue"/>
            <w:shd w:val="clear" w:color="auto" w:fill="E0E7ED"/>
          </w:tcPr>
          <w:p>
            <w:pPr>
              <w:spacing w:after="0"/>
              <w:rPr>
                <w:sz w:val="20"/>
                <w:szCs w:val="20"/>
                <w:color w:val="auto"/>
              </w:rPr>
            </w:pP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0.3 %</w:t>
            </w:r>
          </w:p>
        </w:tc>
        <w:tc>
          <w:tcPr>
            <w:tcW w:w="0" w:type="dxa"/>
            <w:vAlign w:val="bottom"/>
          </w:tcPr>
          <w:p>
            <w:pPr>
              <w:spacing w:after="0"/>
              <w:rPr>
                <w:sz w:val="1"/>
                <w:szCs w:val="1"/>
                <w:color w:val="auto"/>
              </w:rPr>
            </w:pPr>
          </w:p>
        </w:tc>
      </w:tr>
      <w:tr>
        <w:trPr>
          <w:trHeight w:val="20"/>
        </w:trPr>
        <w:tc>
          <w:tcPr>
            <w:tcW w:w="18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56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58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58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line="225" w:lineRule="auto"/>
        <w:tabs>
          <w:tab w:leader="none" w:pos="480" w:val="left"/>
        </w:tabs>
        <w:numPr>
          <w:ilvl w:val="0"/>
          <w:numId w:val="13"/>
        </w:numPr>
        <w:rPr>
          <w:rFonts w:ascii="Verdana" w:cs="Verdana" w:eastAsia="Verdana" w:hAnsi="Verdana"/>
          <w:sz w:val="13"/>
          <w:szCs w:val="13"/>
          <w:color w:val="auto"/>
        </w:rPr>
      </w:pPr>
      <w:r>
        <w:rPr>
          <w:rFonts w:ascii="Verdana" w:cs="Verdana" w:eastAsia="Verdana" w:hAnsi="Verdana"/>
          <w:sz w:val="13"/>
          <w:szCs w:val="13"/>
          <w:color w:val="auto"/>
        </w:rPr>
        <w:t>For one loan, the default rate was removed once forbearance was entered.</w:t>
      </w:r>
    </w:p>
    <w:p>
      <w:pPr>
        <w:ind w:left="480" w:hanging="310"/>
        <w:spacing w:after="0"/>
        <w:tabs>
          <w:tab w:leader="none" w:pos="480" w:val="left"/>
        </w:tabs>
        <w:numPr>
          <w:ilvl w:val="0"/>
          <w:numId w:val="13"/>
        </w:numPr>
        <w:rPr>
          <w:rFonts w:ascii="Verdana" w:cs="Verdana" w:eastAsia="Verdana" w:hAnsi="Verdana"/>
          <w:sz w:val="13"/>
          <w:szCs w:val="13"/>
          <w:color w:val="auto"/>
        </w:rPr>
      </w:pPr>
      <w:r>
        <w:rPr>
          <w:rFonts w:ascii="Verdana" w:cs="Verdana" w:eastAsia="Verdana" w:hAnsi="Verdana"/>
          <w:sz w:val="13"/>
          <w:szCs w:val="13"/>
          <w:color w:val="auto"/>
        </w:rPr>
        <w:t>Modified loans represented an insignificant portion of commercial real estate loans, rounding to zero percent.</w:t>
      </w:r>
    </w:p>
    <w:p>
      <w:pPr>
        <w:spacing w:after="0" w:line="4" w:lineRule="exact"/>
        <w:rPr>
          <w:rFonts w:ascii="Verdana" w:cs="Verdana" w:eastAsia="Verdana" w:hAnsi="Verdana"/>
          <w:sz w:val="13"/>
          <w:szCs w:val="13"/>
          <w:color w:val="auto"/>
        </w:rPr>
      </w:pPr>
    </w:p>
    <w:p>
      <w:pPr>
        <w:ind w:left="480" w:hanging="310"/>
        <w:spacing w:after="0" w:line="225" w:lineRule="auto"/>
        <w:tabs>
          <w:tab w:leader="none" w:pos="480" w:val="left"/>
        </w:tabs>
        <w:numPr>
          <w:ilvl w:val="0"/>
          <w:numId w:val="13"/>
        </w:numPr>
        <w:rPr>
          <w:rFonts w:ascii="Verdana" w:cs="Verdana" w:eastAsia="Verdana" w:hAnsi="Verdana"/>
          <w:sz w:val="13"/>
          <w:szCs w:val="13"/>
          <w:color w:val="auto"/>
        </w:rPr>
      </w:pPr>
      <w:r>
        <w:rPr>
          <w:rFonts w:ascii="Verdana" w:cs="Verdana" w:eastAsia="Verdana" w:hAnsi="Verdana"/>
          <w:sz w:val="13"/>
          <w:szCs w:val="13"/>
          <w:color w:val="auto"/>
        </w:rPr>
        <w:t>A loan with payment deferral was modified to defer all principal payments until the end of the loan term, which was shortened.</w:t>
      </w:r>
    </w:p>
    <w:p>
      <w:pPr>
        <w:ind w:left="480" w:hanging="310"/>
        <w:spacing w:after="0" w:line="225" w:lineRule="auto"/>
        <w:tabs>
          <w:tab w:leader="none" w:pos="480" w:val="left"/>
        </w:tabs>
        <w:numPr>
          <w:ilvl w:val="0"/>
          <w:numId w:val="13"/>
        </w:numPr>
        <w:rPr>
          <w:rFonts w:ascii="Verdana" w:cs="Verdana" w:eastAsia="Verdana" w:hAnsi="Verdana"/>
          <w:sz w:val="13"/>
          <w:szCs w:val="13"/>
          <w:color w:val="auto"/>
        </w:rPr>
      </w:pPr>
      <w:r>
        <w:rPr>
          <w:rFonts w:ascii="Verdana" w:cs="Verdana" w:eastAsia="Verdana" w:hAnsi="Verdana"/>
          <w:sz w:val="13"/>
          <w:szCs w:val="13"/>
          <w:color w:val="auto"/>
        </w:rPr>
        <w:t>Modifications to extend loan terms also included, in some cases, interest rate increases during the extension period.</w:t>
      </w:r>
    </w:p>
    <w:p>
      <w:pPr>
        <w:ind w:left="480" w:hanging="310"/>
        <w:spacing w:after="0"/>
        <w:tabs>
          <w:tab w:leader="none" w:pos="480" w:val="left"/>
        </w:tabs>
        <w:numPr>
          <w:ilvl w:val="0"/>
          <w:numId w:val="13"/>
        </w:numPr>
        <w:rPr>
          <w:rFonts w:ascii="Verdana" w:cs="Verdana" w:eastAsia="Verdana" w:hAnsi="Verdana"/>
          <w:sz w:val="13"/>
          <w:szCs w:val="13"/>
          <w:color w:val="auto"/>
        </w:rPr>
      </w:pPr>
      <w:r>
        <w:rPr>
          <w:rFonts w:ascii="Verdana" w:cs="Verdana" w:eastAsia="Verdana" w:hAnsi="Verdana"/>
          <w:sz w:val="13"/>
          <w:szCs w:val="13"/>
          <w:color w:val="auto"/>
        </w:rPr>
        <w:t>Modifications included two loans on non-accrual status, and the remaining loans were classified as substandard.</w:t>
      </w:r>
    </w:p>
    <w:p>
      <w:pPr>
        <w:spacing w:after="0" w:line="179"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The following table summarizes loan modifications made during the periods indicated for borrowers experiencing financial difficulty: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440" w:type="dxa"/>
            <w:vAlign w:val="bottom"/>
          </w:tcPr>
          <w:p>
            <w:pPr>
              <w:spacing w:after="0"/>
              <w:rPr>
                <w:sz w:val="15"/>
                <w:szCs w:val="15"/>
                <w:color w:val="auto"/>
              </w:rPr>
            </w:pPr>
          </w:p>
        </w:tc>
        <w:tc>
          <w:tcPr>
            <w:tcW w:w="4800" w:type="dxa"/>
            <w:vAlign w:val="bottom"/>
            <w:tcBorders>
              <w:bottom w:val="single" w:sz="8" w:color="auto"/>
            </w:tcBorders>
            <w:gridSpan w:val="6"/>
          </w:tcPr>
          <w:p>
            <w:pPr>
              <w:jc w:val="center"/>
              <w:spacing w:after="0"/>
              <w:rPr>
                <w:sz w:val="20"/>
                <w:szCs w:val="20"/>
                <w:color w:val="auto"/>
              </w:rPr>
            </w:pPr>
            <w:r>
              <w:rPr>
                <w:rFonts w:ascii="Verdana" w:cs="Verdana" w:eastAsia="Verdana" w:hAnsi="Verdana"/>
                <w:sz w:val="13"/>
                <w:szCs w:val="13"/>
                <w:b w:val="1"/>
                <w:bCs w:val="1"/>
                <w:color w:val="auto"/>
                <w:w w:val="96"/>
              </w:rPr>
              <w:t>Three Months Ended September 30,</w:t>
            </w:r>
          </w:p>
        </w:tc>
        <w:tc>
          <w:tcPr>
            <w:tcW w:w="0" w:type="dxa"/>
            <w:vAlign w:val="bottom"/>
          </w:tcPr>
          <w:p>
            <w:pPr>
              <w:spacing w:after="0"/>
              <w:rPr>
                <w:sz w:val="1"/>
                <w:szCs w:val="1"/>
                <w:color w:val="auto"/>
              </w:rPr>
            </w:pPr>
          </w:p>
        </w:tc>
      </w:tr>
      <w:tr>
        <w:trPr>
          <w:trHeight w:val="170"/>
        </w:trPr>
        <w:tc>
          <w:tcPr>
            <w:tcW w:w="644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7"/>
              </w:rPr>
              <w:t>2024</w:t>
            </w:r>
          </w:p>
        </w:tc>
        <w:tc>
          <w:tcPr>
            <w:tcW w:w="100" w:type="dxa"/>
            <w:vAlign w:val="bottom"/>
          </w:tcPr>
          <w:p>
            <w:pPr>
              <w:spacing w:after="0"/>
              <w:rPr>
                <w:sz w:val="14"/>
                <w:szCs w:val="14"/>
                <w:color w:val="auto"/>
              </w:rPr>
            </w:pPr>
          </w:p>
        </w:tc>
        <w:tc>
          <w:tcPr>
            <w:tcW w:w="1820" w:type="dxa"/>
            <w:vAlign w:val="bottom"/>
            <w:tcBorders>
              <w:bottom w:val="single" w:sz="8" w:color="auto"/>
            </w:tcBorders>
            <w:gridSpan w:val="3"/>
          </w:tcPr>
          <w:p>
            <w:pPr>
              <w:jc w:val="right"/>
              <w:ind w:right="40"/>
              <w:spacing w:after="0"/>
              <w:rPr>
                <w:sz w:val="20"/>
                <w:szCs w:val="20"/>
                <w:color w:val="auto"/>
              </w:rPr>
            </w:pPr>
            <w:r>
              <w:rPr>
                <w:rFonts w:ascii="Verdana" w:cs="Verdana" w:eastAsia="Verdana" w:hAnsi="Verdana"/>
                <w:sz w:val="13"/>
                <w:szCs w:val="13"/>
                <w:b w:val="1"/>
                <w:bCs w:val="1"/>
                <w:color w:val="auto"/>
              </w:rPr>
              <w:t>2023</w:t>
            </w:r>
          </w:p>
        </w:tc>
        <w:tc>
          <w:tcPr>
            <w:tcW w:w="1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6440" w:type="dxa"/>
            <w:vAlign w:val="bottom"/>
          </w:tcPr>
          <w:p>
            <w:pPr>
              <w:spacing w:after="0"/>
              <w:rPr>
                <w:sz w:val="10"/>
                <w:szCs w:val="10"/>
                <w:color w:val="auto"/>
              </w:rPr>
            </w:pPr>
          </w:p>
        </w:tc>
        <w:tc>
          <w:tcPr>
            <w:tcW w:w="1580" w:type="dxa"/>
            <w:vAlign w:val="bottom"/>
            <w:gridSpan w:val="2"/>
            <w:vMerge w:val="restart"/>
          </w:tcPr>
          <w:p>
            <w:pPr>
              <w:jc w:val="center"/>
              <w:ind w:right="80"/>
              <w:spacing w:after="0"/>
              <w:rPr>
                <w:sz w:val="20"/>
                <w:szCs w:val="20"/>
                <w:color w:val="auto"/>
              </w:rPr>
            </w:pPr>
            <w:r>
              <w:rPr>
                <w:rFonts w:ascii="Verdana" w:cs="Verdana" w:eastAsia="Verdana" w:hAnsi="Verdana"/>
                <w:sz w:val="13"/>
                <w:szCs w:val="13"/>
                <w:b w:val="1"/>
                <w:bCs w:val="1"/>
                <w:color w:val="auto"/>
                <w:w w:val="96"/>
              </w:rPr>
              <w:t>Weighted Average</w:t>
            </w:r>
          </w:p>
        </w:tc>
        <w:tc>
          <w:tcPr>
            <w:tcW w:w="1820" w:type="dxa"/>
            <w:vAlign w:val="bottom"/>
            <w:gridSpan w:val="3"/>
          </w:tcPr>
          <w:p>
            <w:pPr>
              <w:jc w:val="center"/>
              <w:ind w:right="160"/>
              <w:spacing w:after="0" w:line="120" w:lineRule="exact"/>
              <w:rPr>
                <w:sz w:val="20"/>
                <w:szCs w:val="20"/>
                <w:color w:val="auto"/>
              </w:rPr>
            </w:pPr>
            <w:r>
              <w:rPr>
                <w:rFonts w:ascii="Verdana" w:cs="Verdana" w:eastAsia="Verdana" w:hAnsi="Verdana"/>
                <w:sz w:val="13"/>
                <w:szCs w:val="13"/>
                <w:b w:val="1"/>
                <w:bCs w:val="1"/>
                <w:color w:val="auto"/>
                <w:w w:val="96"/>
              </w:rPr>
              <w:t>Weighted Average</w:t>
            </w:r>
          </w:p>
        </w:tc>
        <w:tc>
          <w:tcPr>
            <w:tcW w:w="1400" w:type="dxa"/>
            <w:vAlign w:val="bottom"/>
            <w:vMerge w:val="restart"/>
          </w:tcPr>
          <w:p>
            <w:pPr>
              <w:jc w:val="right"/>
              <w:spacing w:after="0"/>
              <w:rPr>
                <w:sz w:val="20"/>
                <w:szCs w:val="20"/>
                <w:color w:val="auto"/>
              </w:rPr>
            </w:pPr>
            <w:r>
              <w:rPr>
                <w:rFonts w:ascii="Verdana" w:cs="Verdana" w:eastAsia="Verdana" w:hAnsi="Verdana"/>
                <w:sz w:val="13"/>
                <w:szCs w:val="13"/>
                <w:b w:val="1"/>
                <w:bCs w:val="1"/>
                <w:color w:val="auto"/>
                <w:w w:val="96"/>
              </w:rPr>
              <w:t>Weighted Average</w:t>
            </w:r>
          </w:p>
        </w:tc>
        <w:tc>
          <w:tcPr>
            <w:tcW w:w="0" w:type="dxa"/>
            <w:vAlign w:val="bottom"/>
          </w:tcPr>
          <w:p>
            <w:pPr>
              <w:spacing w:after="0"/>
              <w:rPr>
                <w:sz w:val="1"/>
                <w:szCs w:val="1"/>
                <w:color w:val="auto"/>
              </w:rPr>
            </w:pPr>
          </w:p>
        </w:tc>
      </w:tr>
      <w:tr>
        <w:trPr>
          <w:trHeight w:val="122"/>
        </w:trPr>
        <w:tc>
          <w:tcPr>
            <w:tcW w:w="644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1820" w:type="dxa"/>
            <w:vAlign w:val="bottom"/>
            <w:gridSpan w:val="3"/>
          </w:tcPr>
          <w:p>
            <w:pPr>
              <w:jc w:val="center"/>
              <w:ind w:right="160"/>
              <w:spacing w:after="0" w:line="122" w:lineRule="exact"/>
              <w:rPr>
                <w:sz w:val="20"/>
                <w:szCs w:val="20"/>
                <w:color w:val="auto"/>
              </w:rPr>
            </w:pPr>
            <w:r>
              <w:rPr>
                <w:rFonts w:ascii="Verdana" w:cs="Verdana" w:eastAsia="Verdana" w:hAnsi="Verdana"/>
                <w:sz w:val="13"/>
                <w:szCs w:val="13"/>
                <w:b w:val="1"/>
                <w:bCs w:val="1"/>
                <w:color w:val="auto"/>
                <w:w w:val="96"/>
              </w:rPr>
              <w:t>Interest Rate</w:t>
            </w: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44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Verdana" w:cs="Verdana" w:eastAsia="Verdana" w:hAnsi="Verdana"/>
                <w:sz w:val="13"/>
                <w:szCs w:val="13"/>
                <w:b w:val="1"/>
                <w:bCs w:val="1"/>
                <w:color w:val="auto"/>
                <w:w w:val="96"/>
              </w:rPr>
              <w:t>Term Extension</w:t>
            </w:r>
          </w:p>
        </w:tc>
        <w:tc>
          <w:tcPr>
            <w:tcW w:w="1820" w:type="dxa"/>
            <w:vAlign w:val="bottom"/>
            <w:gridSpan w:val="3"/>
          </w:tcPr>
          <w:p>
            <w:pPr>
              <w:jc w:val="center"/>
              <w:ind w:right="180"/>
              <w:spacing w:after="0"/>
              <w:rPr>
                <w:sz w:val="20"/>
                <w:szCs w:val="20"/>
                <w:color w:val="auto"/>
              </w:rPr>
            </w:pPr>
            <w:r>
              <w:rPr>
                <w:rFonts w:ascii="Verdana" w:cs="Verdana" w:eastAsia="Verdana" w:hAnsi="Verdana"/>
                <w:sz w:val="13"/>
                <w:szCs w:val="13"/>
                <w:b w:val="1"/>
                <w:bCs w:val="1"/>
                <w:color w:val="auto"/>
                <w:w w:val="98"/>
              </w:rPr>
              <w:t>Reduction</w:t>
            </w:r>
          </w:p>
        </w:tc>
        <w:tc>
          <w:tcPr>
            <w:tcW w:w="1400" w:type="dxa"/>
            <w:vAlign w:val="bottom"/>
          </w:tcPr>
          <w:p>
            <w:pPr>
              <w:jc w:val="right"/>
              <w:ind w:right="99"/>
              <w:spacing w:after="0"/>
              <w:rPr>
                <w:sz w:val="20"/>
                <w:szCs w:val="20"/>
                <w:color w:val="auto"/>
              </w:rPr>
            </w:pPr>
            <w:r>
              <w:rPr>
                <w:rFonts w:ascii="Verdana" w:cs="Verdana" w:eastAsia="Verdana" w:hAnsi="Verdana"/>
                <w:sz w:val="13"/>
                <w:szCs w:val="13"/>
                <w:b w:val="1"/>
                <w:bCs w:val="1"/>
                <w:color w:val="auto"/>
              </w:rPr>
              <w:t>Term Extension</w:t>
            </w:r>
          </w:p>
        </w:tc>
        <w:tc>
          <w:tcPr>
            <w:tcW w:w="0" w:type="dxa"/>
            <w:vAlign w:val="bottom"/>
          </w:tcPr>
          <w:p>
            <w:pPr>
              <w:spacing w:after="0"/>
              <w:rPr>
                <w:sz w:val="1"/>
                <w:szCs w:val="1"/>
                <w:color w:val="auto"/>
              </w:rPr>
            </w:pPr>
          </w:p>
        </w:tc>
      </w:tr>
      <w:tr>
        <w:trPr>
          <w:trHeight w:val="255"/>
        </w:trPr>
        <w:tc>
          <w:tcPr>
            <w:tcW w:w="64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Loan Modifications</w:t>
            </w:r>
          </w:p>
        </w:tc>
        <w:tc>
          <w:tcPr>
            <w:tcW w:w="14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16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auto"/>
            </w:tcBorders>
            <w:shd w:val="clear" w:color="auto" w:fill="E0E7ED"/>
          </w:tcPr>
          <w:p>
            <w:pPr>
              <w:spacing w:after="0"/>
              <w:rPr>
                <w:sz w:val="22"/>
                <w:szCs w:val="22"/>
                <w:color w:val="auto"/>
              </w:rPr>
            </w:pPr>
          </w:p>
        </w:tc>
        <w:tc>
          <w:tcPr>
            <w:tcW w:w="140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40" w:type="dxa"/>
            <w:vAlign w:val="bottom"/>
          </w:tcPr>
          <w:p>
            <w:pPr>
              <w:ind w:left="180"/>
              <w:spacing w:after="0"/>
              <w:rPr>
                <w:sz w:val="20"/>
                <w:szCs w:val="20"/>
                <w:color w:val="auto"/>
              </w:rPr>
            </w:pPr>
            <w:r>
              <w:rPr>
                <w:rFonts w:ascii="Verdana" w:cs="Verdana" w:eastAsia="Verdana" w:hAnsi="Verdana"/>
                <w:sz w:val="18"/>
                <w:szCs w:val="18"/>
                <w:color w:val="auto"/>
              </w:rPr>
              <w:t>C&amp;I and other commercial</w:t>
            </w:r>
          </w:p>
        </w:tc>
        <w:tc>
          <w:tcPr>
            <w:tcW w:w="1580" w:type="dxa"/>
            <w:vAlign w:val="bottom"/>
            <w:gridSpan w:val="2"/>
          </w:tcPr>
          <w:p>
            <w:pPr>
              <w:ind w:left="420"/>
              <w:spacing w:after="0"/>
              <w:rPr>
                <w:sz w:val="20"/>
                <w:szCs w:val="20"/>
                <w:color w:val="auto"/>
              </w:rPr>
            </w:pPr>
            <w:r>
              <w:rPr>
                <w:rFonts w:ascii="Verdana" w:cs="Verdana" w:eastAsia="Verdana" w:hAnsi="Verdana"/>
                <w:sz w:val="18"/>
                <w:szCs w:val="18"/>
                <w:color w:val="auto"/>
              </w:rPr>
              <w:t>6.3 months</w:t>
            </w:r>
          </w:p>
        </w:tc>
        <w:tc>
          <w:tcPr>
            <w:tcW w:w="1820" w:type="dxa"/>
            <w:vAlign w:val="bottom"/>
            <w:gridSpan w:val="3"/>
          </w:tcPr>
          <w:p>
            <w:pPr>
              <w:jc w:val="right"/>
              <w:ind w:right="440"/>
              <w:spacing w:after="0"/>
              <w:rPr>
                <w:sz w:val="20"/>
                <w:szCs w:val="20"/>
                <w:color w:val="auto"/>
              </w:rPr>
            </w:pPr>
            <w:r>
              <w:rPr>
                <w:rFonts w:ascii="Verdana" w:cs="Verdana" w:eastAsia="Verdana" w:hAnsi="Verdana"/>
                <w:sz w:val="18"/>
                <w:szCs w:val="18"/>
                <w:color w:val="auto"/>
              </w:rPr>
              <w:t>—</w:t>
            </w:r>
          </w:p>
        </w:tc>
        <w:tc>
          <w:tcPr>
            <w:tcW w:w="1400" w:type="dxa"/>
            <w:vAlign w:val="bottom"/>
          </w:tcPr>
          <w:p>
            <w:pPr>
              <w:jc w:val="right"/>
              <w:spacing w:after="0"/>
              <w:rPr>
                <w:sz w:val="20"/>
                <w:szCs w:val="20"/>
                <w:color w:val="auto"/>
              </w:rPr>
            </w:pPr>
            <w:r>
              <w:rPr>
                <w:rFonts w:ascii="Verdana" w:cs="Verdana" w:eastAsia="Verdana" w:hAnsi="Verdana"/>
                <w:sz w:val="18"/>
                <w:szCs w:val="18"/>
                <w:color w:val="auto"/>
              </w:rPr>
              <w:t>15.3 months</w:t>
            </w:r>
          </w:p>
        </w:tc>
        <w:tc>
          <w:tcPr>
            <w:tcW w:w="0" w:type="dxa"/>
            <w:vAlign w:val="bottom"/>
          </w:tcPr>
          <w:p>
            <w:pPr>
              <w:spacing w:after="0"/>
              <w:rPr>
                <w:sz w:val="1"/>
                <w:szCs w:val="1"/>
                <w:color w:val="auto"/>
              </w:rPr>
            </w:pPr>
          </w:p>
        </w:tc>
      </w:tr>
      <w:tr>
        <w:trPr>
          <w:trHeight w:val="277"/>
        </w:trPr>
        <w:tc>
          <w:tcPr>
            <w:tcW w:w="64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1580" w:type="dxa"/>
            <w:vAlign w:val="bottom"/>
            <w:gridSpan w:val="2"/>
            <w:shd w:val="clear" w:color="auto" w:fill="E0E7ED"/>
          </w:tcPr>
          <w:p>
            <w:pPr>
              <w:ind w:left="420"/>
              <w:spacing w:after="0"/>
              <w:rPr>
                <w:sz w:val="20"/>
                <w:szCs w:val="20"/>
                <w:color w:val="auto"/>
              </w:rPr>
            </w:pPr>
            <w:r>
              <w:rPr>
                <w:rFonts w:ascii="Verdana" w:cs="Verdana" w:eastAsia="Verdana" w:hAnsi="Verdana"/>
                <w:sz w:val="18"/>
                <w:szCs w:val="18"/>
                <w:color w:val="auto"/>
              </w:rPr>
              <w:t>4.1 months</w:t>
            </w:r>
          </w:p>
        </w:tc>
        <w:tc>
          <w:tcPr>
            <w:tcW w:w="16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2.50 %</w:t>
            </w:r>
          </w:p>
        </w:tc>
        <w:tc>
          <w:tcPr>
            <w:tcW w:w="8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9.0 months</w:t>
            </w:r>
          </w:p>
        </w:tc>
        <w:tc>
          <w:tcPr>
            <w:tcW w:w="0" w:type="dxa"/>
            <w:vAlign w:val="bottom"/>
          </w:tcPr>
          <w:p>
            <w:pPr>
              <w:spacing w:after="0"/>
              <w:rPr>
                <w:sz w:val="1"/>
                <w:szCs w:val="1"/>
                <w:color w:val="auto"/>
              </w:rPr>
            </w:pPr>
          </w:p>
        </w:tc>
      </w:tr>
      <w:tr>
        <w:trPr>
          <w:trHeight w:val="263"/>
        </w:trPr>
        <w:tc>
          <w:tcPr>
            <w:tcW w:w="644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Real estate construction</w:t>
            </w:r>
          </w:p>
        </w:tc>
        <w:tc>
          <w:tcPr>
            <w:tcW w:w="1480" w:type="dxa"/>
            <w:vAlign w:val="bottom"/>
            <w:tcBorders>
              <w:bottom w:val="single" w:sz="8" w:color="auto"/>
            </w:tcBorders>
          </w:tcPr>
          <w:p>
            <w:pPr>
              <w:ind w:left="420"/>
              <w:spacing w:after="0"/>
              <w:rPr>
                <w:sz w:val="20"/>
                <w:szCs w:val="20"/>
                <w:color w:val="auto"/>
              </w:rPr>
            </w:pPr>
            <w:r>
              <w:rPr>
                <w:rFonts w:ascii="Verdana" w:cs="Verdana" w:eastAsia="Verdana" w:hAnsi="Verdana"/>
                <w:sz w:val="18"/>
                <w:szCs w:val="18"/>
                <w:color w:val="auto"/>
              </w:rPr>
              <w:t>6.0 months</w:t>
            </w:r>
          </w:p>
        </w:tc>
        <w:tc>
          <w:tcPr>
            <w:tcW w:w="100" w:type="dxa"/>
            <w:vAlign w:val="bottom"/>
            <w:tcBorders>
              <w:bottom w:val="single" w:sz="8" w:color="E0E7ED"/>
            </w:tcBorders>
          </w:tcPr>
          <w:p>
            <w:pPr>
              <w:spacing w:after="0"/>
              <w:rPr>
                <w:sz w:val="22"/>
                <w:szCs w:val="22"/>
                <w:color w:val="auto"/>
              </w:rPr>
            </w:pPr>
          </w:p>
        </w:tc>
        <w:tc>
          <w:tcPr>
            <w:tcW w:w="1660" w:type="dxa"/>
            <w:vAlign w:val="bottom"/>
            <w:tcBorders>
              <w:bottom w:val="single" w:sz="8" w:color="auto"/>
            </w:tcBorders>
          </w:tcPr>
          <w:p>
            <w:pPr>
              <w:jc w:val="right"/>
              <w:ind w:right="204"/>
              <w:spacing w:after="0"/>
              <w:rPr>
                <w:sz w:val="20"/>
                <w:szCs w:val="20"/>
                <w:color w:val="auto"/>
              </w:rPr>
            </w:pPr>
            <w:r>
              <w:rPr>
                <w:rFonts w:ascii="Verdana" w:cs="Verdana" w:eastAsia="Verdana" w:hAnsi="Verdana"/>
                <w:sz w:val="18"/>
                <w:szCs w:val="18"/>
                <w:color w:val="auto"/>
              </w:rPr>
              <w:t>—</w:t>
            </w:r>
          </w:p>
        </w:tc>
        <w:tc>
          <w:tcPr>
            <w:tcW w:w="80" w:type="dxa"/>
            <w:vAlign w:val="bottom"/>
            <w:tcBorders>
              <w:bottom w:val="single" w:sz="8" w:color="E0E7ED"/>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0" w:type="dxa"/>
            <w:vAlign w:val="bottom"/>
          </w:tcPr>
          <w:p>
            <w:pPr>
              <w:spacing w:after="0"/>
              <w:rPr>
                <w:sz w:val="1"/>
                <w:szCs w:val="1"/>
                <w:color w:val="auto"/>
              </w:rPr>
            </w:pPr>
          </w:p>
        </w:tc>
      </w:tr>
      <w:tr>
        <w:trPr>
          <w:trHeight w:val="263"/>
        </w:trPr>
        <w:tc>
          <w:tcPr>
            <w:tcW w:w="64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Weighted average modifications</w:t>
            </w:r>
          </w:p>
        </w:tc>
        <w:tc>
          <w:tcPr>
            <w:tcW w:w="1480" w:type="dxa"/>
            <w:vAlign w:val="bottom"/>
            <w:tcBorders>
              <w:bottom w:val="single" w:sz="8" w:color="auto"/>
            </w:tcBorders>
            <w:shd w:val="clear" w:color="auto" w:fill="E0E7ED"/>
          </w:tcPr>
          <w:p>
            <w:pPr>
              <w:ind w:left="420"/>
              <w:spacing w:after="0"/>
              <w:rPr>
                <w:sz w:val="20"/>
                <w:szCs w:val="20"/>
                <w:color w:val="auto"/>
              </w:rPr>
            </w:pPr>
            <w:r>
              <w:rPr>
                <w:rFonts w:ascii="Verdana" w:cs="Verdana" w:eastAsia="Verdana" w:hAnsi="Verdana"/>
                <w:sz w:val="18"/>
                <w:szCs w:val="18"/>
                <w:color w:val="auto"/>
              </w:rPr>
              <w:t>5.2 months</w:t>
            </w:r>
          </w:p>
        </w:tc>
        <w:tc>
          <w:tcPr>
            <w:tcW w:w="100" w:type="dxa"/>
            <w:vAlign w:val="bottom"/>
            <w:shd w:val="clear" w:color="auto" w:fill="E0E7ED"/>
          </w:tcPr>
          <w:p>
            <w:pPr>
              <w:spacing w:after="0"/>
              <w:rPr>
                <w:sz w:val="22"/>
                <w:szCs w:val="22"/>
                <w:color w:val="auto"/>
              </w:rPr>
            </w:pPr>
          </w:p>
        </w:tc>
        <w:tc>
          <w:tcPr>
            <w:tcW w:w="16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2.50 %</w:t>
            </w:r>
          </w:p>
        </w:tc>
        <w:tc>
          <w:tcPr>
            <w:tcW w:w="80" w:type="dxa"/>
            <w:vAlign w:val="bottom"/>
            <w:shd w:val="clear" w:color="auto" w:fill="E0E7ED"/>
          </w:tcPr>
          <w:p>
            <w:pPr>
              <w:spacing w:after="0"/>
              <w:rPr>
                <w:sz w:val="22"/>
                <w:szCs w:val="22"/>
                <w:color w:val="auto"/>
              </w:rPr>
            </w:pPr>
          </w:p>
        </w:tc>
        <w:tc>
          <w:tcPr>
            <w:tcW w:w="80" w:type="dxa"/>
            <w:vAlign w:val="bottom"/>
            <w:tcBorders>
              <w:bottom w:val="single" w:sz="8" w:color="auto"/>
            </w:tcBorders>
            <w:shd w:val="clear" w:color="auto" w:fill="E0E7ED"/>
          </w:tcPr>
          <w:p>
            <w:pPr>
              <w:spacing w:after="0"/>
              <w:rPr>
                <w:sz w:val="22"/>
                <w:szCs w:val="22"/>
                <w:color w:val="auto"/>
              </w:rPr>
            </w:pPr>
          </w:p>
        </w:tc>
        <w:tc>
          <w:tcPr>
            <w:tcW w:w="14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15.0 months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32" w:name="page33"/>
    <w:bookmarkEnd w:id="32"/>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440" w:type="dxa"/>
            <w:vAlign w:val="bottom"/>
          </w:tcPr>
          <w:p>
            <w:pPr>
              <w:spacing w:after="0"/>
              <w:rPr>
                <w:sz w:val="15"/>
                <w:szCs w:val="15"/>
                <w:color w:val="auto"/>
              </w:rPr>
            </w:pPr>
          </w:p>
        </w:tc>
        <w:tc>
          <w:tcPr>
            <w:tcW w:w="4800" w:type="dxa"/>
            <w:vAlign w:val="bottom"/>
            <w:tcBorders>
              <w:bottom w:val="single" w:sz="8" w:color="auto"/>
            </w:tcBorders>
            <w:gridSpan w:val="6"/>
          </w:tcPr>
          <w:p>
            <w:pPr>
              <w:jc w:val="center"/>
              <w:spacing w:after="0"/>
              <w:rPr>
                <w:sz w:val="20"/>
                <w:szCs w:val="20"/>
                <w:color w:val="auto"/>
              </w:rPr>
            </w:pPr>
            <w:r>
              <w:rPr>
                <w:rFonts w:ascii="Verdana" w:cs="Verdana" w:eastAsia="Verdana" w:hAnsi="Verdana"/>
                <w:sz w:val="13"/>
                <w:szCs w:val="13"/>
                <w:b w:val="1"/>
                <w:bCs w:val="1"/>
                <w:color w:val="auto"/>
                <w:w w:val="96"/>
              </w:rPr>
              <w:t>Nine Months Ended September 30,</w:t>
            </w:r>
          </w:p>
        </w:tc>
        <w:tc>
          <w:tcPr>
            <w:tcW w:w="0" w:type="dxa"/>
            <w:vAlign w:val="bottom"/>
          </w:tcPr>
          <w:p>
            <w:pPr>
              <w:spacing w:after="0"/>
              <w:rPr>
                <w:sz w:val="1"/>
                <w:szCs w:val="1"/>
                <w:color w:val="auto"/>
              </w:rPr>
            </w:pPr>
          </w:p>
        </w:tc>
      </w:tr>
      <w:tr>
        <w:trPr>
          <w:trHeight w:val="170"/>
        </w:trPr>
        <w:tc>
          <w:tcPr>
            <w:tcW w:w="644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7"/>
              </w:rPr>
              <w:t>2024</w:t>
            </w:r>
          </w:p>
        </w:tc>
        <w:tc>
          <w:tcPr>
            <w:tcW w:w="100" w:type="dxa"/>
            <w:vAlign w:val="bottom"/>
          </w:tcPr>
          <w:p>
            <w:pPr>
              <w:spacing w:after="0"/>
              <w:rPr>
                <w:sz w:val="14"/>
                <w:szCs w:val="14"/>
                <w:color w:val="auto"/>
              </w:rPr>
            </w:pPr>
          </w:p>
        </w:tc>
        <w:tc>
          <w:tcPr>
            <w:tcW w:w="1820" w:type="dxa"/>
            <w:vAlign w:val="bottom"/>
            <w:tcBorders>
              <w:bottom w:val="single" w:sz="8" w:color="auto"/>
            </w:tcBorders>
            <w:gridSpan w:val="3"/>
          </w:tcPr>
          <w:p>
            <w:pPr>
              <w:jc w:val="right"/>
              <w:ind w:right="40"/>
              <w:spacing w:after="0"/>
              <w:rPr>
                <w:sz w:val="20"/>
                <w:szCs w:val="20"/>
                <w:color w:val="auto"/>
              </w:rPr>
            </w:pPr>
            <w:r>
              <w:rPr>
                <w:rFonts w:ascii="Verdana" w:cs="Verdana" w:eastAsia="Verdana" w:hAnsi="Verdana"/>
                <w:sz w:val="13"/>
                <w:szCs w:val="13"/>
                <w:b w:val="1"/>
                <w:bCs w:val="1"/>
                <w:color w:val="auto"/>
              </w:rPr>
              <w:t>2023</w:t>
            </w:r>
          </w:p>
        </w:tc>
        <w:tc>
          <w:tcPr>
            <w:tcW w:w="1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6440" w:type="dxa"/>
            <w:vAlign w:val="bottom"/>
          </w:tcPr>
          <w:p>
            <w:pPr>
              <w:spacing w:after="0"/>
              <w:rPr>
                <w:sz w:val="10"/>
                <w:szCs w:val="10"/>
                <w:color w:val="auto"/>
              </w:rPr>
            </w:pPr>
          </w:p>
        </w:tc>
        <w:tc>
          <w:tcPr>
            <w:tcW w:w="1580" w:type="dxa"/>
            <w:vAlign w:val="bottom"/>
            <w:gridSpan w:val="2"/>
            <w:vMerge w:val="restart"/>
          </w:tcPr>
          <w:p>
            <w:pPr>
              <w:jc w:val="center"/>
              <w:ind w:right="80"/>
              <w:spacing w:after="0"/>
              <w:rPr>
                <w:sz w:val="20"/>
                <w:szCs w:val="20"/>
                <w:color w:val="auto"/>
              </w:rPr>
            </w:pPr>
            <w:r>
              <w:rPr>
                <w:rFonts w:ascii="Verdana" w:cs="Verdana" w:eastAsia="Verdana" w:hAnsi="Verdana"/>
                <w:sz w:val="13"/>
                <w:szCs w:val="13"/>
                <w:b w:val="1"/>
                <w:bCs w:val="1"/>
                <w:color w:val="auto"/>
                <w:w w:val="96"/>
              </w:rPr>
              <w:t>Weighted Average</w:t>
            </w:r>
          </w:p>
        </w:tc>
        <w:tc>
          <w:tcPr>
            <w:tcW w:w="1820" w:type="dxa"/>
            <w:vAlign w:val="bottom"/>
            <w:gridSpan w:val="3"/>
          </w:tcPr>
          <w:p>
            <w:pPr>
              <w:jc w:val="center"/>
              <w:ind w:right="160"/>
              <w:spacing w:after="0" w:line="120" w:lineRule="exact"/>
              <w:rPr>
                <w:sz w:val="20"/>
                <w:szCs w:val="20"/>
                <w:color w:val="auto"/>
              </w:rPr>
            </w:pPr>
            <w:r>
              <w:rPr>
                <w:rFonts w:ascii="Verdana" w:cs="Verdana" w:eastAsia="Verdana" w:hAnsi="Verdana"/>
                <w:sz w:val="13"/>
                <w:szCs w:val="13"/>
                <w:b w:val="1"/>
                <w:bCs w:val="1"/>
                <w:color w:val="auto"/>
                <w:w w:val="96"/>
              </w:rPr>
              <w:t>Weighted Average</w:t>
            </w:r>
          </w:p>
        </w:tc>
        <w:tc>
          <w:tcPr>
            <w:tcW w:w="1400" w:type="dxa"/>
            <w:vAlign w:val="bottom"/>
            <w:vMerge w:val="restart"/>
          </w:tcPr>
          <w:p>
            <w:pPr>
              <w:ind w:left="20"/>
              <w:spacing w:after="0"/>
              <w:rPr>
                <w:sz w:val="20"/>
                <w:szCs w:val="20"/>
                <w:color w:val="auto"/>
              </w:rPr>
            </w:pPr>
            <w:r>
              <w:rPr>
                <w:rFonts w:ascii="Verdana" w:cs="Verdana" w:eastAsia="Verdana" w:hAnsi="Verdana"/>
                <w:sz w:val="13"/>
                <w:szCs w:val="13"/>
                <w:b w:val="1"/>
                <w:bCs w:val="1"/>
                <w:color w:val="auto"/>
              </w:rPr>
              <w:t>Weighted Average</w:t>
            </w:r>
          </w:p>
        </w:tc>
        <w:tc>
          <w:tcPr>
            <w:tcW w:w="0" w:type="dxa"/>
            <w:vAlign w:val="bottom"/>
          </w:tcPr>
          <w:p>
            <w:pPr>
              <w:spacing w:after="0"/>
              <w:rPr>
                <w:sz w:val="1"/>
                <w:szCs w:val="1"/>
                <w:color w:val="auto"/>
              </w:rPr>
            </w:pPr>
          </w:p>
        </w:tc>
      </w:tr>
      <w:tr>
        <w:trPr>
          <w:trHeight w:val="122"/>
        </w:trPr>
        <w:tc>
          <w:tcPr>
            <w:tcW w:w="644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1820" w:type="dxa"/>
            <w:vAlign w:val="bottom"/>
            <w:gridSpan w:val="3"/>
          </w:tcPr>
          <w:p>
            <w:pPr>
              <w:jc w:val="center"/>
              <w:ind w:right="160"/>
              <w:spacing w:after="0" w:line="122" w:lineRule="exact"/>
              <w:rPr>
                <w:sz w:val="20"/>
                <w:szCs w:val="20"/>
                <w:color w:val="auto"/>
              </w:rPr>
            </w:pPr>
            <w:r>
              <w:rPr>
                <w:rFonts w:ascii="Verdana" w:cs="Verdana" w:eastAsia="Verdana" w:hAnsi="Verdana"/>
                <w:sz w:val="13"/>
                <w:szCs w:val="13"/>
                <w:b w:val="1"/>
                <w:bCs w:val="1"/>
                <w:color w:val="auto"/>
                <w:w w:val="96"/>
              </w:rPr>
              <w:t>Interest Rate</w:t>
            </w: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44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Verdana" w:cs="Verdana" w:eastAsia="Verdana" w:hAnsi="Verdana"/>
                <w:sz w:val="13"/>
                <w:szCs w:val="13"/>
                <w:b w:val="1"/>
                <w:bCs w:val="1"/>
                <w:color w:val="auto"/>
                <w:w w:val="96"/>
              </w:rPr>
              <w:t>Term Extension</w:t>
            </w:r>
          </w:p>
        </w:tc>
        <w:tc>
          <w:tcPr>
            <w:tcW w:w="1820" w:type="dxa"/>
            <w:vAlign w:val="bottom"/>
            <w:gridSpan w:val="3"/>
          </w:tcPr>
          <w:p>
            <w:pPr>
              <w:jc w:val="center"/>
              <w:ind w:right="180"/>
              <w:spacing w:after="0"/>
              <w:rPr>
                <w:sz w:val="20"/>
                <w:szCs w:val="20"/>
                <w:color w:val="auto"/>
              </w:rPr>
            </w:pPr>
            <w:r>
              <w:rPr>
                <w:rFonts w:ascii="Verdana" w:cs="Verdana" w:eastAsia="Verdana" w:hAnsi="Verdana"/>
                <w:sz w:val="13"/>
                <w:szCs w:val="13"/>
                <w:b w:val="1"/>
                <w:bCs w:val="1"/>
                <w:color w:val="auto"/>
                <w:w w:val="98"/>
              </w:rPr>
              <w:t>Reduction</w:t>
            </w:r>
          </w:p>
        </w:tc>
        <w:tc>
          <w:tcPr>
            <w:tcW w:w="1400" w:type="dxa"/>
            <w:vAlign w:val="bottom"/>
          </w:tcPr>
          <w:p>
            <w:pPr>
              <w:ind w:left="120"/>
              <w:spacing w:after="0"/>
              <w:rPr>
                <w:sz w:val="20"/>
                <w:szCs w:val="20"/>
                <w:color w:val="auto"/>
              </w:rPr>
            </w:pPr>
            <w:r>
              <w:rPr>
                <w:rFonts w:ascii="Verdana" w:cs="Verdana" w:eastAsia="Verdana" w:hAnsi="Verdana"/>
                <w:sz w:val="13"/>
                <w:szCs w:val="13"/>
                <w:b w:val="1"/>
                <w:bCs w:val="1"/>
                <w:color w:val="auto"/>
              </w:rPr>
              <w:t>Term Extension</w:t>
            </w:r>
          </w:p>
        </w:tc>
        <w:tc>
          <w:tcPr>
            <w:tcW w:w="0" w:type="dxa"/>
            <w:vAlign w:val="bottom"/>
          </w:tcPr>
          <w:p>
            <w:pPr>
              <w:spacing w:after="0"/>
              <w:rPr>
                <w:sz w:val="1"/>
                <w:szCs w:val="1"/>
                <w:color w:val="auto"/>
              </w:rPr>
            </w:pPr>
          </w:p>
        </w:tc>
      </w:tr>
      <w:tr>
        <w:trPr>
          <w:trHeight w:val="255"/>
        </w:trPr>
        <w:tc>
          <w:tcPr>
            <w:tcW w:w="64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Loan Modifications</w:t>
            </w:r>
          </w:p>
        </w:tc>
        <w:tc>
          <w:tcPr>
            <w:tcW w:w="14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16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auto"/>
            </w:tcBorders>
            <w:shd w:val="clear" w:color="auto" w:fill="E0E7ED"/>
          </w:tcPr>
          <w:p>
            <w:pPr>
              <w:spacing w:after="0"/>
              <w:rPr>
                <w:sz w:val="22"/>
                <w:szCs w:val="22"/>
                <w:color w:val="auto"/>
              </w:rPr>
            </w:pPr>
          </w:p>
        </w:tc>
        <w:tc>
          <w:tcPr>
            <w:tcW w:w="140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40" w:type="dxa"/>
            <w:vAlign w:val="bottom"/>
          </w:tcPr>
          <w:p>
            <w:pPr>
              <w:ind w:left="180"/>
              <w:spacing w:after="0"/>
              <w:rPr>
                <w:sz w:val="20"/>
                <w:szCs w:val="20"/>
                <w:color w:val="auto"/>
              </w:rPr>
            </w:pPr>
            <w:r>
              <w:rPr>
                <w:rFonts w:ascii="Verdana" w:cs="Verdana" w:eastAsia="Verdana" w:hAnsi="Verdana"/>
                <w:sz w:val="18"/>
                <w:szCs w:val="18"/>
                <w:color w:val="auto"/>
              </w:rPr>
              <w:t>C&amp;I and other commercial</w:t>
            </w:r>
          </w:p>
        </w:tc>
        <w:tc>
          <w:tcPr>
            <w:tcW w:w="1580" w:type="dxa"/>
            <w:vAlign w:val="bottom"/>
            <w:gridSpan w:val="2"/>
          </w:tcPr>
          <w:p>
            <w:pPr>
              <w:jc w:val="right"/>
              <w:ind w:right="120"/>
              <w:spacing w:after="0"/>
              <w:rPr>
                <w:sz w:val="20"/>
                <w:szCs w:val="20"/>
                <w:color w:val="auto"/>
              </w:rPr>
            </w:pPr>
            <w:r>
              <w:rPr>
                <w:rFonts w:ascii="Verdana" w:cs="Verdana" w:eastAsia="Verdana" w:hAnsi="Verdana"/>
                <w:sz w:val="18"/>
                <w:szCs w:val="18"/>
                <w:color w:val="auto"/>
              </w:rPr>
              <w:t>14.1 months</w:t>
            </w:r>
          </w:p>
        </w:tc>
        <w:tc>
          <w:tcPr>
            <w:tcW w:w="1820" w:type="dxa"/>
            <w:vAlign w:val="bottom"/>
            <w:gridSpan w:val="3"/>
          </w:tcPr>
          <w:p>
            <w:pPr>
              <w:jc w:val="right"/>
              <w:ind w:right="440"/>
              <w:spacing w:after="0"/>
              <w:rPr>
                <w:sz w:val="20"/>
                <w:szCs w:val="20"/>
                <w:color w:val="auto"/>
              </w:rPr>
            </w:pPr>
            <w:r>
              <w:rPr>
                <w:rFonts w:ascii="Verdana" w:cs="Verdana" w:eastAsia="Verdana" w:hAnsi="Verdana"/>
                <w:sz w:val="18"/>
                <w:szCs w:val="18"/>
                <w:color w:val="auto"/>
              </w:rPr>
              <w:t>—</w:t>
            </w:r>
          </w:p>
        </w:tc>
        <w:tc>
          <w:tcPr>
            <w:tcW w:w="1400" w:type="dxa"/>
            <w:vAlign w:val="bottom"/>
          </w:tcPr>
          <w:p>
            <w:pPr>
              <w:ind w:left="240"/>
              <w:spacing w:after="0"/>
              <w:rPr>
                <w:sz w:val="20"/>
                <w:szCs w:val="20"/>
                <w:color w:val="auto"/>
              </w:rPr>
            </w:pPr>
            <w:r>
              <w:rPr>
                <w:rFonts w:ascii="Verdana" w:cs="Verdana" w:eastAsia="Verdana" w:hAnsi="Verdana"/>
                <w:sz w:val="18"/>
                <w:szCs w:val="18"/>
                <w:color w:val="auto"/>
                <w:w w:val="99"/>
              </w:rPr>
              <w:t>14.3 months</w:t>
            </w:r>
          </w:p>
        </w:tc>
        <w:tc>
          <w:tcPr>
            <w:tcW w:w="0" w:type="dxa"/>
            <w:vAlign w:val="bottom"/>
          </w:tcPr>
          <w:p>
            <w:pPr>
              <w:spacing w:after="0"/>
              <w:rPr>
                <w:sz w:val="1"/>
                <w:szCs w:val="1"/>
                <w:color w:val="auto"/>
              </w:rPr>
            </w:pPr>
          </w:p>
        </w:tc>
      </w:tr>
      <w:tr>
        <w:trPr>
          <w:trHeight w:val="277"/>
        </w:trPr>
        <w:tc>
          <w:tcPr>
            <w:tcW w:w="64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15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8"/>
                <w:szCs w:val="18"/>
                <w:color w:val="auto"/>
              </w:rPr>
              <w:t>3.9 months</w:t>
            </w:r>
          </w:p>
        </w:tc>
        <w:tc>
          <w:tcPr>
            <w:tcW w:w="16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2.50 %</w:t>
            </w:r>
          </w:p>
        </w:tc>
        <w:tc>
          <w:tcPr>
            <w:tcW w:w="8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1400" w:type="dxa"/>
            <w:vAlign w:val="bottom"/>
            <w:shd w:val="clear" w:color="auto" w:fill="E0E7ED"/>
          </w:tcPr>
          <w:p>
            <w:pPr>
              <w:ind w:left="240"/>
              <w:spacing w:after="0"/>
              <w:rPr>
                <w:sz w:val="20"/>
                <w:szCs w:val="20"/>
                <w:color w:val="auto"/>
              </w:rPr>
            </w:pPr>
            <w:r>
              <w:rPr>
                <w:rFonts w:ascii="Verdana" w:cs="Verdana" w:eastAsia="Verdana" w:hAnsi="Verdana"/>
                <w:sz w:val="18"/>
                <w:szCs w:val="18"/>
                <w:color w:val="auto"/>
                <w:w w:val="99"/>
              </w:rPr>
              <w:t>11.2 months</w:t>
            </w:r>
          </w:p>
        </w:tc>
        <w:tc>
          <w:tcPr>
            <w:tcW w:w="0" w:type="dxa"/>
            <w:vAlign w:val="bottom"/>
          </w:tcPr>
          <w:p>
            <w:pPr>
              <w:spacing w:after="0"/>
              <w:rPr>
                <w:sz w:val="1"/>
                <w:szCs w:val="1"/>
                <w:color w:val="auto"/>
              </w:rPr>
            </w:pPr>
          </w:p>
        </w:tc>
      </w:tr>
      <w:tr>
        <w:trPr>
          <w:trHeight w:val="263"/>
        </w:trPr>
        <w:tc>
          <w:tcPr>
            <w:tcW w:w="644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Real estate construction</w:t>
            </w:r>
          </w:p>
        </w:tc>
        <w:tc>
          <w:tcPr>
            <w:tcW w:w="14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6.0 months</w:t>
            </w:r>
          </w:p>
        </w:tc>
        <w:tc>
          <w:tcPr>
            <w:tcW w:w="100" w:type="dxa"/>
            <w:vAlign w:val="bottom"/>
            <w:tcBorders>
              <w:bottom w:val="single" w:sz="8" w:color="E0E7ED"/>
            </w:tcBorders>
          </w:tcPr>
          <w:p>
            <w:pPr>
              <w:spacing w:after="0"/>
              <w:rPr>
                <w:sz w:val="22"/>
                <w:szCs w:val="22"/>
                <w:color w:val="auto"/>
              </w:rPr>
            </w:pPr>
          </w:p>
        </w:tc>
        <w:tc>
          <w:tcPr>
            <w:tcW w:w="1660" w:type="dxa"/>
            <w:vAlign w:val="bottom"/>
            <w:tcBorders>
              <w:bottom w:val="single" w:sz="8" w:color="auto"/>
            </w:tcBorders>
          </w:tcPr>
          <w:p>
            <w:pPr>
              <w:jc w:val="right"/>
              <w:ind w:right="204"/>
              <w:spacing w:after="0"/>
              <w:rPr>
                <w:sz w:val="20"/>
                <w:szCs w:val="20"/>
                <w:color w:val="auto"/>
              </w:rPr>
            </w:pPr>
            <w:r>
              <w:rPr>
                <w:rFonts w:ascii="Verdana" w:cs="Verdana" w:eastAsia="Verdana" w:hAnsi="Verdana"/>
                <w:sz w:val="18"/>
                <w:szCs w:val="18"/>
                <w:color w:val="auto"/>
              </w:rPr>
              <w:t>—</w:t>
            </w:r>
          </w:p>
        </w:tc>
        <w:tc>
          <w:tcPr>
            <w:tcW w:w="80" w:type="dxa"/>
            <w:vAlign w:val="bottom"/>
            <w:tcBorders>
              <w:bottom w:val="single" w:sz="8" w:color="E0E7ED"/>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ind w:left="240"/>
              <w:spacing w:after="0"/>
              <w:rPr>
                <w:sz w:val="20"/>
                <w:szCs w:val="20"/>
                <w:color w:val="auto"/>
              </w:rPr>
            </w:pPr>
            <w:r>
              <w:rPr>
                <w:rFonts w:ascii="Verdana" w:cs="Verdana" w:eastAsia="Verdana" w:hAnsi="Verdana"/>
                <w:sz w:val="18"/>
                <w:szCs w:val="18"/>
                <w:color w:val="auto"/>
                <w:w w:val="99"/>
              </w:rPr>
              <w:t>12.0 months</w:t>
            </w:r>
          </w:p>
        </w:tc>
        <w:tc>
          <w:tcPr>
            <w:tcW w:w="0" w:type="dxa"/>
            <w:vAlign w:val="bottom"/>
          </w:tcPr>
          <w:p>
            <w:pPr>
              <w:spacing w:after="0"/>
              <w:rPr>
                <w:sz w:val="1"/>
                <w:szCs w:val="1"/>
                <w:color w:val="auto"/>
              </w:rPr>
            </w:pPr>
          </w:p>
        </w:tc>
      </w:tr>
      <w:tr>
        <w:trPr>
          <w:trHeight w:val="263"/>
        </w:trPr>
        <w:tc>
          <w:tcPr>
            <w:tcW w:w="64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Weighted average modifications</w:t>
            </w:r>
          </w:p>
        </w:tc>
        <w:tc>
          <w:tcPr>
            <w:tcW w:w="14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9.5 months</w:t>
            </w:r>
          </w:p>
        </w:tc>
        <w:tc>
          <w:tcPr>
            <w:tcW w:w="100" w:type="dxa"/>
            <w:vAlign w:val="bottom"/>
            <w:shd w:val="clear" w:color="auto" w:fill="E0E7ED"/>
          </w:tcPr>
          <w:p>
            <w:pPr>
              <w:spacing w:after="0"/>
              <w:rPr>
                <w:sz w:val="22"/>
                <w:szCs w:val="22"/>
                <w:color w:val="auto"/>
              </w:rPr>
            </w:pPr>
          </w:p>
        </w:tc>
        <w:tc>
          <w:tcPr>
            <w:tcW w:w="16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2.50 %</w:t>
            </w:r>
          </w:p>
        </w:tc>
        <w:tc>
          <w:tcPr>
            <w:tcW w:w="80" w:type="dxa"/>
            <w:vAlign w:val="bottom"/>
            <w:shd w:val="clear" w:color="auto" w:fill="E0E7ED"/>
          </w:tcPr>
          <w:p>
            <w:pPr>
              <w:spacing w:after="0"/>
              <w:rPr>
                <w:sz w:val="22"/>
                <w:szCs w:val="22"/>
                <w:color w:val="auto"/>
              </w:rPr>
            </w:pPr>
          </w:p>
        </w:tc>
        <w:tc>
          <w:tcPr>
            <w:tcW w:w="80" w:type="dxa"/>
            <w:vAlign w:val="bottom"/>
            <w:tcBorders>
              <w:bottom w:val="single" w:sz="8" w:color="auto"/>
            </w:tcBorders>
            <w:shd w:val="clear" w:color="auto" w:fill="E0E7ED"/>
          </w:tcPr>
          <w:p>
            <w:pPr>
              <w:spacing w:after="0"/>
              <w:rPr>
                <w:sz w:val="22"/>
                <w:szCs w:val="22"/>
                <w:color w:val="auto"/>
              </w:rPr>
            </w:pPr>
          </w:p>
        </w:tc>
        <w:tc>
          <w:tcPr>
            <w:tcW w:w="1400" w:type="dxa"/>
            <w:vAlign w:val="bottom"/>
            <w:tcBorders>
              <w:bottom w:val="single" w:sz="8" w:color="auto"/>
            </w:tcBorders>
            <w:shd w:val="clear" w:color="auto" w:fill="E0E7ED"/>
          </w:tcPr>
          <w:p>
            <w:pPr>
              <w:ind w:left="240"/>
              <w:spacing w:after="0"/>
              <w:rPr>
                <w:sz w:val="20"/>
                <w:szCs w:val="20"/>
                <w:color w:val="auto"/>
              </w:rPr>
            </w:pPr>
            <w:r>
              <w:rPr>
                <w:rFonts w:ascii="Verdana" w:cs="Verdana" w:eastAsia="Verdana" w:hAnsi="Verdana"/>
                <w:sz w:val="18"/>
                <w:szCs w:val="18"/>
                <w:color w:val="auto"/>
                <w:w w:val="99"/>
              </w:rPr>
              <w:t>13.7 months</w:t>
            </w: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Performance of Modified Loans</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Busey closely monitors the performance of the loans that are modified to borrowers experiencing financial difficulty to understand the effectiveness of its modification efforts. The following table depicts the payment performance of loans modified during the last twelve months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5"/>
          </w:tcPr>
          <w:p>
            <w:pPr>
              <w:ind w:left="380"/>
              <w:spacing w:after="0"/>
              <w:rPr>
                <w:sz w:val="20"/>
                <w:szCs w:val="20"/>
                <w:color w:val="auto"/>
              </w:rPr>
            </w:pPr>
            <w:r>
              <w:rPr>
                <w:rFonts w:ascii="Verdana" w:cs="Verdana" w:eastAsia="Verdana" w:hAnsi="Verdana"/>
                <w:sz w:val="13"/>
                <w:szCs w:val="13"/>
                <w:b w:val="1"/>
                <w:bCs w:val="1"/>
                <w:color w:val="auto"/>
              </w:rPr>
              <w:t>As of September 30, 2024</w:t>
            </w: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170"/>
        </w:trPr>
        <w:tc>
          <w:tcPr>
            <w:tcW w:w="4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Verdana" w:cs="Verdana" w:eastAsia="Verdana" w:hAnsi="Verdana"/>
                <w:sz w:val="13"/>
                <w:szCs w:val="13"/>
                <w:b w:val="1"/>
                <w:bCs w:val="1"/>
                <w:color w:val="auto"/>
              </w:rPr>
              <w:t>Current</w:t>
            </w:r>
          </w:p>
        </w:tc>
        <w:tc>
          <w:tcPr>
            <w:tcW w:w="24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Verdana" w:cs="Verdana" w:eastAsia="Verdana" w:hAnsi="Verdana"/>
                <w:sz w:val="13"/>
                <w:szCs w:val="13"/>
                <w:b w:val="1"/>
                <w:bCs w:val="1"/>
                <w:color w:val="auto"/>
              </w:rPr>
              <w:t>30-89 Days</w:t>
            </w:r>
          </w:p>
        </w:tc>
        <w:tc>
          <w:tcPr>
            <w:tcW w:w="280" w:type="dxa"/>
            <w:vAlign w:val="bottom"/>
          </w:tcPr>
          <w:p>
            <w:pPr>
              <w:spacing w:after="0"/>
              <w:rPr>
                <w:sz w:val="14"/>
                <w:szCs w:val="14"/>
                <w:color w:val="auto"/>
              </w:rPr>
            </w:pPr>
          </w:p>
        </w:tc>
        <w:tc>
          <w:tcPr>
            <w:tcW w:w="1300" w:type="dxa"/>
            <w:vAlign w:val="bottom"/>
            <w:gridSpan w:val="2"/>
          </w:tcPr>
          <w:p>
            <w:pPr>
              <w:ind w:left="120"/>
              <w:spacing w:after="0"/>
              <w:rPr>
                <w:sz w:val="20"/>
                <w:szCs w:val="20"/>
                <w:color w:val="auto"/>
              </w:rPr>
            </w:pPr>
            <w:r>
              <w:rPr>
                <w:rFonts w:ascii="Verdana" w:cs="Verdana" w:eastAsia="Verdana" w:hAnsi="Verdana"/>
                <w:sz w:val="13"/>
                <w:szCs w:val="13"/>
                <w:b w:val="1"/>
                <w:bCs w:val="1"/>
                <w:color w:val="auto"/>
              </w:rPr>
              <w:t>90+ Days</w:t>
            </w:r>
          </w:p>
        </w:tc>
        <w:tc>
          <w:tcPr>
            <w:tcW w:w="220" w:type="dxa"/>
            <w:vAlign w:val="bottom"/>
          </w:tcPr>
          <w:p>
            <w:pPr>
              <w:spacing w:after="0"/>
              <w:rPr>
                <w:sz w:val="14"/>
                <w:szCs w:val="14"/>
                <w:color w:val="auto"/>
              </w:rPr>
            </w:pPr>
          </w:p>
        </w:tc>
        <w:tc>
          <w:tcPr>
            <w:tcW w:w="1280" w:type="dxa"/>
            <w:vAlign w:val="bottom"/>
          </w:tcPr>
          <w:p>
            <w:pPr>
              <w:ind w:left="100"/>
              <w:spacing w:after="0"/>
              <w:rPr>
                <w:sz w:val="20"/>
                <w:szCs w:val="20"/>
                <w:color w:val="auto"/>
              </w:rPr>
            </w:pPr>
            <w:r>
              <w:rPr>
                <w:rFonts w:ascii="Verdana" w:cs="Verdana" w:eastAsia="Verdana" w:hAnsi="Verdana"/>
                <w:sz w:val="13"/>
                <w:szCs w:val="13"/>
                <w:b w:val="1"/>
                <w:bCs w:val="1"/>
                <w:color w:val="auto"/>
              </w:rPr>
              <w:t>Non-accrual</w:t>
            </w:r>
          </w:p>
        </w:tc>
      </w:tr>
      <w:tr>
        <w:trPr>
          <w:trHeight w:val="255"/>
        </w:trPr>
        <w:tc>
          <w:tcPr>
            <w:tcW w:w="49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Modified Loans</w:t>
            </w:r>
          </w:p>
        </w:tc>
        <w:tc>
          <w:tcPr>
            <w:tcW w:w="320" w:type="dxa"/>
            <w:vAlign w:val="bottom"/>
            <w:tcBorders>
              <w:top w:val="single" w:sz="8" w:color="auto"/>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8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C&amp;I and other commercial</w:t>
            </w: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29,547</w:t>
            </w:r>
          </w:p>
        </w:tc>
        <w:tc>
          <w:tcPr>
            <w:tcW w:w="10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340" w:type="dxa"/>
            <w:vAlign w:val="bottom"/>
            <w:gridSpan w:val="2"/>
          </w:tcPr>
          <w:p>
            <w:pPr>
              <w:ind w:left="980"/>
              <w:spacing w:after="0"/>
              <w:rPr>
                <w:sz w:val="20"/>
                <w:szCs w:val="20"/>
                <w:color w:val="auto"/>
              </w:rPr>
            </w:pPr>
            <w:r>
              <w:rPr>
                <w:rFonts w:ascii="Verdana" w:cs="Verdana" w:eastAsia="Verdana" w:hAnsi="Verdana"/>
                <w:sz w:val="18"/>
                <w:szCs w:val="18"/>
                <w:color w:val="auto"/>
              </w:rPr>
              <w:t>—</w:t>
            </w:r>
          </w:p>
        </w:tc>
        <w:tc>
          <w:tcPr>
            <w:tcW w:w="280" w:type="dxa"/>
            <w:vAlign w:val="bottom"/>
          </w:tcPr>
          <w:p>
            <w:pPr>
              <w:jc w:val="right"/>
              <w:ind w:right="50"/>
              <w:spacing w:after="0"/>
              <w:rPr>
                <w:sz w:val="20"/>
                <w:szCs w:val="20"/>
                <w:color w:val="auto"/>
              </w:rPr>
            </w:pPr>
            <w:r>
              <w:rPr>
                <w:rFonts w:ascii="Verdana" w:cs="Verdana" w:eastAsia="Verdana" w:hAnsi="Verdana"/>
                <w:sz w:val="18"/>
                <w:szCs w:val="18"/>
                <w:color w:val="auto"/>
              </w:rPr>
              <w:t>$</w:t>
            </w:r>
          </w:p>
        </w:tc>
        <w:tc>
          <w:tcPr>
            <w:tcW w:w="1300" w:type="dxa"/>
            <w:vAlign w:val="bottom"/>
            <w:gridSpan w:val="2"/>
          </w:tcPr>
          <w:p>
            <w:pPr>
              <w:ind w:left="940"/>
              <w:spacing w:after="0"/>
              <w:rPr>
                <w:sz w:val="20"/>
                <w:szCs w:val="20"/>
                <w:color w:val="auto"/>
              </w:rPr>
            </w:pPr>
            <w:r>
              <w:rPr>
                <w:rFonts w:ascii="Verdana" w:cs="Verdana" w:eastAsia="Verdana" w:hAnsi="Verdana"/>
                <w:sz w:val="18"/>
                <w:szCs w:val="18"/>
                <w:color w:val="auto"/>
              </w:rPr>
              <w:t>—</w:t>
            </w: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Pr>
          <w:p>
            <w:pPr>
              <w:ind w:left="1020"/>
              <w:spacing w:after="0"/>
              <w:rPr>
                <w:sz w:val="20"/>
                <w:szCs w:val="20"/>
                <w:color w:val="auto"/>
              </w:rPr>
            </w:pPr>
            <w:r>
              <w:rPr>
                <w:rFonts w:ascii="Verdana" w:cs="Verdana" w:eastAsia="Verdana" w:hAnsi="Verdana"/>
                <w:sz w:val="18"/>
                <w:szCs w:val="18"/>
                <w:color w:val="auto"/>
              </w:rPr>
              <w:t>—</w:t>
            </w:r>
          </w:p>
        </w:tc>
      </w:tr>
      <w:tr>
        <w:trPr>
          <w:trHeight w:val="277"/>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32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20,082</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340" w:type="dxa"/>
            <w:vAlign w:val="bottom"/>
            <w:gridSpan w:val="2"/>
            <w:shd w:val="clear" w:color="auto" w:fill="E0E7ED"/>
          </w:tcPr>
          <w:p>
            <w:pPr>
              <w:ind w:left="980"/>
              <w:spacing w:after="0"/>
              <w:rPr>
                <w:sz w:val="20"/>
                <w:szCs w:val="20"/>
                <w:color w:val="auto"/>
              </w:rPr>
            </w:pPr>
            <w:r>
              <w:rPr>
                <w:rFonts w:ascii="Verdana" w:cs="Verdana" w:eastAsia="Verdana" w:hAnsi="Verdana"/>
                <w:sz w:val="18"/>
                <w:szCs w:val="18"/>
                <w:color w:val="auto"/>
              </w:rPr>
              <w:t>—</w:t>
            </w:r>
          </w:p>
        </w:tc>
        <w:tc>
          <w:tcPr>
            <w:tcW w:w="280" w:type="dxa"/>
            <w:vAlign w:val="bottom"/>
            <w:shd w:val="clear" w:color="auto" w:fill="E0E7ED"/>
          </w:tcPr>
          <w:p>
            <w:pPr>
              <w:spacing w:after="0"/>
              <w:rPr>
                <w:sz w:val="24"/>
                <w:szCs w:val="24"/>
                <w:color w:val="auto"/>
              </w:rPr>
            </w:pPr>
          </w:p>
        </w:tc>
        <w:tc>
          <w:tcPr>
            <w:tcW w:w="1300" w:type="dxa"/>
            <w:vAlign w:val="bottom"/>
            <w:gridSpan w:val="2"/>
            <w:shd w:val="clear" w:color="auto" w:fill="E0E7ED"/>
          </w:tcPr>
          <w:p>
            <w:pPr>
              <w:ind w:left="940"/>
              <w:spacing w:after="0"/>
              <w:rPr>
                <w:sz w:val="20"/>
                <w:szCs w:val="20"/>
                <w:color w:val="auto"/>
              </w:rPr>
            </w:pPr>
            <w:r>
              <w:rPr>
                <w:rFonts w:ascii="Verdana" w:cs="Verdana" w:eastAsia="Verdana" w:hAnsi="Verdana"/>
                <w:sz w:val="18"/>
                <w:szCs w:val="18"/>
                <w:color w:val="auto"/>
              </w:rPr>
              <w:t>—</w:t>
            </w:r>
          </w:p>
        </w:tc>
        <w:tc>
          <w:tcPr>
            <w:tcW w:w="220" w:type="dxa"/>
            <w:vAlign w:val="bottom"/>
            <w:shd w:val="clear" w:color="auto" w:fill="E0E7ED"/>
          </w:tcPr>
          <w:p>
            <w:pPr>
              <w:spacing w:after="0"/>
              <w:rPr>
                <w:sz w:val="24"/>
                <w:szCs w:val="24"/>
                <w:color w:val="auto"/>
              </w:rPr>
            </w:pPr>
          </w:p>
        </w:tc>
        <w:tc>
          <w:tcPr>
            <w:tcW w:w="1280" w:type="dxa"/>
            <w:vAlign w:val="bottom"/>
            <w:shd w:val="clear" w:color="auto" w:fill="E0E7ED"/>
          </w:tcPr>
          <w:p>
            <w:pPr>
              <w:ind w:left="1020"/>
              <w:spacing w:after="0"/>
              <w:rPr>
                <w:sz w:val="20"/>
                <w:szCs w:val="20"/>
                <w:color w:val="auto"/>
              </w:rPr>
            </w:pPr>
            <w:r>
              <w:rPr>
                <w:rFonts w:ascii="Verdana" w:cs="Verdana" w:eastAsia="Verdana" w:hAnsi="Verdana"/>
                <w:sz w:val="18"/>
                <w:szCs w:val="18"/>
                <w:color w:val="auto"/>
              </w:rPr>
              <w:t>—</w:t>
            </w:r>
          </w:p>
        </w:tc>
      </w:tr>
      <w:tr>
        <w:trPr>
          <w:trHeight w:val="263"/>
        </w:trPr>
        <w:tc>
          <w:tcPr>
            <w:tcW w:w="498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Real estate construction</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5,250</w:t>
            </w:r>
          </w:p>
        </w:tc>
        <w:tc>
          <w:tcPr>
            <w:tcW w:w="100" w:type="dxa"/>
            <w:vAlign w:val="bottom"/>
            <w:tcBorders>
              <w:bottom w:val="single" w:sz="8" w:color="E0E7ED"/>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ind w:left="980"/>
              <w:spacing w:after="0"/>
              <w:rPr>
                <w:sz w:val="20"/>
                <w:szCs w:val="20"/>
                <w:color w:val="auto"/>
              </w:rPr>
            </w:pPr>
            <w:r>
              <w:rPr>
                <w:rFonts w:ascii="Verdana" w:cs="Verdana" w:eastAsia="Verdana" w:hAnsi="Verdana"/>
                <w:sz w:val="18"/>
                <w:szCs w:val="18"/>
                <w:color w:val="auto"/>
              </w:rPr>
              <w:t>—</w:t>
            </w:r>
          </w:p>
        </w:tc>
        <w:tc>
          <w:tcPr>
            <w:tcW w:w="100" w:type="dxa"/>
            <w:vAlign w:val="bottom"/>
            <w:tcBorders>
              <w:bottom w:val="single" w:sz="8" w:color="E0E7ED"/>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ind w:left="940"/>
              <w:spacing w:after="0"/>
              <w:rPr>
                <w:sz w:val="20"/>
                <w:szCs w:val="20"/>
                <w:color w:val="auto"/>
              </w:rPr>
            </w:pPr>
            <w:r>
              <w:rPr>
                <w:rFonts w:ascii="Verdana" w:cs="Verdana" w:eastAsia="Verdana" w:hAnsi="Verdana"/>
                <w:sz w:val="18"/>
                <w:szCs w:val="18"/>
                <w:color w:val="auto"/>
              </w:rPr>
              <w:t>—</w:t>
            </w:r>
          </w:p>
        </w:tc>
        <w:tc>
          <w:tcPr>
            <w:tcW w:w="100" w:type="dxa"/>
            <w:vAlign w:val="bottom"/>
            <w:tcBorders>
              <w:bottom w:val="single" w:sz="8" w:color="E0E7E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020"/>
              <w:spacing w:after="0"/>
              <w:rPr>
                <w:sz w:val="20"/>
                <w:szCs w:val="20"/>
                <w:color w:val="auto"/>
              </w:rPr>
            </w:pPr>
            <w:r>
              <w:rPr>
                <w:rFonts w:ascii="Verdana" w:cs="Verdana" w:eastAsia="Verdana" w:hAnsi="Verdana"/>
                <w:sz w:val="18"/>
                <w:szCs w:val="18"/>
                <w:color w:val="auto"/>
              </w:rPr>
              <w:t>—</w:t>
            </w:r>
          </w:p>
        </w:tc>
      </w:tr>
      <w:tr>
        <w:trPr>
          <w:trHeight w:val="290"/>
        </w:trPr>
        <w:tc>
          <w:tcPr>
            <w:tcW w:w="49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Amortized cost of modified loans</w:t>
            </w:r>
          </w:p>
        </w:tc>
        <w:tc>
          <w:tcPr>
            <w:tcW w:w="32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54,879</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340" w:type="dxa"/>
            <w:vAlign w:val="bottom"/>
            <w:gridSpan w:val="2"/>
            <w:shd w:val="clear" w:color="auto" w:fill="E0E7ED"/>
          </w:tcPr>
          <w:p>
            <w:pPr>
              <w:ind w:left="980"/>
              <w:spacing w:after="0"/>
              <w:rPr>
                <w:sz w:val="20"/>
                <w:szCs w:val="20"/>
                <w:color w:val="auto"/>
              </w:rPr>
            </w:pPr>
            <w:r>
              <w:rPr>
                <w:rFonts w:ascii="Verdana" w:cs="Verdana" w:eastAsia="Verdana" w:hAnsi="Verdana"/>
                <w:sz w:val="18"/>
                <w:szCs w:val="18"/>
                <w:color w:val="auto"/>
              </w:rPr>
              <w:t>—</w:t>
            </w:r>
          </w:p>
        </w:tc>
        <w:tc>
          <w:tcPr>
            <w:tcW w:w="280" w:type="dxa"/>
            <w:vAlign w:val="bottom"/>
            <w:shd w:val="clear" w:color="auto" w:fill="E0E7ED"/>
          </w:tcPr>
          <w:p>
            <w:pPr>
              <w:jc w:val="right"/>
              <w:ind w:right="50"/>
              <w:spacing w:after="0"/>
              <w:rPr>
                <w:sz w:val="20"/>
                <w:szCs w:val="20"/>
                <w:color w:val="auto"/>
              </w:rPr>
            </w:pPr>
            <w:r>
              <w:rPr>
                <w:rFonts w:ascii="Verdana" w:cs="Verdana" w:eastAsia="Verdana" w:hAnsi="Verdana"/>
                <w:sz w:val="18"/>
                <w:szCs w:val="18"/>
                <w:color w:val="auto"/>
              </w:rPr>
              <w:t>$</w:t>
            </w:r>
          </w:p>
        </w:tc>
        <w:tc>
          <w:tcPr>
            <w:tcW w:w="1300" w:type="dxa"/>
            <w:vAlign w:val="bottom"/>
            <w:gridSpan w:val="2"/>
            <w:shd w:val="clear" w:color="auto" w:fill="E0E7ED"/>
          </w:tcPr>
          <w:p>
            <w:pPr>
              <w:ind w:left="940"/>
              <w:spacing w:after="0"/>
              <w:rPr>
                <w:sz w:val="20"/>
                <w:szCs w:val="20"/>
                <w:color w:val="auto"/>
              </w:rPr>
            </w:pPr>
            <w:r>
              <w:rPr>
                <w:rFonts w:ascii="Verdana" w:cs="Verdana" w:eastAsia="Verdana" w:hAnsi="Verdana"/>
                <w:sz w:val="18"/>
                <w:szCs w:val="18"/>
                <w:color w:val="auto"/>
              </w:rPr>
              <w:t>—</w:t>
            </w:r>
          </w:p>
        </w:tc>
        <w:tc>
          <w:tcPr>
            <w:tcW w:w="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shd w:val="clear" w:color="auto" w:fill="E0E7ED"/>
          </w:tcPr>
          <w:p>
            <w:pPr>
              <w:ind w:left="1020"/>
              <w:spacing w:after="0"/>
              <w:rPr>
                <w:sz w:val="20"/>
                <w:szCs w:val="20"/>
                <w:color w:val="auto"/>
              </w:rPr>
            </w:pPr>
            <w:r>
              <w:rPr>
                <w:rFonts w:ascii="Verdana" w:cs="Verdana" w:eastAsia="Verdana" w:hAnsi="Verdana"/>
                <w:sz w:val="18"/>
                <w:szCs w:val="18"/>
                <w:color w:val="auto"/>
              </w:rPr>
              <w:t>—</w:t>
            </w:r>
          </w:p>
        </w:tc>
      </w:tr>
      <w:tr>
        <w:trPr>
          <w:trHeight w:val="20"/>
        </w:trPr>
        <w:tc>
          <w:tcPr>
            <w:tcW w:w="498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 xml:space="preserve">No loans had a payment default during the three months ended September 30, 2023, or during the three or nine months ended September 30, 2024, after having been modified during the 12 months before that default for borrowers experiencing financial difficulty. The following table provides the amortized cost basis of loans that had a payment default during the nine months ended September 30, 2023, after having been modified during the 12 months before default for borrowers experiencing financial difficulty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 A default occurs when a loan is 90 days or more past due or transferred to non-accrual status.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4"/>
          </w:tcPr>
          <w:p>
            <w:pPr>
              <w:spacing w:after="0"/>
              <w:rPr>
                <w:sz w:val="20"/>
                <w:szCs w:val="20"/>
                <w:color w:val="auto"/>
              </w:rPr>
            </w:pPr>
            <w:r>
              <w:rPr>
                <w:rFonts w:ascii="Verdana" w:cs="Verdana" w:eastAsia="Verdana" w:hAnsi="Verdana"/>
                <w:sz w:val="13"/>
                <w:szCs w:val="13"/>
                <w:b w:val="1"/>
                <w:bCs w:val="1"/>
                <w:color w:val="auto"/>
              </w:rPr>
              <w:t>Nine Months Ended September 30, 2023</w:t>
            </w:r>
          </w:p>
        </w:tc>
      </w:tr>
      <w:tr>
        <w:trPr>
          <w:trHeight w:val="170"/>
        </w:trPr>
        <w:tc>
          <w:tcPr>
            <w:tcW w:w="8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2023</w:t>
            </w:r>
          </w:p>
        </w:tc>
        <w:tc>
          <w:tcPr>
            <w:tcW w:w="1340" w:type="dxa"/>
            <w:vAlign w:val="bottom"/>
            <w:tcBorders>
              <w:bottom w:val="single" w:sz="8" w:color="auto"/>
            </w:tcBorders>
          </w:tcPr>
          <w:p>
            <w:pPr>
              <w:spacing w:after="0"/>
              <w:rPr>
                <w:sz w:val="14"/>
                <w:szCs w:val="14"/>
                <w:color w:val="auto"/>
              </w:rPr>
            </w:pPr>
          </w:p>
        </w:tc>
      </w:tr>
      <w:tr>
        <w:trPr>
          <w:trHeight w:val="169"/>
        </w:trPr>
        <w:tc>
          <w:tcPr>
            <w:tcW w:w="8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Verdana" w:cs="Verdana" w:eastAsia="Verdana" w:hAnsi="Verdana"/>
                <w:sz w:val="13"/>
                <w:szCs w:val="13"/>
                <w:b w:val="1"/>
                <w:bCs w:val="1"/>
                <w:color w:val="auto"/>
              </w:rPr>
              <w:t>Payment Deferral</w:t>
            </w:r>
          </w:p>
        </w:tc>
        <w:tc>
          <w:tcPr>
            <w:tcW w:w="180" w:type="dxa"/>
            <w:vAlign w:val="bottom"/>
          </w:tcPr>
          <w:p>
            <w:pPr>
              <w:spacing w:after="0"/>
              <w:rPr>
                <w:sz w:val="14"/>
                <w:szCs w:val="14"/>
                <w:color w:val="auto"/>
              </w:rPr>
            </w:pPr>
          </w:p>
        </w:tc>
        <w:tc>
          <w:tcPr>
            <w:tcW w:w="1340" w:type="dxa"/>
            <w:vAlign w:val="bottom"/>
          </w:tcPr>
          <w:p>
            <w:pPr>
              <w:jc w:val="right"/>
              <w:ind w:right="117"/>
              <w:spacing w:after="0"/>
              <w:rPr>
                <w:sz w:val="20"/>
                <w:szCs w:val="20"/>
                <w:color w:val="auto"/>
              </w:rPr>
            </w:pPr>
            <w:r>
              <w:rPr>
                <w:rFonts w:ascii="Verdana" w:cs="Verdana" w:eastAsia="Verdana" w:hAnsi="Verdana"/>
                <w:sz w:val="13"/>
                <w:szCs w:val="13"/>
                <w:b w:val="1"/>
                <w:bCs w:val="1"/>
                <w:color w:val="auto"/>
                <w:w w:val="98"/>
              </w:rPr>
              <w:t>Term Extension</w:t>
            </w:r>
          </w:p>
        </w:tc>
      </w:tr>
      <w:tr>
        <w:trPr>
          <w:trHeight w:val="255"/>
        </w:trPr>
        <w:tc>
          <w:tcPr>
            <w:tcW w:w="812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Loans with Subsequent Defaults</w:t>
            </w:r>
          </w:p>
        </w:tc>
        <w:tc>
          <w:tcPr>
            <w:tcW w:w="140" w:type="dxa"/>
            <w:vAlign w:val="bottom"/>
            <w:tcBorders>
              <w:top w:val="single" w:sz="8" w:color="auto"/>
            </w:tcBorders>
            <w:shd w:val="clear" w:color="auto" w:fill="E0E7ED"/>
          </w:tcPr>
          <w:p>
            <w:pPr>
              <w:spacing w:after="0"/>
              <w:rPr>
                <w:sz w:val="22"/>
                <w:szCs w:val="22"/>
                <w:color w:val="auto"/>
              </w:rPr>
            </w:pPr>
          </w:p>
        </w:tc>
        <w:tc>
          <w:tcPr>
            <w:tcW w:w="138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80" w:type="dxa"/>
            <w:vAlign w:val="bottom"/>
            <w:tcBorders>
              <w:top w:val="single" w:sz="8" w:color="auto"/>
            </w:tcBorders>
            <w:shd w:val="clear" w:color="auto" w:fill="E0E7ED"/>
          </w:tcPr>
          <w:p>
            <w:pPr>
              <w:spacing w:after="0"/>
              <w:rPr>
                <w:sz w:val="22"/>
                <w:szCs w:val="22"/>
                <w:color w:val="auto"/>
              </w:rPr>
            </w:pPr>
          </w:p>
        </w:tc>
        <w:tc>
          <w:tcPr>
            <w:tcW w:w="1340" w:type="dxa"/>
            <w:vAlign w:val="bottom"/>
            <w:tcBorders>
              <w:top w:val="single" w:sz="8" w:color="auto"/>
            </w:tcBorders>
            <w:shd w:val="clear" w:color="auto" w:fill="E0E7ED"/>
          </w:tcPr>
          <w:p>
            <w:pPr>
              <w:spacing w:after="0"/>
              <w:rPr>
                <w:sz w:val="22"/>
                <w:szCs w:val="22"/>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C&amp;I and other commercial</w:t>
            </w:r>
          </w:p>
        </w:tc>
        <w:tc>
          <w:tcPr>
            <w:tcW w:w="14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46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18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40" w:type="dxa"/>
            <w:vAlign w:val="bottom"/>
          </w:tcPr>
          <w:p>
            <w:pPr>
              <w:jc w:val="right"/>
              <w:spacing w:after="0"/>
              <w:rPr>
                <w:sz w:val="20"/>
                <w:szCs w:val="20"/>
                <w:color w:val="auto"/>
              </w:rPr>
            </w:pPr>
            <w:r>
              <w:rPr>
                <w:rFonts w:ascii="Verdana" w:cs="Verdana" w:eastAsia="Verdana" w:hAnsi="Verdana"/>
                <w:sz w:val="18"/>
                <w:szCs w:val="18"/>
                <w:color w:val="auto"/>
              </w:rPr>
              <w:t>500</w:t>
            </w:r>
          </w:p>
        </w:tc>
      </w:tr>
      <w:tr>
        <w:trPr>
          <w:trHeight w:val="270"/>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140" w:type="dxa"/>
            <w:vAlign w:val="bottom"/>
            <w:tcBorders>
              <w:bottom w:val="single" w:sz="8" w:color="auto"/>
            </w:tcBorders>
            <w:shd w:val="clear" w:color="auto" w:fill="E0E7ED"/>
          </w:tcPr>
          <w:p>
            <w:pPr>
              <w:spacing w:after="0"/>
              <w:rPr>
                <w:sz w:val="23"/>
                <w:szCs w:val="23"/>
                <w:color w:val="auto"/>
              </w:rPr>
            </w:pPr>
          </w:p>
        </w:tc>
        <w:tc>
          <w:tcPr>
            <w:tcW w:w="1380" w:type="dxa"/>
            <w:vAlign w:val="bottom"/>
            <w:tcBorders>
              <w:bottom w:val="single" w:sz="8" w:color="auto"/>
            </w:tcBorders>
            <w:shd w:val="clear" w:color="auto" w:fill="E0E7ED"/>
          </w:tcPr>
          <w:p>
            <w:pPr>
              <w:jc w:val="right"/>
              <w:ind w:right="24"/>
              <w:spacing w:after="0"/>
              <w:rPr>
                <w:sz w:val="20"/>
                <w:szCs w:val="20"/>
                <w:color w:val="auto"/>
              </w:rPr>
            </w:pPr>
            <w:r>
              <w:rPr>
                <w:rFonts w:ascii="Verdana" w:cs="Verdana" w:eastAsia="Verdana" w:hAnsi="Verdana"/>
                <w:sz w:val="18"/>
                <w:szCs w:val="18"/>
                <w:color w:val="auto"/>
              </w:rPr>
              <w:t>225</w:t>
            </w:r>
          </w:p>
        </w:tc>
        <w:tc>
          <w:tcPr>
            <w:tcW w:w="80" w:type="dxa"/>
            <w:vAlign w:val="bottom"/>
            <w:shd w:val="clear" w:color="auto" w:fill="E0E7ED"/>
          </w:tcPr>
          <w:p>
            <w:pPr>
              <w:spacing w:after="0"/>
              <w:rPr>
                <w:sz w:val="23"/>
                <w:szCs w:val="23"/>
                <w:color w:val="auto"/>
              </w:rPr>
            </w:pPr>
          </w:p>
        </w:tc>
        <w:tc>
          <w:tcPr>
            <w:tcW w:w="180" w:type="dxa"/>
            <w:vAlign w:val="bottom"/>
            <w:tcBorders>
              <w:bottom w:val="single" w:sz="8" w:color="auto"/>
            </w:tcBorders>
            <w:shd w:val="clear" w:color="auto" w:fill="E0E7ED"/>
          </w:tcPr>
          <w:p>
            <w:pPr>
              <w:spacing w:after="0"/>
              <w:rPr>
                <w:sz w:val="23"/>
                <w:szCs w:val="23"/>
                <w:color w:val="auto"/>
              </w:rPr>
            </w:pPr>
          </w:p>
        </w:tc>
        <w:tc>
          <w:tcPr>
            <w:tcW w:w="13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r>
      <w:tr>
        <w:trPr>
          <w:trHeight w:val="270"/>
        </w:trPr>
        <w:tc>
          <w:tcPr>
            <w:tcW w:w="8120" w:type="dxa"/>
            <w:vAlign w:val="bottom"/>
          </w:tcPr>
          <w:p>
            <w:pPr>
              <w:ind w:left="20"/>
              <w:spacing w:after="0"/>
              <w:rPr>
                <w:sz w:val="20"/>
                <w:szCs w:val="20"/>
                <w:color w:val="auto"/>
              </w:rPr>
            </w:pPr>
            <w:r>
              <w:rPr>
                <w:rFonts w:ascii="Verdana" w:cs="Verdana" w:eastAsia="Verdana" w:hAnsi="Verdana"/>
                <w:sz w:val="18"/>
                <w:szCs w:val="18"/>
                <w:color w:val="auto"/>
              </w:rPr>
              <w:t>Amortized cost of modified loans with subsequent defaults</w:t>
            </w:r>
          </w:p>
        </w:tc>
        <w:tc>
          <w:tcPr>
            <w:tcW w:w="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80" w:type="dxa"/>
            <w:vAlign w:val="bottom"/>
            <w:tcBorders>
              <w:bottom w:val="single" w:sz="8" w:color="auto"/>
            </w:tcBorders>
          </w:tcPr>
          <w:p>
            <w:pPr>
              <w:jc w:val="right"/>
              <w:ind w:right="24"/>
              <w:spacing w:after="0"/>
              <w:rPr>
                <w:sz w:val="20"/>
                <w:szCs w:val="20"/>
                <w:color w:val="auto"/>
              </w:rPr>
            </w:pPr>
            <w:r>
              <w:rPr>
                <w:rFonts w:ascii="Verdana" w:cs="Verdana" w:eastAsia="Verdana" w:hAnsi="Verdana"/>
                <w:sz w:val="18"/>
                <w:szCs w:val="18"/>
                <w:color w:val="auto"/>
              </w:rPr>
              <w:t>225</w:t>
            </w:r>
          </w:p>
        </w:tc>
        <w:tc>
          <w:tcPr>
            <w:tcW w:w="8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500</w:t>
            </w:r>
          </w:p>
        </w:tc>
      </w:tr>
      <w:tr>
        <w:trPr>
          <w:trHeight w:val="20"/>
        </w:trPr>
        <w:tc>
          <w:tcPr>
            <w:tcW w:w="8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33" w:name="page34"/>
    <w:bookmarkEnd w:id="33"/>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Collateral Dependent Loans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Management's evaluation as to the ultimate collectability of loans includes estimates regarding future cash flows from operations and the value of property, real and personal, pledged as collateral. These estimates are affected by changing economic conditions and the economic prospects of borrowers. Collateral dependent loans are loans in which repayment is expected to be provided solely by the operation or sale of the underlying collateral and there are no other available and reliable sources of repayment. Loans are written down to the lower of cost or fair value of the underlying collateral, less estimated costs to sell. Busey had $5.2 million and $6.1 million of collateral dependent loans secured by real estate or business assets as of September 30, 2024, and December 31, 2023, respectively.</w:t>
      </w:r>
    </w:p>
    <w:p>
      <w:pPr>
        <w:spacing w:after="0" w:line="176"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Foreclosures</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As of September 30, 2024, Busey had $0.8 million of residential real estate loans in the process of foreclosure. Busey follows Federal Housing Finance Agency guidelines on single-family foreclosures and real estate owned evictions on portfolio loans.</w:t>
      </w:r>
    </w:p>
    <w:p>
      <w:pPr>
        <w:spacing w:after="0" w:line="154"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Loans Evaluated Individually</w:t>
      </w:r>
    </w:p>
    <w:p>
      <w:pPr>
        <w:spacing w:after="0" w:line="186"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 xml:space="preserve">Busey evaluates loans with disparate risk characteristics on an individual basis. The following tables provide details of loans evaluated individually, segregated by loan category and lending activity. The unpaid principal balance represents customer outstanding contractual principal balances excluding any partial charge-offs. Recorded investment represents the amortized cost of customer balances net of any partial charge-offs recognized on the loan. Average recorded investment is calculated using the most recent four quarters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5"/>
          </w:tcPr>
          <w:p>
            <w:pPr>
              <w:ind w:left="340"/>
              <w:spacing w:after="0"/>
              <w:rPr>
                <w:sz w:val="20"/>
                <w:szCs w:val="20"/>
                <w:color w:val="auto"/>
              </w:rPr>
            </w:pPr>
            <w:r>
              <w:rPr>
                <w:rFonts w:ascii="Verdana" w:cs="Verdana" w:eastAsia="Verdana" w:hAnsi="Verdana"/>
                <w:sz w:val="13"/>
                <w:szCs w:val="13"/>
                <w:b w:val="1"/>
                <w:bCs w:val="1"/>
                <w:color w:val="auto"/>
              </w:rPr>
              <w:t>As of September 30, 2024</w:t>
            </w: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Verdana" w:cs="Verdana" w:eastAsia="Verdana" w:hAnsi="Verdana"/>
                <w:sz w:val="13"/>
                <w:szCs w:val="13"/>
                <w:b w:val="1"/>
                <w:bCs w:val="1"/>
                <w:color w:val="auto"/>
                <w:w w:val="93"/>
              </w:rPr>
              <w:t>Unpaid</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Verdana" w:cs="Verdana" w:eastAsia="Verdana" w:hAnsi="Verdana"/>
                <w:sz w:val="13"/>
                <w:szCs w:val="13"/>
                <w:b w:val="1"/>
                <w:bCs w:val="1"/>
                <w:color w:val="auto"/>
                <w:w w:val="97"/>
              </w:rPr>
              <w:t>Recorded Investment</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39"/>
              <w:spacing w:after="0"/>
              <w:rPr>
                <w:sz w:val="20"/>
                <w:szCs w:val="20"/>
                <w:color w:val="auto"/>
              </w:rPr>
            </w:pPr>
            <w:r>
              <w:rPr>
                <w:rFonts w:ascii="Verdana" w:cs="Verdana" w:eastAsia="Verdana" w:hAnsi="Verdana"/>
                <w:sz w:val="13"/>
                <w:szCs w:val="13"/>
                <w:b w:val="1"/>
                <w:bCs w:val="1"/>
                <w:color w:val="auto"/>
                <w:w w:val="96"/>
              </w:rPr>
              <w:t>Average</w:t>
            </w: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Verdana" w:cs="Verdana" w:eastAsia="Verdana" w:hAnsi="Verdana"/>
                <w:sz w:val="13"/>
                <w:szCs w:val="13"/>
                <w:b w:val="1"/>
                <w:bCs w:val="1"/>
                <w:color w:val="auto"/>
                <w:w w:val="96"/>
              </w:rPr>
              <w:t>Principal</w:t>
            </w:r>
          </w:p>
        </w:tc>
        <w:tc>
          <w:tcPr>
            <w:tcW w:w="240" w:type="dxa"/>
            <w:vAlign w:val="bottom"/>
          </w:tcPr>
          <w:p>
            <w:pPr>
              <w:spacing w:after="0"/>
              <w:rPr>
                <w:sz w:val="11"/>
                <w:szCs w:val="11"/>
                <w:color w:val="auto"/>
              </w:rPr>
            </w:pPr>
          </w:p>
        </w:tc>
        <w:tc>
          <w:tcPr>
            <w:tcW w:w="1200" w:type="dxa"/>
            <w:vAlign w:val="bottom"/>
          </w:tcPr>
          <w:p>
            <w:pPr>
              <w:jc w:val="right"/>
              <w:ind w:right="357"/>
              <w:spacing w:after="0" w:line="135" w:lineRule="exact"/>
              <w:rPr>
                <w:sz w:val="20"/>
                <w:szCs w:val="20"/>
                <w:color w:val="auto"/>
              </w:rPr>
            </w:pPr>
            <w:r>
              <w:rPr>
                <w:rFonts w:ascii="Verdana" w:cs="Verdana" w:eastAsia="Verdana" w:hAnsi="Verdana"/>
                <w:sz w:val="13"/>
                <w:szCs w:val="13"/>
                <w:b w:val="1"/>
                <w:bCs w:val="1"/>
                <w:color w:val="auto"/>
              </w:rPr>
              <w:t>With No</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2"/>
          </w:tcPr>
          <w:p>
            <w:pPr>
              <w:jc w:val="center"/>
              <w:ind w:right="360"/>
              <w:spacing w:after="0" w:line="135" w:lineRule="exact"/>
              <w:rPr>
                <w:sz w:val="20"/>
                <w:szCs w:val="20"/>
                <w:color w:val="auto"/>
              </w:rPr>
            </w:pPr>
            <w:r>
              <w:rPr>
                <w:rFonts w:ascii="Verdana" w:cs="Verdana" w:eastAsia="Verdana" w:hAnsi="Verdana"/>
                <w:sz w:val="13"/>
                <w:szCs w:val="13"/>
                <w:b w:val="1"/>
                <w:bCs w:val="1"/>
                <w:color w:val="auto"/>
                <w:w w:val="98"/>
              </w:rPr>
              <w:t>With</w:t>
            </w:r>
          </w:p>
        </w:tc>
        <w:tc>
          <w:tcPr>
            <w:tcW w:w="340" w:type="dxa"/>
            <w:vAlign w:val="bottom"/>
          </w:tcPr>
          <w:p>
            <w:pPr>
              <w:spacing w:after="0"/>
              <w:rPr>
                <w:sz w:val="11"/>
                <w:szCs w:val="11"/>
                <w:color w:val="auto"/>
              </w:rPr>
            </w:pPr>
          </w:p>
        </w:tc>
        <w:tc>
          <w:tcPr>
            <w:tcW w:w="1200" w:type="dxa"/>
            <w:vAlign w:val="bottom"/>
            <w:gridSpan w:val="2"/>
            <w:vMerge w:val="restart"/>
          </w:tcPr>
          <w:p>
            <w:pPr>
              <w:ind w:left="200"/>
              <w:spacing w:after="0"/>
              <w:rPr>
                <w:sz w:val="20"/>
                <w:szCs w:val="20"/>
                <w:color w:val="auto"/>
              </w:rPr>
            </w:pPr>
            <w:r>
              <w:rPr>
                <w:rFonts w:ascii="Verdana" w:cs="Verdana" w:eastAsia="Verdana" w:hAnsi="Verdana"/>
                <w:sz w:val="13"/>
                <w:szCs w:val="13"/>
                <w:b w:val="1"/>
                <w:bCs w:val="1"/>
                <w:color w:val="auto"/>
              </w:rPr>
              <w:t>Total</w:t>
            </w:r>
          </w:p>
        </w:tc>
        <w:tc>
          <w:tcPr>
            <w:tcW w:w="24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Verdana" w:cs="Verdana" w:eastAsia="Verdana" w:hAnsi="Verdana"/>
                <w:sz w:val="13"/>
                <w:szCs w:val="13"/>
                <w:b w:val="1"/>
                <w:bCs w:val="1"/>
                <w:color w:val="auto"/>
                <w:w w:val="96"/>
              </w:rPr>
              <w:t>Related</w:t>
            </w:r>
          </w:p>
        </w:tc>
        <w:tc>
          <w:tcPr>
            <w:tcW w:w="240" w:type="dxa"/>
            <w:vAlign w:val="bottom"/>
          </w:tcPr>
          <w:p>
            <w:pPr>
              <w:spacing w:after="0"/>
              <w:rPr>
                <w:sz w:val="11"/>
                <w:szCs w:val="11"/>
                <w:color w:val="auto"/>
              </w:rPr>
            </w:pPr>
          </w:p>
        </w:tc>
        <w:tc>
          <w:tcPr>
            <w:tcW w:w="1240" w:type="dxa"/>
            <w:vAlign w:val="bottom"/>
          </w:tcPr>
          <w:p>
            <w:pPr>
              <w:jc w:val="center"/>
              <w:ind w:right="139"/>
              <w:spacing w:after="0" w:line="135" w:lineRule="exact"/>
              <w:rPr>
                <w:sz w:val="20"/>
                <w:szCs w:val="20"/>
                <w:color w:val="auto"/>
              </w:rPr>
            </w:pPr>
            <w:r>
              <w:rPr>
                <w:rFonts w:ascii="Verdana" w:cs="Verdana" w:eastAsia="Verdana" w:hAnsi="Verdana"/>
                <w:sz w:val="13"/>
                <w:szCs w:val="13"/>
                <w:b w:val="1"/>
                <w:bCs w:val="1"/>
                <w:color w:val="auto"/>
                <w:w w:val="95"/>
              </w:rPr>
              <w:t>Recorded</w:t>
            </w:r>
          </w:p>
        </w:tc>
        <w:tc>
          <w:tcPr>
            <w:tcW w:w="0" w:type="dxa"/>
            <w:vAlign w:val="bottom"/>
          </w:tcPr>
          <w:p>
            <w:pPr>
              <w:spacing w:after="0"/>
              <w:rPr>
                <w:sz w:val="1"/>
                <w:szCs w:val="1"/>
                <w:color w:val="auto"/>
              </w:rPr>
            </w:pPr>
          </w:p>
        </w:tc>
      </w:tr>
      <w:tr>
        <w:trPr>
          <w:trHeight w:val="170"/>
        </w:trPr>
        <w:tc>
          <w:tcPr>
            <w:tcW w:w="2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Verdana" w:cs="Verdana" w:eastAsia="Verdana" w:hAnsi="Verdana"/>
                <w:sz w:val="13"/>
                <w:szCs w:val="13"/>
                <w:b w:val="1"/>
                <w:bCs w:val="1"/>
                <w:color w:val="auto"/>
                <w:w w:val="97"/>
              </w:rPr>
              <w:t>Balance</w:t>
            </w:r>
          </w:p>
        </w:tc>
        <w:tc>
          <w:tcPr>
            <w:tcW w:w="240" w:type="dxa"/>
            <w:vAlign w:val="bottom"/>
          </w:tcPr>
          <w:p>
            <w:pPr>
              <w:spacing w:after="0"/>
              <w:rPr>
                <w:sz w:val="14"/>
                <w:szCs w:val="14"/>
                <w:color w:val="auto"/>
              </w:rPr>
            </w:pPr>
          </w:p>
        </w:tc>
        <w:tc>
          <w:tcPr>
            <w:tcW w:w="1200" w:type="dxa"/>
            <w:vAlign w:val="bottom"/>
          </w:tcPr>
          <w:p>
            <w:pPr>
              <w:jc w:val="right"/>
              <w:ind w:right="277"/>
              <w:spacing w:after="0"/>
              <w:rPr>
                <w:sz w:val="20"/>
                <w:szCs w:val="20"/>
                <w:color w:val="auto"/>
              </w:rPr>
            </w:pPr>
            <w:r>
              <w:rPr>
                <w:rFonts w:ascii="Verdana" w:cs="Verdana" w:eastAsia="Verdana" w:hAnsi="Verdana"/>
                <w:sz w:val="13"/>
                <w:szCs w:val="13"/>
                <w:b w:val="1"/>
                <w:bCs w:val="1"/>
                <w:color w:val="auto"/>
              </w:rPr>
              <w:t>Allowance</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Verdana" w:cs="Verdana" w:eastAsia="Verdana" w:hAnsi="Verdana"/>
                <w:sz w:val="13"/>
                <w:szCs w:val="13"/>
                <w:b w:val="1"/>
                <w:bCs w:val="1"/>
                <w:color w:val="auto"/>
                <w:w w:val="96"/>
              </w:rPr>
              <w:t>Allowance</w:t>
            </w:r>
          </w:p>
        </w:tc>
        <w:tc>
          <w:tcPr>
            <w:tcW w:w="3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Verdana" w:cs="Verdana" w:eastAsia="Verdana" w:hAnsi="Verdana"/>
                <w:sz w:val="13"/>
                <w:szCs w:val="13"/>
                <w:b w:val="1"/>
                <w:bCs w:val="1"/>
                <w:color w:val="auto"/>
                <w:w w:val="96"/>
              </w:rPr>
              <w:t>Allowance</w:t>
            </w:r>
          </w:p>
        </w:tc>
        <w:tc>
          <w:tcPr>
            <w:tcW w:w="240" w:type="dxa"/>
            <w:vAlign w:val="bottom"/>
          </w:tcPr>
          <w:p>
            <w:pPr>
              <w:spacing w:after="0"/>
              <w:rPr>
                <w:sz w:val="14"/>
                <w:szCs w:val="14"/>
                <w:color w:val="auto"/>
              </w:rPr>
            </w:pPr>
          </w:p>
        </w:tc>
        <w:tc>
          <w:tcPr>
            <w:tcW w:w="1240" w:type="dxa"/>
            <w:vAlign w:val="bottom"/>
          </w:tcPr>
          <w:p>
            <w:pPr>
              <w:jc w:val="center"/>
              <w:ind w:right="139"/>
              <w:spacing w:after="0"/>
              <w:rPr>
                <w:sz w:val="20"/>
                <w:szCs w:val="20"/>
                <w:color w:val="auto"/>
              </w:rPr>
            </w:pPr>
            <w:r>
              <w:rPr>
                <w:rFonts w:ascii="Verdana" w:cs="Verdana" w:eastAsia="Verdana" w:hAnsi="Verdana"/>
                <w:sz w:val="13"/>
                <w:szCs w:val="13"/>
                <w:b w:val="1"/>
                <w:bCs w:val="1"/>
                <w:color w:val="auto"/>
                <w:w w:val="96"/>
              </w:rPr>
              <w:t>Investment</w:t>
            </w:r>
          </w:p>
        </w:tc>
        <w:tc>
          <w:tcPr>
            <w:tcW w:w="0" w:type="dxa"/>
            <w:vAlign w:val="bottom"/>
          </w:tcPr>
          <w:p>
            <w:pPr>
              <w:spacing w:after="0"/>
              <w:rPr>
                <w:sz w:val="1"/>
                <w:szCs w:val="1"/>
                <w:color w:val="auto"/>
              </w:rPr>
            </w:pPr>
          </w:p>
        </w:tc>
      </w:tr>
      <w:tr>
        <w:trPr>
          <w:trHeight w:val="223"/>
        </w:trPr>
        <w:tc>
          <w:tcPr>
            <w:tcW w:w="20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Loans evaluated</w:t>
            </w:r>
          </w:p>
        </w:tc>
        <w:tc>
          <w:tcPr>
            <w:tcW w:w="280" w:type="dxa"/>
            <w:vAlign w:val="bottom"/>
            <w:tcBorders>
              <w:top w:val="single" w:sz="8" w:color="auto"/>
            </w:tcBorders>
            <w:shd w:val="clear" w:color="auto" w:fill="E0E7ED"/>
          </w:tcPr>
          <w:p>
            <w:pPr>
              <w:spacing w:after="0"/>
              <w:rPr>
                <w:sz w:val="19"/>
                <w:szCs w:val="19"/>
                <w:color w:val="auto"/>
              </w:rPr>
            </w:pPr>
          </w:p>
        </w:tc>
        <w:tc>
          <w:tcPr>
            <w:tcW w:w="116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40" w:type="dxa"/>
            <w:vAlign w:val="bottom"/>
            <w:tcBorders>
              <w:top w:val="single" w:sz="8" w:color="auto"/>
            </w:tcBorders>
            <w:shd w:val="clear" w:color="auto" w:fill="E0E7ED"/>
          </w:tcPr>
          <w:p>
            <w:pPr>
              <w:spacing w:after="0"/>
              <w:rPr>
                <w:sz w:val="19"/>
                <w:szCs w:val="19"/>
                <w:color w:val="auto"/>
              </w:rPr>
            </w:pPr>
          </w:p>
        </w:tc>
        <w:tc>
          <w:tcPr>
            <w:tcW w:w="12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60" w:type="dxa"/>
            <w:vAlign w:val="bottom"/>
            <w:tcBorders>
              <w:top w:val="single" w:sz="8" w:color="auto"/>
            </w:tcBorders>
            <w:shd w:val="clear" w:color="auto" w:fill="E0E7ED"/>
          </w:tcPr>
          <w:p>
            <w:pPr>
              <w:spacing w:after="0"/>
              <w:rPr>
                <w:sz w:val="19"/>
                <w:szCs w:val="19"/>
                <w:color w:val="auto"/>
              </w:rPr>
            </w:pPr>
          </w:p>
        </w:tc>
        <w:tc>
          <w:tcPr>
            <w:tcW w:w="12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340" w:type="dxa"/>
            <w:vAlign w:val="bottom"/>
            <w:tcBorders>
              <w:top w:val="single" w:sz="8" w:color="auto"/>
            </w:tcBorders>
            <w:shd w:val="clear" w:color="auto" w:fill="E0E7ED"/>
          </w:tcPr>
          <w:p>
            <w:pPr>
              <w:spacing w:after="0"/>
              <w:rPr>
                <w:sz w:val="19"/>
                <w:szCs w:val="19"/>
                <w:color w:val="auto"/>
              </w:rPr>
            </w:pPr>
          </w:p>
        </w:tc>
        <w:tc>
          <w:tcPr>
            <w:tcW w:w="11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40" w:type="dxa"/>
            <w:vAlign w:val="bottom"/>
            <w:tcBorders>
              <w:top w:val="single" w:sz="8" w:color="auto"/>
            </w:tcBorders>
            <w:shd w:val="clear" w:color="auto" w:fill="E0E7ED"/>
          </w:tcPr>
          <w:p>
            <w:pPr>
              <w:spacing w:after="0"/>
              <w:rPr>
                <w:sz w:val="19"/>
                <w:szCs w:val="19"/>
                <w:color w:val="auto"/>
              </w:rPr>
            </w:pPr>
          </w:p>
        </w:tc>
        <w:tc>
          <w:tcPr>
            <w:tcW w:w="122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40" w:type="dxa"/>
            <w:vAlign w:val="bottom"/>
            <w:tcBorders>
              <w:top w:val="single" w:sz="8" w:color="auto"/>
            </w:tcBorders>
            <w:shd w:val="clear" w:color="auto" w:fill="E0E7ED"/>
          </w:tcPr>
          <w:p>
            <w:pPr>
              <w:spacing w:after="0"/>
              <w:rPr>
                <w:sz w:val="19"/>
                <w:szCs w:val="19"/>
                <w:color w:val="auto"/>
              </w:rPr>
            </w:pPr>
          </w:p>
        </w:tc>
        <w:tc>
          <w:tcPr>
            <w:tcW w:w="124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individually</w:t>
            </w:r>
          </w:p>
        </w:tc>
        <w:tc>
          <w:tcPr>
            <w:tcW w:w="280" w:type="dxa"/>
            <w:vAlign w:val="bottom"/>
            <w:shd w:val="clear" w:color="auto" w:fill="E0E7ED"/>
          </w:tcPr>
          <w:p>
            <w:pPr>
              <w:spacing w:after="0"/>
              <w:rPr>
                <w:sz w:val="21"/>
                <w:szCs w:val="21"/>
                <w:color w:val="auto"/>
              </w:rPr>
            </w:pPr>
          </w:p>
        </w:tc>
        <w:tc>
          <w:tcPr>
            <w:tcW w:w="11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40" w:type="dxa"/>
            <w:vAlign w:val="bottom"/>
          </w:tcPr>
          <w:p>
            <w:pPr>
              <w:ind w:left="20"/>
              <w:spacing w:after="0"/>
              <w:rPr>
                <w:sz w:val="20"/>
                <w:szCs w:val="20"/>
                <w:color w:val="auto"/>
              </w:rPr>
            </w:pPr>
            <w:r>
              <w:rPr>
                <w:rFonts w:ascii="Verdana" w:cs="Verdana" w:eastAsia="Verdana" w:hAnsi="Verdana"/>
                <w:sz w:val="18"/>
                <w:szCs w:val="18"/>
                <w:b w:val="1"/>
                <w:bCs w:val="1"/>
                <w:color w:val="auto"/>
              </w:rPr>
              <w:t>Commercial loans</w:t>
            </w: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C&amp;I and other</w:t>
            </w:r>
          </w:p>
        </w:tc>
        <w:tc>
          <w:tcPr>
            <w:tcW w:w="280" w:type="dxa"/>
            <w:vAlign w:val="bottom"/>
            <w:shd w:val="clear" w:color="auto" w:fill="E0E7ED"/>
          </w:tcPr>
          <w:p>
            <w:pPr>
              <w:spacing w:after="0"/>
              <w:rPr>
                <w:sz w:val="21"/>
                <w:szCs w:val="21"/>
                <w:color w:val="auto"/>
              </w:rPr>
            </w:pPr>
          </w:p>
        </w:tc>
        <w:tc>
          <w:tcPr>
            <w:tcW w:w="11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0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w:t>
            </w:r>
          </w:p>
        </w:tc>
        <w:tc>
          <w:tcPr>
            <w:tcW w:w="280" w:type="dxa"/>
            <w:vAlign w:val="bottom"/>
            <w:shd w:val="clear" w:color="auto" w:fill="E0E7ED"/>
          </w:tcPr>
          <w:p>
            <w:pPr>
              <w:jc w:val="right"/>
              <w:ind w:right="50"/>
              <w:spacing w:after="0"/>
              <w:rPr>
                <w:sz w:val="20"/>
                <w:szCs w:val="20"/>
                <w:color w:val="auto"/>
              </w:rPr>
            </w:pPr>
            <w:r>
              <w:rPr>
                <w:rFonts w:ascii="Verdana" w:cs="Verdana" w:eastAsia="Verdana" w:hAnsi="Verdana"/>
                <w:sz w:val="18"/>
                <w:szCs w:val="18"/>
                <w:color w:val="auto"/>
              </w:rPr>
              <w:t>$</w:t>
            </w:r>
          </w:p>
        </w:tc>
        <w:tc>
          <w:tcPr>
            <w:tcW w:w="116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7,821</w:t>
            </w: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w w:val="86"/>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1,758</w:t>
            </w:r>
          </w:p>
        </w:tc>
        <w:tc>
          <w:tcPr>
            <w:tcW w:w="36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8"/>
                <w:szCs w:val="18"/>
                <w:color w:val="auto"/>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2,479</w:t>
            </w: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1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4,237</w:t>
            </w: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w w:val="86"/>
              </w:rPr>
              <w:t>$</w:t>
            </w:r>
          </w:p>
        </w:tc>
        <w:tc>
          <w:tcPr>
            <w:tcW w:w="122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1,863</w:t>
            </w: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5,379</w:t>
            </w:r>
          </w:p>
        </w:tc>
        <w:tc>
          <w:tcPr>
            <w:tcW w:w="0" w:type="dxa"/>
            <w:vAlign w:val="bottom"/>
          </w:tcPr>
          <w:p>
            <w:pPr>
              <w:spacing w:after="0"/>
              <w:rPr>
                <w:sz w:val="1"/>
                <w:szCs w:val="1"/>
                <w:color w:val="auto"/>
              </w:rPr>
            </w:pPr>
          </w:p>
        </w:tc>
      </w:tr>
      <w:tr>
        <w:trPr>
          <w:trHeight w:val="238"/>
        </w:trPr>
        <w:tc>
          <w:tcPr>
            <w:tcW w:w="2040" w:type="dxa"/>
            <w:vAlign w:val="bottom"/>
          </w:tcPr>
          <w:p>
            <w:pPr>
              <w:ind w:left="180"/>
              <w:spacing w:after="0"/>
              <w:rPr>
                <w:sz w:val="20"/>
                <w:szCs w:val="20"/>
                <w:color w:val="auto"/>
              </w:rPr>
            </w:pPr>
            <w:r>
              <w:rPr>
                <w:rFonts w:ascii="Verdana" w:cs="Verdana" w:eastAsia="Verdana" w:hAnsi="Verdana"/>
                <w:sz w:val="18"/>
                <w:szCs w:val="18"/>
                <w:color w:val="auto"/>
              </w:rPr>
              <w:t>Commercial real</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40" w:type="dxa"/>
            <w:vAlign w:val="bottom"/>
          </w:tcPr>
          <w:p>
            <w:pPr>
              <w:ind w:left="180"/>
              <w:spacing w:after="0"/>
              <w:rPr>
                <w:sz w:val="20"/>
                <w:szCs w:val="20"/>
                <w:color w:val="auto"/>
              </w:rPr>
            </w:pPr>
            <w:r>
              <w:rPr>
                <w:rFonts w:ascii="Verdana" w:cs="Verdana" w:eastAsia="Verdana" w:hAnsi="Verdana"/>
                <w:sz w:val="18"/>
                <w:szCs w:val="18"/>
                <w:color w:val="auto"/>
              </w:rPr>
              <w:t>estate</w:t>
            </w:r>
          </w:p>
        </w:tc>
        <w:tc>
          <w:tcPr>
            <w:tcW w:w="28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Verdana" w:cs="Verdana" w:eastAsia="Verdana" w:hAnsi="Verdana"/>
                <w:sz w:val="18"/>
                <w:szCs w:val="18"/>
                <w:color w:val="auto"/>
              </w:rPr>
              <w:t>516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492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Verdana" w:cs="Verdana" w:eastAsia="Verdana" w:hAnsi="Verdana"/>
                <w:sz w:val="18"/>
                <w:szCs w:val="18"/>
                <w:color w:val="auto"/>
              </w:rPr>
              <w:t>492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Verdana" w:cs="Verdana" w:eastAsia="Verdana" w:hAnsi="Verdana"/>
                <w:sz w:val="18"/>
                <w:szCs w:val="18"/>
                <w:color w:val="auto"/>
              </w:rPr>
              <w:t>1,163</w:t>
            </w:r>
          </w:p>
        </w:tc>
        <w:tc>
          <w:tcPr>
            <w:tcW w:w="0" w:type="dxa"/>
            <w:vAlign w:val="bottom"/>
          </w:tcPr>
          <w:p>
            <w:pPr>
              <w:spacing w:after="0"/>
              <w:rPr>
                <w:sz w:val="1"/>
                <w:szCs w:val="1"/>
                <w:color w:val="auto"/>
              </w:rPr>
            </w:pPr>
          </w:p>
        </w:tc>
      </w:tr>
      <w:tr>
        <w:trPr>
          <w:trHeight w:val="224"/>
        </w:trPr>
        <w:tc>
          <w:tcPr>
            <w:tcW w:w="20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Commercial loans</w:t>
            </w:r>
          </w:p>
        </w:tc>
        <w:tc>
          <w:tcPr>
            <w:tcW w:w="280" w:type="dxa"/>
            <w:vAlign w:val="bottom"/>
            <w:tcBorders>
              <w:top w:val="single" w:sz="8" w:color="auto"/>
            </w:tcBorders>
            <w:shd w:val="clear" w:color="auto" w:fill="E0E7ED"/>
          </w:tcPr>
          <w:p>
            <w:pPr>
              <w:spacing w:after="0"/>
              <w:rPr>
                <w:sz w:val="19"/>
                <w:szCs w:val="19"/>
                <w:color w:val="auto"/>
              </w:rPr>
            </w:pPr>
          </w:p>
        </w:tc>
        <w:tc>
          <w:tcPr>
            <w:tcW w:w="116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40" w:type="dxa"/>
            <w:vAlign w:val="bottom"/>
            <w:tcBorders>
              <w:top w:val="single" w:sz="8" w:color="auto"/>
            </w:tcBorders>
            <w:shd w:val="clear" w:color="auto" w:fill="E0E7ED"/>
          </w:tcPr>
          <w:p>
            <w:pPr>
              <w:spacing w:after="0"/>
              <w:rPr>
                <w:sz w:val="19"/>
                <w:szCs w:val="19"/>
                <w:color w:val="auto"/>
              </w:rPr>
            </w:pPr>
          </w:p>
        </w:tc>
        <w:tc>
          <w:tcPr>
            <w:tcW w:w="12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60" w:type="dxa"/>
            <w:vAlign w:val="bottom"/>
            <w:tcBorders>
              <w:top w:val="single" w:sz="8" w:color="auto"/>
            </w:tcBorders>
            <w:shd w:val="clear" w:color="auto" w:fill="E0E7ED"/>
          </w:tcPr>
          <w:p>
            <w:pPr>
              <w:spacing w:after="0"/>
              <w:rPr>
                <w:sz w:val="19"/>
                <w:szCs w:val="19"/>
                <w:color w:val="auto"/>
              </w:rPr>
            </w:pPr>
          </w:p>
        </w:tc>
        <w:tc>
          <w:tcPr>
            <w:tcW w:w="12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340" w:type="dxa"/>
            <w:vAlign w:val="bottom"/>
            <w:tcBorders>
              <w:top w:val="single" w:sz="8" w:color="auto"/>
            </w:tcBorders>
            <w:shd w:val="clear" w:color="auto" w:fill="E0E7ED"/>
          </w:tcPr>
          <w:p>
            <w:pPr>
              <w:spacing w:after="0"/>
              <w:rPr>
                <w:sz w:val="19"/>
                <w:szCs w:val="19"/>
                <w:color w:val="auto"/>
              </w:rPr>
            </w:pPr>
          </w:p>
        </w:tc>
        <w:tc>
          <w:tcPr>
            <w:tcW w:w="11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40" w:type="dxa"/>
            <w:vAlign w:val="bottom"/>
            <w:tcBorders>
              <w:top w:val="single" w:sz="8" w:color="auto"/>
            </w:tcBorders>
            <w:shd w:val="clear" w:color="auto" w:fill="E0E7ED"/>
          </w:tcPr>
          <w:p>
            <w:pPr>
              <w:spacing w:after="0"/>
              <w:rPr>
                <w:sz w:val="19"/>
                <w:szCs w:val="19"/>
                <w:color w:val="auto"/>
              </w:rPr>
            </w:pPr>
          </w:p>
        </w:tc>
        <w:tc>
          <w:tcPr>
            <w:tcW w:w="122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40" w:type="dxa"/>
            <w:vAlign w:val="bottom"/>
            <w:tcBorders>
              <w:top w:val="single" w:sz="8" w:color="auto"/>
            </w:tcBorders>
            <w:shd w:val="clear" w:color="auto" w:fill="E0E7ED"/>
          </w:tcPr>
          <w:p>
            <w:pPr>
              <w:spacing w:after="0"/>
              <w:rPr>
                <w:sz w:val="19"/>
                <w:szCs w:val="19"/>
                <w:color w:val="auto"/>
              </w:rPr>
            </w:pPr>
          </w:p>
        </w:tc>
        <w:tc>
          <w:tcPr>
            <w:tcW w:w="124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evaluated individually</w:t>
            </w:r>
          </w:p>
        </w:tc>
        <w:tc>
          <w:tcPr>
            <w:tcW w:w="280" w:type="dxa"/>
            <w:vAlign w:val="bottom"/>
            <w:tcBorders>
              <w:bottom w:val="single" w:sz="8" w:color="auto"/>
            </w:tcBorders>
            <w:shd w:val="clear" w:color="auto" w:fill="E0E7ED"/>
          </w:tcPr>
          <w:p>
            <w:pPr>
              <w:spacing w:after="0"/>
              <w:rPr>
                <w:sz w:val="21"/>
                <w:szCs w:val="21"/>
                <w:color w:val="auto"/>
              </w:rPr>
            </w:pPr>
          </w:p>
        </w:tc>
        <w:tc>
          <w:tcPr>
            <w:tcW w:w="1160" w:type="dxa"/>
            <w:vAlign w:val="bottom"/>
            <w:tcBorders>
              <w:bottom w:val="single" w:sz="8" w:color="auto"/>
            </w:tcBorders>
            <w:shd w:val="clear" w:color="auto" w:fill="E0E7ED"/>
          </w:tcPr>
          <w:p>
            <w:pPr>
              <w:jc w:val="right"/>
              <w:ind w:right="19"/>
              <w:spacing w:after="0"/>
              <w:rPr>
                <w:sz w:val="20"/>
                <w:szCs w:val="20"/>
                <w:color w:val="auto"/>
              </w:rPr>
            </w:pPr>
            <w:r>
              <w:rPr>
                <w:rFonts w:ascii="Verdana" w:cs="Verdana" w:eastAsia="Verdana" w:hAnsi="Verdana"/>
                <w:sz w:val="18"/>
                <w:szCs w:val="18"/>
                <w:color w:val="auto"/>
              </w:rPr>
              <w:t>8,337</w:t>
            </w:r>
          </w:p>
        </w:tc>
        <w:tc>
          <w:tcPr>
            <w:tcW w:w="100" w:type="dxa"/>
            <w:vAlign w:val="bottom"/>
            <w:shd w:val="clear" w:color="auto" w:fill="E0E7ED"/>
          </w:tcPr>
          <w:p>
            <w:pPr>
              <w:spacing w:after="0"/>
              <w:rPr>
                <w:sz w:val="21"/>
                <w:szCs w:val="21"/>
                <w:color w:val="auto"/>
              </w:rPr>
            </w:pPr>
          </w:p>
        </w:tc>
        <w:tc>
          <w:tcPr>
            <w:tcW w:w="240" w:type="dxa"/>
            <w:vAlign w:val="bottom"/>
            <w:tcBorders>
              <w:bottom w:val="single" w:sz="8" w:color="auto"/>
            </w:tcBorders>
            <w:shd w:val="clear" w:color="auto" w:fill="E0E7ED"/>
          </w:tcPr>
          <w:p>
            <w:pPr>
              <w:spacing w:after="0"/>
              <w:rPr>
                <w:sz w:val="21"/>
                <w:szCs w:val="21"/>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2,250</w:t>
            </w:r>
          </w:p>
        </w:tc>
        <w:tc>
          <w:tcPr>
            <w:tcW w:w="100" w:type="dxa"/>
            <w:vAlign w:val="bottom"/>
            <w:shd w:val="clear" w:color="auto" w:fill="E0E7ED"/>
          </w:tcPr>
          <w:p>
            <w:pPr>
              <w:spacing w:after="0"/>
              <w:rPr>
                <w:sz w:val="21"/>
                <w:szCs w:val="21"/>
                <w:color w:val="auto"/>
              </w:rPr>
            </w:pPr>
          </w:p>
        </w:tc>
        <w:tc>
          <w:tcPr>
            <w:tcW w:w="260" w:type="dxa"/>
            <w:vAlign w:val="bottom"/>
            <w:tcBorders>
              <w:bottom w:val="single" w:sz="8" w:color="auto"/>
            </w:tcBorders>
            <w:shd w:val="clear" w:color="auto" w:fill="E0E7ED"/>
          </w:tcPr>
          <w:p>
            <w:pPr>
              <w:spacing w:after="0"/>
              <w:rPr>
                <w:sz w:val="21"/>
                <w:szCs w:val="21"/>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2,479</w:t>
            </w:r>
          </w:p>
        </w:tc>
        <w:tc>
          <w:tcPr>
            <w:tcW w:w="100" w:type="dxa"/>
            <w:vAlign w:val="bottom"/>
            <w:shd w:val="clear" w:color="auto" w:fill="E0E7ED"/>
          </w:tcPr>
          <w:p>
            <w:pPr>
              <w:spacing w:after="0"/>
              <w:rPr>
                <w:sz w:val="21"/>
                <w:szCs w:val="21"/>
                <w:color w:val="auto"/>
              </w:rPr>
            </w:pPr>
          </w:p>
        </w:tc>
        <w:tc>
          <w:tcPr>
            <w:tcW w:w="340" w:type="dxa"/>
            <w:vAlign w:val="bottom"/>
            <w:tcBorders>
              <w:bottom w:val="single" w:sz="8" w:color="auto"/>
            </w:tcBorders>
            <w:shd w:val="clear" w:color="auto" w:fill="E0E7ED"/>
          </w:tcPr>
          <w:p>
            <w:pPr>
              <w:spacing w:after="0"/>
              <w:rPr>
                <w:sz w:val="21"/>
                <w:szCs w:val="21"/>
                <w:color w:val="auto"/>
              </w:rPr>
            </w:pPr>
          </w:p>
        </w:tc>
        <w:tc>
          <w:tcPr>
            <w:tcW w:w="11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4,729</w:t>
            </w:r>
          </w:p>
        </w:tc>
        <w:tc>
          <w:tcPr>
            <w:tcW w:w="100" w:type="dxa"/>
            <w:vAlign w:val="bottom"/>
            <w:shd w:val="clear" w:color="auto" w:fill="E0E7ED"/>
          </w:tcPr>
          <w:p>
            <w:pPr>
              <w:spacing w:after="0"/>
              <w:rPr>
                <w:sz w:val="21"/>
                <w:szCs w:val="21"/>
                <w:color w:val="auto"/>
              </w:rPr>
            </w:pPr>
          </w:p>
        </w:tc>
        <w:tc>
          <w:tcPr>
            <w:tcW w:w="240" w:type="dxa"/>
            <w:vAlign w:val="bottom"/>
            <w:tcBorders>
              <w:bottom w:val="single" w:sz="8" w:color="auto"/>
            </w:tcBorders>
            <w:shd w:val="clear" w:color="auto" w:fill="E0E7ED"/>
          </w:tcPr>
          <w:p>
            <w:pPr>
              <w:spacing w:after="0"/>
              <w:rPr>
                <w:sz w:val="21"/>
                <w:szCs w:val="21"/>
                <w:color w:val="auto"/>
              </w:rPr>
            </w:pPr>
          </w:p>
        </w:tc>
        <w:tc>
          <w:tcPr>
            <w:tcW w:w="12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8"/>
                <w:szCs w:val="18"/>
                <w:color w:val="auto"/>
              </w:rPr>
              <w:t>1,863</w:t>
            </w:r>
          </w:p>
        </w:tc>
        <w:tc>
          <w:tcPr>
            <w:tcW w:w="80" w:type="dxa"/>
            <w:vAlign w:val="bottom"/>
            <w:shd w:val="clear" w:color="auto" w:fill="E0E7ED"/>
          </w:tcPr>
          <w:p>
            <w:pPr>
              <w:spacing w:after="0"/>
              <w:rPr>
                <w:sz w:val="21"/>
                <w:szCs w:val="21"/>
                <w:color w:val="auto"/>
              </w:rPr>
            </w:pPr>
          </w:p>
        </w:tc>
        <w:tc>
          <w:tcPr>
            <w:tcW w:w="240" w:type="dxa"/>
            <w:vAlign w:val="bottom"/>
            <w:tcBorders>
              <w:bottom w:val="single" w:sz="8" w:color="auto"/>
            </w:tcBorders>
            <w:shd w:val="clear" w:color="auto" w:fill="E0E7ED"/>
          </w:tcPr>
          <w:p>
            <w:pPr>
              <w:spacing w:after="0"/>
              <w:rPr>
                <w:sz w:val="21"/>
                <w:szCs w:val="21"/>
                <w:color w:val="auto"/>
              </w:rPr>
            </w:pPr>
          </w:p>
        </w:tc>
        <w:tc>
          <w:tcPr>
            <w:tcW w:w="1240" w:type="dxa"/>
            <w:vAlign w:val="bottom"/>
            <w:tcBorders>
              <w:bottom w:val="single" w:sz="8" w:color="auto"/>
            </w:tcBorders>
            <w:shd w:val="clear" w:color="auto" w:fill="E0E7ED"/>
          </w:tcPr>
          <w:p>
            <w:pPr>
              <w:jc w:val="right"/>
              <w:ind w:right="19"/>
              <w:spacing w:after="0"/>
              <w:rPr>
                <w:sz w:val="20"/>
                <w:szCs w:val="20"/>
                <w:color w:val="auto"/>
              </w:rPr>
            </w:pPr>
            <w:r>
              <w:rPr>
                <w:rFonts w:ascii="Verdana" w:cs="Verdana" w:eastAsia="Verdana" w:hAnsi="Verdana"/>
                <w:sz w:val="18"/>
                <w:szCs w:val="18"/>
                <w:color w:val="auto"/>
              </w:rPr>
              <w:t>6,542</w:t>
            </w:r>
          </w:p>
        </w:tc>
        <w:tc>
          <w:tcPr>
            <w:tcW w:w="0" w:type="dxa"/>
            <w:vAlign w:val="bottom"/>
          </w:tcPr>
          <w:p>
            <w:pPr>
              <w:spacing w:after="0"/>
              <w:rPr>
                <w:sz w:val="1"/>
                <w:szCs w:val="1"/>
                <w:color w:val="auto"/>
              </w:rPr>
            </w:pPr>
          </w:p>
        </w:tc>
      </w:tr>
      <w:tr>
        <w:trPr>
          <w:trHeight w:val="243"/>
        </w:trPr>
        <w:tc>
          <w:tcPr>
            <w:tcW w:w="2040" w:type="dxa"/>
            <w:vAlign w:val="bottom"/>
          </w:tcPr>
          <w:p>
            <w:pPr>
              <w:ind w:left="20"/>
              <w:spacing w:after="0"/>
              <w:rPr>
                <w:sz w:val="20"/>
                <w:szCs w:val="20"/>
                <w:color w:val="auto"/>
              </w:rPr>
            </w:pPr>
            <w:r>
              <w:rPr>
                <w:rFonts w:ascii="Verdana" w:cs="Verdana" w:eastAsia="Verdana" w:hAnsi="Verdana"/>
                <w:sz w:val="18"/>
                <w:szCs w:val="18"/>
                <w:b w:val="1"/>
                <w:bCs w:val="1"/>
                <w:color w:val="auto"/>
              </w:rPr>
              <w:t>Retail loans</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280" w:type="dxa"/>
            <w:vAlign w:val="bottom"/>
            <w:shd w:val="clear" w:color="auto" w:fill="E0E7ED"/>
          </w:tcPr>
          <w:p>
            <w:pPr>
              <w:spacing w:after="0"/>
              <w:rPr>
                <w:sz w:val="24"/>
                <w:szCs w:val="24"/>
                <w:color w:val="auto"/>
              </w:rPr>
            </w:pPr>
          </w:p>
        </w:tc>
        <w:tc>
          <w:tcPr>
            <w:tcW w:w="1260" w:type="dxa"/>
            <w:vAlign w:val="bottom"/>
            <w:gridSpan w:val="2"/>
            <w:shd w:val="clear" w:color="auto" w:fill="E0E7ED"/>
          </w:tcPr>
          <w:p>
            <w:pPr>
              <w:jc w:val="right"/>
              <w:ind w:right="200"/>
              <w:spacing w:after="0"/>
              <w:rPr>
                <w:sz w:val="20"/>
                <w:szCs w:val="20"/>
                <w:color w:val="auto"/>
              </w:rPr>
            </w:pPr>
            <w:r>
              <w:rPr>
                <w:rFonts w:ascii="Verdana" w:cs="Verdana" w:eastAsia="Verdana" w:hAnsi="Verdana"/>
                <w:sz w:val="18"/>
                <w:szCs w:val="18"/>
                <w:color w:val="auto"/>
              </w:rPr>
              <w:t>—</w:t>
            </w:r>
          </w:p>
        </w:tc>
        <w:tc>
          <w:tcPr>
            <w:tcW w:w="24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3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40" w:type="dxa"/>
            <w:vAlign w:val="bottom"/>
            <w:shd w:val="clear" w:color="auto" w:fill="E0E7ED"/>
          </w:tcPr>
          <w:p>
            <w:pPr>
              <w:spacing w:after="0"/>
              <w:rPr>
                <w:sz w:val="24"/>
                <w:szCs w:val="24"/>
                <w:color w:val="auto"/>
              </w:rPr>
            </w:pPr>
          </w:p>
        </w:tc>
        <w:tc>
          <w:tcPr>
            <w:tcW w:w="12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40" w:type="dxa"/>
            <w:vAlign w:val="bottom"/>
            <w:shd w:val="clear" w:color="auto" w:fill="E0E7ED"/>
          </w:tcPr>
          <w:p>
            <w:pPr>
              <w:spacing w:after="0"/>
              <w:rPr>
                <w:sz w:val="24"/>
                <w:szCs w:val="24"/>
                <w:color w:val="auto"/>
              </w:rPr>
            </w:pPr>
          </w:p>
        </w:tc>
        <w:tc>
          <w:tcPr>
            <w:tcW w:w="13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4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67</w:t>
            </w:r>
          </w:p>
        </w:tc>
        <w:tc>
          <w:tcPr>
            <w:tcW w:w="0" w:type="dxa"/>
            <w:vAlign w:val="bottom"/>
          </w:tcPr>
          <w:p>
            <w:pPr>
              <w:spacing w:after="0"/>
              <w:rPr>
                <w:sz w:val="1"/>
                <w:szCs w:val="1"/>
                <w:color w:val="auto"/>
              </w:rPr>
            </w:pPr>
          </w:p>
        </w:tc>
      </w:tr>
      <w:tr>
        <w:trPr>
          <w:trHeight w:val="218"/>
        </w:trPr>
        <w:tc>
          <w:tcPr>
            <w:tcW w:w="2040" w:type="dxa"/>
            <w:vAlign w:val="bottom"/>
          </w:tcPr>
          <w:p>
            <w:pPr>
              <w:ind w:left="20"/>
              <w:spacing w:after="0" w:line="217" w:lineRule="exact"/>
              <w:rPr>
                <w:sz w:val="20"/>
                <w:szCs w:val="20"/>
                <w:color w:val="auto"/>
              </w:rPr>
            </w:pPr>
            <w:r>
              <w:rPr>
                <w:rFonts w:ascii="Verdana" w:cs="Verdana" w:eastAsia="Verdana" w:hAnsi="Verdana"/>
                <w:sz w:val="18"/>
                <w:szCs w:val="18"/>
                <w:color w:val="auto"/>
              </w:rPr>
              <w:t>Retail loans evaluated</w:t>
            </w: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40" w:type="dxa"/>
            <w:vAlign w:val="bottom"/>
            <w:tcBorders>
              <w:bottom w:val="single" w:sz="8" w:color="E0E7ED"/>
            </w:tcBorders>
          </w:tcPr>
          <w:p>
            <w:pPr>
              <w:ind w:left="20"/>
              <w:spacing w:after="0"/>
              <w:rPr>
                <w:sz w:val="20"/>
                <w:szCs w:val="20"/>
                <w:color w:val="auto"/>
              </w:rPr>
            </w:pPr>
            <w:r>
              <w:rPr>
                <w:rFonts w:ascii="Verdana" w:cs="Verdana" w:eastAsia="Verdana" w:hAnsi="Verdana"/>
                <w:sz w:val="18"/>
                <w:szCs w:val="18"/>
                <w:color w:val="auto"/>
              </w:rPr>
              <w:t>individually</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8"/>
                <w:szCs w:val="18"/>
                <w:color w:val="auto"/>
              </w:rPr>
              <w:t>—</w:t>
            </w:r>
          </w:p>
        </w:tc>
        <w:tc>
          <w:tcPr>
            <w:tcW w:w="100" w:type="dxa"/>
            <w:vAlign w:val="bottom"/>
            <w:tcBorders>
              <w:bottom w:val="single" w:sz="8" w:color="E0E7ED"/>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00" w:type="dxa"/>
            <w:vAlign w:val="bottom"/>
            <w:tcBorders>
              <w:bottom w:val="single" w:sz="8" w:color="E0E7ED"/>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00" w:type="dxa"/>
            <w:vAlign w:val="bottom"/>
            <w:tcBorders>
              <w:bottom w:val="single" w:sz="8" w:color="E0E7ED"/>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00" w:type="dxa"/>
            <w:vAlign w:val="bottom"/>
            <w:tcBorders>
              <w:bottom w:val="single" w:sz="8" w:color="E0E7ED"/>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8"/>
                <w:szCs w:val="18"/>
                <w:color w:val="auto"/>
              </w:rPr>
              <w:t>—</w:t>
            </w:r>
          </w:p>
        </w:tc>
        <w:tc>
          <w:tcPr>
            <w:tcW w:w="80" w:type="dxa"/>
            <w:vAlign w:val="bottom"/>
            <w:tcBorders>
              <w:bottom w:val="single" w:sz="8" w:color="E0E7ED"/>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67</w:t>
            </w:r>
          </w:p>
        </w:tc>
        <w:tc>
          <w:tcPr>
            <w:tcW w:w="0" w:type="dxa"/>
            <w:vAlign w:val="bottom"/>
          </w:tcPr>
          <w:p>
            <w:pPr>
              <w:spacing w:after="0"/>
              <w:rPr>
                <w:sz w:val="1"/>
                <w:szCs w:val="1"/>
                <w:color w:val="auto"/>
              </w:rPr>
            </w:pPr>
          </w:p>
        </w:tc>
      </w:tr>
      <w:tr>
        <w:trPr>
          <w:trHeight w:val="224"/>
        </w:trPr>
        <w:tc>
          <w:tcPr>
            <w:tcW w:w="20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loans evaluated</w:t>
            </w:r>
          </w:p>
        </w:tc>
        <w:tc>
          <w:tcPr>
            <w:tcW w:w="280" w:type="dxa"/>
            <w:vAlign w:val="bottom"/>
            <w:vMerge w:val="restart"/>
            <w:shd w:val="clear" w:color="auto" w:fill="E0E7ED"/>
          </w:tcPr>
          <w:p>
            <w:pPr>
              <w:jc w:val="right"/>
              <w:ind w:right="50"/>
              <w:spacing w:after="0"/>
              <w:rPr>
                <w:sz w:val="20"/>
                <w:szCs w:val="20"/>
                <w:color w:val="auto"/>
              </w:rPr>
            </w:pPr>
            <w:r>
              <w:rPr>
                <w:rFonts w:ascii="Verdana" w:cs="Verdana" w:eastAsia="Verdana" w:hAnsi="Verdana"/>
                <w:sz w:val="18"/>
                <w:szCs w:val="18"/>
                <w:color w:val="auto"/>
              </w:rPr>
              <w:t>$</w:t>
            </w:r>
          </w:p>
        </w:tc>
        <w:tc>
          <w:tcPr>
            <w:tcW w:w="1160" w:type="dxa"/>
            <w:vAlign w:val="bottom"/>
            <w:vMerge w:val="restart"/>
            <w:shd w:val="clear" w:color="auto" w:fill="E0E7ED"/>
          </w:tcPr>
          <w:p>
            <w:pPr>
              <w:jc w:val="right"/>
              <w:ind w:right="19"/>
              <w:spacing w:after="0"/>
              <w:rPr>
                <w:sz w:val="20"/>
                <w:szCs w:val="20"/>
                <w:color w:val="auto"/>
              </w:rPr>
            </w:pPr>
            <w:r>
              <w:rPr>
                <w:rFonts w:ascii="Verdana" w:cs="Verdana" w:eastAsia="Verdana" w:hAnsi="Verdana"/>
                <w:sz w:val="18"/>
                <w:szCs w:val="18"/>
                <w:color w:val="auto"/>
              </w:rPr>
              <w:t>8,337</w:t>
            </w:r>
          </w:p>
        </w:tc>
        <w:tc>
          <w:tcPr>
            <w:tcW w:w="100" w:type="dxa"/>
            <w:vAlign w:val="bottom"/>
            <w:shd w:val="clear" w:color="auto" w:fill="E0E7ED"/>
          </w:tcPr>
          <w:p>
            <w:pPr>
              <w:spacing w:after="0"/>
              <w:rPr>
                <w:sz w:val="19"/>
                <w:szCs w:val="19"/>
                <w:color w:val="auto"/>
              </w:rPr>
            </w:pPr>
          </w:p>
        </w:tc>
        <w:tc>
          <w:tcPr>
            <w:tcW w:w="240" w:type="dxa"/>
            <w:vAlign w:val="bottom"/>
            <w:vMerge w:val="restart"/>
            <w:shd w:val="clear" w:color="auto" w:fill="E0E7ED"/>
          </w:tcPr>
          <w:p>
            <w:pPr>
              <w:jc w:val="right"/>
              <w:ind w:right="30"/>
              <w:spacing w:after="0"/>
              <w:rPr>
                <w:sz w:val="20"/>
                <w:szCs w:val="20"/>
                <w:color w:val="auto"/>
              </w:rPr>
            </w:pPr>
            <w:r>
              <w:rPr>
                <w:rFonts w:ascii="Verdana" w:cs="Verdana" w:eastAsia="Verdana" w:hAnsi="Verdana"/>
                <w:sz w:val="18"/>
                <w:szCs w:val="18"/>
                <w:color w:val="auto"/>
                <w:w w:val="86"/>
              </w:rPr>
              <w:t>$</w:t>
            </w:r>
          </w:p>
        </w:tc>
        <w:tc>
          <w:tcPr>
            <w:tcW w:w="120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2,250</w:t>
            </w:r>
          </w:p>
        </w:tc>
        <w:tc>
          <w:tcPr>
            <w:tcW w:w="360" w:type="dxa"/>
            <w:vAlign w:val="bottom"/>
            <w:gridSpan w:val="2"/>
            <w:vMerge w:val="restart"/>
            <w:shd w:val="clear" w:color="auto" w:fill="E0E7ED"/>
          </w:tcPr>
          <w:p>
            <w:pPr>
              <w:jc w:val="right"/>
              <w:ind w:right="120"/>
              <w:spacing w:after="0"/>
              <w:rPr>
                <w:sz w:val="20"/>
                <w:szCs w:val="20"/>
                <w:color w:val="auto"/>
              </w:rPr>
            </w:pPr>
            <w:r>
              <w:rPr>
                <w:rFonts w:ascii="Verdana" w:cs="Verdana" w:eastAsia="Verdana" w:hAnsi="Verdana"/>
                <w:sz w:val="18"/>
                <w:szCs w:val="18"/>
                <w:color w:val="auto"/>
              </w:rPr>
              <w:t>$</w:t>
            </w:r>
          </w:p>
        </w:tc>
        <w:tc>
          <w:tcPr>
            <w:tcW w:w="120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2,479</w:t>
            </w:r>
          </w:p>
        </w:tc>
        <w:tc>
          <w:tcPr>
            <w:tcW w:w="100" w:type="dxa"/>
            <w:vAlign w:val="bottom"/>
            <w:shd w:val="clear" w:color="auto" w:fill="E0E7ED"/>
          </w:tcPr>
          <w:p>
            <w:pPr>
              <w:spacing w:after="0"/>
              <w:rPr>
                <w:sz w:val="19"/>
                <w:szCs w:val="19"/>
                <w:color w:val="auto"/>
              </w:rPr>
            </w:pPr>
          </w:p>
        </w:tc>
        <w:tc>
          <w:tcPr>
            <w:tcW w:w="340" w:type="dxa"/>
            <w:vAlign w:val="bottom"/>
            <w:vMerge w:val="restart"/>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10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4,729</w:t>
            </w:r>
          </w:p>
        </w:tc>
        <w:tc>
          <w:tcPr>
            <w:tcW w:w="100" w:type="dxa"/>
            <w:vAlign w:val="bottom"/>
            <w:shd w:val="clear" w:color="auto" w:fill="E0E7ED"/>
          </w:tcPr>
          <w:p>
            <w:pPr>
              <w:spacing w:after="0"/>
              <w:rPr>
                <w:sz w:val="19"/>
                <w:szCs w:val="19"/>
                <w:color w:val="auto"/>
              </w:rPr>
            </w:pPr>
          </w:p>
        </w:tc>
        <w:tc>
          <w:tcPr>
            <w:tcW w:w="240" w:type="dxa"/>
            <w:vAlign w:val="bottom"/>
            <w:vMerge w:val="restart"/>
            <w:shd w:val="clear" w:color="auto" w:fill="E0E7ED"/>
          </w:tcPr>
          <w:p>
            <w:pPr>
              <w:jc w:val="right"/>
              <w:ind w:right="30"/>
              <w:spacing w:after="0"/>
              <w:rPr>
                <w:sz w:val="20"/>
                <w:szCs w:val="20"/>
                <w:color w:val="auto"/>
              </w:rPr>
            </w:pPr>
            <w:r>
              <w:rPr>
                <w:rFonts w:ascii="Verdana" w:cs="Verdana" w:eastAsia="Verdana" w:hAnsi="Verdana"/>
                <w:sz w:val="18"/>
                <w:szCs w:val="18"/>
                <w:color w:val="auto"/>
                <w:w w:val="86"/>
              </w:rPr>
              <w:t>$</w:t>
            </w:r>
          </w:p>
        </w:tc>
        <w:tc>
          <w:tcPr>
            <w:tcW w:w="122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8"/>
                <w:szCs w:val="18"/>
                <w:color w:val="auto"/>
              </w:rPr>
              <w:t>1,863</w:t>
            </w:r>
          </w:p>
        </w:tc>
        <w:tc>
          <w:tcPr>
            <w:tcW w:w="80" w:type="dxa"/>
            <w:vAlign w:val="bottom"/>
            <w:shd w:val="clear" w:color="auto" w:fill="E0E7ED"/>
          </w:tcPr>
          <w:p>
            <w:pPr>
              <w:spacing w:after="0"/>
              <w:rPr>
                <w:sz w:val="19"/>
                <w:szCs w:val="19"/>
                <w:color w:val="auto"/>
              </w:rPr>
            </w:pPr>
          </w:p>
        </w:tc>
        <w:tc>
          <w:tcPr>
            <w:tcW w:w="240" w:type="dxa"/>
            <w:vAlign w:val="bottom"/>
            <w:vMerge w:val="restart"/>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240" w:type="dxa"/>
            <w:vAlign w:val="bottom"/>
            <w:vMerge w:val="restart"/>
            <w:shd w:val="clear" w:color="auto" w:fill="E0E7ED"/>
          </w:tcPr>
          <w:p>
            <w:pPr>
              <w:jc w:val="right"/>
              <w:ind w:right="19"/>
              <w:spacing w:after="0"/>
              <w:rPr>
                <w:sz w:val="20"/>
                <w:szCs w:val="20"/>
                <w:color w:val="auto"/>
              </w:rPr>
            </w:pPr>
            <w:r>
              <w:rPr>
                <w:rFonts w:ascii="Verdana" w:cs="Verdana" w:eastAsia="Verdana" w:hAnsi="Verdana"/>
                <w:sz w:val="18"/>
                <w:szCs w:val="18"/>
                <w:color w:val="auto"/>
              </w:rPr>
              <w:t>6,609</w:t>
            </w:r>
          </w:p>
        </w:tc>
        <w:tc>
          <w:tcPr>
            <w:tcW w:w="0" w:type="dxa"/>
            <w:vAlign w:val="bottom"/>
          </w:tcPr>
          <w:p>
            <w:pPr>
              <w:spacing w:after="0"/>
              <w:rPr>
                <w:sz w:val="1"/>
                <w:szCs w:val="1"/>
                <w:color w:val="auto"/>
              </w:rPr>
            </w:pPr>
          </w:p>
        </w:tc>
      </w:tr>
      <w:tr>
        <w:trPr>
          <w:trHeight w:val="241"/>
        </w:trPr>
        <w:tc>
          <w:tcPr>
            <w:tcW w:w="20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individually</w:t>
            </w:r>
          </w:p>
        </w:tc>
        <w:tc>
          <w:tcPr>
            <w:tcW w:w="280" w:type="dxa"/>
            <w:vAlign w:val="bottom"/>
            <w:vMerge w:val="continue"/>
            <w:shd w:val="clear" w:color="auto" w:fill="E0E7ED"/>
          </w:tcPr>
          <w:p>
            <w:pPr>
              <w:spacing w:after="0"/>
              <w:rPr>
                <w:sz w:val="20"/>
                <w:szCs w:val="20"/>
                <w:color w:val="auto"/>
              </w:rPr>
            </w:pPr>
          </w:p>
        </w:tc>
        <w:tc>
          <w:tcPr>
            <w:tcW w:w="1160" w:type="dxa"/>
            <w:vAlign w:val="bottom"/>
            <w:vMerge w:val="continue"/>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40" w:type="dxa"/>
            <w:vAlign w:val="bottom"/>
            <w:vMerge w:val="continue"/>
            <w:shd w:val="clear" w:color="auto" w:fill="E0E7ED"/>
          </w:tcPr>
          <w:p>
            <w:pPr>
              <w:spacing w:after="0"/>
              <w:rPr>
                <w:sz w:val="20"/>
                <w:szCs w:val="20"/>
                <w:color w:val="auto"/>
              </w:rPr>
            </w:pPr>
          </w:p>
        </w:tc>
        <w:tc>
          <w:tcPr>
            <w:tcW w:w="1200" w:type="dxa"/>
            <w:vAlign w:val="bottom"/>
            <w:vMerge w:val="continue"/>
            <w:shd w:val="clear" w:color="auto" w:fill="E0E7ED"/>
          </w:tcPr>
          <w:p>
            <w:pPr>
              <w:spacing w:after="0"/>
              <w:rPr>
                <w:sz w:val="20"/>
                <w:szCs w:val="20"/>
                <w:color w:val="auto"/>
              </w:rPr>
            </w:pPr>
          </w:p>
        </w:tc>
        <w:tc>
          <w:tcPr>
            <w:tcW w:w="360" w:type="dxa"/>
            <w:vAlign w:val="bottom"/>
            <w:gridSpan w:val="2"/>
            <w:vMerge w:val="continue"/>
            <w:shd w:val="clear" w:color="auto" w:fill="E0E7ED"/>
          </w:tcPr>
          <w:p>
            <w:pPr>
              <w:spacing w:after="0"/>
              <w:rPr>
                <w:sz w:val="20"/>
                <w:szCs w:val="20"/>
                <w:color w:val="auto"/>
              </w:rPr>
            </w:pPr>
          </w:p>
        </w:tc>
        <w:tc>
          <w:tcPr>
            <w:tcW w:w="1200" w:type="dxa"/>
            <w:vAlign w:val="bottom"/>
            <w:vMerge w:val="continue"/>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40" w:type="dxa"/>
            <w:vAlign w:val="bottom"/>
            <w:vMerge w:val="continue"/>
            <w:shd w:val="clear" w:color="auto" w:fill="E0E7ED"/>
          </w:tcPr>
          <w:p>
            <w:pPr>
              <w:spacing w:after="0"/>
              <w:rPr>
                <w:sz w:val="20"/>
                <w:szCs w:val="20"/>
                <w:color w:val="auto"/>
              </w:rPr>
            </w:pPr>
          </w:p>
        </w:tc>
        <w:tc>
          <w:tcPr>
            <w:tcW w:w="1100" w:type="dxa"/>
            <w:vAlign w:val="bottom"/>
            <w:vMerge w:val="continue"/>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40" w:type="dxa"/>
            <w:vAlign w:val="bottom"/>
            <w:vMerge w:val="continue"/>
            <w:shd w:val="clear" w:color="auto" w:fill="E0E7ED"/>
          </w:tcPr>
          <w:p>
            <w:pPr>
              <w:spacing w:after="0"/>
              <w:rPr>
                <w:sz w:val="20"/>
                <w:szCs w:val="20"/>
                <w:color w:val="auto"/>
              </w:rPr>
            </w:pPr>
          </w:p>
        </w:tc>
        <w:tc>
          <w:tcPr>
            <w:tcW w:w="1220" w:type="dxa"/>
            <w:vAlign w:val="bottom"/>
            <w:vMerge w:val="continue"/>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40" w:type="dxa"/>
            <w:vAlign w:val="bottom"/>
            <w:vMerge w:val="continue"/>
            <w:shd w:val="clear" w:color="auto" w:fill="E0E7ED"/>
          </w:tcPr>
          <w:p>
            <w:pPr>
              <w:spacing w:after="0"/>
              <w:rPr>
                <w:sz w:val="20"/>
                <w:szCs w:val="20"/>
                <w:color w:val="auto"/>
              </w:rPr>
            </w:pPr>
          </w:p>
        </w:tc>
        <w:tc>
          <w:tcPr>
            <w:tcW w:w="1240" w:type="dxa"/>
            <w:vAlign w:val="bottom"/>
            <w:vMerge w:val="continue"/>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4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34" w:name="page35"/>
    <w:bookmarkEnd w:id="34"/>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5"/>
          </w:tcPr>
          <w:p>
            <w:pPr>
              <w:ind w:left="380"/>
              <w:spacing w:after="0"/>
              <w:rPr>
                <w:sz w:val="20"/>
                <w:szCs w:val="20"/>
                <w:color w:val="auto"/>
              </w:rPr>
            </w:pPr>
            <w:r>
              <w:rPr>
                <w:rFonts w:ascii="Verdana" w:cs="Verdana" w:eastAsia="Verdana" w:hAnsi="Verdana"/>
                <w:sz w:val="13"/>
                <w:szCs w:val="13"/>
                <w:b w:val="1"/>
                <w:bCs w:val="1"/>
                <w:color w:val="auto"/>
              </w:rPr>
              <w:t>As of December 31, 2023</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Verdana" w:cs="Verdana" w:eastAsia="Verdana" w:hAnsi="Verdana"/>
                <w:sz w:val="13"/>
                <w:szCs w:val="13"/>
                <w:b w:val="1"/>
                <w:bCs w:val="1"/>
                <w:color w:val="auto"/>
                <w:w w:val="93"/>
              </w:rPr>
              <w:t>Unpaid</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Verdana" w:cs="Verdana" w:eastAsia="Verdana" w:hAnsi="Verdana"/>
                <w:sz w:val="13"/>
                <w:szCs w:val="13"/>
                <w:b w:val="1"/>
                <w:bCs w:val="1"/>
                <w:color w:val="auto"/>
                <w:w w:val="96"/>
              </w:rPr>
              <w:t>Recorded Investment</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ind w:right="158"/>
              <w:spacing w:after="0"/>
              <w:rPr>
                <w:sz w:val="20"/>
                <w:szCs w:val="20"/>
                <w:color w:val="auto"/>
              </w:rPr>
            </w:pPr>
            <w:r>
              <w:rPr>
                <w:rFonts w:ascii="Verdana" w:cs="Verdana" w:eastAsia="Verdana" w:hAnsi="Verdana"/>
                <w:sz w:val="13"/>
                <w:szCs w:val="13"/>
                <w:b w:val="1"/>
                <w:bCs w:val="1"/>
                <w:color w:val="auto"/>
                <w:w w:val="96"/>
              </w:rPr>
              <w:t>Average</w:t>
            </w: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right="340"/>
              <w:spacing w:after="0" w:line="135" w:lineRule="exact"/>
              <w:rPr>
                <w:sz w:val="20"/>
                <w:szCs w:val="20"/>
                <w:color w:val="auto"/>
              </w:rPr>
            </w:pPr>
            <w:r>
              <w:rPr>
                <w:rFonts w:ascii="Verdana" w:cs="Verdana" w:eastAsia="Verdana" w:hAnsi="Verdana"/>
                <w:sz w:val="13"/>
                <w:szCs w:val="13"/>
                <w:b w:val="1"/>
                <w:bCs w:val="1"/>
                <w:color w:val="auto"/>
                <w:w w:val="96"/>
              </w:rPr>
              <w:t>Principal</w:t>
            </w:r>
          </w:p>
        </w:tc>
        <w:tc>
          <w:tcPr>
            <w:tcW w:w="260" w:type="dxa"/>
            <w:vAlign w:val="bottom"/>
          </w:tcPr>
          <w:p>
            <w:pPr>
              <w:spacing w:after="0"/>
              <w:rPr>
                <w:sz w:val="11"/>
                <w:szCs w:val="11"/>
                <w:color w:val="auto"/>
              </w:rPr>
            </w:pPr>
          </w:p>
        </w:tc>
        <w:tc>
          <w:tcPr>
            <w:tcW w:w="1220" w:type="dxa"/>
            <w:vAlign w:val="bottom"/>
          </w:tcPr>
          <w:p>
            <w:pPr>
              <w:jc w:val="right"/>
              <w:ind w:right="376"/>
              <w:spacing w:after="0" w:line="135" w:lineRule="exact"/>
              <w:rPr>
                <w:sz w:val="20"/>
                <w:szCs w:val="20"/>
                <w:color w:val="auto"/>
              </w:rPr>
            </w:pPr>
            <w:r>
              <w:rPr>
                <w:rFonts w:ascii="Verdana" w:cs="Verdana" w:eastAsia="Verdana" w:hAnsi="Verdana"/>
                <w:sz w:val="13"/>
                <w:szCs w:val="13"/>
                <w:b w:val="1"/>
                <w:bCs w:val="1"/>
                <w:color w:val="auto"/>
              </w:rPr>
              <w:t>With No</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2"/>
          </w:tcPr>
          <w:p>
            <w:pPr>
              <w:jc w:val="center"/>
              <w:ind w:right="340"/>
              <w:spacing w:after="0" w:line="135" w:lineRule="exact"/>
              <w:rPr>
                <w:sz w:val="20"/>
                <w:szCs w:val="20"/>
                <w:color w:val="auto"/>
              </w:rPr>
            </w:pPr>
            <w:r>
              <w:rPr>
                <w:rFonts w:ascii="Verdana" w:cs="Verdana" w:eastAsia="Verdana" w:hAnsi="Verdana"/>
                <w:sz w:val="13"/>
                <w:szCs w:val="13"/>
                <w:b w:val="1"/>
                <w:bCs w:val="1"/>
                <w:color w:val="auto"/>
                <w:w w:val="98"/>
              </w:rPr>
              <w:t>With</w:t>
            </w:r>
          </w:p>
        </w:tc>
        <w:tc>
          <w:tcPr>
            <w:tcW w:w="340" w:type="dxa"/>
            <w:vAlign w:val="bottom"/>
          </w:tcPr>
          <w:p>
            <w:pPr>
              <w:spacing w:after="0"/>
              <w:rPr>
                <w:sz w:val="11"/>
                <w:szCs w:val="11"/>
                <w:color w:val="auto"/>
              </w:rPr>
            </w:pPr>
          </w:p>
        </w:tc>
        <w:tc>
          <w:tcPr>
            <w:tcW w:w="1200" w:type="dxa"/>
            <w:vAlign w:val="bottom"/>
            <w:gridSpan w:val="2"/>
            <w:vMerge w:val="restart"/>
          </w:tcPr>
          <w:p>
            <w:pPr>
              <w:ind w:left="200"/>
              <w:spacing w:after="0"/>
              <w:rPr>
                <w:sz w:val="20"/>
                <w:szCs w:val="20"/>
                <w:color w:val="auto"/>
              </w:rPr>
            </w:pPr>
            <w:r>
              <w:rPr>
                <w:rFonts w:ascii="Verdana" w:cs="Verdana" w:eastAsia="Verdana" w:hAnsi="Verdana"/>
                <w:sz w:val="13"/>
                <w:szCs w:val="13"/>
                <w:b w:val="1"/>
                <w:bCs w:val="1"/>
                <w:color w:val="auto"/>
              </w:rPr>
              <w:t>Total</w:t>
            </w:r>
          </w:p>
        </w:tc>
        <w:tc>
          <w:tcPr>
            <w:tcW w:w="260" w:type="dxa"/>
            <w:vAlign w:val="bottom"/>
          </w:tcPr>
          <w:p>
            <w:pPr>
              <w:spacing w:after="0"/>
              <w:rPr>
                <w:sz w:val="11"/>
                <w:szCs w:val="11"/>
                <w:color w:val="auto"/>
              </w:rPr>
            </w:pPr>
          </w:p>
        </w:tc>
        <w:tc>
          <w:tcPr>
            <w:tcW w:w="1320" w:type="dxa"/>
            <w:vAlign w:val="bottom"/>
            <w:gridSpan w:val="2"/>
          </w:tcPr>
          <w:p>
            <w:pPr>
              <w:jc w:val="center"/>
              <w:ind w:right="340"/>
              <w:spacing w:after="0" w:line="135" w:lineRule="exact"/>
              <w:rPr>
                <w:sz w:val="20"/>
                <w:szCs w:val="20"/>
                <w:color w:val="auto"/>
              </w:rPr>
            </w:pPr>
            <w:r>
              <w:rPr>
                <w:rFonts w:ascii="Verdana" w:cs="Verdana" w:eastAsia="Verdana" w:hAnsi="Verdana"/>
                <w:sz w:val="13"/>
                <w:szCs w:val="13"/>
                <w:b w:val="1"/>
                <w:bCs w:val="1"/>
                <w:color w:val="auto"/>
                <w:w w:val="96"/>
              </w:rPr>
              <w:t>Related</w:t>
            </w:r>
          </w:p>
        </w:tc>
        <w:tc>
          <w:tcPr>
            <w:tcW w:w="220" w:type="dxa"/>
            <w:vAlign w:val="bottom"/>
          </w:tcPr>
          <w:p>
            <w:pPr>
              <w:spacing w:after="0"/>
              <w:rPr>
                <w:sz w:val="11"/>
                <w:szCs w:val="11"/>
                <w:color w:val="auto"/>
              </w:rPr>
            </w:pPr>
          </w:p>
        </w:tc>
        <w:tc>
          <w:tcPr>
            <w:tcW w:w="1260" w:type="dxa"/>
            <w:vAlign w:val="bottom"/>
          </w:tcPr>
          <w:p>
            <w:pPr>
              <w:jc w:val="center"/>
              <w:ind w:right="138"/>
              <w:spacing w:after="0" w:line="135" w:lineRule="exact"/>
              <w:rPr>
                <w:sz w:val="20"/>
                <w:szCs w:val="20"/>
                <w:color w:val="auto"/>
              </w:rPr>
            </w:pPr>
            <w:r>
              <w:rPr>
                <w:rFonts w:ascii="Verdana" w:cs="Verdana" w:eastAsia="Verdana" w:hAnsi="Verdana"/>
                <w:sz w:val="13"/>
                <w:szCs w:val="13"/>
                <w:b w:val="1"/>
                <w:bCs w:val="1"/>
                <w:color w:val="auto"/>
                <w:w w:val="98"/>
              </w:rPr>
              <w:t>Recorded</w:t>
            </w:r>
          </w:p>
        </w:tc>
        <w:tc>
          <w:tcPr>
            <w:tcW w:w="0" w:type="dxa"/>
            <w:vAlign w:val="bottom"/>
          </w:tcPr>
          <w:p>
            <w:pPr>
              <w:spacing w:after="0"/>
              <w:rPr>
                <w:sz w:val="1"/>
                <w:szCs w:val="1"/>
                <w:color w:val="auto"/>
              </w:rPr>
            </w:pPr>
          </w:p>
        </w:tc>
      </w:tr>
      <w:tr>
        <w:trPr>
          <w:trHeight w:val="170"/>
        </w:trPr>
        <w:tc>
          <w:tcPr>
            <w:tcW w:w="1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Verdana" w:cs="Verdana" w:eastAsia="Verdana" w:hAnsi="Verdana"/>
                <w:sz w:val="13"/>
                <w:szCs w:val="13"/>
                <w:b w:val="1"/>
                <w:bCs w:val="1"/>
                <w:color w:val="auto"/>
                <w:w w:val="97"/>
              </w:rPr>
              <w:t>Balance</w:t>
            </w:r>
          </w:p>
        </w:tc>
        <w:tc>
          <w:tcPr>
            <w:tcW w:w="260" w:type="dxa"/>
            <w:vAlign w:val="bottom"/>
          </w:tcPr>
          <w:p>
            <w:pPr>
              <w:spacing w:after="0"/>
              <w:rPr>
                <w:sz w:val="14"/>
                <w:szCs w:val="14"/>
                <w:color w:val="auto"/>
              </w:rPr>
            </w:pPr>
          </w:p>
        </w:tc>
        <w:tc>
          <w:tcPr>
            <w:tcW w:w="1220" w:type="dxa"/>
            <w:vAlign w:val="bottom"/>
          </w:tcPr>
          <w:p>
            <w:pPr>
              <w:jc w:val="right"/>
              <w:ind w:right="296"/>
              <w:spacing w:after="0"/>
              <w:rPr>
                <w:sz w:val="20"/>
                <w:szCs w:val="20"/>
                <w:color w:val="auto"/>
              </w:rPr>
            </w:pPr>
            <w:r>
              <w:rPr>
                <w:rFonts w:ascii="Verdana" w:cs="Verdana" w:eastAsia="Verdana" w:hAnsi="Verdana"/>
                <w:sz w:val="13"/>
                <w:szCs w:val="13"/>
                <w:b w:val="1"/>
                <w:bCs w:val="1"/>
                <w:color w:val="auto"/>
              </w:rPr>
              <w:t>Allowance</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Verdana" w:cs="Verdana" w:eastAsia="Verdana" w:hAnsi="Verdana"/>
                <w:sz w:val="13"/>
                <w:szCs w:val="13"/>
                <w:b w:val="1"/>
                <w:bCs w:val="1"/>
                <w:color w:val="auto"/>
                <w:w w:val="96"/>
              </w:rPr>
              <w:t>Allowance</w:t>
            </w:r>
          </w:p>
        </w:tc>
        <w:tc>
          <w:tcPr>
            <w:tcW w:w="3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Verdana" w:cs="Verdana" w:eastAsia="Verdana" w:hAnsi="Verdana"/>
                <w:sz w:val="13"/>
                <w:szCs w:val="13"/>
                <w:b w:val="1"/>
                <w:bCs w:val="1"/>
                <w:color w:val="auto"/>
                <w:w w:val="96"/>
              </w:rPr>
              <w:t>Allowance</w:t>
            </w:r>
          </w:p>
        </w:tc>
        <w:tc>
          <w:tcPr>
            <w:tcW w:w="220" w:type="dxa"/>
            <w:vAlign w:val="bottom"/>
          </w:tcPr>
          <w:p>
            <w:pPr>
              <w:spacing w:after="0"/>
              <w:rPr>
                <w:sz w:val="14"/>
                <w:szCs w:val="14"/>
                <w:color w:val="auto"/>
              </w:rPr>
            </w:pPr>
          </w:p>
        </w:tc>
        <w:tc>
          <w:tcPr>
            <w:tcW w:w="1260" w:type="dxa"/>
            <w:vAlign w:val="bottom"/>
          </w:tcPr>
          <w:p>
            <w:pPr>
              <w:jc w:val="center"/>
              <w:ind w:right="158"/>
              <w:spacing w:after="0"/>
              <w:rPr>
                <w:sz w:val="20"/>
                <w:szCs w:val="20"/>
                <w:color w:val="auto"/>
              </w:rPr>
            </w:pPr>
            <w:r>
              <w:rPr>
                <w:rFonts w:ascii="Verdana" w:cs="Verdana" w:eastAsia="Verdana" w:hAnsi="Verdana"/>
                <w:sz w:val="13"/>
                <w:szCs w:val="13"/>
                <w:b w:val="1"/>
                <w:bCs w:val="1"/>
                <w:color w:val="auto"/>
                <w:w w:val="96"/>
              </w:rPr>
              <w:t>Investment</w:t>
            </w:r>
          </w:p>
        </w:tc>
        <w:tc>
          <w:tcPr>
            <w:tcW w:w="0" w:type="dxa"/>
            <w:vAlign w:val="bottom"/>
          </w:tcPr>
          <w:p>
            <w:pPr>
              <w:spacing w:after="0"/>
              <w:rPr>
                <w:sz w:val="1"/>
                <w:szCs w:val="1"/>
                <w:color w:val="auto"/>
              </w:rPr>
            </w:pPr>
          </w:p>
        </w:tc>
      </w:tr>
      <w:tr>
        <w:trPr>
          <w:trHeight w:val="255"/>
        </w:trPr>
        <w:tc>
          <w:tcPr>
            <w:tcW w:w="1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 loans</w:t>
            </w:r>
          </w:p>
        </w:tc>
        <w:tc>
          <w:tcPr>
            <w:tcW w:w="260" w:type="dxa"/>
            <w:vAlign w:val="bottom"/>
            <w:tcBorders>
              <w:top w:val="single" w:sz="8" w:color="auto"/>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60" w:type="dxa"/>
            <w:vAlign w:val="bottom"/>
            <w:tcBorders>
              <w:top w:val="single" w:sz="8" w:color="auto"/>
            </w:tcBorders>
            <w:shd w:val="clear" w:color="auto" w:fill="E0E7ED"/>
          </w:tcPr>
          <w:p>
            <w:pPr>
              <w:spacing w:after="0"/>
              <w:rPr>
                <w:sz w:val="22"/>
                <w:szCs w:val="22"/>
                <w:color w:val="auto"/>
              </w:rPr>
            </w:pPr>
          </w:p>
        </w:tc>
        <w:tc>
          <w:tcPr>
            <w:tcW w:w="122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2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40" w:type="dxa"/>
            <w:vAlign w:val="bottom"/>
            <w:tcBorders>
              <w:top w:val="single" w:sz="8" w:color="auto"/>
            </w:tcBorders>
            <w:shd w:val="clear" w:color="auto" w:fill="E0E7ED"/>
          </w:tcPr>
          <w:p>
            <w:pPr>
              <w:spacing w:after="0"/>
              <w:rPr>
                <w:sz w:val="22"/>
                <w:szCs w:val="22"/>
                <w:color w:val="auto"/>
              </w:rPr>
            </w:pPr>
          </w:p>
        </w:tc>
        <w:tc>
          <w:tcPr>
            <w:tcW w:w="11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60" w:type="dxa"/>
            <w:vAlign w:val="bottom"/>
            <w:tcBorders>
              <w:top w:val="single" w:sz="8" w:color="auto"/>
            </w:tcBorders>
            <w:shd w:val="clear" w:color="auto" w:fill="E0E7ED"/>
          </w:tcPr>
          <w:p>
            <w:pPr>
              <w:spacing w:after="0"/>
              <w:rPr>
                <w:sz w:val="22"/>
                <w:szCs w:val="22"/>
                <w:color w:val="auto"/>
              </w:rPr>
            </w:pPr>
          </w:p>
        </w:tc>
        <w:tc>
          <w:tcPr>
            <w:tcW w:w="122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1960" w:type="dxa"/>
            <w:vAlign w:val="bottom"/>
          </w:tcPr>
          <w:p>
            <w:pPr>
              <w:ind w:left="180"/>
              <w:spacing w:after="0"/>
              <w:rPr>
                <w:sz w:val="20"/>
                <w:szCs w:val="20"/>
                <w:color w:val="auto"/>
              </w:rPr>
            </w:pPr>
            <w:r>
              <w:rPr>
                <w:rFonts w:ascii="Verdana" w:cs="Verdana" w:eastAsia="Verdana" w:hAnsi="Verdana"/>
                <w:sz w:val="18"/>
                <w:szCs w:val="18"/>
                <w:color w:val="auto"/>
              </w:rPr>
              <w:t>C&amp;I and other</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960" w:type="dxa"/>
            <w:vAlign w:val="bottom"/>
          </w:tcPr>
          <w:p>
            <w:pPr>
              <w:ind w:left="180"/>
              <w:spacing w:after="0"/>
              <w:rPr>
                <w:sz w:val="20"/>
                <w:szCs w:val="20"/>
                <w:color w:val="auto"/>
              </w:rPr>
            </w:pPr>
            <w:r>
              <w:rPr>
                <w:rFonts w:ascii="Verdana" w:cs="Verdana" w:eastAsia="Verdana" w:hAnsi="Verdana"/>
                <w:sz w:val="18"/>
                <w:szCs w:val="18"/>
                <w:color w:val="auto"/>
              </w:rPr>
              <w:t>commercial</w:t>
            </w:r>
          </w:p>
        </w:tc>
        <w:tc>
          <w:tcPr>
            <w:tcW w:w="260" w:type="dxa"/>
            <w:vAlign w:val="bottom"/>
          </w:tcPr>
          <w:p>
            <w:pPr>
              <w:jc w:val="right"/>
              <w:ind w:right="50"/>
              <w:spacing w:after="0"/>
              <w:rPr>
                <w:sz w:val="20"/>
                <w:szCs w:val="20"/>
                <w:color w:val="auto"/>
              </w:rPr>
            </w:pPr>
            <w:r>
              <w:rPr>
                <w:rFonts w:ascii="Verdana" w:cs="Verdana" w:eastAsia="Verdana" w:hAnsi="Verdana"/>
                <w:sz w:val="18"/>
                <w:szCs w:val="18"/>
                <w:color w:val="auto"/>
                <w:w w:val="86"/>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7,283</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16"/>
              <w:spacing w:after="0"/>
              <w:rPr>
                <w:sz w:val="20"/>
                <w:szCs w:val="20"/>
                <w:color w:val="auto"/>
              </w:rPr>
            </w:pPr>
            <w:r>
              <w:rPr>
                <w:rFonts w:ascii="Verdana" w:cs="Verdana" w:eastAsia="Verdana" w:hAnsi="Verdana"/>
                <w:sz w:val="18"/>
                <w:szCs w:val="18"/>
                <w:color w:val="auto"/>
              </w:rPr>
              <w:t>585</w:t>
            </w:r>
          </w:p>
        </w:tc>
        <w:tc>
          <w:tcPr>
            <w:tcW w:w="340" w:type="dxa"/>
            <w:vAlign w:val="bottom"/>
            <w:gridSpan w:val="2"/>
          </w:tcPr>
          <w:p>
            <w:pPr>
              <w:jc w:val="right"/>
              <w:ind w:right="12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spacing w:after="0"/>
              <w:rPr>
                <w:sz w:val="20"/>
                <w:szCs w:val="20"/>
                <w:color w:val="auto"/>
              </w:rPr>
            </w:pPr>
            <w:r>
              <w:rPr>
                <w:rFonts w:ascii="Verdana" w:cs="Verdana" w:eastAsia="Verdana" w:hAnsi="Verdana"/>
                <w:sz w:val="18"/>
                <w:szCs w:val="18"/>
                <w:color w:val="auto"/>
              </w:rPr>
              <w:t>1,785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120" w:type="dxa"/>
            <w:vAlign w:val="bottom"/>
          </w:tcPr>
          <w:p>
            <w:pPr>
              <w:jc w:val="right"/>
              <w:ind w:right="13"/>
              <w:spacing w:after="0"/>
              <w:rPr>
                <w:sz w:val="20"/>
                <w:szCs w:val="20"/>
                <w:color w:val="auto"/>
              </w:rPr>
            </w:pPr>
            <w:r>
              <w:rPr>
                <w:rFonts w:ascii="Verdana" w:cs="Verdana" w:eastAsia="Verdana" w:hAnsi="Verdana"/>
                <w:sz w:val="18"/>
                <w:szCs w:val="18"/>
                <w:color w:val="auto"/>
              </w:rPr>
              <w:t>2,370</w:t>
            </w:r>
          </w:p>
        </w:tc>
        <w:tc>
          <w:tcPr>
            <w:tcW w:w="8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spacing w:after="0"/>
              <w:rPr>
                <w:sz w:val="20"/>
                <w:szCs w:val="20"/>
                <w:color w:val="auto"/>
              </w:rPr>
            </w:pPr>
            <w:r>
              <w:rPr>
                <w:rFonts w:ascii="Verdana" w:cs="Verdana" w:eastAsia="Verdana" w:hAnsi="Verdana"/>
                <w:sz w:val="18"/>
                <w:szCs w:val="18"/>
                <w:color w:val="auto"/>
              </w:rPr>
              <w:t>785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260" w:type="dxa"/>
            <w:vAlign w:val="bottom"/>
          </w:tcPr>
          <w:p>
            <w:pPr>
              <w:jc w:val="right"/>
              <w:ind w:right="18"/>
              <w:spacing w:after="0"/>
              <w:rPr>
                <w:sz w:val="20"/>
                <w:szCs w:val="20"/>
                <w:color w:val="auto"/>
              </w:rPr>
            </w:pPr>
            <w:r>
              <w:rPr>
                <w:rFonts w:ascii="Verdana" w:cs="Verdana" w:eastAsia="Verdana" w:hAnsi="Verdana"/>
                <w:sz w:val="18"/>
                <w:szCs w:val="18"/>
                <w:color w:val="auto"/>
              </w:rPr>
              <w:t>5,244</w:t>
            </w:r>
          </w:p>
        </w:tc>
        <w:tc>
          <w:tcPr>
            <w:tcW w:w="0" w:type="dxa"/>
            <w:vAlign w:val="bottom"/>
          </w:tcPr>
          <w:p>
            <w:pPr>
              <w:spacing w:after="0"/>
              <w:rPr>
                <w:sz w:val="1"/>
                <w:szCs w:val="1"/>
                <w:color w:val="auto"/>
              </w:rPr>
            </w:pPr>
          </w:p>
        </w:tc>
      </w:tr>
      <w:tr>
        <w:trPr>
          <w:trHeight w:val="244"/>
        </w:trPr>
        <w:tc>
          <w:tcPr>
            <w:tcW w:w="1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w:t>
            </w:r>
          </w:p>
        </w:tc>
        <w:tc>
          <w:tcPr>
            <w:tcW w:w="26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estate</w:t>
            </w:r>
          </w:p>
        </w:tc>
        <w:tc>
          <w:tcPr>
            <w:tcW w:w="260" w:type="dxa"/>
            <w:vAlign w:val="bottom"/>
            <w:shd w:val="clear" w:color="auto" w:fill="E0E7ED"/>
          </w:tcPr>
          <w:p>
            <w:pPr>
              <w:spacing w:after="0"/>
              <w:rPr>
                <w:sz w:val="21"/>
                <w:szCs w:val="21"/>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2,600</w:t>
            </w: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22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610</w:t>
            </w: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85</w:t>
            </w: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2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695</w:t>
            </w:r>
          </w:p>
        </w:tc>
        <w:tc>
          <w:tcPr>
            <w:tcW w:w="8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85</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60" w:type="dxa"/>
            <w:vAlign w:val="bottom"/>
            <w:shd w:val="clear" w:color="auto" w:fill="E0E7ED"/>
          </w:tcPr>
          <w:p>
            <w:pPr>
              <w:jc w:val="right"/>
              <w:ind w:right="18"/>
              <w:spacing w:after="0"/>
              <w:rPr>
                <w:sz w:val="20"/>
                <w:szCs w:val="20"/>
                <w:color w:val="auto"/>
              </w:rPr>
            </w:pPr>
            <w:r>
              <w:rPr>
                <w:rFonts w:ascii="Verdana" w:cs="Verdana" w:eastAsia="Verdana" w:hAnsi="Verdana"/>
                <w:sz w:val="18"/>
                <w:szCs w:val="18"/>
                <w:color w:val="auto"/>
              </w:rPr>
              <w:t>3,865</w:t>
            </w:r>
          </w:p>
        </w:tc>
        <w:tc>
          <w:tcPr>
            <w:tcW w:w="0" w:type="dxa"/>
            <w:vAlign w:val="bottom"/>
          </w:tcPr>
          <w:p>
            <w:pPr>
              <w:spacing w:after="0"/>
              <w:rPr>
                <w:sz w:val="1"/>
                <w:szCs w:val="1"/>
                <w:color w:val="auto"/>
              </w:rPr>
            </w:pPr>
          </w:p>
        </w:tc>
      </w:tr>
      <w:tr>
        <w:trPr>
          <w:trHeight w:val="238"/>
        </w:trPr>
        <w:tc>
          <w:tcPr>
            <w:tcW w:w="1960" w:type="dxa"/>
            <w:vAlign w:val="bottom"/>
          </w:tcPr>
          <w:p>
            <w:pPr>
              <w:ind w:left="180"/>
              <w:spacing w:after="0"/>
              <w:rPr>
                <w:sz w:val="20"/>
                <w:szCs w:val="20"/>
                <w:color w:val="auto"/>
              </w:rPr>
            </w:pPr>
            <w:r>
              <w:rPr>
                <w:rFonts w:ascii="Verdana" w:cs="Verdana" w:eastAsia="Verdana" w:hAnsi="Verdana"/>
                <w:sz w:val="18"/>
                <w:szCs w:val="18"/>
                <w:color w:val="auto"/>
              </w:rPr>
              <w:t>Real estate</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960" w:type="dxa"/>
            <w:vAlign w:val="bottom"/>
          </w:tcPr>
          <w:p>
            <w:pPr>
              <w:ind w:left="180"/>
              <w:spacing w:after="0"/>
              <w:rPr>
                <w:sz w:val="20"/>
                <w:szCs w:val="20"/>
                <w:color w:val="auto"/>
              </w:rPr>
            </w:pPr>
            <w:r>
              <w:rPr>
                <w:rFonts w:ascii="Verdana" w:cs="Verdana" w:eastAsia="Verdana" w:hAnsi="Verdana"/>
                <w:sz w:val="18"/>
                <w:szCs w:val="18"/>
                <w:color w:val="auto"/>
              </w:rPr>
              <w:t>construction</w:t>
            </w:r>
          </w:p>
        </w:tc>
        <w:tc>
          <w:tcPr>
            <w:tcW w:w="2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Verdana" w:cs="Verdana" w:eastAsia="Verdana" w:hAnsi="Verdana"/>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49</w:t>
            </w:r>
          </w:p>
        </w:tc>
        <w:tc>
          <w:tcPr>
            <w:tcW w:w="0" w:type="dxa"/>
            <w:vAlign w:val="bottom"/>
          </w:tcPr>
          <w:p>
            <w:pPr>
              <w:spacing w:after="0"/>
              <w:rPr>
                <w:sz w:val="1"/>
                <w:szCs w:val="1"/>
                <w:color w:val="auto"/>
              </w:rPr>
            </w:pPr>
          </w:p>
        </w:tc>
      </w:tr>
      <w:tr>
        <w:trPr>
          <w:trHeight w:val="224"/>
        </w:trPr>
        <w:tc>
          <w:tcPr>
            <w:tcW w:w="1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Commercial loans</w:t>
            </w:r>
          </w:p>
        </w:tc>
        <w:tc>
          <w:tcPr>
            <w:tcW w:w="260" w:type="dxa"/>
            <w:vAlign w:val="bottom"/>
            <w:tcBorders>
              <w:top w:val="single" w:sz="8" w:color="auto"/>
            </w:tcBorders>
            <w:shd w:val="clear" w:color="auto" w:fill="E0E7ED"/>
          </w:tcPr>
          <w:p>
            <w:pPr>
              <w:spacing w:after="0"/>
              <w:rPr>
                <w:sz w:val="19"/>
                <w:szCs w:val="19"/>
                <w:color w:val="auto"/>
              </w:rPr>
            </w:pPr>
          </w:p>
        </w:tc>
        <w:tc>
          <w:tcPr>
            <w:tcW w:w="11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60" w:type="dxa"/>
            <w:vAlign w:val="bottom"/>
            <w:tcBorders>
              <w:top w:val="single" w:sz="8" w:color="auto"/>
            </w:tcBorders>
            <w:shd w:val="clear" w:color="auto" w:fill="E0E7ED"/>
          </w:tcPr>
          <w:p>
            <w:pPr>
              <w:spacing w:after="0"/>
              <w:rPr>
                <w:sz w:val="19"/>
                <w:szCs w:val="19"/>
                <w:color w:val="auto"/>
              </w:rPr>
            </w:pPr>
          </w:p>
        </w:tc>
        <w:tc>
          <w:tcPr>
            <w:tcW w:w="122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40" w:type="dxa"/>
            <w:vAlign w:val="bottom"/>
            <w:tcBorders>
              <w:top w:val="single" w:sz="8" w:color="auto"/>
            </w:tcBorders>
            <w:shd w:val="clear" w:color="auto" w:fill="E0E7ED"/>
          </w:tcPr>
          <w:p>
            <w:pPr>
              <w:spacing w:after="0"/>
              <w:rPr>
                <w:sz w:val="19"/>
                <w:szCs w:val="19"/>
                <w:color w:val="auto"/>
              </w:rPr>
            </w:pPr>
          </w:p>
        </w:tc>
        <w:tc>
          <w:tcPr>
            <w:tcW w:w="122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340" w:type="dxa"/>
            <w:vAlign w:val="bottom"/>
            <w:tcBorders>
              <w:top w:val="single" w:sz="8" w:color="auto"/>
            </w:tcBorders>
            <w:shd w:val="clear" w:color="auto" w:fill="E0E7ED"/>
          </w:tcPr>
          <w:p>
            <w:pPr>
              <w:spacing w:after="0"/>
              <w:rPr>
                <w:sz w:val="19"/>
                <w:szCs w:val="19"/>
                <w:color w:val="auto"/>
              </w:rPr>
            </w:pPr>
          </w:p>
        </w:tc>
        <w:tc>
          <w:tcPr>
            <w:tcW w:w="112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60" w:type="dxa"/>
            <w:vAlign w:val="bottom"/>
            <w:tcBorders>
              <w:top w:val="single" w:sz="8" w:color="auto"/>
            </w:tcBorders>
            <w:shd w:val="clear" w:color="auto" w:fill="E0E7ED"/>
          </w:tcPr>
          <w:p>
            <w:pPr>
              <w:spacing w:after="0"/>
              <w:rPr>
                <w:sz w:val="19"/>
                <w:szCs w:val="19"/>
                <w:color w:val="auto"/>
              </w:rPr>
            </w:pPr>
          </w:p>
        </w:tc>
        <w:tc>
          <w:tcPr>
            <w:tcW w:w="122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26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E0E7ED"/>
          </w:tcPr>
          <w:p>
            <w:pPr>
              <w:ind w:left="20"/>
              <w:spacing w:after="0" w:line="216" w:lineRule="exact"/>
              <w:rPr>
                <w:sz w:val="20"/>
                <w:szCs w:val="20"/>
                <w:color w:val="auto"/>
              </w:rPr>
            </w:pPr>
            <w:r>
              <w:rPr>
                <w:rFonts w:ascii="Verdana" w:cs="Verdana" w:eastAsia="Verdana" w:hAnsi="Verdana"/>
                <w:sz w:val="18"/>
                <w:szCs w:val="18"/>
                <w:color w:val="auto"/>
              </w:rPr>
              <w:t>evaluated</w:t>
            </w:r>
          </w:p>
        </w:tc>
        <w:tc>
          <w:tcPr>
            <w:tcW w:w="260" w:type="dxa"/>
            <w:vAlign w:val="bottom"/>
            <w:shd w:val="clear" w:color="auto" w:fill="E0E7ED"/>
          </w:tcPr>
          <w:p>
            <w:pPr>
              <w:spacing w:after="0"/>
              <w:rPr>
                <w:sz w:val="18"/>
                <w:szCs w:val="18"/>
                <w:color w:val="auto"/>
              </w:rPr>
            </w:pPr>
          </w:p>
        </w:tc>
        <w:tc>
          <w:tcPr>
            <w:tcW w:w="118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122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122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1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122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20" w:type="dxa"/>
            <w:vAlign w:val="bottom"/>
            <w:shd w:val="clear" w:color="auto" w:fill="E0E7ED"/>
          </w:tcPr>
          <w:p>
            <w:pPr>
              <w:spacing w:after="0"/>
              <w:rPr>
                <w:sz w:val="18"/>
                <w:szCs w:val="18"/>
                <w:color w:val="auto"/>
              </w:rPr>
            </w:pPr>
          </w:p>
        </w:tc>
        <w:tc>
          <w:tcPr>
            <w:tcW w:w="1260" w:type="dxa"/>
            <w:vAlign w:val="bottom"/>
            <w:shd w:val="clear" w:color="auto" w:fill="E0E7ED"/>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9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individually</w:t>
            </w:r>
          </w:p>
        </w:tc>
        <w:tc>
          <w:tcPr>
            <w:tcW w:w="260" w:type="dxa"/>
            <w:vAlign w:val="bottom"/>
            <w:tcBorders>
              <w:bottom w:val="single" w:sz="8" w:color="auto"/>
            </w:tcBorders>
            <w:shd w:val="clear" w:color="auto" w:fill="E0E7ED"/>
          </w:tcPr>
          <w:p>
            <w:pPr>
              <w:spacing w:after="0"/>
              <w:rPr>
                <w:sz w:val="21"/>
                <w:szCs w:val="21"/>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9,883</w:t>
            </w:r>
          </w:p>
        </w:tc>
        <w:tc>
          <w:tcPr>
            <w:tcW w:w="100" w:type="dxa"/>
            <w:vAlign w:val="bottom"/>
            <w:shd w:val="clear" w:color="auto" w:fill="E0E7ED"/>
          </w:tcPr>
          <w:p>
            <w:pPr>
              <w:spacing w:after="0"/>
              <w:rPr>
                <w:sz w:val="21"/>
                <w:szCs w:val="21"/>
                <w:color w:val="auto"/>
              </w:rPr>
            </w:pPr>
          </w:p>
        </w:tc>
        <w:tc>
          <w:tcPr>
            <w:tcW w:w="260" w:type="dxa"/>
            <w:vAlign w:val="bottom"/>
            <w:tcBorders>
              <w:bottom w:val="single" w:sz="8" w:color="auto"/>
            </w:tcBorders>
            <w:shd w:val="clear" w:color="auto" w:fill="E0E7ED"/>
          </w:tcPr>
          <w:p>
            <w:pPr>
              <w:spacing w:after="0"/>
              <w:rPr>
                <w:sz w:val="21"/>
                <w:szCs w:val="21"/>
                <w:color w:val="auto"/>
              </w:rPr>
            </w:pPr>
          </w:p>
        </w:tc>
        <w:tc>
          <w:tcPr>
            <w:tcW w:w="122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8"/>
                <w:szCs w:val="18"/>
                <w:color w:val="auto"/>
              </w:rPr>
              <w:t>1,195</w:t>
            </w:r>
          </w:p>
        </w:tc>
        <w:tc>
          <w:tcPr>
            <w:tcW w:w="100" w:type="dxa"/>
            <w:vAlign w:val="bottom"/>
            <w:shd w:val="clear" w:color="auto" w:fill="E0E7ED"/>
          </w:tcPr>
          <w:p>
            <w:pPr>
              <w:spacing w:after="0"/>
              <w:rPr>
                <w:sz w:val="21"/>
                <w:szCs w:val="21"/>
                <w:color w:val="auto"/>
              </w:rPr>
            </w:pPr>
          </w:p>
        </w:tc>
        <w:tc>
          <w:tcPr>
            <w:tcW w:w="240" w:type="dxa"/>
            <w:vAlign w:val="bottom"/>
            <w:tcBorders>
              <w:bottom w:val="single" w:sz="8" w:color="auto"/>
            </w:tcBorders>
            <w:shd w:val="clear" w:color="auto" w:fill="E0E7ED"/>
          </w:tcPr>
          <w:p>
            <w:pPr>
              <w:spacing w:after="0"/>
              <w:rPr>
                <w:sz w:val="21"/>
                <w:szCs w:val="21"/>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1,870</w:t>
            </w:r>
          </w:p>
        </w:tc>
        <w:tc>
          <w:tcPr>
            <w:tcW w:w="100" w:type="dxa"/>
            <w:vAlign w:val="bottom"/>
            <w:shd w:val="clear" w:color="auto" w:fill="E0E7ED"/>
          </w:tcPr>
          <w:p>
            <w:pPr>
              <w:spacing w:after="0"/>
              <w:rPr>
                <w:sz w:val="21"/>
                <w:szCs w:val="21"/>
                <w:color w:val="auto"/>
              </w:rPr>
            </w:pPr>
          </w:p>
        </w:tc>
        <w:tc>
          <w:tcPr>
            <w:tcW w:w="340" w:type="dxa"/>
            <w:vAlign w:val="bottom"/>
            <w:tcBorders>
              <w:bottom w:val="single" w:sz="8" w:color="auto"/>
            </w:tcBorders>
            <w:shd w:val="clear" w:color="auto" w:fill="E0E7ED"/>
          </w:tcPr>
          <w:p>
            <w:pPr>
              <w:spacing w:after="0"/>
              <w:rPr>
                <w:sz w:val="21"/>
                <w:szCs w:val="21"/>
                <w:color w:val="auto"/>
              </w:rPr>
            </w:pPr>
          </w:p>
        </w:tc>
        <w:tc>
          <w:tcPr>
            <w:tcW w:w="112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3,065</w:t>
            </w:r>
          </w:p>
        </w:tc>
        <w:tc>
          <w:tcPr>
            <w:tcW w:w="80" w:type="dxa"/>
            <w:vAlign w:val="bottom"/>
            <w:shd w:val="clear" w:color="auto" w:fill="E0E7ED"/>
          </w:tcPr>
          <w:p>
            <w:pPr>
              <w:spacing w:after="0"/>
              <w:rPr>
                <w:sz w:val="21"/>
                <w:szCs w:val="21"/>
                <w:color w:val="auto"/>
              </w:rPr>
            </w:pPr>
          </w:p>
        </w:tc>
        <w:tc>
          <w:tcPr>
            <w:tcW w:w="260" w:type="dxa"/>
            <w:vAlign w:val="bottom"/>
            <w:tcBorders>
              <w:bottom w:val="single" w:sz="8" w:color="auto"/>
            </w:tcBorders>
            <w:shd w:val="clear" w:color="auto" w:fill="E0E7ED"/>
          </w:tcPr>
          <w:p>
            <w:pPr>
              <w:spacing w:after="0"/>
              <w:rPr>
                <w:sz w:val="21"/>
                <w:szCs w:val="21"/>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870</w:t>
            </w:r>
          </w:p>
        </w:tc>
        <w:tc>
          <w:tcPr>
            <w:tcW w:w="100" w:type="dxa"/>
            <w:vAlign w:val="bottom"/>
            <w:shd w:val="clear" w:color="auto" w:fill="E0E7ED"/>
          </w:tcPr>
          <w:p>
            <w:pPr>
              <w:spacing w:after="0"/>
              <w:rPr>
                <w:sz w:val="21"/>
                <w:szCs w:val="21"/>
                <w:color w:val="auto"/>
              </w:rPr>
            </w:pPr>
          </w:p>
        </w:tc>
        <w:tc>
          <w:tcPr>
            <w:tcW w:w="220" w:type="dxa"/>
            <w:vAlign w:val="bottom"/>
            <w:tcBorders>
              <w:bottom w:val="single" w:sz="8" w:color="auto"/>
            </w:tcBorders>
            <w:shd w:val="clear" w:color="auto" w:fill="E0E7ED"/>
          </w:tcPr>
          <w:p>
            <w:pPr>
              <w:spacing w:after="0"/>
              <w:rPr>
                <w:sz w:val="21"/>
                <w:szCs w:val="21"/>
                <w:color w:val="auto"/>
              </w:rPr>
            </w:pPr>
          </w:p>
        </w:tc>
        <w:tc>
          <w:tcPr>
            <w:tcW w:w="1260" w:type="dxa"/>
            <w:vAlign w:val="bottom"/>
            <w:tcBorders>
              <w:bottom w:val="single" w:sz="8" w:color="auto"/>
            </w:tcBorders>
            <w:shd w:val="clear" w:color="auto" w:fill="E0E7ED"/>
          </w:tcPr>
          <w:p>
            <w:pPr>
              <w:jc w:val="right"/>
              <w:ind w:right="18"/>
              <w:spacing w:after="0"/>
              <w:rPr>
                <w:sz w:val="20"/>
                <w:szCs w:val="20"/>
                <w:color w:val="auto"/>
              </w:rPr>
            </w:pPr>
            <w:r>
              <w:rPr>
                <w:rFonts w:ascii="Verdana" w:cs="Verdana" w:eastAsia="Verdana" w:hAnsi="Verdana"/>
                <w:sz w:val="18"/>
                <w:szCs w:val="18"/>
                <w:color w:val="auto"/>
              </w:rPr>
              <w:t>9,158</w:t>
            </w:r>
          </w:p>
        </w:tc>
        <w:tc>
          <w:tcPr>
            <w:tcW w:w="0" w:type="dxa"/>
            <w:vAlign w:val="bottom"/>
          </w:tcPr>
          <w:p>
            <w:pPr>
              <w:spacing w:after="0"/>
              <w:rPr>
                <w:sz w:val="1"/>
                <w:szCs w:val="1"/>
                <w:color w:val="auto"/>
              </w:rPr>
            </w:pPr>
          </w:p>
        </w:tc>
      </w:tr>
      <w:tr>
        <w:trPr>
          <w:trHeight w:val="243"/>
        </w:trPr>
        <w:tc>
          <w:tcPr>
            <w:tcW w:w="1960" w:type="dxa"/>
            <w:vAlign w:val="bottom"/>
          </w:tcPr>
          <w:p>
            <w:pPr>
              <w:ind w:left="20"/>
              <w:spacing w:after="0"/>
              <w:rPr>
                <w:sz w:val="20"/>
                <w:szCs w:val="20"/>
                <w:color w:val="auto"/>
              </w:rPr>
            </w:pPr>
            <w:r>
              <w:rPr>
                <w:rFonts w:ascii="Verdana" w:cs="Verdana" w:eastAsia="Verdana" w:hAnsi="Verdana"/>
                <w:sz w:val="18"/>
                <w:szCs w:val="18"/>
                <w:b w:val="1"/>
                <w:bCs w:val="1"/>
                <w:color w:val="auto"/>
              </w:rPr>
              <w:t>Retail loans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260" w:type="dxa"/>
            <w:vAlign w:val="bottom"/>
            <w:tcBorders>
              <w:bottom w:val="single" w:sz="8" w:color="auto"/>
            </w:tcBorders>
            <w:shd w:val="clear" w:color="auto" w:fill="E0E7ED"/>
          </w:tcPr>
          <w:p>
            <w:pPr>
              <w:spacing w:after="0"/>
              <w:rPr>
                <w:sz w:val="24"/>
                <w:szCs w:val="24"/>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213</w:t>
            </w:r>
          </w:p>
        </w:tc>
        <w:tc>
          <w:tcPr>
            <w:tcW w:w="100" w:type="dxa"/>
            <w:vAlign w:val="bottom"/>
            <w:shd w:val="clear" w:color="auto" w:fill="E0E7ED"/>
          </w:tcPr>
          <w:p>
            <w:pPr>
              <w:spacing w:after="0"/>
              <w:rPr>
                <w:sz w:val="24"/>
                <w:szCs w:val="24"/>
                <w:color w:val="auto"/>
              </w:rPr>
            </w:pPr>
          </w:p>
        </w:tc>
        <w:tc>
          <w:tcPr>
            <w:tcW w:w="260" w:type="dxa"/>
            <w:vAlign w:val="bottom"/>
            <w:tcBorders>
              <w:bottom w:val="single" w:sz="8" w:color="auto"/>
            </w:tcBorders>
            <w:shd w:val="clear" w:color="auto" w:fill="E0E7ED"/>
          </w:tcPr>
          <w:p>
            <w:pPr>
              <w:spacing w:after="0"/>
              <w:rPr>
                <w:sz w:val="24"/>
                <w:szCs w:val="24"/>
                <w:color w:val="auto"/>
              </w:rPr>
            </w:pPr>
          </w:p>
        </w:tc>
        <w:tc>
          <w:tcPr>
            <w:tcW w:w="122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8"/>
                <w:szCs w:val="18"/>
                <w:color w:val="auto"/>
              </w:rPr>
              <w:t>61</w:t>
            </w:r>
          </w:p>
        </w:tc>
        <w:tc>
          <w:tcPr>
            <w:tcW w:w="100" w:type="dxa"/>
            <w:vAlign w:val="bottom"/>
            <w:shd w:val="clear" w:color="auto" w:fill="E0E7ED"/>
          </w:tcPr>
          <w:p>
            <w:pPr>
              <w:spacing w:after="0"/>
              <w:rPr>
                <w:sz w:val="24"/>
                <w:szCs w:val="24"/>
                <w:color w:val="auto"/>
              </w:rPr>
            </w:pPr>
          </w:p>
        </w:tc>
        <w:tc>
          <w:tcPr>
            <w:tcW w:w="240" w:type="dxa"/>
            <w:vAlign w:val="bottom"/>
            <w:tcBorders>
              <w:bottom w:val="single" w:sz="8" w:color="auto"/>
            </w:tcBorders>
            <w:shd w:val="clear" w:color="auto" w:fill="E0E7ED"/>
          </w:tcPr>
          <w:p>
            <w:pPr>
              <w:spacing w:after="0"/>
              <w:rPr>
                <w:sz w:val="24"/>
                <w:szCs w:val="24"/>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25</w:t>
            </w:r>
          </w:p>
        </w:tc>
        <w:tc>
          <w:tcPr>
            <w:tcW w:w="100" w:type="dxa"/>
            <w:vAlign w:val="bottom"/>
            <w:shd w:val="clear" w:color="auto" w:fill="E0E7ED"/>
          </w:tcPr>
          <w:p>
            <w:pPr>
              <w:spacing w:after="0"/>
              <w:rPr>
                <w:sz w:val="24"/>
                <w:szCs w:val="24"/>
                <w:color w:val="auto"/>
              </w:rPr>
            </w:pPr>
          </w:p>
        </w:tc>
        <w:tc>
          <w:tcPr>
            <w:tcW w:w="340" w:type="dxa"/>
            <w:vAlign w:val="bottom"/>
            <w:tcBorders>
              <w:bottom w:val="single" w:sz="8" w:color="auto"/>
            </w:tcBorders>
            <w:shd w:val="clear" w:color="auto" w:fill="E0E7ED"/>
          </w:tcPr>
          <w:p>
            <w:pPr>
              <w:spacing w:after="0"/>
              <w:rPr>
                <w:sz w:val="24"/>
                <w:szCs w:val="24"/>
                <w:color w:val="auto"/>
              </w:rPr>
            </w:pPr>
          </w:p>
        </w:tc>
        <w:tc>
          <w:tcPr>
            <w:tcW w:w="112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86</w:t>
            </w:r>
          </w:p>
        </w:tc>
        <w:tc>
          <w:tcPr>
            <w:tcW w:w="80" w:type="dxa"/>
            <w:vAlign w:val="bottom"/>
            <w:shd w:val="clear" w:color="auto" w:fill="E0E7ED"/>
          </w:tcPr>
          <w:p>
            <w:pPr>
              <w:spacing w:after="0"/>
              <w:rPr>
                <w:sz w:val="24"/>
                <w:szCs w:val="24"/>
                <w:color w:val="auto"/>
              </w:rPr>
            </w:pPr>
          </w:p>
        </w:tc>
        <w:tc>
          <w:tcPr>
            <w:tcW w:w="260" w:type="dxa"/>
            <w:vAlign w:val="bottom"/>
            <w:tcBorders>
              <w:bottom w:val="single" w:sz="8" w:color="auto"/>
            </w:tcBorders>
            <w:shd w:val="clear" w:color="auto" w:fill="E0E7ED"/>
          </w:tcPr>
          <w:p>
            <w:pPr>
              <w:spacing w:after="0"/>
              <w:rPr>
                <w:sz w:val="24"/>
                <w:szCs w:val="24"/>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25</w:t>
            </w:r>
          </w:p>
        </w:tc>
        <w:tc>
          <w:tcPr>
            <w:tcW w:w="100" w:type="dxa"/>
            <w:vAlign w:val="bottom"/>
            <w:shd w:val="clear" w:color="auto" w:fill="E0E7ED"/>
          </w:tcPr>
          <w:p>
            <w:pPr>
              <w:spacing w:after="0"/>
              <w:rPr>
                <w:sz w:val="24"/>
                <w:szCs w:val="24"/>
                <w:color w:val="auto"/>
              </w:rPr>
            </w:pPr>
          </w:p>
        </w:tc>
        <w:tc>
          <w:tcPr>
            <w:tcW w:w="220" w:type="dxa"/>
            <w:vAlign w:val="bottom"/>
            <w:tcBorders>
              <w:bottom w:val="single" w:sz="8" w:color="auto"/>
            </w:tcBorders>
            <w:shd w:val="clear" w:color="auto" w:fill="E0E7ED"/>
          </w:tcPr>
          <w:p>
            <w:pPr>
              <w:spacing w:after="0"/>
              <w:rPr>
                <w:sz w:val="24"/>
                <w:szCs w:val="24"/>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790</w:t>
            </w:r>
          </w:p>
        </w:tc>
        <w:tc>
          <w:tcPr>
            <w:tcW w:w="0" w:type="dxa"/>
            <w:vAlign w:val="bottom"/>
          </w:tcPr>
          <w:p>
            <w:pPr>
              <w:spacing w:after="0"/>
              <w:rPr>
                <w:sz w:val="1"/>
                <w:szCs w:val="1"/>
                <w:color w:val="auto"/>
              </w:rPr>
            </w:pPr>
          </w:p>
        </w:tc>
      </w:tr>
      <w:tr>
        <w:trPr>
          <w:trHeight w:val="218"/>
        </w:trPr>
        <w:tc>
          <w:tcPr>
            <w:tcW w:w="1960" w:type="dxa"/>
            <w:vAlign w:val="bottom"/>
          </w:tcPr>
          <w:p>
            <w:pPr>
              <w:ind w:left="20"/>
              <w:spacing w:after="0" w:line="217" w:lineRule="exact"/>
              <w:rPr>
                <w:sz w:val="20"/>
                <w:szCs w:val="20"/>
                <w:color w:val="auto"/>
              </w:rPr>
            </w:pPr>
            <w:r>
              <w:rPr>
                <w:rFonts w:ascii="Verdana" w:cs="Verdana" w:eastAsia="Verdana" w:hAnsi="Verdana"/>
                <w:sz w:val="18"/>
                <w:szCs w:val="18"/>
                <w:color w:val="auto"/>
              </w:rPr>
              <w:t>Retail loans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20"/>
              <w:spacing w:after="0" w:line="216" w:lineRule="exact"/>
              <w:rPr>
                <w:sz w:val="20"/>
                <w:szCs w:val="20"/>
                <w:color w:val="auto"/>
              </w:rPr>
            </w:pPr>
            <w:r>
              <w:rPr>
                <w:rFonts w:ascii="Verdana" w:cs="Verdana" w:eastAsia="Verdana" w:hAnsi="Verdana"/>
                <w:sz w:val="18"/>
                <w:szCs w:val="18"/>
                <w:color w:val="auto"/>
              </w:rPr>
              <w:t>evaluated</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960" w:type="dxa"/>
            <w:vAlign w:val="bottom"/>
            <w:tcBorders>
              <w:bottom w:val="single" w:sz="8" w:color="E0E7ED"/>
            </w:tcBorders>
          </w:tcPr>
          <w:p>
            <w:pPr>
              <w:ind w:left="20"/>
              <w:spacing w:after="0"/>
              <w:rPr>
                <w:sz w:val="20"/>
                <w:szCs w:val="20"/>
                <w:color w:val="auto"/>
              </w:rPr>
            </w:pPr>
            <w:r>
              <w:rPr>
                <w:rFonts w:ascii="Verdana" w:cs="Verdana" w:eastAsia="Verdana" w:hAnsi="Verdana"/>
                <w:sz w:val="18"/>
                <w:szCs w:val="18"/>
                <w:color w:val="auto"/>
              </w:rPr>
              <w:t>individually</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213</w:t>
            </w:r>
          </w:p>
        </w:tc>
        <w:tc>
          <w:tcPr>
            <w:tcW w:w="100" w:type="dxa"/>
            <w:vAlign w:val="bottom"/>
            <w:tcBorders>
              <w:bottom w:val="single" w:sz="8" w:color="E0E7ED"/>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8"/>
                <w:szCs w:val="18"/>
                <w:color w:val="auto"/>
              </w:rPr>
              <w:t>61</w:t>
            </w:r>
          </w:p>
        </w:tc>
        <w:tc>
          <w:tcPr>
            <w:tcW w:w="100" w:type="dxa"/>
            <w:vAlign w:val="bottom"/>
            <w:tcBorders>
              <w:bottom w:val="single" w:sz="8" w:color="E0E7ED"/>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25</w:t>
            </w:r>
          </w:p>
        </w:tc>
        <w:tc>
          <w:tcPr>
            <w:tcW w:w="100" w:type="dxa"/>
            <w:vAlign w:val="bottom"/>
            <w:tcBorders>
              <w:bottom w:val="single" w:sz="8" w:color="E0E7ED"/>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86</w:t>
            </w:r>
          </w:p>
        </w:tc>
        <w:tc>
          <w:tcPr>
            <w:tcW w:w="80" w:type="dxa"/>
            <w:vAlign w:val="bottom"/>
            <w:tcBorders>
              <w:bottom w:val="single" w:sz="8" w:color="E0E7ED"/>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25</w:t>
            </w:r>
          </w:p>
        </w:tc>
        <w:tc>
          <w:tcPr>
            <w:tcW w:w="100" w:type="dxa"/>
            <w:vAlign w:val="bottom"/>
            <w:tcBorders>
              <w:bottom w:val="single" w:sz="8" w:color="E0E7ED"/>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790</w:t>
            </w:r>
          </w:p>
        </w:tc>
        <w:tc>
          <w:tcPr>
            <w:tcW w:w="0" w:type="dxa"/>
            <w:vAlign w:val="bottom"/>
          </w:tcPr>
          <w:p>
            <w:pPr>
              <w:spacing w:after="0"/>
              <w:rPr>
                <w:sz w:val="1"/>
                <w:szCs w:val="1"/>
                <w:color w:val="auto"/>
              </w:rPr>
            </w:pPr>
          </w:p>
        </w:tc>
      </w:tr>
      <w:tr>
        <w:trPr>
          <w:trHeight w:val="224"/>
        </w:trPr>
        <w:tc>
          <w:tcPr>
            <w:tcW w:w="19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loans</w:t>
            </w:r>
          </w:p>
        </w:tc>
        <w:tc>
          <w:tcPr>
            <w:tcW w:w="260" w:type="dxa"/>
            <w:vAlign w:val="bottom"/>
            <w:shd w:val="clear" w:color="auto" w:fill="E0E7ED"/>
          </w:tcPr>
          <w:p>
            <w:pPr>
              <w:spacing w:after="0"/>
              <w:rPr>
                <w:sz w:val="19"/>
                <w:szCs w:val="19"/>
                <w:color w:val="auto"/>
              </w:rPr>
            </w:pPr>
          </w:p>
        </w:tc>
        <w:tc>
          <w:tcPr>
            <w:tcW w:w="118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260" w:type="dxa"/>
            <w:vAlign w:val="bottom"/>
            <w:shd w:val="clear" w:color="auto" w:fill="E0E7ED"/>
          </w:tcPr>
          <w:p>
            <w:pPr>
              <w:spacing w:after="0"/>
              <w:rPr>
                <w:sz w:val="19"/>
                <w:szCs w:val="19"/>
                <w:color w:val="auto"/>
              </w:rPr>
            </w:pPr>
          </w:p>
        </w:tc>
        <w:tc>
          <w:tcPr>
            <w:tcW w:w="122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240" w:type="dxa"/>
            <w:vAlign w:val="bottom"/>
            <w:shd w:val="clear" w:color="auto" w:fill="E0E7ED"/>
          </w:tcPr>
          <w:p>
            <w:pPr>
              <w:spacing w:after="0"/>
              <w:rPr>
                <w:sz w:val="19"/>
                <w:szCs w:val="19"/>
                <w:color w:val="auto"/>
              </w:rPr>
            </w:pPr>
          </w:p>
        </w:tc>
        <w:tc>
          <w:tcPr>
            <w:tcW w:w="122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40" w:type="dxa"/>
            <w:vAlign w:val="bottom"/>
            <w:shd w:val="clear" w:color="auto" w:fill="E0E7ED"/>
          </w:tcPr>
          <w:p>
            <w:pPr>
              <w:spacing w:after="0"/>
              <w:rPr>
                <w:sz w:val="19"/>
                <w:szCs w:val="19"/>
                <w:color w:val="auto"/>
              </w:rPr>
            </w:pPr>
          </w:p>
        </w:tc>
        <w:tc>
          <w:tcPr>
            <w:tcW w:w="112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260" w:type="dxa"/>
            <w:vAlign w:val="bottom"/>
            <w:shd w:val="clear" w:color="auto" w:fill="E0E7ED"/>
          </w:tcPr>
          <w:p>
            <w:pPr>
              <w:spacing w:after="0"/>
              <w:rPr>
                <w:sz w:val="19"/>
                <w:szCs w:val="19"/>
                <w:color w:val="auto"/>
              </w:rPr>
            </w:pPr>
          </w:p>
        </w:tc>
        <w:tc>
          <w:tcPr>
            <w:tcW w:w="122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220" w:type="dxa"/>
            <w:vAlign w:val="bottom"/>
            <w:shd w:val="clear" w:color="auto" w:fill="E0E7ED"/>
          </w:tcPr>
          <w:p>
            <w:pPr>
              <w:spacing w:after="0"/>
              <w:rPr>
                <w:sz w:val="19"/>
                <w:szCs w:val="19"/>
                <w:color w:val="auto"/>
              </w:rPr>
            </w:pPr>
          </w:p>
        </w:tc>
        <w:tc>
          <w:tcPr>
            <w:tcW w:w="1260" w:type="dxa"/>
            <w:vAlign w:val="bottom"/>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E0E7ED"/>
          </w:tcPr>
          <w:p>
            <w:pPr>
              <w:ind w:left="20"/>
              <w:spacing w:after="0" w:line="216" w:lineRule="exact"/>
              <w:rPr>
                <w:sz w:val="20"/>
                <w:szCs w:val="20"/>
                <w:color w:val="auto"/>
              </w:rPr>
            </w:pPr>
            <w:r>
              <w:rPr>
                <w:rFonts w:ascii="Verdana" w:cs="Verdana" w:eastAsia="Verdana" w:hAnsi="Verdana"/>
                <w:sz w:val="18"/>
                <w:szCs w:val="18"/>
                <w:color w:val="auto"/>
              </w:rPr>
              <w:t>evaluated</w:t>
            </w:r>
          </w:p>
        </w:tc>
        <w:tc>
          <w:tcPr>
            <w:tcW w:w="260" w:type="dxa"/>
            <w:vAlign w:val="bottom"/>
            <w:vMerge w:val="restart"/>
            <w:shd w:val="clear" w:color="auto" w:fill="E0E7ED"/>
          </w:tcPr>
          <w:p>
            <w:pPr>
              <w:jc w:val="right"/>
              <w:ind w:right="50"/>
              <w:spacing w:after="0"/>
              <w:rPr>
                <w:sz w:val="20"/>
                <w:szCs w:val="20"/>
                <w:color w:val="auto"/>
              </w:rPr>
            </w:pPr>
            <w:r>
              <w:rPr>
                <w:rFonts w:ascii="Verdana" w:cs="Verdana" w:eastAsia="Verdana" w:hAnsi="Verdana"/>
                <w:sz w:val="18"/>
                <w:szCs w:val="18"/>
                <w:color w:val="auto"/>
                <w:w w:val="86"/>
              </w:rPr>
              <w:t>$</w:t>
            </w:r>
          </w:p>
        </w:tc>
        <w:tc>
          <w:tcPr>
            <w:tcW w:w="118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10,096</w:t>
            </w:r>
          </w:p>
        </w:tc>
        <w:tc>
          <w:tcPr>
            <w:tcW w:w="100" w:type="dxa"/>
            <w:vAlign w:val="bottom"/>
            <w:shd w:val="clear" w:color="auto" w:fill="E0E7ED"/>
          </w:tcPr>
          <w:p>
            <w:pPr>
              <w:spacing w:after="0"/>
              <w:rPr>
                <w:sz w:val="18"/>
                <w:szCs w:val="18"/>
                <w:color w:val="auto"/>
              </w:rPr>
            </w:pPr>
          </w:p>
        </w:tc>
        <w:tc>
          <w:tcPr>
            <w:tcW w:w="260" w:type="dxa"/>
            <w:vAlign w:val="bottom"/>
            <w:vMerge w:val="restart"/>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220" w:type="dxa"/>
            <w:vAlign w:val="bottom"/>
            <w:vMerge w:val="restart"/>
            <w:shd w:val="clear" w:color="auto" w:fill="E0E7ED"/>
          </w:tcPr>
          <w:p>
            <w:pPr>
              <w:jc w:val="right"/>
              <w:ind w:right="16"/>
              <w:spacing w:after="0"/>
              <w:rPr>
                <w:sz w:val="20"/>
                <w:szCs w:val="20"/>
                <w:color w:val="auto"/>
              </w:rPr>
            </w:pPr>
            <w:r>
              <w:rPr>
                <w:rFonts w:ascii="Verdana" w:cs="Verdana" w:eastAsia="Verdana" w:hAnsi="Verdana"/>
                <w:sz w:val="18"/>
                <w:szCs w:val="18"/>
                <w:color w:val="auto"/>
              </w:rPr>
              <w:t>1,256</w:t>
            </w:r>
          </w:p>
        </w:tc>
        <w:tc>
          <w:tcPr>
            <w:tcW w:w="340" w:type="dxa"/>
            <w:vAlign w:val="bottom"/>
            <w:gridSpan w:val="2"/>
            <w:vMerge w:val="restart"/>
            <w:shd w:val="clear" w:color="auto" w:fill="E0E7ED"/>
          </w:tcPr>
          <w:p>
            <w:pPr>
              <w:jc w:val="right"/>
              <w:ind w:right="120"/>
              <w:spacing w:after="0"/>
              <w:rPr>
                <w:sz w:val="20"/>
                <w:szCs w:val="20"/>
                <w:color w:val="auto"/>
              </w:rPr>
            </w:pPr>
            <w:r>
              <w:rPr>
                <w:rFonts w:ascii="Verdana" w:cs="Verdana" w:eastAsia="Verdana" w:hAnsi="Verdana"/>
                <w:sz w:val="18"/>
                <w:szCs w:val="18"/>
                <w:color w:val="auto"/>
              </w:rPr>
              <w:t>$</w:t>
            </w:r>
          </w:p>
        </w:tc>
        <w:tc>
          <w:tcPr>
            <w:tcW w:w="122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1,895</w:t>
            </w:r>
          </w:p>
        </w:tc>
        <w:tc>
          <w:tcPr>
            <w:tcW w:w="100" w:type="dxa"/>
            <w:vAlign w:val="bottom"/>
            <w:shd w:val="clear" w:color="auto" w:fill="E0E7ED"/>
          </w:tcPr>
          <w:p>
            <w:pPr>
              <w:spacing w:after="0"/>
              <w:rPr>
                <w:sz w:val="18"/>
                <w:szCs w:val="18"/>
                <w:color w:val="auto"/>
              </w:rPr>
            </w:pPr>
          </w:p>
        </w:tc>
        <w:tc>
          <w:tcPr>
            <w:tcW w:w="340" w:type="dxa"/>
            <w:vAlign w:val="bottom"/>
            <w:vMerge w:val="restart"/>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120" w:type="dxa"/>
            <w:vAlign w:val="bottom"/>
            <w:vMerge w:val="restart"/>
            <w:shd w:val="clear" w:color="auto" w:fill="E0E7ED"/>
          </w:tcPr>
          <w:p>
            <w:pPr>
              <w:jc w:val="right"/>
              <w:ind w:right="13"/>
              <w:spacing w:after="0"/>
              <w:rPr>
                <w:sz w:val="20"/>
                <w:szCs w:val="20"/>
                <w:color w:val="auto"/>
              </w:rPr>
            </w:pPr>
            <w:r>
              <w:rPr>
                <w:rFonts w:ascii="Verdana" w:cs="Verdana" w:eastAsia="Verdana" w:hAnsi="Verdana"/>
                <w:sz w:val="18"/>
                <w:szCs w:val="18"/>
                <w:color w:val="auto"/>
              </w:rPr>
              <w:t>3,151</w:t>
            </w:r>
          </w:p>
        </w:tc>
        <w:tc>
          <w:tcPr>
            <w:tcW w:w="80" w:type="dxa"/>
            <w:vAlign w:val="bottom"/>
            <w:shd w:val="clear" w:color="auto" w:fill="E0E7ED"/>
          </w:tcPr>
          <w:p>
            <w:pPr>
              <w:spacing w:after="0"/>
              <w:rPr>
                <w:sz w:val="18"/>
                <w:szCs w:val="18"/>
                <w:color w:val="auto"/>
              </w:rPr>
            </w:pPr>
          </w:p>
        </w:tc>
        <w:tc>
          <w:tcPr>
            <w:tcW w:w="260" w:type="dxa"/>
            <w:vAlign w:val="bottom"/>
            <w:vMerge w:val="restart"/>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22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895</w:t>
            </w:r>
          </w:p>
        </w:tc>
        <w:tc>
          <w:tcPr>
            <w:tcW w:w="100" w:type="dxa"/>
            <w:vAlign w:val="bottom"/>
            <w:shd w:val="clear" w:color="auto" w:fill="E0E7ED"/>
          </w:tcPr>
          <w:p>
            <w:pPr>
              <w:spacing w:after="0"/>
              <w:rPr>
                <w:sz w:val="18"/>
                <w:szCs w:val="18"/>
                <w:color w:val="auto"/>
              </w:rPr>
            </w:pPr>
          </w:p>
        </w:tc>
        <w:tc>
          <w:tcPr>
            <w:tcW w:w="220" w:type="dxa"/>
            <w:vAlign w:val="bottom"/>
            <w:vMerge w:val="restart"/>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260" w:type="dxa"/>
            <w:vAlign w:val="bottom"/>
            <w:vMerge w:val="restart"/>
            <w:shd w:val="clear" w:color="auto" w:fill="E0E7ED"/>
          </w:tcPr>
          <w:p>
            <w:pPr>
              <w:jc w:val="right"/>
              <w:ind w:right="18"/>
              <w:spacing w:after="0"/>
              <w:rPr>
                <w:sz w:val="20"/>
                <w:szCs w:val="20"/>
                <w:color w:val="auto"/>
              </w:rPr>
            </w:pPr>
            <w:r>
              <w:rPr>
                <w:rFonts w:ascii="Verdana" w:cs="Verdana" w:eastAsia="Verdana" w:hAnsi="Verdana"/>
                <w:sz w:val="18"/>
                <w:szCs w:val="18"/>
                <w:color w:val="auto"/>
              </w:rPr>
              <w:t>9,948</w:t>
            </w:r>
          </w:p>
        </w:tc>
        <w:tc>
          <w:tcPr>
            <w:tcW w:w="0" w:type="dxa"/>
            <w:vAlign w:val="bottom"/>
          </w:tcPr>
          <w:p>
            <w:pPr>
              <w:spacing w:after="0"/>
              <w:rPr>
                <w:sz w:val="1"/>
                <w:szCs w:val="1"/>
                <w:color w:val="auto"/>
              </w:rPr>
            </w:pPr>
          </w:p>
        </w:tc>
      </w:tr>
      <w:tr>
        <w:trPr>
          <w:trHeight w:val="241"/>
        </w:trPr>
        <w:tc>
          <w:tcPr>
            <w:tcW w:w="19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individually</w:t>
            </w:r>
          </w:p>
        </w:tc>
        <w:tc>
          <w:tcPr>
            <w:tcW w:w="260" w:type="dxa"/>
            <w:vAlign w:val="bottom"/>
            <w:vMerge w:val="continue"/>
            <w:shd w:val="clear" w:color="auto" w:fill="E0E7ED"/>
          </w:tcPr>
          <w:p>
            <w:pPr>
              <w:spacing w:after="0"/>
              <w:rPr>
                <w:sz w:val="20"/>
                <w:szCs w:val="20"/>
                <w:color w:val="auto"/>
              </w:rPr>
            </w:pPr>
          </w:p>
        </w:tc>
        <w:tc>
          <w:tcPr>
            <w:tcW w:w="1180" w:type="dxa"/>
            <w:vAlign w:val="bottom"/>
            <w:vMerge w:val="continue"/>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60" w:type="dxa"/>
            <w:vAlign w:val="bottom"/>
            <w:vMerge w:val="continue"/>
            <w:shd w:val="clear" w:color="auto" w:fill="E0E7ED"/>
          </w:tcPr>
          <w:p>
            <w:pPr>
              <w:spacing w:after="0"/>
              <w:rPr>
                <w:sz w:val="20"/>
                <w:szCs w:val="20"/>
                <w:color w:val="auto"/>
              </w:rPr>
            </w:pPr>
          </w:p>
        </w:tc>
        <w:tc>
          <w:tcPr>
            <w:tcW w:w="1220" w:type="dxa"/>
            <w:vAlign w:val="bottom"/>
            <w:vMerge w:val="continue"/>
            <w:shd w:val="clear" w:color="auto" w:fill="E0E7ED"/>
          </w:tcPr>
          <w:p>
            <w:pPr>
              <w:spacing w:after="0"/>
              <w:rPr>
                <w:sz w:val="20"/>
                <w:szCs w:val="20"/>
                <w:color w:val="auto"/>
              </w:rPr>
            </w:pPr>
          </w:p>
        </w:tc>
        <w:tc>
          <w:tcPr>
            <w:tcW w:w="340" w:type="dxa"/>
            <w:vAlign w:val="bottom"/>
            <w:gridSpan w:val="2"/>
            <w:vMerge w:val="continue"/>
            <w:shd w:val="clear" w:color="auto" w:fill="E0E7ED"/>
          </w:tcPr>
          <w:p>
            <w:pPr>
              <w:spacing w:after="0"/>
              <w:rPr>
                <w:sz w:val="20"/>
                <w:szCs w:val="20"/>
                <w:color w:val="auto"/>
              </w:rPr>
            </w:pPr>
          </w:p>
        </w:tc>
        <w:tc>
          <w:tcPr>
            <w:tcW w:w="1220" w:type="dxa"/>
            <w:vAlign w:val="bottom"/>
            <w:vMerge w:val="continue"/>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40" w:type="dxa"/>
            <w:vAlign w:val="bottom"/>
            <w:vMerge w:val="continue"/>
            <w:shd w:val="clear" w:color="auto" w:fill="E0E7ED"/>
          </w:tcPr>
          <w:p>
            <w:pPr>
              <w:spacing w:after="0"/>
              <w:rPr>
                <w:sz w:val="20"/>
                <w:szCs w:val="20"/>
                <w:color w:val="auto"/>
              </w:rPr>
            </w:pPr>
          </w:p>
        </w:tc>
        <w:tc>
          <w:tcPr>
            <w:tcW w:w="1120" w:type="dxa"/>
            <w:vAlign w:val="bottom"/>
            <w:vMerge w:val="continue"/>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60" w:type="dxa"/>
            <w:vAlign w:val="bottom"/>
            <w:vMerge w:val="continue"/>
            <w:shd w:val="clear" w:color="auto" w:fill="E0E7ED"/>
          </w:tcPr>
          <w:p>
            <w:pPr>
              <w:spacing w:after="0"/>
              <w:rPr>
                <w:sz w:val="20"/>
                <w:szCs w:val="20"/>
                <w:color w:val="auto"/>
              </w:rPr>
            </w:pPr>
          </w:p>
        </w:tc>
        <w:tc>
          <w:tcPr>
            <w:tcW w:w="1220" w:type="dxa"/>
            <w:vAlign w:val="bottom"/>
            <w:vMerge w:val="continue"/>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20" w:type="dxa"/>
            <w:vAlign w:val="bottom"/>
            <w:vMerge w:val="continue"/>
            <w:shd w:val="clear" w:color="auto" w:fill="E0E7ED"/>
          </w:tcPr>
          <w:p>
            <w:pPr>
              <w:spacing w:after="0"/>
              <w:rPr>
                <w:sz w:val="20"/>
                <w:szCs w:val="20"/>
                <w:color w:val="auto"/>
              </w:rPr>
            </w:pPr>
          </w:p>
        </w:tc>
        <w:tc>
          <w:tcPr>
            <w:tcW w:w="1260" w:type="dxa"/>
            <w:vAlign w:val="bottom"/>
            <w:vMerge w:val="continue"/>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Allowance for Credit Losses</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The ACL is a valuation account that is deducted from the portfolio loans’ amortized cost bases to present the net amount expected to be collected on the portfolio loans. The ACL is established through the provision for credit losses charged to income. Portfolio loans are charged off against the ACL when management believes the uncollectibility of a loan balance is confirmed. Recoveries are recognized up to the aggregate amount of previously charged-off balances.</w:t>
      </w:r>
    </w:p>
    <w:p>
      <w:pPr>
        <w:spacing w:after="0" w:line="157"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Management estimates the ACL balance using relevant available information from internal and external sources relating to past events, current conditions, and reasonable and supportable forecasts. Historical credit loss experience provides the basis for the estimation of expected credit losses. The cumulative loss rate used as the basis for the estimate of credit losses is comprised of Busey’s historical loss experience beginning in 2010. Due to the continued economic uncertainty in the markets in which the Company operates, Busey will continue to utilize a forecast period of 12 months with an immediate reversion to historical loss rates beyond this forecast period in its ACL estimate.</w:t>
      </w: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35" w:name="page36"/>
    <w:bookmarkEnd w:id="35"/>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 xml:space="preserve">The following tables summarize activity in the ACL attributable to each lending activity. Allocation of a portion of the ACL to one lending activity does not preclude its availability to absorb losses from other lending activities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6"/>
          </w:tcPr>
          <w:p>
            <w:pPr>
              <w:jc w:val="center"/>
              <w:ind w:right="100"/>
              <w:spacing w:after="0"/>
              <w:rPr>
                <w:sz w:val="20"/>
                <w:szCs w:val="20"/>
                <w:color w:val="auto"/>
              </w:rPr>
            </w:pPr>
            <w:r>
              <w:rPr>
                <w:rFonts w:ascii="Verdana" w:cs="Verdana" w:eastAsia="Verdana" w:hAnsi="Verdana"/>
                <w:sz w:val="13"/>
                <w:szCs w:val="13"/>
                <w:b w:val="1"/>
                <w:bCs w:val="1"/>
                <w:color w:val="auto"/>
                <w:w w:val="96"/>
              </w:rPr>
              <w:t>Three Months Ended September 30, 2024</w:t>
            </w: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2"/>
          </w:tcPr>
          <w:p>
            <w:pPr>
              <w:jc w:val="center"/>
              <w:ind w:right="280"/>
              <w:spacing w:after="0" w:line="122" w:lineRule="exact"/>
              <w:rPr>
                <w:sz w:val="20"/>
                <w:szCs w:val="20"/>
                <w:color w:val="auto"/>
              </w:rPr>
            </w:pPr>
            <w:r>
              <w:rPr>
                <w:rFonts w:ascii="Verdana" w:cs="Verdana" w:eastAsia="Verdana" w:hAnsi="Verdana"/>
                <w:sz w:val="13"/>
                <w:szCs w:val="13"/>
                <w:b w:val="1"/>
                <w:bCs w:val="1"/>
                <w:color w:val="auto"/>
                <w:w w:val="97"/>
              </w:rPr>
              <w:t>C&amp;I and Other</w:t>
            </w:r>
          </w:p>
        </w:tc>
        <w:tc>
          <w:tcPr>
            <w:tcW w:w="220" w:type="dxa"/>
            <w:vAlign w:val="bottom"/>
          </w:tcPr>
          <w:p>
            <w:pPr>
              <w:spacing w:after="0"/>
              <w:rPr>
                <w:sz w:val="10"/>
                <w:szCs w:val="10"/>
                <w:color w:val="auto"/>
              </w:rPr>
            </w:pPr>
          </w:p>
        </w:tc>
        <w:tc>
          <w:tcPr>
            <w:tcW w:w="1340" w:type="dxa"/>
            <w:vAlign w:val="bottom"/>
            <w:gridSpan w:val="2"/>
          </w:tcPr>
          <w:p>
            <w:pPr>
              <w:ind w:left="100"/>
              <w:spacing w:after="0" w:line="122" w:lineRule="exact"/>
              <w:rPr>
                <w:sz w:val="20"/>
                <w:szCs w:val="20"/>
                <w:color w:val="auto"/>
              </w:rPr>
            </w:pPr>
            <w:r>
              <w:rPr>
                <w:rFonts w:ascii="Verdana" w:cs="Verdana" w:eastAsia="Verdana" w:hAnsi="Verdana"/>
                <w:sz w:val="13"/>
                <w:szCs w:val="13"/>
                <w:b w:val="1"/>
                <w:bCs w:val="1"/>
                <w:color w:val="auto"/>
              </w:rPr>
              <w:t>Commercial</w:t>
            </w:r>
          </w:p>
        </w:tc>
        <w:tc>
          <w:tcPr>
            <w:tcW w:w="200" w:type="dxa"/>
            <w:vAlign w:val="bottom"/>
          </w:tcPr>
          <w:p>
            <w:pPr>
              <w:spacing w:after="0"/>
              <w:rPr>
                <w:sz w:val="10"/>
                <w:szCs w:val="10"/>
                <w:color w:val="auto"/>
              </w:rPr>
            </w:pPr>
          </w:p>
        </w:tc>
        <w:tc>
          <w:tcPr>
            <w:tcW w:w="1360" w:type="dxa"/>
            <w:vAlign w:val="bottom"/>
            <w:gridSpan w:val="2"/>
          </w:tcPr>
          <w:p>
            <w:pPr>
              <w:jc w:val="center"/>
              <w:ind w:right="320"/>
              <w:spacing w:after="0" w:line="122" w:lineRule="exact"/>
              <w:rPr>
                <w:sz w:val="20"/>
                <w:szCs w:val="20"/>
                <w:color w:val="auto"/>
              </w:rPr>
            </w:pPr>
            <w:r>
              <w:rPr>
                <w:rFonts w:ascii="Verdana" w:cs="Verdana" w:eastAsia="Verdana" w:hAnsi="Verdana"/>
                <w:sz w:val="13"/>
                <w:szCs w:val="13"/>
                <w:b w:val="1"/>
                <w:bCs w:val="1"/>
                <w:color w:val="auto"/>
                <w:w w:val="97"/>
              </w:rPr>
              <w:t>Real Estate</w:t>
            </w:r>
          </w:p>
        </w:tc>
        <w:tc>
          <w:tcPr>
            <w:tcW w:w="220" w:type="dxa"/>
            <w:vAlign w:val="bottom"/>
          </w:tcPr>
          <w:p>
            <w:pPr>
              <w:spacing w:after="0"/>
              <w:rPr>
                <w:sz w:val="10"/>
                <w:szCs w:val="10"/>
                <w:color w:val="auto"/>
              </w:rPr>
            </w:pPr>
          </w:p>
        </w:tc>
        <w:tc>
          <w:tcPr>
            <w:tcW w:w="1320" w:type="dxa"/>
            <w:vAlign w:val="bottom"/>
            <w:gridSpan w:val="2"/>
          </w:tcPr>
          <w:p>
            <w:pPr>
              <w:jc w:val="center"/>
              <w:ind w:right="300"/>
              <w:spacing w:after="0" w:line="122" w:lineRule="exact"/>
              <w:rPr>
                <w:sz w:val="20"/>
                <w:szCs w:val="20"/>
                <w:color w:val="auto"/>
              </w:rPr>
            </w:pPr>
            <w:r>
              <w:rPr>
                <w:rFonts w:ascii="Verdana" w:cs="Verdana" w:eastAsia="Verdana" w:hAnsi="Verdana"/>
                <w:sz w:val="13"/>
                <w:szCs w:val="13"/>
                <w:b w:val="1"/>
                <w:bCs w:val="1"/>
                <w:color w:val="auto"/>
                <w:w w:val="99"/>
              </w:rPr>
              <w:t>Retail</w:t>
            </w:r>
          </w:p>
        </w:tc>
        <w:tc>
          <w:tcPr>
            <w:tcW w:w="220" w:type="dxa"/>
            <w:vAlign w:val="bottom"/>
          </w:tcPr>
          <w:p>
            <w:pPr>
              <w:spacing w:after="0"/>
              <w:rPr>
                <w:sz w:val="10"/>
                <w:szCs w:val="10"/>
                <w:color w:val="auto"/>
              </w:rPr>
            </w:pPr>
          </w:p>
        </w:tc>
        <w:tc>
          <w:tcPr>
            <w:tcW w:w="1340" w:type="dxa"/>
            <w:vAlign w:val="bottom"/>
            <w:gridSpan w:val="2"/>
            <w:vMerge w:val="restart"/>
          </w:tcPr>
          <w:p>
            <w:pPr>
              <w:ind w:left="100"/>
              <w:spacing w:after="0"/>
              <w:rPr>
                <w:sz w:val="20"/>
                <w:szCs w:val="20"/>
                <w:color w:val="auto"/>
              </w:rPr>
            </w:pPr>
            <w:r>
              <w:rPr>
                <w:rFonts w:ascii="Verdana" w:cs="Verdana" w:eastAsia="Verdana" w:hAnsi="Verdana"/>
                <w:sz w:val="13"/>
                <w:szCs w:val="13"/>
                <w:b w:val="1"/>
                <w:bCs w:val="1"/>
                <w:color w:val="auto"/>
              </w:rPr>
              <w:t>Retail Other</w:t>
            </w:r>
          </w:p>
        </w:tc>
        <w:tc>
          <w:tcPr>
            <w:tcW w:w="340" w:type="dxa"/>
            <w:vAlign w:val="bottom"/>
          </w:tcPr>
          <w:p>
            <w:pPr>
              <w:spacing w:after="0"/>
              <w:rPr>
                <w:sz w:val="10"/>
                <w:szCs w:val="10"/>
                <w:color w:val="auto"/>
              </w:rPr>
            </w:pPr>
          </w:p>
        </w:tc>
        <w:tc>
          <w:tcPr>
            <w:tcW w:w="1120" w:type="dxa"/>
            <w:vAlign w:val="bottom"/>
            <w:vMerge w:val="restart"/>
          </w:tcPr>
          <w:p>
            <w:pPr>
              <w:jc w:val="right"/>
              <w:ind w:right="474"/>
              <w:spacing w:after="0"/>
              <w:rPr>
                <w:sz w:val="20"/>
                <w:szCs w:val="20"/>
                <w:color w:val="auto"/>
              </w:rPr>
            </w:pPr>
            <w:r>
              <w:rPr>
                <w:rFonts w:ascii="Verdana" w:cs="Verdana" w:eastAsia="Verdana" w:hAnsi="Verdana"/>
                <w:sz w:val="13"/>
                <w:szCs w:val="13"/>
                <w:b w:val="1"/>
                <w:bCs w:val="1"/>
                <w:color w:val="auto"/>
              </w:rPr>
              <w:t>Total</w:t>
            </w:r>
          </w:p>
        </w:tc>
        <w:tc>
          <w:tcPr>
            <w:tcW w:w="0" w:type="dxa"/>
            <w:vAlign w:val="bottom"/>
          </w:tcPr>
          <w:p>
            <w:pPr>
              <w:spacing w:after="0"/>
              <w:rPr>
                <w:sz w:val="1"/>
                <w:szCs w:val="1"/>
                <w:color w:val="auto"/>
              </w:rPr>
            </w:pPr>
          </w:p>
        </w:tc>
      </w:tr>
      <w:tr>
        <w:trPr>
          <w:trHeight w:val="170"/>
        </w:trPr>
        <w:tc>
          <w:tcPr>
            <w:tcW w:w="2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Verdana" w:cs="Verdana" w:eastAsia="Verdana" w:hAnsi="Verdana"/>
                <w:sz w:val="13"/>
                <w:szCs w:val="13"/>
                <w:b w:val="1"/>
                <w:bCs w:val="1"/>
                <w:color w:val="auto"/>
                <w:w w:val="97"/>
              </w:rPr>
              <w:t>Commercial</w:t>
            </w:r>
          </w:p>
        </w:tc>
        <w:tc>
          <w:tcPr>
            <w:tcW w:w="22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Verdana" w:cs="Verdana" w:eastAsia="Verdana" w:hAnsi="Verdana"/>
                <w:sz w:val="13"/>
                <w:szCs w:val="13"/>
                <w:b w:val="1"/>
                <w:bCs w:val="1"/>
                <w:color w:val="auto"/>
              </w:rPr>
              <w:t>Real Estate</w:t>
            </w:r>
          </w:p>
        </w:tc>
        <w:tc>
          <w:tcPr>
            <w:tcW w:w="20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Verdana" w:cs="Verdana" w:eastAsia="Verdana" w:hAnsi="Verdana"/>
                <w:sz w:val="13"/>
                <w:szCs w:val="13"/>
                <w:b w:val="1"/>
                <w:bCs w:val="1"/>
                <w:color w:val="auto"/>
                <w:w w:val="96"/>
              </w:rPr>
              <w:t>Construction</w:t>
            </w: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Verdana" w:cs="Verdana" w:eastAsia="Verdana" w:hAnsi="Verdana"/>
                <w:sz w:val="13"/>
                <w:szCs w:val="13"/>
                <w:b w:val="1"/>
                <w:bCs w:val="1"/>
                <w:color w:val="auto"/>
                <w:w w:val="97"/>
              </w:rPr>
              <w:t>Real Estate</w:t>
            </w:r>
          </w:p>
        </w:tc>
        <w:tc>
          <w:tcPr>
            <w:tcW w:w="2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0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ACL balance,</w:t>
            </w:r>
          </w:p>
        </w:tc>
        <w:tc>
          <w:tcPr>
            <w:tcW w:w="180" w:type="dxa"/>
            <w:vAlign w:val="bottom"/>
            <w:tcBorders>
              <w:top w:val="single" w:sz="8" w:color="auto"/>
            </w:tcBorders>
            <w:shd w:val="clear" w:color="auto" w:fill="E0E7ED"/>
          </w:tcPr>
          <w:p>
            <w:pPr>
              <w:spacing w:after="0"/>
              <w:rPr>
                <w:sz w:val="19"/>
                <w:szCs w:val="19"/>
                <w:color w:val="auto"/>
              </w:rPr>
            </w:pPr>
          </w:p>
        </w:tc>
        <w:tc>
          <w:tcPr>
            <w:tcW w:w="12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24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00" w:type="dxa"/>
            <w:vAlign w:val="bottom"/>
            <w:tcBorders>
              <w:top w:val="single" w:sz="8" w:color="auto"/>
            </w:tcBorders>
            <w:shd w:val="clear" w:color="auto" w:fill="E0E7ED"/>
          </w:tcPr>
          <w:p>
            <w:pPr>
              <w:spacing w:after="0"/>
              <w:rPr>
                <w:sz w:val="19"/>
                <w:szCs w:val="19"/>
                <w:color w:val="auto"/>
              </w:rPr>
            </w:pPr>
          </w:p>
        </w:tc>
        <w:tc>
          <w:tcPr>
            <w:tcW w:w="126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24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24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340" w:type="dxa"/>
            <w:vAlign w:val="bottom"/>
            <w:tcBorders>
              <w:top w:val="single" w:sz="8" w:color="auto"/>
            </w:tcBorders>
            <w:shd w:val="clear" w:color="auto" w:fill="E0E7ED"/>
          </w:tcPr>
          <w:p>
            <w:pPr>
              <w:spacing w:after="0"/>
              <w:rPr>
                <w:sz w:val="19"/>
                <w:szCs w:val="19"/>
                <w:color w:val="auto"/>
              </w:rPr>
            </w:pPr>
          </w:p>
        </w:tc>
        <w:tc>
          <w:tcPr>
            <w:tcW w:w="112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June 30, 2024</w:t>
            </w:r>
          </w:p>
        </w:tc>
        <w:tc>
          <w:tcPr>
            <w:tcW w:w="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20,286</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35,104</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3,722</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24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23,729</w:t>
            </w: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2,385</w:t>
            </w: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jc w:val="right"/>
              <w:ind w:right="110"/>
              <w:spacing w:after="0"/>
              <w:rPr>
                <w:sz w:val="20"/>
                <w:szCs w:val="20"/>
                <w:color w:val="auto"/>
              </w:rPr>
            </w:pPr>
            <w:r>
              <w:rPr>
                <w:rFonts w:ascii="Verdana" w:cs="Verdana" w:eastAsia="Verdana" w:hAnsi="Verdana"/>
                <w:sz w:val="18"/>
                <w:szCs w:val="18"/>
                <w:color w:val="auto"/>
              </w:rPr>
              <w:t>$</w:t>
            </w:r>
          </w:p>
        </w:tc>
        <w:tc>
          <w:tcPr>
            <w:tcW w:w="11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85,226</w:t>
            </w:r>
          </w:p>
        </w:tc>
        <w:tc>
          <w:tcPr>
            <w:tcW w:w="0" w:type="dxa"/>
            <w:vAlign w:val="bottom"/>
          </w:tcPr>
          <w:p>
            <w:pPr>
              <w:spacing w:after="0"/>
              <w:rPr>
                <w:sz w:val="1"/>
                <w:szCs w:val="1"/>
                <w:color w:val="auto"/>
              </w:rPr>
            </w:pPr>
          </w:p>
        </w:tc>
      </w:tr>
      <w:tr>
        <w:trPr>
          <w:trHeight w:val="238"/>
        </w:trPr>
        <w:tc>
          <w:tcPr>
            <w:tcW w:w="2000" w:type="dxa"/>
            <w:vAlign w:val="bottom"/>
          </w:tcPr>
          <w:p>
            <w:pPr>
              <w:ind w:left="180"/>
              <w:spacing w:after="0"/>
              <w:rPr>
                <w:sz w:val="20"/>
                <w:szCs w:val="20"/>
                <w:color w:val="auto"/>
              </w:rPr>
            </w:pPr>
            <w:r>
              <w:rPr>
                <w:rFonts w:ascii="Verdana" w:cs="Verdana" w:eastAsia="Verdana" w:hAnsi="Verdana"/>
                <w:sz w:val="18"/>
                <w:szCs w:val="18"/>
                <w:color w:val="auto"/>
              </w:rPr>
              <w:t>Provision for credit</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00" w:type="dxa"/>
            <w:vAlign w:val="bottom"/>
          </w:tcPr>
          <w:p>
            <w:pPr>
              <w:ind w:left="180"/>
              <w:spacing w:after="0"/>
              <w:rPr>
                <w:sz w:val="20"/>
                <w:szCs w:val="20"/>
                <w:color w:val="auto"/>
              </w:rPr>
            </w:pPr>
            <w:r>
              <w:rPr>
                <w:rFonts w:ascii="Verdana" w:cs="Verdana" w:eastAsia="Verdana" w:hAnsi="Verdana"/>
                <w:sz w:val="18"/>
                <w:szCs w:val="18"/>
                <w:color w:val="auto"/>
              </w:rPr>
              <w:t>losses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715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(1,158)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Verdana" w:cs="Verdana" w:eastAsia="Verdana" w:hAnsi="Verdana"/>
                <w:sz w:val="18"/>
                <w:szCs w:val="18"/>
                <w:color w:val="auto"/>
              </w:rPr>
              <w:t>120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286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Verdana" w:cs="Verdana" w:eastAsia="Verdana" w:hAnsi="Verdana"/>
                <w:sz w:val="18"/>
                <w:szCs w:val="18"/>
                <w:color w:val="auto"/>
              </w:rPr>
              <w:t>2</w:t>
            </w:r>
          </w:p>
        </w:tc>
        <w:tc>
          <w:tcPr>
            <w:tcW w:w="0" w:type="dxa"/>
            <w:vAlign w:val="bottom"/>
          </w:tcPr>
          <w:p>
            <w:pPr>
              <w:spacing w:after="0"/>
              <w:rPr>
                <w:sz w:val="1"/>
                <w:szCs w:val="1"/>
                <w:color w:val="auto"/>
              </w:rPr>
            </w:pPr>
          </w:p>
        </w:tc>
      </w:tr>
      <w:tr>
        <w:trPr>
          <w:trHeight w:val="277"/>
        </w:trPr>
        <w:tc>
          <w:tcPr>
            <w:tcW w:w="20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Charged-off</w:t>
            </w:r>
          </w:p>
        </w:tc>
        <w:tc>
          <w:tcPr>
            <w:tcW w:w="18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(202)</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(215)</w:t>
            </w: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6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(32)</w:t>
            </w:r>
          </w:p>
        </w:tc>
        <w:tc>
          <w:tcPr>
            <w:tcW w:w="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(225)</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1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(674)</w:t>
            </w:r>
          </w:p>
        </w:tc>
        <w:tc>
          <w:tcPr>
            <w:tcW w:w="0" w:type="dxa"/>
            <w:vAlign w:val="bottom"/>
          </w:tcPr>
          <w:p>
            <w:pPr>
              <w:spacing w:after="0"/>
              <w:rPr>
                <w:sz w:val="1"/>
                <w:szCs w:val="1"/>
                <w:color w:val="auto"/>
              </w:rPr>
            </w:pPr>
          </w:p>
        </w:tc>
      </w:tr>
      <w:tr>
        <w:trPr>
          <w:trHeight w:val="264"/>
        </w:trPr>
        <w:tc>
          <w:tcPr>
            <w:tcW w:w="200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Recoveries</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210</w:t>
            </w:r>
          </w:p>
        </w:tc>
        <w:tc>
          <w:tcPr>
            <w:tcW w:w="100" w:type="dxa"/>
            <w:vAlign w:val="bottom"/>
            <w:tcBorders>
              <w:bottom w:val="single" w:sz="8" w:color="E0E7E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8"/>
                <w:szCs w:val="18"/>
                <w:color w:val="auto"/>
              </w:rPr>
              <w:t>4</w:t>
            </w:r>
          </w:p>
        </w:tc>
        <w:tc>
          <w:tcPr>
            <w:tcW w:w="10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10</w:t>
            </w:r>
          </w:p>
        </w:tc>
        <w:tc>
          <w:tcPr>
            <w:tcW w:w="100" w:type="dxa"/>
            <w:vAlign w:val="bottom"/>
            <w:tcBorders>
              <w:bottom w:val="single" w:sz="8" w:color="E0E7E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8"/>
                <w:szCs w:val="18"/>
                <w:color w:val="auto"/>
              </w:rPr>
              <w:t>162</w:t>
            </w:r>
          </w:p>
        </w:tc>
        <w:tc>
          <w:tcPr>
            <w:tcW w:w="80" w:type="dxa"/>
            <w:vAlign w:val="bottom"/>
            <w:tcBorders>
              <w:bottom w:val="single" w:sz="8" w:color="E0E7E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41</w:t>
            </w:r>
          </w:p>
        </w:tc>
        <w:tc>
          <w:tcPr>
            <w:tcW w:w="10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427</w:t>
            </w:r>
          </w:p>
        </w:tc>
        <w:tc>
          <w:tcPr>
            <w:tcW w:w="0" w:type="dxa"/>
            <w:vAlign w:val="bottom"/>
          </w:tcPr>
          <w:p>
            <w:pPr>
              <w:spacing w:after="0"/>
              <w:rPr>
                <w:sz w:val="1"/>
                <w:szCs w:val="1"/>
                <w:color w:val="auto"/>
              </w:rPr>
            </w:pPr>
          </w:p>
        </w:tc>
      </w:tr>
      <w:tr>
        <w:trPr>
          <w:trHeight w:val="224"/>
        </w:trPr>
        <w:tc>
          <w:tcPr>
            <w:tcW w:w="20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ACL balance,</w:t>
            </w:r>
          </w:p>
        </w:tc>
        <w:tc>
          <w:tcPr>
            <w:tcW w:w="18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21,009</w:t>
            </w:r>
          </w:p>
        </w:tc>
        <w:tc>
          <w:tcPr>
            <w:tcW w:w="100" w:type="dxa"/>
            <w:vAlign w:val="bottom"/>
            <w:shd w:val="clear" w:color="auto" w:fill="E0E7ED"/>
          </w:tcPr>
          <w:p>
            <w:pPr>
              <w:spacing w:after="0"/>
              <w:rPr>
                <w:sz w:val="19"/>
                <w:szCs w:val="19"/>
                <w:color w:val="auto"/>
              </w:rPr>
            </w:pPr>
          </w:p>
        </w:tc>
        <w:tc>
          <w:tcPr>
            <w:tcW w:w="22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4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8"/>
                <w:szCs w:val="18"/>
                <w:color w:val="auto"/>
              </w:rPr>
              <w:t>33,735</w:t>
            </w:r>
          </w:p>
        </w:tc>
        <w:tc>
          <w:tcPr>
            <w:tcW w:w="100" w:type="dxa"/>
            <w:vAlign w:val="bottom"/>
            <w:shd w:val="clear" w:color="auto" w:fill="E0E7ED"/>
          </w:tcPr>
          <w:p>
            <w:pPr>
              <w:spacing w:after="0"/>
              <w:rPr>
                <w:sz w:val="19"/>
                <w:szCs w:val="19"/>
                <w:color w:val="auto"/>
              </w:rPr>
            </w:pPr>
          </w:p>
        </w:tc>
        <w:tc>
          <w:tcPr>
            <w:tcW w:w="20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26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3,771</w:t>
            </w:r>
          </w:p>
        </w:tc>
        <w:tc>
          <w:tcPr>
            <w:tcW w:w="100" w:type="dxa"/>
            <w:vAlign w:val="bottom"/>
            <w:shd w:val="clear" w:color="auto" w:fill="E0E7ED"/>
          </w:tcPr>
          <w:p>
            <w:pPr>
              <w:spacing w:after="0"/>
              <w:rPr>
                <w:sz w:val="19"/>
                <w:szCs w:val="19"/>
                <w:color w:val="auto"/>
              </w:rPr>
            </w:pPr>
          </w:p>
        </w:tc>
        <w:tc>
          <w:tcPr>
            <w:tcW w:w="220" w:type="dxa"/>
            <w:vAlign w:val="bottom"/>
            <w:vMerge w:val="restart"/>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24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8"/>
                <w:szCs w:val="18"/>
                <w:color w:val="auto"/>
              </w:rPr>
              <w:t>23,979</w:t>
            </w:r>
          </w:p>
        </w:tc>
        <w:tc>
          <w:tcPr>
            <w:tcW w:w="80" w:type="dxa"/>
            <w:vAlign w:val="bottom"/>
            <w:shd w:val="clear" w:color="auto" w:fill="E0E7ED"/>
          </w:tcPr>
          <w:p>
            <w:pPr>
              <w:spacing w:after="0"/>
              <w:rPr>
                <w:sz w:val="19"/>
                <w:szCs w:val="19"/>
                <w:color w:val="auto"/>
              </w:rPr>
            </w:pPr>
          </w:p>
        </w:tc>
        <w:tc>
          <w:tcPr>
            <w:tcW w:w="22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4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2,487</w:t>
            </w:r>
          </w:p>
        </w:tc>
        <w:tc>
          <w:tcPr>
            <w:tcW w:w="100" w:type="dxa"/>
            <w:vAlign w:val="bottom"/>
            <w:shd w:val="clear" w:color="auto" w:fill="E0E7ED"/>
          </w:tcPr>
          <w:p>
            <w:pPr>
              <w:spacing w:after="0"/>
              <w:rPr>
                <w:sz w:val="19"/>
                <w:szCs w:val="19"/>
                <w:color w:val="auto"/>
              </w:rPr>
            </w:pPr>
          </w:p>
        </w:tc>
        <w:tc>
          <w:tcPr>
            <w:tcW w:w="340" w:type="dxa"/>
            <w:vAlign w:val="bottom"/>
            <w:vMerge w:val="restart"/>
            <w:shd w:val="clear" w:color="auto" w:fill="E0E7ED"/>
          </w:tcPr>
          <w:p>
            <w:pPr>
              <w:jc w:val="right"/>
              <w:ind w:right="110"/>
              <w:spacing w:after="0"/>
              <w:rPr>
                <w:sz w:val="20"/>
                <w:szCs w:val="20"/>
                <w:color w:val="auto"/>
              </w:rPr>
            </w:pPr>
            <w:r>
              <w:rPr>
                <w:rFonts w:ascii="Verdana" w:cs="Verdana" w:eastAsia="Verdana" w:hAnsi="Verdana"/>
                <w:sz w:val="18"/>
                <w:szCs w:val="18"/>
                <w:color w:val="auto"/>
              </w:rPr>
              <w:t>$</w:t>
            </w:r>
          </w:p>
        </w:tc>
        <w:tc>
          <w:tcPr>
            <w:tcW w:w="112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84,981</w:t>
            </w:r>
          </w:p>
        </w:tc>
        <w:tc>
          <w:tcPr>
            <w:tcW w:w="0" w:type="dxa"/>
            <w:vAlign w:val="bottom"/>
          </w:tcPr>
          <w:p>
            <w:pPr>
              <w:spacing w:after="0"/>
              <w:rPr>
                <w:sz w:val="1"/>
                <w:szCs w:val="1"/>
                <w:color w:val="auto"/>
              </w:rPr>
            </w:pPr>
          </w:p>
        </w:tc>
      </w:tr>
      <w:tr>
        <w:trPr>
          <w:trHeight w:val="241"/>
        </w:trPr>
        <w:tc>
          <w:tcPr>
            <w:tcW w:w="200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September 30, 2024</w:t>
            </w:r>
          </w:p>
        </w:tc>
        <w:tc>
          <w:tcPr>
            <w:tcW w:w="180" w:type="dxa"/>
            <w:vAlign w:val="bottom"/>
            <w:tcBorders>
              <w:bottom w:val="single" w:sz="8" w:color="auto"/>
            </w:tcBorders>
            <w:vMerge w:val="continue"/>
            <w:shd w:val="clear" w:color="auto" w:fill="E0E7ED"/>
          </w:tcPr>
          <w:p>
            <w:pPr>
              <w:spacing w:after="0"/>
              <w:rPr>
                <w:sz w:val="20"/>
                <w:szCs w:val="20"/>
                <w:color w:val="auto"/>
              </w:rPr>
            </w:pPr>
          </w:p>
        </w:tc>
        <w:tc>
          <w:tcPr>
            <w:tcW w:w="1280" w:type="dxa"/>
            <w:vAlign w:val="bottom"/>
            <w:tcBorders>
              <w:bottom w:val="single" w:sz="8" w:color="auto"/>
            </w:tcBorders>
            <w:vMerge w:val="continue"/>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220" w:type="dxa"/>
            <w:vAlign w:val="bottom"/>
            <w:tcBorders>
              <w:bottom w:val="single" w:sz="8" w:color="auto"/>
            </w:tcBorders>
            <w:vMerge w:val="continue"/>
            <w:shd w:val="clear" w:color="auto" w:fill="E0E7ED"/>
          </w:tcPr>
          <w:p>
            <w:pPr>
              <w:spacing w:after="0"/>
              <w:rPr>
                <w:sz w:val="20"/>
                <w:szCs w:val="20"/>
                <w:color w:val="auto"/>
              </w:rPr>
            </w:pPr>
          </w:p>
        </w:tc>
        <w:tc>
          <w:tcPr>
            <w:tcW w:w="1240" w:type="dxa"/>
            <w:vAlign w:val="bottom"/>
            <w:tcBorders>
              <w:bottom w:val="single" w:sz="8" w:color="auto"/>
            </w:tcBorders>
            <w:vMerge w:val="continue"/>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200" w:type="dxa"/>
            <w:vAlign w:val="bottom"/>
            <w:tcBorders>
              <w:bottom w:val="single" w:sz="8" w:color="auto"/>
            </w:tcBorders>
            <w:vMerge w:val="continue"/>
            <w:shd w:val="clear" w:color="auto" w:fill="E0E7ED"/>
          </w:tcPr>
          <w:p>
            <w:pPr>
              <w:spacing w:after="0"/>
              <w:rPr>
                <w:sz w:val="20"/>
                <w:szCs w:val="20"/>
                <w:color w:val="auto"/>
              </w:rPr>
            </w:pPr>
          </w:p>
        </w:tc>
        <w:tc>
          <w:tcPr>
            <w:tcW w:w="1260" w:type="dxa"/>
            <w:vAlign w:val="bottom"/>
            <w:tcBorders>
              <w:bottom w:val="single" w:sz="8" w:color="auto"/>
            </w:tcBorders>
            <w:vMerge w:val="continue"/>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220" w:type="dxa"/>
            <w:vAlign w:val="bottom"/>
            <w:tcBorders>
              <w:bottom w:val="single" w:sz="8" w:color="auto"/>
            </w:tcBorders>
            <w:vMerge w:val="continue"/>
            <w:shd w:val="clear" w:color="auto" w:fill="E0E7ED"/>
          </w:tcPr>
          <w:p>
            <w:pPr>
              <w:spacing w:after="0"/>
              <w:rPr>
                <w:sz w:val="20"/>
                <w:szCs w:val="20"/>
                <w:color w:val="auto"/>
              </w:rPr>
            </w:pPr>
          </w:p>
        </w:tc>
        <w:tc>
          <w:tcPr>
            <w:tcW w:w="124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220" w:type="dxa"/>
            <w:vAlign w:val="bottom"/>
            <w:tcBorders>
              <w:bottom w:val="single" w:sz="8" w:color="auto"/>
            </w:tcBorders>
            <w:vMerge w:val="continue"/>
            <w:shd w:val="clear" w:color="auto" w:fill="E0E7ED"/>
          </w:tcPr>
          <w:p>
            <w:pPr>
              <w:spacing w:after="0"/>
              <w:rPr>
                <w:sz w:val="20"/>
                <w:szCs w:val="20"/>
                <w:color w:val="auto"/>
              </w:rPr>
            </w:pPr>
          </w:p>
        </w:tc>
        <w:tc>
          <w:tcPr>
            <w:tcW w:w="1240" w:type="dxa"/>
            <w:vAlign w:val="bottom"/>
            <w:tcBorders>
              <w:bottom w:val="single" w:sz="8" w:color="auto"/>
            </w:tcBorders>
            <w:vMerge w:val="continue"/>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340" w:type="dxa"/>
            <w:vAlign w:val="bottom"/>
            <w:tcBorders>
              <w:bottom w:val="single" w:sz="8" w:color="auto"/>
            </w:tcBorders>
            <w:vMerge w:val="continue"/>
            <w:shd w:val="clear" w:color="auto" w:fill="E0E7ED"/>
          </w:tcPr>
          <w:p>
            <w:pPr>
              <w:spacing w:after="0"/>
              <w:rPr>
                <w:sz w:val="20"/>
                <w:szCs w:val="20"/>
                <w:color w:val="auto"/>
              </w:rPr>
            </w:pPr>
          </w:p>
        </w:tc>
        <w:tc>
          <w:tcPr>
            <w:tcW w:w="1120" w:type="dxa"/>
            <w:vAlign w:val="bottom"/>
            <w:tcBorders>
              <w:bottom w:val="single" w:sz="8" w:color="auto"/>
            </w:tcBorders>
            <w:vMerge w:val="continue"/>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460" w:type="dxa"/>
            <w:vAlign w:val="bottom"/>
            <w:tcBorders>
              <w:top w:val="single" w:sz="8" w:color="E0E7ED"/>
              <w:bottom w:val="single" w:sz="8" w:color="auto"/>
            </w:tcBorders>
            <w:gridSpan w:val="2"/>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460" w:type="dxa"/>
            <w:vAlign w:val="bottom"/>
            <w:tcBorders>
              <w:top w:val="single" w:sz="8" w:color="E0E7ED"/>
              <w:bottom w:val="single" w:sz="8" w:color="auto"/>
            </w:tcBorders>
            <w:gridSpan w:val="2"/>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2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jc w:val="center"/>
              <w:ind w:right="100"/>
              <w:spacing w:after="0"/>
              <w:rPr>
                <w:sz w:val="20"/>
                <w:szCs w:val="20"/>
                <w:color w:val="auto"/>
              </w:rPr>
            </w:pPr>
            <w:r>
              <w:rPr>
                <w:rFonts w:ascii="Verdana" w:cs="Verdana" w:eastAsia="Verdana" w:hAnsi="Verdana"/>
                <w:sz w:val="13"/>
                <w:szCs w:val="13"/>
                <w:b w:val="1"/>
                <w:bCs w:val="1"/>
                <w:color w:val="auto"/>
                <w:w w:val="96"/>
              </w:rPr>
              <w:t>Nine Months Ended September 30, 2024</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2"/>
          </w:tcPr>
          <w:p>
            <w:pPr>
              <w:jc w:val="center"/>
              <w:ind w:right="280"/>
              <w:spacing w:after="0" w:line="122" w:lineRule="exact"/>
              <w:rPr>
                <w:sz w:val="20"/>
                <w:szCs w:val="20"/>
                <w:color w:val="auto"/>
              </w:rPr>
            </w:pPr>
            <w:r>
              <w:rPr>
                <w:rFonts w:ascii="Verdana" w:cs="Verdana" w:eastAsia="Verdana" w:hAnsi="Verdana"/>
                <w:sz w:val="13"/>
                <w:szCs w:val="13"/>
                <w:b w:val="1"/>
                <w:bCs w:val="1"/>
                <w:color w:val="auto"/>
                <w:w w:val="97"/>
              </w:rPr>
              <w:t>C&amp;I and Other</w:t>
            </w:r>
          </w:p>
        </w:tc>
        <w:tc>
          <w:tcPr>
            <w:tcW w:w="220" w:type="dxa"/>
            <w:vAlign w:val="bottom"/>
          </w:tcPr>
          <w:p>
            <w:pPr>
              <w:spacing w:after="0"/>
              <w:rPr>
                <w:sz w:val="10"/>
                <w:szCs w:val="10"/>
                <w:color w:val="auto"/>
              </w:rPr>
            </w:pPr>
          </w:p>
        </w:tc>
        <w:tc>
          <w:tcPr>
            <w:tcW w:w="1340" w:type="dxa"/>
            <w:vAlign w:val="bottom"/>
            <w:gridSpan w:val="2"/>
          </w:tcPr>
          <w:p>
            <w:pPr>
              <w:ind w:left="100"/>
              <w:spacing w:after="0" w:line="122" w:lineRule="exact"/>
              <w:rPr>
                <w:sz w:val="20"/>
                <w:szCs w:val="20"/>
                <w:color w:val="auto"/>
              </w:rPr>
            </w:pPr>
            <w:r>
              <w:rPr>
                <w:rFonts w:ascii="Verdana" w:cs="Verdana" w:eastAsia="Verdana" w:hAnsi="Verdana"/>
                <w:sz w:val="13"/>
                <w:szCs w:val="13"/>
                <w:b w:val="1"/>
                <w:bCs w:val="1"/>
                <w:color w:val="auto"/>
              </w:rPr>
              <w:t>Commercial</w:t>
            </w:r>
          </w:p>
        </w:tc>
        <w:tc>
          <w:tcPr>
            <w:tcW w:w="200" w:type="dxa"/>
            <w:vAlign w:val="bottom"/>
          </w:tcPr>
          <w:p>
            <w:pPr>
              <w:spacing w:after="0"/>
              <w:rPr>
                <w:sz w:val="10"/>
                <w:szCs w:val="10"/>
                <w:color w:val="auto"/>
              </w:rPr>
            </w:pPr>
          </w:p>
        </w:tc>
        <w:tc>
          <w:tcPr>
            <w:tcW w:w="1360" w:type="dxa"/>
            <w:vAlign w:val="bottom"/>
            <w:gridSpan w:val="2"/>
          </w:tcPr>
          <w:p>
            <w:pPr>
              <w:jc w:val="center"/>
              <w:ind w:right="320"/>
              <w:spacing w:after="0" w:line="122" w:lineRule="exact"/>
              <w:rPr>
                <w:sz w:val="20"/>
                <w:szCs w:val="20"/>
                <w:color w:val="auto"/>
              </w:rPr>
            </w:pPr>
            <w:r>
              <w:rPr>
                <w:rFonts w:ascii="Verdana" w:cs="Verdana" w:eastAsia="Verdana" w:hAnsi="Verdana"/>
                <w:sz w:val="13"/>
                <w:szCs w:val="13"/>
                <w:b w:val="1"/>
                <w:bCs w:val="1"/>
                <w:color w:val="auto"/>
                <w:w w:val="97"/>
              </w:rPr>
              <w:t>Real Estate</w:t>
            </w:r>
          </w:p>
        </w:tc>
        <w:tc>
          <w:tcPr>
            <w:tcW w:w="220" w:type="dxa"/>
            <w:vAlign w:val="bottom"/>
          </w:tcPr>
          <w:p>
            <w:pPr>
              <w:spacing w:after="0"/>
              <w:rPr>
                <w:sz w:val="10"/>
                <w:szCs w:val="10"/>
                <w:color w:val="auto"/>
              </w:rPr>
            </w:pPr>
          </w:p>
        </w:tc>
        <w:tc>
          <w:tcPr>
            <w:tcW w:w="1320" w:type="dxa"/>
            <w:vAlign w:val="bottom"/>
            <w:gridSpan w:val="2"/>
          </w:tcPr>
          <w:p>
            <w:pPr>
              <w:jc w:val="center"/>
              <w:ind w:right="300"/>
              <w:spacing w:after="0" w:line="122" w:lineRule="exact"/>
              <w:rPr>
                <w:sz w:val="20"/>
                <w:szCs w:val="20"/>
                <w:color w:val="auto"/>
              </w:rPr>
            </w:pPr>
            <w:r>
              <w:rPr>
                <w:rFonts w:ascii="Verdana" w:cs="Verdana" w:eastAsia="Verdana" w:hAnsi="Verdana"/>
                <w:sz w:val="13"/>
                <w:szCs w:val="13"/>
                <w:b w:val="1"/>
                <w:bCs w:val="1"/>
                <w:color w:val="auto"/>
                <w:w w:val="99"/>
              </w:rPr>
              <w:t>Retail</w:t>
            </w:r>
          </w:p>
        </w:tc>
        <w:tc>
          <w:tcPr>
            <w:tcW w:w="220" w:type="dxa"/>
            <w:vAlign w:val="bottom"/>
          </w:tcPr>
          <w:p>
            <w:pPr>
              <w:spacing w:after="0"/>
              <w:rPr>
                <w:sz w:val="10"/>
                <w:szCs w:val="10"/>
                <w:color w:val="auto"/>
              </w:rPr>
            </w:pPr>
          </w:p>
        </w:tc>
        <w:tc>
          <w:tcPr>
            <w:tcW w:w="1340" w:type="dxa"/>
            <w:vAlign w:val="bottom"/>
            <w:gridSpan w:val="2"/>
            <w:vMerge w:val="restart"/>
          </w:tcPr>
          <w:p>
            <w:pPr>
              <w:ind w:left="100"/>
              <w:spacing w:after="0"/>
              <w:rPr>
                <w:sz w:val="20"/>
                <w:szCs w:val="20"/>
                <w:color w:val="auto"/>
              </w:rPr>
            </w:pPr>
            <w:r>
              <w:rPr>
                <w:rFonts w:ascii="Verdana" w:cs="Verdana" w:eastAsia="Verdana" w:hAnsi="Verdana"/>
                <w:sz w:val="13"/>
                <w:szCs w:val="13"/>
                <w:b w:val="1"/>
                <w:bCs w:val="1"/>
                <w:color w:val="auto"/>
              </w:rPr>
              <w:t>Retail Other</w:t>
            </w:r>
          </w:p>
        </w:tc>
        <w:tc>
          <w:tcPr>
            <w:tcW w:w="340" w:type="dxa"/>
            <w:vAlign w:val="bottom"/>
          </w:tcPr>
          <w:p>
            <w:pPr>
              <w:spacing w:after="0"/>
              <w:rPr>
                <w:sz w:val="10"/>
                <w:szCs w:val="10"/>
                <w:color w:val="auto"/>
              </w:rPr>
            </w:pPr>
          </w:p>
        </w:tc>
        <w:tc>
          <w:tcPr>
            <w:tcW w:w="1120" w:type="dxa"/>
            <w:vAlign w:val="bottom"/>
            <w:vMerge w:val="restart"/>
          </w:tcPr>
          <w:p>
            <w:pPr>
              <w:jc w:val="right"/>
              <w:ind w:right="474"/>
              <w:spacing w:after="0"/>
              <w:rPr>
                <w:sz w:val="20"/>
                <w:szCs w:val="20"/>
                <w:color w:val="auto"/>
              </w:rPr>
            </w:pPr>
            <w:r>
              <w:rPr>
                <w:rFonts w:ascii="Verdana" w:cs="Verdana" w:eastAsia="Verdana" w:hAnsi="Verdana"/>
                <w:sz w:val="13"/>
                <w:szCs w:val="13"/>
                <w:b w:val="1"/>
                <w:bCs w:val="1"/>
                <w:color w:val="auto"/>
              </w:rPr>
              <w:t>Total</w:t>
            </w:r>
          </w:p>
        </w:tc>
        <w:tc>
          <w:tcPr>
            <w:tcW w:w="0" w:type="dxa"/>
            <w:vAlign w:val="bottom"/>
          </w:tcPr>
          <w:p>
            <w:pPr>
              <w:spacing w:after="0"/>
              <w:rPr>
                <w:sz w:val="1"/>
                <w:szCs w:val="1"/>
                <w:color w:val="auto"/>
              </w:rPr>
            </w:pPr>
          </w:p>
        </w:tc>
      </w:tr>
      <w:tr>
        <w:trPr>
          <w:trHeight w:val="170"/>
        </w:trPr>
        <w:tc>
          <w:tcPr>
            <w:tcW w:w="2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Verdana" w:cs="Verdana" w:eastAsia="Verdana" w:hAnsi="Verdana"/>
                <w:sz w:val="13"/>
                <w:szCs w:val="13"/>
                <w:b w:val="1"/>
                <w:bCs w:val="1"/>
                <w:color w:val="auto"/>
                <w:w w:val="97"/>
              </w:rPr>
              <w:t>Commercial</w:t>
            </w:r>
          </w:p>
        </w:tc>
        <w:tc>
          <w:tcPr>
            <w:tcW w:w="22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Verdana" w:cs="Verdana" w:eastAsia="Verdana" w:hAnsi="Verdana"/>
                <w:sz w:val="13"/>
                <w:szCs w:val="13"/>
                <w:b w:val="1"/>
                <w:bCs w:val="1"/>
                <w:color w:val="auto"/>
              </w:rPr>
              <w:t>Real Estate</w:t>
            </w:r>
          </w:p>
        </w:tc>
        <w:tc>
          <w:tcPr>
            <w:tcW w:w="20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Verdana" w:cs="Verdana" w:eastAsia="Verdana" w:hAnsi="Verdana"/>
                <w:sz w:val="13"/>
                <w:szCs w:val="13"/>
                <w:b w:val="1"/>
                <w:bCs w:val="1"/>
                <w:color w:val="auto"/>
                <w:w w:val="96"/>
              </w:rPr>
              <w:t>Construction</w:t>
            </w: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Verdana" w:cs="Verdana" w:eastAsia="Verdana" w:hAnsi="Verdana"/>
                <w:sz w:val="13"/>
                <w:szCs w:val="13"/>
                <w:b w:val="1"/>
                <w:bCs w:val="1"/>
                <w:color w:val="auto"/>
                <w:w w:val="97"/>
              </w:rPr>
              <w:t>Real Estate</w:t>
            </w:r>
          </w:p>
        </w:tc>
        <w:tc>
          <w:tcPr>
            <w:tcW w:w="2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0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ACL balance,</w:t>
            </w:r>
          </w:p>
        </w:tc>
        <w:tc>
          <w:tcPr>
            <w:tcW w:w="180" w:type="dxa"/>
            <w:vAlign w:val="bottom"/>
            <w:tcBorders>
              <w:top w:val="single" w:sz="8" w:color="auto"/>
            </w:tcBorders>
            <w:shd w:val="clear" w:color="auto" w:fill="E0E7ED"/>
          </w:tcPr>
          <w:p>
            <w:pPr>
              <w:spacing w:after="0"/>
              <w:rPr>
                <w:sz w:val="19"/>
                <w:szCs w:val="19"/>
                <w:color w:val="auto"/>
              </w:rPr>
            </w:pPr>
          </w:p>
        </w:tc>
        <w:tc>
          <w:tcPr>
            <w:tcW w:w="12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24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00" w:type="dxa"/>
            <w:vAlign w:val="bottom"/>
            <w:tcBorders>
              <w:top w:val="single" w:sz="8" w:color="auto"/>
            </w:tcBorders>
            <w:shd w:val="clear" w:color="auto" w:fill="E0E7ED"/>
          </w:tcPr>
          <w:p>
            <w:pPr>
              <w:spacing w:after="0"/>
              <w:rPr>
                <w:sz w:val="19"/>
                <w:szCs w:val="19"/>
                <w:color w:val="auto"/>
              </w:rPr>
            </w:pPr>
          </w:p>
        </w:tc>
        <w:tc>
          <w:tcPr>
            <w:tcW w:w="126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24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24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340" w:type="dxa"/>
            <w:vAlign w:val="bottom"/>
            <w:tcBorders>
              <w:top w:val="single" w:sz="8" w:color="auto"/>
            </w:tcBorders>
            <w:shd w:val="clear" w:color="auto" w:fill="E0E7ED"/>
          </w:tcPr>
          <w:p>
            <w:pPr>
              <w:spacing w:after="0"/>
              <w:rPr>
                <w:sz w:val="19"/>
                <w:szCs w:val="19"/>
                <w:color w:val="auto"/>
              </w:rPr>
            </w:pPr>
          </w:p>
        </w:tc>
        <w:tc>
          <w:tcPr>
            <w:tcW w:w="112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December 31, 2023</w:t>
            </w:r>
          </w:p>
        </w:tc>
        <w:tc>
          <w:tcPr>
            <w:tcW w:w="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21,256</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35,465</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5,163</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24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26,298</w:t>
            </w: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3,558</w:t>
            </w: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jc w:val="right"/>
              <w:ind w:right="110"/>
              <w:spacing w:after="0"/>
              <w:rPr>
                <w:sz w:val="20"/>
                <w:szCs w:val="20"/>
                <w:color w:val="auto"/>
              </w:rPr>
            </w:pPr>
            <w:r>
              <w:rPr>
                <w:rFonts w:ascii="Verdana" w:cs="Verdana" w:eastAsia="Verdana" w:hAnsi="Verdana"/>
                <w:sz w:val="18"/>
                <w:szCs w:val="18"/>
                <w:color w:val="auto"/>
              </w:rPr>
              <w:t>$</w:t>
            </w:r>
          </w:p>
        </w:tc>
        <w:tc>
          <w:tcPr>
            <w:tcW w:w="11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91,740</w:t>
            </w:r>
          </w:p>
        </w:tc>
        <w:tc>
          <w:tcPr>
            <w:tcW w:w="0" w:type="dxa"/>
            <w:vAlign w:val="bottom"/>
          </w:tcPr>
          <w:p>
            <w:pPr>
              <w:spacing w:after="0"/>
              <w:rPr>
                <w:sz w:val="1"/>
                <w:szCs w:val="1"/>
                <w:color w:val="auto"/>
              </w:rPr>
            </w:pPr>
          </w:p>
        </w:tc>
      </w:tr>
      <w:tr>
        <w:trPr>
          <w:trHeight w:val="263"/>
        </w:trPr>
        <w:tc>
          <w:tcPr>
            <w:tcW w:w="2000" w:type="dxa"/>
            <w:vAlign w:val="bottom"/>
          </w:tcPr>
          <w:p>
            <w:pPr>
              <w:ind w:left="180"/>
              <w:spacing w:after="0"/>
              <w:rPr>
                <w:sz w:val="20"/>
                <w:szCs w:val="20"/>
                <w:color w:val="auto"/>
              </w:rPr>
            </w:pPr>
            <w:r>
              <w:rPr>
                <w:rFonts w:ascii="Verdana" w:cs="Verdana" w:eastAsia="Verdana" w:hAnsi="Verdana"/>
                <w:sz w:val="18"/>
                <w:szCs w:val="18"/>
                <w:color w:val="auto"/>
              </w:rPr>
              <w:t>Day 1 PCD</w:t>
            </w:r>
            <w:r>
              <w:rPr>
                <w:rFonts w:ascii="Verdana" w:cs="Verdana" w:eastAsia="Verdana" w:hAnsi="Verdana"/>
                <w:sz w:val="11"/>
                <w:szCs w:val="11"/>
                <w:color w:val="auto"/>
              </w:rPr>
              <w:t>1</w:t>
            </w: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824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17"/>
              <w:spacing w:after="0"/>
              <w:rPr>
                <w:sz w:val="20"/>
                <w:szCs w:val="20"/>
                <w:color w:val="auto"/>
              </w:rPr>
            </w:pPr>
            <w:r>
              <w:rPr>
                <w:rFonts w:ascii="Verdana" w:cs="Verdana" w:eastAsia="Verdana" w:hAnsi="Verdana"/>
                <w:sz w:val="18"/>
                <w:szCs w:val="18"/>
                <w:color w:val="auto"/>
              </w:rPr>
              <w:t>322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spacing w:after="0"/>
              <w:rPr>
                <w:sz w:val="22"/>
                <w:szCs w:val="22"/>
                <w:color w:val="auto"/>
              </w:rPr>
            </w:pPr>
          </w:p>
        </w:tc>
        <w:tc>
          <w:tcPr>
            <w:tcW w:w="1240" w:type="dxa"/>
            <w:vAlign w:val="bottom"/>
          </w:tcPr>
          <w:p>
            <w:pPr>
              <w:jc w:val="right"/>
              <w:ind w:right="17"/>
              <w:spacing w:after="0"/>
              <w:rPr>
                <w:sz w:val="20"/>
                <w:szCs w:val="20"/>
                <w:color w:val="auto"/>
              </w:rPr>
            </w:pPr>
            <w:r>
              <w:rPr>
                <w:rFonts w:ascii="Verdana" w:cs="Verdana" w:eastAsia="Verdana" w:hAnsi="Verdana"/>
                <w:sz w:val="18"/>
                <w:szCs w:val="18"/>
                <w:color w:val="auto"/>
              </w:rPr>
              <w:t>96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4"/>
              <w:spacing w:after="0"/>
              <w:rPr>
                <w:sz w:val="20"/>
                <w:szCs w:val="20"/>
                <w:color w:val="auto"/>
              </w:rPr>
            </w:pPr>
            <w:r>
              <w:rPr>
                <w:rFonts w:ascii="Verdana" w:cs="Verdana" w:eastAsia="Verdana" w:hAnsi="Verdana"/>
                <w:sz w:val="18"/>
                <w:szCs w:val="18"/>
                <w:color w:val="auto"/>
              </w:rPr>
              <w:t>1,243</w:t>
            </w:r>
          </w:p>
        </w:tc>
        <w:tc>
          <w:tcPr>
            <w:tcW w:w="0" w:type="dxa"/>
            <w:vAlign w:val="bottom"/>
          </w:tcPr>
          <w:p>
            <w:pPr>
              <w:spacing w:after="0"/>
              <w:rPr>
                <w:sz w:val="1"/>
                <w:szCs w:val="1"/>
                <w:color w:val="auto"/>
              </w:rPr>
            </w:pPr>
          </w:p>
        </w:tc>
      </w:tr>
      <w:tr>
        <w:trPr>
          <w:trHeight w:val="244"/>
        </w:trPr>
        <w:tc>
          <w:tcPr>
            <w:tcW w:w="20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Provision for credit</w:t>
            </w:r>
          </w:p>
        </w:tc>
        <w:tc>
          <w:tcPr>
            <w:tcW w:w="18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2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0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losses</w:t>
            </w:r>
          </w:p>
        </w:tc>
        <w:tc>
          <w:tcPr>
            <w:tcW w:w="180" w:type="dxa"/>
            <w:vAlign w:val="bottom"/>
            <w:shd w:val="clear" w:color="auto" w:fill="E0E7ED"/>
          </w:tcPr>
          <w:p>
            <w:pPr>
              <w:spacing w:after="0"/>
              <w:rPr>
                <w:sz w:val="21"/>
                <w:szCs w:val="21"/>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13,958</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(1,882)</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(1,449)</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(2,624)</w:t>
            </w: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(686)</w:t>
            </w: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2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7,317</w:t>
            </w:r>
          </w:p>
        </w:tc>
        <w:tc>
          <w:tcPr>
            <w:tcW w:w="0" w:type="dxa"/>
            <w:vAlign w:val="bottom"/>
          </w:tcPr>
          <w:p>
            <w:pPr>
              <w:spacing w:after="0"/>
              <w:rPr>
                <w:sz w:val="1"/>
                <w:szCs w:val="1"/>
                <w:color w:val="auto"/>
              </w:rPr>
            </w:pPr>
          </w:p>
        </w:tc>
      </w:tr>
      <w:tr>
        <w:trPr>
          <w:trHeight w:val="263"/>
        </w:trPr>
        <w:tc>
          <w:tcPr>
            <w:tcW w:w="2000" w:type="dxa"/>
            <w:vAlign w:val="bottom"/>
          </w:tcPr>
          <w:p>
            <w:pPr>
              <w:ind w:left="180"/>
              <w:spacing w:after="0"/>
              <w:rPr>
                <w:sz w:val="20"/>
                <w:szCs w:val="20"/>
                <w:color w:val="auto"/>
              </w:rPr>
            </w:pPr>
            <w:r>
              <w:rPr>
                <w:rFonts w:ascii="Verdana" w:cs="Verdana" w:eastAsia="Verdana" w:hAnsi="Verdana"/>
                <w:sz w:val="18"/>
                <w:szCs w:val="18"/>
                <w:color w:val="auto"/>
              </w:rPr>
              <w:t>Charged-off</w:t>
            </w: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(15,433)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(315)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(159)</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(503)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Verdana" w:cs="Verdana" w:eastAsia="Verdana" w:hAnsi="Verdana"/>
                <w:sz w:val="18"/>
                <w:szCs w:val="18"/>
                <w:color w:val="auto"/>
              </w:rPr>
              <w:t>(16,410)</w:t>
            </w:r>
          </w:p>
        </w:tc>
        <w:tc>
          <w:tcPr>
            <w:tcW w:w="0" w:type="dxa"/>
            <w:vAlign w:val="bottom"/>
          </w:tcPr>
          <w:p>
            <w:pPr>
              <w:spacing w:after="0"/>
              <w:rPr>
                <w:sz w:val="1"/>
                <w:szCs w:val="1"/>
                <w:color w:val="auto"/>
              </w:rPr>
            </w:pPr>
          </w:p>
        </w:tc>
      </w:tr>
      <w:tr>
        <w:trPr>
          <w:trHeight w:val="277"/>
        </w:trPr>
        <w:tc>
          <w:tcPr>
            <w:tcW w:w="20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Recoveries</w:t>
            </w:r>
          </w:p>
        </w:tc>
        <w:tc>
          <w:tcPr>
            <w:tcW w:w="180" w:type="dxa"/>
            <w:vAlign w:val="bottom"/>
            <w:tcBorders>
              <w:bottom w:val="single" w:sz="8" w:color="auto"/>
            </w:tcBorders>
            <w:shd w:val="clear" w:color="auto" w:fill="E0E7ED"/>
          </w:tcPr>
          <w:p>
            <w:pPr>
              <w:spacing w:after="0"/>
              <w:rPr>
                <w:sz w:val="24"/>
                <w:szCs w:val="24"/>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404</w:t>
            </w:r>
          </w:p>
        </w:tc>
        <w:tc>
          <w:tcPr>
            <w:tcW w:w="100" w:type="dxa"/>
            <w:vAlign w:val="bottom"/>
            <w:shd w:val="clear" w:color="auto" w:fill="E0E7ED"/>
          </w:tcPr>
          <w:p>
            <w:pPr>
              <w:spacing w:after="0"/>
              <w:rPr>
                <w:sz w:val="24"/>
                <w:szCs w:val="24"/>
                <w:color w:val="auto"/>
              </w:rPr>
            </w:pPr>
          </w:p>
        </w:tc>
        <w:tc>
          <w:tcPr>
            <w:tcW w:w="220" w:type="dxa"/>
            <w:vAlign w:val="bottom"/>
            <w:tcBorders>
              <w:bottom w:val="single" w:sz="8" w:color="auto"/>
            </w:tcBorders>
            <w:shd w:val="clear" w:color="auto" w:fill="E0E7ED"/>
          </w:tcPr>
          <w:p>
            <w:pPr>
              <w:spacing w:after="0"/>
              <w:rPr>
                <w:sz w:val="24"/>
                <w:szCs w:val="24"/>
                <w:color w:val="auto"/>
              </w:rPr>
            </w:pPr>
          </w:p>
        </w:tc>
        <w:tc>
          <w:tcPr>
            <w:tcW w:w="124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8"/>
                <w:szCs w:val="18"/>
                <w:color w:val="auto"/>
              </w:rPr>
              <w:t>145</w:t>
            </w:r>
          </w:p>
        </w:tc>
        <w:tc>
          <w:tcPr>
            <w:tcW w:w="100" w:type="dxa"/>
            <w:vAlign w:val="bottom"/>
            <w:shd w:val="clear" w:color="auto" w:fill="E0E7ED"/>
          </w:tcPr>
          <w:p>
            <w:pPr>
              <w:spacing w:after="0"/>
              <w:rPr>
                <w:sz w:val="24"/>
                <w:szCs w:val="24"/>
                <w:color w:val="auto"/>
              </w:rPr>
            </w:pPr>
          </w:p>
        </w:tc>
        <w:tc>
          <w:tcPr>
            <w:tcW w:w="200" w:type="dxa"/>
            <w:vAlign w:val="bottom"/>
            <w:tcBorders>
              <w:bottom w:val="single" w:sz="8" w:color="auto"/>
            </w:tcBorders>
            <w:shd w:val="clear" w:color="auto" w:fill="E0E7ED"/>
          </w:tcPr>
          <w:p>
            <w:pPr>
              <w:spacing w:after="0"/>
              <w:rPr>
                <w:sz w:val="24"/>
                <w:szCs w:val="24"/>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57</w:t>
            </w:r>
          </w:p>
        </w:tc>
        <w:tc>
          <w:tcPr>
            <w:tcW w:w="100" w:type="dxa"/>
            <w:vAlign w:val="bottom"/>
            <w:shd w:val="clear" w:color="auto" w:fill="E0E7ED"/>
          </w:tcPr>
          <w:p>
            <w:pPr>
              <w:spacing w:after="0"/>
              <w:rPr>
                <w:sz w:val="24"/>
                <w:szCs w:val="24"/>
                <w:color w:val="auto"/>
              </w:rPr>
            </w:pPr>
          </w:p>
        </w:tc>
        <w:tc>
          <w:tcPr>
            <w:tcW w:w="220" w:type="dxa"/>
            <w:vAlign w:val="bottom"/>
            <w:tcBorders>
              <w:bottom w:val="single" w:sz="8" w:color="auto"/>
            </w:tcBorders>
            <w:shd w:val="clear" w:color="auto" w:fill="E0E7ED"/>
          </w:tcPr>
          <w:p>
            <w:pPr>
              <w:spacing w:after="0"/>
              <w:rPr>
                <w:sz w:val="24"/>
                <w:szCs w:val="24"/>
                <w:color w:val="auto"/>
              </w:rPr>
            </w:pPr>
          </w:p>
        </w:tc>
        <w:tc>
          <w:tcPr>
            <w:tcW w:w="124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8"/>
                <w:szCs w:val="18"/>
                <w:color w:val="auto"/>
              </w:rPr>
              <w:t>368</w:t>
            </w:r>
          </w:p>
        </w:tc>
        <w:tc>
          <w:tcPr>
            <w:tcW w:w="80" w:type="dxa"/>
            <w:vAlign w:val="bottom"/>
            <w:shd w:val="clear" w:color="auto" w:fill="E0E7ED"/>
          </w:tcPr>
          <w:p>
            <w:pPr>
              <w:spacing w:after="0"/>
              <w:rPr>
                <w:sz w:val="24"/>
                <w:szCs w:val="24"/>
                <w:color w:val="auto"/>
              </w:rPr>
            </w:pPr>
          </w:p>
        </w:tc>
        <w:tc>
          <w:tcPr>
            <w:tcW w:w="220" w:type="dxa"/>
            <w:vAlign w:val="bottom"/>
            <w:tcBorders>
              <w:bottom w:val="single" w:sz="8" w:color="auto"/>
            </w:tcBorders>
            <w:shd w:val="clear" w:color="auto" w:fill="E0E7ED"/>
          </w:tcPr>
          <w:p>
            <w:pPr>
              <w:spacing w:after="0"/>
              <w:rPr>
                <w:sz w:val="24"/>
                <w:szCs w:val="24"/>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117</w:t>
            </w:r>
          </w:p>
        </w:tc>
        <w:tc>
          <w:tcPr>
            <w:tcW w:w="100" w:type="dxa"/>
            <w:vAlign w:val="bottom"/>
            <w:shd w:val="clear" w:color="auto" w:fill="E0E7ED"/>
          </w:tcPr>
          <w:p>
            <w:pPr>
              <w:spacing w:after="0"/>
              <w:rPr>
                <w:sz w:val="24"/>
                <w:szCs w:val="24"/>
                <w:color w:val="auto"/>
              </w:rPr>
            </w:pPr>
          </w:p>
        </w:tc>
        <w:tc>
          <w:tcPr>
            <w:tcW w:w="340" w:type="dxa"/>
            <w:vAlign w:val="bottom"/>
            <w:tcBorders>
              <w:bottom w:val="single" w:sz="8" w:color="auto"/>
            </w:tcBorders>
            <w:shd w:val="clear" w:color="auto" w:fill="E0E7ED"/>
          </w:tcPr>
          <w:p>
            <w:pPr>
              <w:spacing w:after="0"/>
              <w:rPr>
                <w:sz w:val="24"/>
                <w:szCs w:val="24"/>
                <w:color w:val="auto"/>
              </w:rPr>
            </w:pPr>
          </w:p>
        </w:tc>
        <w:tc>
          <w:tcPr>
            <w:tcW w:w="1120" w:type="dxa"/>
            <w:vAlign w:val="bottom"/>
            <w:tcBorders>
              <w:bottom w:val="single" w:sz="8" w:color="auto"/>
            </w:tcBorders>
            <w:shd w:val="clear" w:color="auto" w:fill="E0E7ED"/>
          </w:tcPr>
          <w:p>
            <w:pPr>
              <w:jc w:val="right"/>
              <w:ind w:right="14"/>
              <w:spacing w:after="0"/>
              <w:rPr>
                <w:sz w:val="20"/>
                <w:szCs w:val="20"/>
                <w:color w:val="auto"/>
              </w:rPr>
            </w:pPr>
            <w:r>
              <w:rPr>
                <w:rFonts w:ascii="Verdana" w:cs="Verdana" w:eastAsia="Verdana" w:hAnsi="Verdana"/>
                <w:sz w:val="18"/>
                <w:szCs w:val="18"/>
                <w:color w:val="auto"/>
              </w:rPr>
              <w:t>1,091</w:t>
            </w:r>
          </w:p>
        </w:tc>
        <w:tc>
          <w:tcPr>
            <w:tcW w:w="0" w:type="dxa"/>
            <w:vAlign w:val="bottom"/>
          </w:tcPr>
          <w:p>
            <w:pPr>
              <w:spacing w:after="0"/>
              <w:rPr>
                <w:sz w:val="1"/>
                <w:szCs w:val="1"/>
                <w:color w:val="auto"/>
              </w:rPr>
            </w:pPr>
          </w:p>
        </w:tc>
      </w:tr>
      <w:tr>
        <w:trPr>
          <w:trHeight w:val="218"/>
        </w:trPr>
        <w:tc>
          <w:tcPr>
            <w:tcW w:w="2000" w:type="dxa"/>
            <w:vAlign w:val="bottom"/>
          </w:tcPr>
          <w:p>
            <w:pPr>
              <w:ind w:left="20"/>
              <w:spacing w:after="0" w:line="217" w:lineRule="exact"/>
              <w:rPr>
                <w:sz w:val="20"/>
                <w:szCs w:val="20"/>
                <w:color w:val="auto"/>
              </w:rPr>
            </w:pPr>
            <w:r>
              <w:rPr>
                <w:rFonts w:ascii="Verdana" w:cs="Verdana" w:eastAsia="Verdana" w:hAnsi="Verdana"/>
                <w:sz w:val="18"/>
                <w:szCs w:val="18"/>
                <w:color w:val="auto"/>
              </w:rPr>
              <w:t>ACL balance,</w:t>
            </w:r>
          </w:p>
        </w:tc>
        <w:tc>
          <w:tcPr>
            <w:tcW w:w="180" w:type="dxa"/>
            <w:vAlign w:val="bottom"/>
            <w:vMerge w:val="restart"/>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vMerge w:val="restart"/>
          </w:tcPr>
          <w:p>
            <w:pPr>
              <w:jc w:val="right"/>
              <w:spacing w:after="0"/>
              <w:rPr>
                <w:sz w:val="20"/>
                <w:szCs w:val="20"/>
                <w:color w:val="auto"/>
              </w:rPr>
            </w:pPr>
            <w:r>
              <w:rPr>
                <w:rFonts w:ascii="Verdana" w:cs="Verdana" w:eastAsia="Verdana" w:hAnsi="Verdana"/>
                <w:sz w:val="18"/>
                <w:szCs w:val="18"/>
                <w:color w:val="auto"/>
              </w:rPr>
              <w:t>21,009</w:t>
            </w:r>
          </w:p>
        </w:tc>
        <w:tc>
          <w:tcPr>
            <w:tcW w:w="100" w:type="dxa"/>
            <w:vAlign w:val="bottom"/>
          </w:tcPr>
          <w:p>
            <w:pPr>
              <w:spacing w:after="0"/>
              <w:rPr>
                <w:sz w:val="18"/>
                <w:szCs w:val="18"/>
                <w:color w:val="auto"/>
              </w:rPr>
            </w:pPr>
          </w:p>
        </w:tc>
        <w:tc>
          <w:tcPr>
            <w:tcW w:w="220" w:type="dxa"/>
            <w:vAlign w:val="bottom"/>
            <w:vMerge w:val="restart"/>
          </w:tcPr>
          <w:p>
            <w:pPr>
              <w:jc w:val="right"/>
              <w:spacing w:after="0"/>
              <w:rPr>
                <w:sz w:val="20"/>
                <w:szCs w:val="20"/>
                <w:color w:val="auto"/>
              </w:rPr>
            </w:pPr>
            <w:r>
              <w:rPr>
                <w:rFonts w:ascii="Verdana" w:cs="Verdana" w:eastAsia="Verdana" w:hAnsi="Verdana"/>
                <w:sz w:val="18"/>
                <w:szCs w:val="18"/>
                <w:color w:val="auto"/>
              </w:rPr>
              <w:t>$</w:t>
            </w:r>
          </w:p>
        </w:tc>
        <w:tc>
          <w:tcPr>
            <w:tcW w:w="1240" w:type="dxa"/>
            <w:vAlign w:val="bottom"/>
            <w:vMerge w:val="restart"/>
          </w:tcPr>
          <w:p>
            <w:pPr>
              <w:jc w:val="right"/>
              <w:ind w:right="17"/>
              <w:spacing w:after="0"/>
              <w:rPr>
                <w:sz w:val="20"/>
                <w:szCs w:val="20"/>
                <w:color w:val="auto"/>
              </w:rPr>
            </w:pPr>
            <w:r>
              <w:rPr>
                <w:rFonts w:ascii="Verdana" w:cs="Verdana" w:eastAsia="Verdana" w:hAnsi="Verdana"/>
                <w:sz w:val="18"/>
                <w:szCs w:val="18"/>
                <w:color w:val="auto"/>
              </w:rPr>
              <w:t>33,735</w:t>
            </w:r>
          </w:p>
        </w:tc>
        <w:tc>
          <w:tcPr>
            <w:tcW w:w="10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Verdana" w:cs="Verdana" w:eastAsia="Verdana" w:hAnsi="Verdana"/>
                <w:sz w:val="18"/>
                <w:szCs w:val="18"/>
                <w:color w:val="auto"/>
                <w:w w:val="86"/>
              </w:rPr>
              <w:t>$</w:t>
            </w:r>
          </w:p>
        </w:tc>
        <w:tc>
          <w:tcPr>
            <w:tcW w:w="1260" w:type="dxa"/>
            <w:vAlign w:val="bottom"/>
            <w:vMerge w:val="restart"/>
          </w:tcPr>
          <w:p>
            <w:pPr>
              <w:jc w:val="right"/>
              <w:spacing w:after="0"/>
              <w:rPr>
                <w:sz w:val="20"/>
                <w:szCs w:val="20"/>
                <w:color w:val="auto"/>
              </w:rPr>
            </w:pPr>
            <w:r>
              <w:rPr>
                <w:rFonts w:ascii="Verdana" w:cs="Verdana" w:eastAsia="Verdana" w:hAnsi="Verdana"/>
                <w:sz w:val="18"/>
                <w:szCs w:val="18"/>
                <w:color w:val="auto"/>
              </w:rPr>
              <w:t>3,771</w:t>
            </w:r>
          </w:p>
        </w:tc>
        <w:tc>
          <w:tcPr>
            <w:tcW w:w="100" w:type="dxa"/>
            <w:vAlign w:val="bottom"/>
          </w:tcPr>
          <w:p>
            <w:pPr>
              <w:spacing w:after="0"/>
              <w:rPr>
                <w:sz w:val="18"/>
                <w:szCs w:val="18"/>
                <w:color w:val="auto"/>
              </w:rPr>
            </w:pPr>
          </w:p>
        </w:tc>
        <w:tc>
          <w:tcPr>
            <w:tcW w:w="220" w:type="dxa"/>
            <w:vAlign w:val="bottom"/>
            <w:vMerge w:val="restart"/>
          </w:tcPr>
          <w:p>
            <w:pPr>
              <w:jc w:val="right"/>
              <w:ind w:right="10"/>
              <w:spacing w:after="0"/>
              <w:rPr>
                <w:sz w:val="20"/>
                <w:szCs w:val="20"/>
                <w:color w:val="auto"/>
              </w:rPr>
            </w:pPr>
            <w:r>
              <w:rPr>
                <w:rFonts w:ascii="Verdana" w:cs="Verdana" w:eastAsia="Verdana" w:hAnsi="Verdana"/>
                <w:sz w:val="18"/>
                <w:szCs w:val="18"/>
                <w:color w:val="auto"/>
                <w:w w:val="86"/>
              </w:rPr>
              <w:t>$</w:t>
            </w:r>
          </w:p>
        </w:tc>
        <w:tc>
          <w:tcPr>
            <w:tcW w:w="1240" w:type="dxa"/>
            <w:vAlign w:val="bottom"/>
            <w:vMerge w:val="restart"/>
          </w:tcPr>
          <w:p>
            <w:pPr>
              <w:jc w:val="right"/>
              <w:ind w:right="17"/>
              <w:spacing w:after="0"/>
              <w:rPr>
                <w:sz w:val="20"/>
                <w:szCs w:val="20"/>
                <w:color w:val="auto"/>
              </w:rPr>
            </w:pPr>
            <w:r>
              <w:rPr>
                <w:rFonts w:ascii="Verdana" w:cs="Verdana" w:eastAsia="Verdana" w:hAnsi="Verdana"/>
                <w:sz w:val="18"/>
                <w:szCs w:val="18"/>
                <w:color w:val="auto"/>
              </w:rPr>
              <w:t>23,979</w:t>
            </w:r>
          </w:p>
        </w:tc>
        <w:tc>
          <w:tcPr>
            <w:tcW w:w="80" w:type="dxa"/>
            <w:vAlign w:val="bottom"/>
          </w:tcPr>
          <w:p>
            <w:pPr>
              <w:spacing w:after="0"/>
              <w:rPr>
                <w:sz w:val="18"/>
                <w:szCs w:val="18"/>
                <w:color w:val="auto"/>
              </w:rPr>
            </w:pPr>
          </w:p>
        </w:tc>
        <w:tc>
          <w:tcPr>
            <w:tcW w:w="220" w:type="dxa"/>
            <w:vAlign w:val="bottom"/>
            <w:vMerge w:val="restart"/>
          </w:tcPr>
          <w:p>
            <w:pPr>
              <w:jc w:val="right"/>
              <w:spacing w:after="0"/>
              <w:rPr>
                <w:sz w:val="20"/>
                <w:szCs w:val="20"/>
                <w:color w:val="auto"/>
              </w:rPr>
            </w:pPr>
            <w:r>
              <w:rPr>
                <w:rFonts w:ascii="Verdana" w:cs="Verdana" w:eastAsia="Verdana" w:hAnsi="Verdana"/>
                <w:sz w:val="18"/>
                <w:szCs w:val="18"/>
                <w:color w:val="auto"/>
              </w:rPr>
              <w:t>$</w:t>
            </w:r>
          </w:p>
        </w:tc>
        <w:tc>
          <w:tcPr>
            <w:tcW w:w="1240" w:type="dxa"/>
            <w:vAlign w:val="bottom"/>
            <w:vMerge w:val="restart"/>
          </w:tcPr>
          <w:p>
            <w:pPr>
              <w:jc w:val="right"/>
              <w:spacing w:after="0"/>
              <w:rPr>
                <w:sz w:val="20"/>
                <w:szCs w:val="20"/>
                <w:color w:val="auto"/>
              </w:rPr>
            </w:pPr>
            <w:r>
              <w:rPr>
                <w:rFonts w:ascii="Verdana" w:cs="Verdana" w:eastAsia="Verdana" w:hAnsi="Verdana"/>
                <w:sz w:val="18"/>
                <w:szCs w:val="18"/>
                <w:color w:val="auto"/>
              </w:rPr>
              <w:t>2,487</w:t>
            </w:r>
          </w:p>
        </w:tc>
        <w:tc>
          <w:tcPr>
            <w:tcW w:w="100" w:type="dxa"/>
            <w:vAlign w:val="bottom"/>
          </w:tcPr>
          <w:p>
            <w:pPr>
              <w:spacing w:after="0"/>
              <w:rPr>
                <w:sz w:val="18"/>
                <w:szCs w:val="18"/>
                <w:color w:val="auto"/>
              </w:rPr>
            </w:pPr>
          </w:p>
        </w:tc>
        <w:tc>
          <w:tcPr>
            <w:tcW w:w="340" w:type="dxa"/>
            <w:vAlign w:val="bottom"/>
            <w:vMerge w:val="restart"/>
          </w:tcPr>
          <w:p>
            <w:pPr>
              <w:jc w:val="right"/>
              <w:ind w:right="110"/>
              <w:spacing w:after="0"/>
              <w:rPr>
                <w:sz w:val="20"/>
                <w:szCs w:val="20"/>
                <w:color w:val="auto"/>
              </w:rPr>
            </w:pPr>
            <w:r>
              <w:rPr>
                <w:rFonts w:ascii="Verdana" w:cs="Verdana" w:eastAsia="Verdana" w:hAnsi="Verdana"/>
                <w:sz w:val="18"/>
                <w:szCs w:val="18"/>
                <w:color w:val="auto"/>
              </w:rPr>
              <w:t>$</w:t>
            </w:r>
          </w:p>
        </w:tc>
        <w:tc>
          <w:tcPr>
            <w:tcW w:w="1120" w:type="dxa"/>
            <w:vAlign w:val="bottom"/>
            <w:vMerge w:val="restart"/>
          </w:tcPr>
          <w:p>
            <w:pPr>
              <w:jc w:val="right"/>
              <w:spacing w:after="0"/>
              <w:rPr>
                <w:sz w:val="20"/>
                <w:szCs w:val="20"/>
                <w:color w:val="auto"/>
              </w:rPr>
            </w:pPr>
            <w:r>
              <w:rPr>
                <w:rFonts w:ascii="Verdana" w:cs="Verdana" w:eastAsia="Verdana" w:hAnsi="Verdana"/>
                <w:sz w:val="18"/>
                <w:szCs w:val="18"/>
                <w:color w:val="auto"/>
              </w:rPr>
              <w:t>84,981</w:t>
            </w:r>
          </w:p>
        </w:tc>
        <w:tc>
          <w:tcPr>
            <w:tcW w:w="0" w:type="dxa"/>
            <w:vAlign w:val="bottom"/>
          </w:tcPr>
          <w:p>
            <w:pPr>
              <w:spacing w:after="0"/>
              <w:rPr>
                <w:sz w:val="1"/>
                <w:szCs w:val="1"/>
                <w:color w:val="auto"/>
              </w:rPr>
            </w:pPr>
          </w:p>
        </w:tc>
      </w:tr>
      <w:tr>
        <w:trPr>
          <w:trHeight w:val="226"/>
        </w:trPr>
        <w:tc>
          <w:tcPr>
            <w:tcW w:w="2000" w:type="dxa"/>
            <w:vAlign w:val="bottom"/>
          </w:tcPr>
          <w:p>
            <w:pPr>
              <w:ind w:left="20"/>
              <w:spacing w:after="0"/>
              <w:rPr>
                <w:sz w:val="20"/>
                <w:szCs w:val="20"/>
                <w:color w:val="auto"/>
              </w:rPr>
            </w:pPr>
            <w:r>
              <w:rPr>
                <w:rFonts w:ascii="Verdana" w:cs="Verdana" w:eastAsia="Verdana" w:hAnsi="Verdana"/>
                <w:sz w:val="18"/>
                <w:szCs w:val="18"/>
                <w:color w:val="auto"/>
              </w:rPr>
              <w:t>September 30, 2024</w:t>
            </w:r>
          </w:p>
        </w:tc>
        <w:tc>
          <w:tcPr>
            <w:tcW w:w="18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tabs>
          <w:tab w:leader="none" w:pos="480" w:val="left"/>
        </w:tabs>
        <w:numPr>
          <w:ilvl w:val="0"/>
          <w:numId w:val="14"/>
        </w:numPr>
        <w:rPr>
          <w:rFonts w:ascii="Verdana" w:cs="Verdana" w:eastAsia="Verdana" w:hAnsi="Verdana"/>
          <w:sz w:val="13"/>
          <w:szCs w:val="13"/>
          <w:color w:val="auto"/>
        </w:rPr>
      </w:pPr>
      <w:r>
        <w:rPr>
          <w:rFonts w:ascii="Verdana" w:cs="Verdana" w:eastAsia="Verdana" w:hAnsi="Verdana"/>
          <w:sz w:val="13"/>
          <w:szCs w:val="13"/>
          <w:color w:val="auto"/>
        </w:rPr>
        <w:t xml:space="preserve">The Day 1 PCD is attributable to the M&amp;M acquisition (see </w:t>
      </w:r>
      <w:r>
        <w:rPr>
          <w:rFonts w:ascii="Verdana" w:cs="Verdana" w:eastAsia="Verdana" w:hAnsi="Verdana"/>
          <w:sz w:val="13"/>
          <w:szCs w:val="13"/>
          <w:i w:val="1"/>
          <w:iCs w:val="1"/>
          <w:color w:val="auto"/>
        </w:rPr>
        <w:t>“</w:t>
      </w:r>
      <w:r>
        <w:rPr>
          <w:rFonts w:ascii="Verdana" w:cs="Verdana" w:eastAsia="Verdana" w:hAnsi="Verdana"/>
          <w:sz w:val="13"/>
          <w:szCs w:val="13"/>
          <w:i w:val="1"/>
          <w:iCs w:val="1"/>
          <w:u w:val="single" w:color="auto"/>
          <w:color w:val="0000FF"/>
        </w:rPr>
        <w:t>Note 2. Mergers and Acquisitions</w:t>
      </w:r>
      <w:r>
        <w:rPr>
          <w:rFonts w:ascii="Verdana" w:cs="Verdana" w:eastAsia="Verdana" w:hAnsi="Verdana"/>
          <w:sz w:val="13"/>
          <w:szCs w:val="13"/>
          <w:i w:val="1"/>
          <w:iCs w:val="1"/>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6"/>
          </w:tcPr>
          <w:p>
            <w:pPr>
              <w:ind w:left="40"/>
              <w:spacing w:after="0"/>
              <w:rPr>
                <w:sz w:val="20"/>
                <w:szCs w:val="20"/>
                <w:color w:val="auto"/>
              </w:rPr>
            </w:pPr>
            <w:r>
              <w:rPr>
                <w:rFonts w:ascii="Verdana" w:cs="Verdana" w:eastAsia="Verdana" w:hAnsi="Verdana"/>
                <w:sz w:val="13"/>
                <w:szCs w:val="13"/>
                <w:b w:val="1"/>
                <w:bCs w:val="1"/>
                <w:color w:val="auto"/>
              </w:rPr>
              <w:t>Three Months Ended September 30, 2023</w:t>
            </w: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2"/>
          </w:tcPr>
          <w:p>
            <w:pPr>
              <w:jc w:val="center"/>
              <w:ind w:right="280"/>
              <w:spacing w:after="0" w:line="122" w:lineRule="exact"/>
              <w:rPr>
                <w:sz w:val="20"/>
                <w:szCs w:val="20"/>
                <w:color w:val="auto"/>
              </w:rPr>
            </w:pPr>
            <w:r>
              <w:rPr>
                <w:rFonts w:ascii="Verdana" w:cs="Verdana" w:eastAsia="Verdana" w:hAnsi="Verdana"/>
                <w:sz w:val="13"/>
                <w:szCs w:val="13"/>
                <w:b w:val="1"/>
                <w:bCs w:val="1"/>
                <w:color w:val="auto"/>
                <w:w w:val="97"/>
              </w:rPr>
              <w:t>C&amp;I and Other</w:t>
            </w:r>
          </w:p>
        </w:tc>
        <w:tc>
          <w:tcPr>
            <w:tcW w:w="220" w:type="dxa"/>
            <w:vAlign w:val="bottom"/>
          </w:tcPr>
          <w:p>
            <w:pPr>
              <w:spacing w:after="0"/>
              <w:rPr>
                <w:sz w:val="10"/>
                <w:szCs w:val="10"/>
                <w:color w:val="auto"/>
              </w:rPr>
            </w:pPr>
          </w:p>
        </w:tc>
        <w:tc>
          <w:tcPr>
            <w:tcW w:w="1340" w:type="dxa"/>
            <w:vAlign w:val="bottom"/>
            <w:gridSpan w:val="2"/>
          </w:tcPr>
          <w:p>
            <w:pPr>
              <w:ind w:left="100"/>
              <w:spacing w:after="0" w:line="122" w:lineRule="exact"/>
              <w:rPr>
                <w:sz w:val="20"/>
                <w:szCs w:val="20"/>
                <w:color w:val="auto"/>
              </w:rPr>
            </w:pPr>
            <w:r>
              <w:rPr>
                <w:rFonts w:ascii="Verdana" w:cs="Verdana" w:eastAsia="Verdana" w:hAnsi="Verdana"/>
                <w:sz w:val="13"/>
                <w:szCs w:val="13"/>
                <w:b w:val="1"/>
                <w:bCs w:val="1"/>
                <w:color w:val="auto"/>
              </w:rPr>
              <w:t>Commercial</w:t>
            </w:r>
          </w:p>
        </w:tc>
        <w:tc>
          <w:tcPr>
            <w:tcW w:w="200" w:type="dxa"/>
            <w:vAlign w:val="bottom"/>
          </w:tcPr>
          <w:p>
            <w:pPr>
              <w:spacing w:after="0"/>
              <w:rPr>
                <w:sz w:val="10"/>
                <w:szCs w:val="10"/>
                <w:color w:val="auto"/>
              </w:rPr>
            </w:pPr>
          </w:p>
        </w:tc>
        <w:tc>
          <w:tcPr>
            <w:tcW w:w="1360" w:type="dxa"/>
            <w:vAlign w:val="bottom"/>
            <w:gridSpan w:val="2"/>
          </w:tcPr>
          <w:p>
            <w:pPr>
              <w:jc w:val="center"/>
              <w:ind w:right="320"/>
              <w:spacing w:after="0" w:line="122" w:lineRule="exact"/>
              <w:rPr>
                <w:sz w:val="20"/>
                <w:szCs w:val="20"/>
                <w:color w:val="auto"/>
              </w:rPr>
            </w:pPr>
            <w:r>
              <w:rPr>
                <w:rFonts w:ascii="Verdana" w:cs="Verdana" w:eastAsia="Verdana" w:hAnsi="Verdana"/>
                <w:sz w:val="13"/>
                <w:szCs w:val="13"/>
                <w:b w:val="1"/>
                <w:bCs w:val="1"/>
                <w:color w:val="auto"/>
                <w:w w:val="97"/>
              </w:rPr>
              <w:t>Real Estate</w:t>
            </w:r>
          </w:p>
        </w:tc>
        <w:tc>
          <w:tcPr>
            <w:tcW w:w="220" w:type="dxa"/>
            <w:vAlign w:val="bottom"/>
          </w:tcPr>
          <w:p>
            <w:pPr>
              <w:spacing w:after="0"/>
              <w:rPr>
                <w:sz w:val="10"/>
                <w:szCs w:val="10"/>
                <w:color w:val="auto"/>
              </w:rPr>
            </w:pPr>
          </w:p>
        </w:tc>
        <w:tc>
          <w:tcPr>
            <w:tcW w:w="1320" w:type="dxa"/>
            <w:vAlign w:val="bottom"/>
            <w:gridSpan w:val="2"/>
          </w:tcPr>
          <w:p>
            <w:pPr>
              <w:jc w:val="center"/>
              <w:ind w:right="300"/>
              <w:spacing w:after="0" w:line="122" w:lineRule="exact"/>
              <w:rPr>
                <w:sz w:val="20"/>
                <w:szCs w:val="20"/>
                <w:color w:val="auto"/>
              </w:rPr>
            </w:pPr>
            <w:r>
              <w:rPr>
                <w:rFonts w:ascii="Verdana" w:cs="Verdana" w:eastAsia="Verdana" w:hAnsi="Verdana"/>
                <w:sz w:val="13"/>
                <w:szCs w:val="13"/>
                <w:b w:val="1"/>
                <w:bCs w:val="1"/>
                <w:color w:val="auto"/>
                <w:w w:val="99"/>
              </w:rPr>
              <w:t>Retail</w:t>
            </w:r>
          </w:p>
        </w:tc>
        <w:tc>
          <w:tcPr>
            <w:tcW w:w="220" w:type="dxa"/>
            <w:vAlign w:val="bottom"/>
          </w:tcPr>
          <w:p>
            <w:pPr>
              <w:spacing w:after="0"/>
              <w:rPr>
                <w:sz w:val="10"/>
                <w:szCs w:val="10"/>
                <w:color w:val="auto"/>
              </w:rPr>
            </w:pPr>
          </w:p>
        </w:tc>
        <w:tc>
          <w:tcPr>
            <w:tcW w:w="1340" w:type="dxa"/>
            <w:vAlign w:val="bottom"/>
            <w:gridSpan w:val="2"/>
            <w:vMerge w:val="restart"/>
          </w:tcPr>
          <w:p>
            <w:pPr>
              <w:ind w:left="100"/>
              <w:spacing w:after="0"/>
              <w:rPr>
                <w:sz w:val="20"/>
                <w:szCs w:val="20"/>
                <w:color w:val="auto"/>
              </w:rPr>
            </w:pPr>
            <w:r>
              <w:rPr>
                <w:rFonts w:ascii="Verdana" w:cs="Verdana" w:eastAsia="Verdana" w:hAnsi="Verdana"/>
                <w:sz w:val="13"/>
                <w:szCs w:val="13"/>
                <w:b w:val="1"/>
                <w:bCs w:val="1"/>
                <w:color w:val="auto"/>
              </w:rPr>
              <w:t>Retail Other</w:t>
            </w:r>
          </w:p>
        </w:tc>
        <w:tc>
          <w:tcPr>
            <w:tcW w:w="340" w:type="dxa"/>
            <w:vAlign w:val="bottom"/>
          </w:tcPr>
          <w:p>
            <w:pPr>
              <w:spacing w:after="0"/>
              <w:rPr>
                <w:sz w:val="10"/>
                <w:szCs w:val="10"/>
                <w:color w:val="auto"/>
              </w:rPr>
            </w:pPr>
          </w:p>
        </w:tc>
        <w:tc>
          <w:tcPr>
            <w:tcW w:w="1120" w:type="dxa"/>
            <w:vAlign w:val="bottom"/>
            <w:vMerge w:val="restart"/>
          </w:tcPr>
          <w:p>
            <w:pPr>
              <w:jc w:val="right"/>
              <w:ind w:right="475"/>
              <w:spacing w:after="0"/>
              <w:rPr>
                <w:sz w:val="20"/>
                <w:szCs w:val="20"/>
                <w:color w:val="auto"/>
              </w:rPr>
            </w:pPr>
            <w:r>
              <w:rPr>
                <w:rFonts w:ascii="Verdana" w:cs="Verdana" w:eastAsia="Verdana" w:hAnsi="Verdana"/>
                <w:sz w:val="13"/>
                <w:szCs w:val="13"/>
                <w:b w:val="1"/>
                <w:bCs w:val="1"/>
                <w:color w:val="auto"/>
              </w:rPr>
              <w:t>Total</w:t>
            </w:r>
          </w:p>
        </w:tc>
        <w:tc>
          <w:tcPr>
            <w:tcW w:w="0" w:type="dxa"/>
            <w:vAlign w:val="bottom"/>
          </w:tcPr>
          <w:p>
            <w:pPr>
              <w:spacing w:after="0"/>
              <w:rPr>
                <w:sz w:val="1"/>
                <w:szCs w:val="1"/>
                <w:color w:val="auto"/>
              </w:rPr>
            </w:pPr>
          </w:p>
        </w:tc>
      </w:tr>
      <w:tr>
        <w:trPr>
          <w:trHeight w:val="170"/>
        </w:trPr>
        <w:tc>
          <w:tcPr>
            <w:tcW w:w="2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Verdana" w:cs="Verdana" w:eastAsia="Verdana" w:hAnsi="Verdana"/>
                <w:sz w:val="13"/>
                <w:szCs w:val="13"/>
                <w:b w:val="1"/>
                <w:bCs w:val="1"/>
                <w:color w:val="auto"/>
                <w:w w:val="97"/>
              </w:rPr>
              <w:t>Commercial</w:t>
            </w:r>
          </w:p>
        </w:tc>
        <w:tc>
          <w:tcPr>
            <w:tcW w:w="22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Verdana" w:cs="Verdana" w:eastAsia="Verdana" w:hAnsi="Verdana"/>
                <w:sz w:val="13"/>
                <w:szCs w:val="13"/>
                <w:b w:val="1"/>
                <w:bCs w:val="1"/>
                <w:color w:val="auto"/>
              </w:rPr>
              <w:t>Real Estate</w:t>
            </w:r>
          </w:p>
        </w:tc>
        <w:tc>
          <w:tcPr>
            <w:tcW w:w="20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Verdana" w:cs="Verdana" w:eastAsia="Verdana" w:hAnsi="Verdana"/>
                <w:sz w:val="13"/>
                <w:szCs w:val="13"/>
                <w:b w:val="1"/>
                <w:bCs w:val="1"/>
                <w:color w:val="auto"/>
                <w:w w:val="96"/>
              </w:rPr>
              <w:t>Construction</w:t>
            </w: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Verdana" w:cs="Verdana" w:eastAsia="Verdana" w:hAnsi="Verdana"/>
                <w:sz w:val="13"/>
                <w:szCs w:val="13"/>
                <w:b w:val="1"/>
                <w:bCs w:val="1"/>
                <w:color w:val="auto"/>
                <w:w w:val="97"/>
              </w:rPr>
              <w:t>Real Estate</w:t>
            </w:r>
          </w:p>
        </w:tc>
        <w:tc>
          <w:tcPr>
            <w:tcW w:w="2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0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ACL balance,</w:t>
            </w:r>
          </w:p>
        </w:tc>
        <w:tc>
          <w:tcPr>
            <w:tcW w:w="180" w:type="dxa"/>
            <w:vAlign w:val="bottom"/>
            <w:tcBorders>
              <w:top w:val="single" w:sz="8" w:color="auto"/>
            </w:tcBorders>
            <w:shd w:val="clear" w:color="auto" w:fill="E0E7ED"/>
          </w:tcPr>
          <w:p>
            <w:pPr>
              <w:spacing w:after="0"/>
              <w:rPr>
                <w:sz w:val="19"/>
                <w:szCs w:val="19"/>
                <w:color w:val="auto"/>
              </w:rPr>
            </w:pPr>
          </w:p>
        </w:tc>
        <w:tc>
          <w:tcPr>
            <w:tcW w:w="12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24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00" w:type="dxa"/>
            <w:vAlign w:val="bottom"/>
            <w:tcBorders>
              <w:top w:val="single" w:sz="8" w:color="auto"/>
            </w:tcBorders>
            <w:shd w:val="clear" w:color="auto" w:fill="E0E7ED"/>
          </w:tcPr>
          <w:p>
            <w:pPr>
              <w:spacing w:after="0"/>
              <w:rPr>
                <w:sz w:val="19"/>
                <w:szCs w:val="19"/>
                <w:color w:val="auto"/>
              </w:rPr>
            </w:pPr>
          </w:p>
        </w:tc>
        <w:tc>
          <w:tcPr>
            <w:tcW w:w="126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24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24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340" w:type="dxa"/>
            <w:vAlign w:val="bottom"/>
            <w:tcBorders>
              <w:top w:val="single" w:sz="8" w:color="auto"/>
            </w:tcBorders>
            <w:shd w:val="clear" w:color="auto" w:fill="E0E7ED"/>
          </w:tcPr>
          <w:p>
            <w:pPr>
              <w:spacing w:after="0"/>
              <w:rPr>
                <w:sz w:val="19"/>
                <w:szCs w:val="19"/>
                <w:color w:val="auto"/>
              </w:rPr>
            </w:pPr>
          </w:p>
        </w:tc>
        <w:tc>
          <w:tcPr>
            <w:tcW w:w="112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June 30, 2023</w:t>
            </w:r>
          </w:p>
        </w:tc>
        <w:tc>
          <w:tcPr>
            <w:tcW w:w="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24,510</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ind w:right="18"/>
              <w:spacing w:after="0"/>
              <w:rPr>
                <w:sz w:val="20"/>
                <w:szCs w:val="20"/>
                <w:color w:val="auto"/>
              </w:rPr>
            </w:pPr>
            <w:r>
              <w:rPr>
                <w:rFonts w:ascii="Verdana" w:cs="Verdana" w:eastAsia="Verdana" w:hAnsi="Verdana"/>
                <w:sz w:val="18"/>
                <w:szCs w:val="18"/>
                <w:color w:val="auto"/>
              </w:rPr>
              <w:t>33,656</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5,071</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240" w:type="dxa"/>
            <w:vAlign w:val="bottom"/>
            <w:shd w:val="clear" w:color="auto" w:fill="E0E7ED"/>
          </w:tcPr>
          <w:p>
            <w:pPr>
              <w:jc w:val="right"/>
              <w:ind w:right="18"/>
              <w:spacing w:after="0"/>
              <w:rPr>
                <w:sz w:val="20"/>
                <w:szCs w:val="20"/>
                <w:color w:val="auto"/>
              </w:rPr>
            </w:pPr>
            <w:r>
              <w:rPr>
                <w:rFonts w:ascii="Verdana" w:cs="Verdana" w:eastAsia="Verdana" w:hAnsi="Verdana"/>
                <w:sz w:val="18"/>
                <w:szCs w:val="18"/>
                <w:color w:val="auto"/>
              </w:rPr>
              <w:t>24,675</w:t>
            </w: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3,727</w:t>
            </w: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jc w:val="right"/>
              <w:ind w:right="110"/>
              <w:spacing w:after="0"/>
              <w:rPr>
                <w:sz w:val="20"/>
                <w:szCs w:val="20"/>
                <w:color w:val="auto"/>
              </w:rPr>
            </w:pPr>
            <w:r>
              <w:rPr>
                <w:rFonts w:ascii="Verdana" w:cs="Verdana" w:eastAsia="Verdana" w:hAnsi="Verdana"/>
                <w:sz w:val="18"/>
                <w:szCs w:val="18"/>
                <w:color w:val="auto"/>
              </w:rPr>
              <w:t>$</w:t>
            </w:r>
          </w:p>
        </w:tc>
        <w:tc>
          <w:tcPr>
            <w:tcW w:w="11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91,639</w:t>
            </w:r>
          </w:p>
        </w:tc>
        <w:tc>
          <w:tcPr>
            <w:tcW w:w="0" w:type="dxa"/>
            <w:vAlign w:val="bottom"/>
          </w:tcPr>
          <w:p>
            <w:pPr>
              <w:spacing w:after="0"/>
              <w:rPr>
                <w:sz w:val="1"/>
                <w:szCs w:val="1"/>
                <w:color w:val="auto"/>
              </w:rPr>
            </w:pPr>
          </w:p>
        </w:tc>
      </w:tr>
      <w:tr>
        <w:trPr>
          <w:trHeight w:val="238"/>
        </w:trPr>
        <w:tc>
          <w:tcPr>
            <w:tcW w:w="2000" w:type="dxa"/>
            <w:vAlign w:val="bottom"/>
          </w:tcPr>
          <w:p>
            <w:pPr>
              <w:ind w:left="180"/>
              <w:spacing w:after="0"/>
              <w:rPr>
                <w:sz w:val="20"/>
                <w:szCs w:val="20"/>
                <w:color w:val="auto"/>
              </w:rPr>
            </w:pPr>
            <w:r>
              <w:rPr>
                <w:rFonts w:ascii="Verdana" w:cs="Verdana" w:eastAsia="Verdana" w:hAnsi="Verdana"/>
                <w:sz w:val="18"/>
                <w:szCs w:val="18"/>
                <w:color w:val="auto"/>
              </w:rPr>
              <w:t>Provision for credit</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00" w:type="dxa"/>
            <w:vAlign w:val="bottom"/>
          </w:tcPr>
          <w:p>
            <w:pPr>
              <w:ind w:left="180"/>
              <w:spacing w:after="0"/>
              <w:rPr>
                <w:sz w:val="20"/>
                <w:szCs w:val="20"/>
                <w:color w:val="auto"/>
              </w:rPr>
            </w:pPr>
            <w:r>
              <w:rPr>
                <w:rFonts w:ascii="Verdana" w:cs="Verdana" w:eastAsia="Verdana" w:hAnsi="Verdana"/>
                <w:sz w:val="18"/>
                <w:szCs w:val="18"/>
                <w:color w:val="auto"/>
              </w:rPr>
              <w:t>losses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(1,306)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8"/>
              <w:spacing w:after="0"/>
              <w:rPr>
                <w:sz w:val="20"/>
                <w:szCs w:val="20"/>
                <w:color w:val="auto"/>
              </w:rPr>
            </w:pPr>
            <w:r>
              <w:rPr>
                <w:rFonts w:ascii="Verdana" w:cs="Verdana" w:eastAsia="Verdana" w:hAnsi="Verdana"/>
                <w:sz w:val="18"/>
                <w:szCs w:val="18"/>
                <w:color w:val="auto"/>
              </w:rPr>
              <w:t>745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104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8"/>
              <w:spacing w:after="0"/>
              <w:rPr>
                <w:sz w:val="20"/>
                <w:szCs w:val="20"/>
                <w:color w:val="auto"/>
              </w:rPr>
            </w:pPr>
            <w:r>
              <w:rPr>
                <w:rFonts w:ascii="Verdana" w:cs="Verdana" w:eastAsia="Verdana" w:hAnsi="Verdana"/>
                <w:sz w:val="18"/>
                <w:szCs w:val="18"/>
                <w:color w:val="auto"/>
              </w:rPr>
              <w:t>674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Verdana" w:cs="Verdana" w:eastAsia="Verdana" w:hAnsi="Verdana"/>
                <w:sz w:val="18"/>
                <w:szCs w:val="18"/>
                <w:color w:val="auto"/>
              </w:rPr>
              <w:t>364</w:t>
            </w:r>
          </w:p>
        </w:tc>
        <w:tc>
          <w:tcPr>
            <w:tcW w:w="0" w:type="dxa"/>
            <w:vAlign w:val="bottom"/>
          </w:tcPr>
          <w:p>
            <w:pPr>
              <w:spacing w:after="0"/>
              <w:rPr>
                <w:sz w:val="1"/>
                <w:szCs w:val="1"/>
                <w:color w:val="auto"/>
              </w:rPr>
            </w:pPr>
          </w:p>
        </w:tc>
      </w:tr>
      <w:tr>
        <w:trPr>
          <w:trHeight w:val="277"/>
        </w:trPr>
        <w:tc>
          <w:tcPr>
            <w:tcW w:w="20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Charged-off</w:t>
            </w:r>
          </w:p>
        </w:tc>
        <w:tc>
          <w:tcPr>
            <w:tcW w:w="18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(758)</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(102)</w:t>
            </w: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6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(144)</w:t>
            </w:r>
          </w:p>
        </w:tc>
        <w:tc>
          <w:tcPr>
            <w:tcW w:w="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(111)</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1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(1,115)</w:t>
            </w:r>
          </w:p>
        </w:tc>
        <w:tc>
          <w:tcPr>
            <w:tcW w:w="0" w:type="dxa"/>
            <w:vAlign w:val="bottom"/>
          </w:tcPr>
          <w:p>
            <w:pPr>
              <w:spacing w:after="0"/>
              <w:rPr>
                <w:sz w:val="1"/>
                <w:szCs w:val="1"/>
                <w:color w:val="auto"/>
              </w:rPr>
            </w:pPr>
          </w:p>
        </w:tc>
      </w:tr>
      <w:tr>
        <w:trPr>
          <w:trHeight w:val="264"/>
        </w:trPr>
        <w:tc>
          <w:tcPr>
            <w:tcW w:w="200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Recoveries</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187</w:t>
            </w:r>
          </w:p>
        </w:tc>
        <w:tc>
          <w:tcPr>
            <w:tcW w:w="100" w:type="dxa"/>
            <w:vAlign w:val="bottom"/>
            <w:tcBorders>
              <w:bottom w:val="single" w:sz="8" w:color="E0E7E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8"/>
              <w:spacing w:after="0"/>
              <w:rPr>
                <w:sz w:val="20"/>
                <w:szCs w:val="20"/>
                <w:color w:val="auto"/>
              </w:rPr>
            </w:pPr>
            <w:r>
              <w:rPr>
                <w:rFonts w:ascii="Verdana" w:cs="Verdana" w:eastAsia="Verdana" w:hAnsi="Verdana"/>
                <w:sz w:val="18"/>
                <w:szCs w:val="18"/>
                <w:color w:val="auto"/>
              </w:rPr>
              <w:t>392</w:t>
            </w:r>
          </w:p>
        </w:tc>
        <w:tc>
          <w:tcPr>
            <w:tcW w:w="10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31</w:t>
            </w:r>
          </w:p>
        </w:tc>
        <w:tc>
          <w:tcPr>
            <w:tcW w:w="100" w:type="dxa"/>
            <w:vAlign w:val="bottom"/>
            <w:tcBorders>
              <w:bottom w:val="single" w:sz="8" w:color="E0E7E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8"/>
              <w:spacing w:after="0"/>
              <w:rPr>
                <w:sz w:val="20"/>
                <w:szCs w:val="20"/>
                <w:color w:val="auto"/>
              </w:rPr>
            </w:pPr>
            <w:r>
              <w:rPr>
                <w:rFonts w:ascii="Verdana" w:cs="Verdana" w:eastAsia="Verdana" w:hAnsi="Verdana"/>
                <w:sz w:val="18"/>
                <w:szCs w:val="18"/>
                <w:color w:val="auto"/>
              </w:rPr>
              <w:t>128</w:t>
            </w:r>
          </w:p>
        </w:tc>
        <w:tc>
          <w:tcPr>
            <w:tcW w:w="80" w:type="dxa"/>
            <w:vAlign w:val="bottom"/>
            <w:tcBorders>
              <w:bottom w:val="single" w:sz="8" w:color="E0E7E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84</w:t>
            </w:r>
          </w:p>
        </w:tc>
        <w:tc>
          <w:tcPr>
            <w:tcW w:w="10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822</w:t>
            </w:r>
          </w:p>
        </w:tc>
        <w:tc>
          <w:tcPr>
            <w:tcW w:w="0" w:type="dxa"/>
            <w:vAlign w:val="bottom"/>
          </w:tcPr>
          <w:p>
            <w:pPr>
              <w:spacing w:after="0"/>
              <w:rPr>
                <w:sz w:val="1"/>
                <w:szCs w:val="1"/>
                <w:color w:val="auto"/>
              </w:rPr>
            </w:pPr>
          </w:p>
        </w:tc>
      </w:tr>
      <w:tr>
        <w:trPr>
          <w:trHeight w:val="224"/>
        </w:trPr>
        <w:tc>
          <w:tcPr>
            <w:tcW w:w="20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ACL balance,</w:t>
            </w:r>
          </w:p>
        </w:tc>
        <w:tc>
          <w:tcPr>
            <w:tcW w:w="18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22,633</w:t>
            </w:r>
          </w:p>
        </w:tc>
        <w:tc>
          <w:tcPr>
            <w:tcW w:w="100" w:type="dxa"/>
            <w:vAlign w:val="bottom"/>
            <w:shd w:val="clear" w:color="auto" w:fill="E0E7ED"/>
          </w:tcPr>
          <w:p>
            <w:pPr>
              <w:spacing w:after="0"/>
              <w:rPr>
                <w:sz w:val="19"/>
                <w:szCs w:val="19"/>
                <w:color w:val="auto"/>
              </w:rPr>
            </w:pPr>
          </w:p>
        </w:tc>
        <w:tc>
          <w:tcPr>
            <w:tcW w:w="22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40" w:type="dxa"/>
            <w:vAlign w:val="bottom"/>
            <w:vMerge w:val="restart"/>
            <w:shd w:val="clear" w:color="auto" w:fill="E0E7ED"/>
          </w:tcPr>
          <w:p>
            <w:pPr>
              <w:jc w:val="right"/>
              <w:ind w:right="18"/>
              <w:spacing w:after="0"/>
              <w:rPr>
                <w:sz w:val="20"/>
                <w:szCs w:val="20"/>
                <w:color w:val="auto"/>
              </w:rPr>
            </w:pPr>
            <w:r>
              <w:rPr>
                <w:rFonts w:ascii="Verdana" w:cs="Verdana" w:eastAsia="Verdana" w:hAnsi="Verdana"/>
                <w:sz w:val="18"/>
                <w:szCs w:val="18"/>
                <w:color w:val="auto"/>
              </w:rPr>
              <w:t>34,691</w:t>
            </w:r>
          </w:p>
        </w:tc>
        <w:tc>
          <w:tcPr>
            <w:tcW w:w="100" w:type="dxa"/>
            <w:vAlign w:val="bottom"/>
            <w:shd w:val="clear" w:color="auto" w:fill="E0E7ED"/>
          </w:tcPr>
          <w:p>
            <w:pPr>
              <w:spacing w:after="0"/>
              <w:rPr>
                <w:sz w:val="19"/>
                <w:szCs w:val="19"/>
                <w:color w:val="auto"/>
              </w:rPr>
            </w:pPr>
          </w:p>
        </w:tc>
        <w:tc>
          <w:tcPr>
            <w:tcW w:w="20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26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5,206</w:t>
            </w:r>
          </w:p>
        </w:tc>
        <w:tc>
          <w:tcPr>
            <w:tcW w:w="100" w:type="dxa"/>
            <w:vAlign w:val="bottom"/>
            <w:shd w:val="clear" w:color="auto" w:fill="E0E7ED"/>
          </w:tcPr>
          <w:p>
            <w:pPr>
              <w:spacing w:after="0"/>
              <w:rPr>
                <w:sz w:val="19"/>
                <w:szCs w:val="19"/>
                <w:color w:val="auto"/>
              </w:rPr>
            </w:pPr>
          </w:p>
        </w:tc>
        <w:tc>
          <w:tcPr>
            <w:tcW w:w="220" w:type="dxa"/>
            <w:vAlign w:val="bottom"/>
            <w:vMerge w:val="restart"/>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240" w:type="dxa"/>
            <w:vAlign w:val="bottom"/>
            <w:vMerge w:val="restart"/>
            <w:shd w:val="clear" w:color="auto" w:fill="E0E7ED"/>
          </w:tcPr>
          <w:p>
            <w:pPr>
              <w:jc w:val="right"/>
              <w:ind w:right="18"/>
              <w:spacing w:after="0"/>
              <w:rPr>
                <w:sz w:val="20"/>
                <w:szCs w:val="20"/>
                <w:color w:val="auto"/>
              </w:rPr>
            </w:pPr>
            <w:r>
              <w:rPr>
                <w:rFonts w:ascii="Verdana" w:cs="Verdana" w:eastAsia="Verdana" w:hAnsi="Verdana"/>
                <w:sz w:val="18"/>
                <w:szCs w:val="18"/>
                <w:color w:val="auto"/>
              </w:rPr>
              <w:t>25,333</w:t>
            </w:r>
          </w:p>
        </w:tc>
        <w:tc>
          <w:tcPr>
            <w:tcW w:w="80" w:type="dxa"/>
            <w:vAlign w:val="bottom"/>
            <w:shd w:val="clear" w:color="auto" w:fill="E0E7ED"/>
          </w:tcPr>
          <w:p>
            <w:pPr>
              <w:spacing w:after="0"/>
              <w:rPr>
                <w:sz w:val="19"/>
                <w:szCs w:val="19"/>
                <w:color w:val="auto"/>
              </w:rPr>
            </w:pPr>
          </w:p>
        </w:tc>
        <w:tc>
          <w:tcPr>
            <w:tcW w:w="22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4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3,847</w:t>
            </w:r>
          </w:p>
        </w:tc>
        <w:tc>
          <w:tcPr>
            <w:tcW w:w="100" w:type="dxa"/>
            <w:vAlign w:val="bottom"/>
            <w:shd w:val="clear" w:color="auto" w:fill="E0E7ED"/>
          </w:tcPr>
          <w:p>
            <w:pPr>
              <w:spacing w:after="0"/>
              <w:rPr>
                <w:sz w:val="19"/>
                <w:szCs w:val="19"/>
                <w:color w:val="auto"/>
              </w:rPr>
            </w:pPr>
          </w:p>
        </w:tc>
        <w:tc>
          <w:tcPr>
            <w:tcW w:w="340" w:type="dxa"/>
            <w:vAlign w:val="bottom"/>
            <w:vMerge w:val="restart"/>
            <w:shd w:val="clear" w:color="auto" w:fill="E0E7ED"/>
          </w:tcPr>
          <w:p>
            <w:pPr>
              <w:jc w:val="right"/>
              <w:ind w:right="110"/>
              <w:spacing w:after="0"/>
              <w:rPr>
                <w:sz w:val="20"/>
                <w:szCs w:val="20"/>
                <w:color w:val="auto"/>
              </w:rPr>
            </w:pPr>
            <w:r>
              <w:rPr>
                <w:rFonts w:ascii="Verdana" w:cs="Verdana" w:eastAsia="Verdana" w:hAnsi="Verdana"/>
                <w:sz w:val="18"/>
                <w:szCs w:val="18"/>
                <w:color w:val="auto"/>
              </w:rPr>
              <w:t>$</w:t>
            </w:r>
          </w:p>
        </w:tc>
        <w:tc>
          <w:tcPr>
            <w:tcW w:w="112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91,710</w:t>
            </w:r>
          </w:p>
        </w:tc>
        <w:tc>
          <w:tcPr>
            <w:tcW w:w="0" w:type="dxa"/>
            <w:vAlign w:val="bottom"/>
          </w:tcPr>
          <w:p>
            <w:pPr>
              <w:spacing w:after="0"/>
              <w:rPr>
                <w:sz w:val="1"/>
                <w:szCs w:val="1"/>
                <w:color w:val="auto"/>
              </w:rPr>
            </w:pPr>
          </w:p>
        </w:tc>
      </w:tr>
      <w:tr>
        <w:trPr>
          <w:trHeight w:val="241"/>
        </w:trPr>
        <w:tc>
          <w:tcPr>
            <w:tcW w:w="200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September 30, 2023</w:t>
            </w:r>
          </w:p>
        </w:tc>
        <w:tc>
          <w:tcPr>
            <w:tcW w:w="180" w:type="dxa"/>
            <w:vAlign w:val="bottom"/>
            <w:tcBorders>
              <w:bottom w:val="single" w:sz="8" w:color="auto"/>
            </w:tcBorders>
            <w:vMerge w:val="continue"/>
            <w:shd w:val="clear" w:color="auto" w:fill="E0E7ED"/>
          </w:tcPr>
          <w:p>
            <w:pPr>
              <w:spacing w:after="0"/>
              <w:rPr>
                <w:sz w:val="20"/>
                <w:szCs w:val="20"/>
                <w:color w:val="auto"/>
              </w:rPr>
            </w:pPr>
          </w:p>
        </w:tc>
        <w:tc>
          <w:tcPr>
            <w:tcW w:w="1280" w:type="dxa"/>
            <w:vAlign w:val="bottom"/>
            <w:tcBorders>
              <w:bottom w:val="single" w:sz="8" w:color="auto"/>
            </w:tcBorders>
            <w:vMerge w:val="continue"/>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220" w:type="dxa"/>
            <w:vAlign w:val="bottom"/>
            <w:tcBorders>
              <w:bottom w:val="single" w:sz="8" w:color="auto"/>
            </w:tcBorders>
            <w:vMerge w:val="continue"/>
            <w:shd w:val="clear" w:color="auto" w:fill="E0E7ED"/>
          </w:tcPr>
          <w:p>
            <w:pPr>
              <w:spacing w:after="0"/>
              <w:rPr>
                <w:sz w:val="20"/>
                <w:szCs w:val="20"/>
                <w:color w:val="auto"/>
              </w:rPr>
            </w:pPr>
          </w:p>
        </w:tc>
        <w:tc>
          <w:tcPr>
            <w:tcW w:w="1240" w:type="dxa"/>
            <w:vAlign w:val="bottom"/>
            <w:tcBorders>
              <w:bottom w:val="single" w:sz="8" w:color="auto"/>
            </w:tcBorders>
            <w:vMerge w:val="continue"/>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200" w:type="dxa"/>
            <w:vAlign w:val="bottom"/>
            <w:tcBorders>
              <w:bottom w:val="single" w:sz="8" w:color="auto"/>
            </w:tcBorders>
            <w:vMerge w:val="continue"/>
            <w:shd w:val="clear" w:color="auto" w:fill="E0E7ED"/>
          </w:tcPr>
          <w:p>
            <w:pPr>
              <w:spacing w:after="0"/>
              <w:rPr>
                <w:sz w:val="20"/>
                <w:szCs w:val="20"/>
                <w:color w:val="auto"/>
              </w:rPr>
            </w:pPr>
          </w:p>
        </w:tc>
        <w:tc>
          <w:tcPr>
            <w:tcW w:w="1260" w:type="dxa"/>
            <w:vAlign w:val="bottom"/>
            <w:tcBorders>
              <w:bottom w:val="single" w:sz="8" w:color="auto"/>
            </w:tcBorders>
            <w:vMerge w:val="continue"/>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220" w:type="dxa"/>
            <w:vAlign w:val="bottom"/>
            <w:tcBorders>
              <w:bottom w:val="single" w:sz="8" w:color="auto"/>
            </w:tcBorders>
            <w:vMerge w:val="continue"/>
            <w:shd w:val="clear" w:color="auto" w:fill="E0E7ED"/>
          </w:tcPr>
          <w:p>
            <w:pPr>
              <w:spacing w:after="0"/>
              <w:rPr>
                <w:sz w:val="20"/>
                <w:szCs w:val="20"/>
                <w:color w:val="auto"/>
              </w:rPr>
            </w:pPr>
          </w:p>
        </w:tc>
        <w:tc>
          <w:tcPr>
            <w:tcW w:w="124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220" w:type="dxa"/>
            <w:vAlign w:val="bottom"/>
            <w:tcBorders>
              <w:bottom w:val="single" w:sz="8" w:color="auto"/>
            </w:tcBorders>
            <w:vMerge w:val="continue"/>
            <w:shd w:val="clear" w:color="auto" w:fill="E0E7ED"/>
          </w:tcPr>
          <w:p>
            <w:pPr>
              <w:spacing w:after="0"/>
              <w:rPr>
                <w:sz w:val="20"/>
                <w:szCs w:val="20"/>
                <w:color w:val="auto"/>
              </w:rPr>
            </w:pPr>
          </w:p>
        </w:tc>
        <w:tc>
          <w:tcPr>
            <w:tcW w:w="1240" w:type="dxa"/>
            <w:vAlign w:val="bottom"/>
            <w:tcBorders>
              <w:bottom w:val="single" w:sz="8" w:color="auto"/>
            </w:tcBorders>
            <w:vMerge w:val="continue"/>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340" w:type="dxa"/>
            <w:vAlign w:val="bottom"/>
            <w:tcBorders>
              <w:bottom w:val="single" w:sz="8" w:color="auto"/>
            </w:tcBorders>
            <w:vMerge w:val="continue"/>
            <w:shd w:val="clear" w:color="auto" w:fill="E0E7ED"/>
          </w:tcPr>
          <w:p>
            <w:pPr>
              <w:spacing w:after="0"/>
              <w:rPr>
                <w:sz w:val="20"/>
                <w:szCs w:val="20"/>
                <w:color w:val="auto"/>
              </w:rPr>
            </w:pPr>
          </w:p>
        </w:tc>
        <w:tc>
          <w:tcPr>
            <w:tcW w:w="1120" w:type="dxa"/>
            <w:vAlign w:val="bottom"/>
            <w:tcBorders>
              <w:bottom w:val="single" w:sz="8" w:color="auto"/>
            </w:tcBorders>
            <w:vMerge w:val="continue"/>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2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2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36" w:name="page37"/>
    <w:bookmarkEnd w:id="36"/>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6"/>
          </w:tcPr>
          <w:p>
            <w:pPr>
              <w:ind w:left="80"/>
              <w:spacing w:after="0"/>
              <w:rPr>
                <w:sz w:val="20"/>
                <w:szCs w:val="20"/>
                <w:color w:val="auto"/>
              </w:rPr>
            </w:pPr>
            <w:r>
              <w:rPr>
                <w:rFonts w:ascii="Verdana" w:cs="Verdana" w:eastAsia="Verdana" w:hAnsi="Verdana"/>
                <w:sz w:val="13"/>
                <w:szCs w:val="13"/>
                <w:b w:val="1"/>
                <w:bCs w:val="1"/>
                <w:color w:val="auto"/>
              </w:rPr>
              <w:t>Nine Months Ended September 30, 2023</w:t>
            </w: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2"/>
          </w:tcPr>
          <w:p>
            <w:pPr>
              <w:jc w:val="center"/>
              <w:ind w:right="280"/>
              <w:spacing w:after="0" w:line="122" w:lineRule="exact"/>
              <w:rPr>
                <w:sz w:val="20"/>
                <w:szCs w:val="20"/>
                <w:color w:val="auto"/>
              </w:rPr>
            </w:pPr>
            <w:r>
              <w:rPr>
                <w:rFonts w:ascii="Verdana" w:cs="Verdana" w:eastAsia="Verdana" w:hAnsi="Verdana"/>
                <w:sz w:val="13"/>
                <w:szCs w:val="13"/>
                <w:b w:val="1"/>
                <w:bCs w:val="1"/>
                <w:color w:val="auto"/>
                <w:w w:val="97"/>
              </w:rPr>
              <w:t>C&amp;I and Other</w:t>
            </w:r>
          </w:p>
        </w:tc>
        <w:tc>
          <w:tcPr>
            <w:tcW w:w="220" w:type="dxa"/>
            <w:vAlign w:val="bottom"/>
          </w:tcPr>
          <w:p>
            <w:pPr>
              <w:spacing w:after="0"/>
              <w:rPr>
                <w:sz w:val="10"/>
                <w:szCs w:val="10"/>
                <w:color w:val="auto"/>
              </w:rPr>
            </w:pPr>
          </w:p>
        </w:tc>
        <w:tc>
          <w:tcPr>
            <w:tcW w:w="1340" w:type="dxa"/>
            <w:vAlign w:val="bottom"/>
            <w:gridSpan w:val="2"/>
          </w:tcPr>
          <w:p>
            <w:pPr>
              <w:ind w:left="100"/>
              <w:spacing w:after="0" w:line="122" w:lineRule="exact"/>
              <w:rPr>
                <w:sz w:val="20"/>
                <w:szCs w:val="20"/>
                <w:color w:val="auto"/>
              </w:rPr>
            </w:pPr>
            <w:r>
              <w:rPr>
                <w:rFonts w:ascii="Verdana" w:cs="Verdana" w:eastAsia="Verdana" w:hAnsi="Verdana"/>
                <w:sz w:val="13"/>
                <w:szCs w:val="13"/>
                <w:b w:val="1"/>
                <w:bCs w:val="1"/>
                <w:color w:val="auto"/>
              </w:rPr>
              <w:t>Commercial</w:t>
            </w:r>
          </w:p>
        </w:tc>
        <w:tc>
          <w:tcPr>
            <w:tcW w:w="200" w:type="dxa"/>
            <w:vAlign w:val="bottom"/>
          </w:tcPr>
          <w:p>
            <w:pPr>
              <w:spacing w:after="0"/>
              <w:rPr>
                <w:sz w:val="10"/>
                <w:szCs w:val="10"/>
                <w:color w:val="auto"/>
              </w:rPr>
            </w:pPr>
          </w:p>
        </w:tc>
        <w:tc>
          <w:tcPr>
            <w:tcW w:w="1360" w:type="dxa"/>
            <w:vAlign w:val="bottom"/>
            <w:gridSpan w:val="2"/>
          </w:tcPr>
          <w:p>
            <w:pPr>
              <w:jc w:val="center"/>
              <w:ind w:right="320"/>
              <w:spacing w:after="0" w:line="122" w:lineRule="exact"/>
              <w:rPr>
                <w:sz w:val="20"/>
                <w:szCs w:val="20"/>
                <w:color w:val="auto"/>
              </w:rPr>
            </w:pPr>
            <w:r>
              <w:rPr>
                <w:rFonts w:ascii="Verdana" w:cs="Verdana" w:eastAsia="Verdana" w:hAnsi="Verdana"/>
                <w:sz w:val="13"/>
                <w:szCs w:val="13"/>
                <w:b w:val="1"/>
                <w:bCs w:val="1"/>
                <w:color w:val="auto"/>
                <w:w w:val="97"/>
              </w:rPr>
              <w:t>Real Estate</w:t>
            </w:r>
          </w:p>
        </w:tc>
        <w:tc>
          <w:tcPr>
            <w:tcW w:w="220" w:type="dxa"/>
            <w:vAlign w:val="bottom"/>
          </w:tcPr>
          <w:p>
            <w:pPr>
              <w:spacing w:after="0"/>
              <w:rPr>
                <w:sz w:val="10"/>
                <w:szCs w:val="10"/>
                <w:color w:val="auto"/>
              </w:rPr>
            </w:pPr>
          </w:p>
        </w:tc>
        <w:tc>
          <w:tcPr>
            <w:tcW w:w="1320" w:type="dxa"/>
            <w:vAlign w:val="bottom"/>
            <w:gridSpan w:val="2"/>
          </w:tcPr>
          <w:p>
            <w:pPr>
              <w:jc w:val="center"/>
              <w:ind w:right="300"/>
              <w:spacing w:after="0" w:line="122" w:lineRule="exact"/>
              <w:rPr>
                <w:sz w:val="20"/>
                <w:szCs w:val="20"/>
                <w:color w:val="auto"/>
              </w:rPr>
            </w:pPr>
            <w:r>
              <w:rPr>
                <w:rFonts w:ascii="Verdana" w:cs="Verdana" w:eastAsia="Verdana" w:hAnsi="Verdana"/>
                <w:sz w:val="13"/>
                <w:szCs w:val="13"/>
                <w:b w:val="1"/>
                <w:bCs w:val="1"/>
                <w:color w:val="auto"/>
                <w:w w:val="99"/>
              </w:rPr>
              <w:t>Retail</w:t>
            </w:r>
          </w:p>
        </w:tc>
        <w:tc>
          <w:tcPr>
            <w:tcW w:w="220" w:type="dxa"/>
            <w:vAlign w:val="bottom"/>
          </w:tcPr>
          <w:p>
            <w:pPr>
              <w:spacing w:after="0"/>
              <w:rPr>
                <w:sz w:val="10"/>
                <w:szCs w:val="10"/>
                <w:color w:val="auto"/>
              </w:rPr>
            </w:pPr>
          </w:p>
        </w:tc>
        <w:tc>
          <w:tcPr>
            <w:tcW w:w="1340" w:type="dxa"/>
            <w:vAlign w:val="bottom"/>
            <w:gridSpan w:val="2"/>
            <w:vMerge w:val="restart"/>
          </w:tcPr>
          <w:p>
            <w:pPr>
              <w:ind w:left="100"/>
              <w:spacing w:after="0"/>
              <w:rPr>
                <w:sz w:val="20"/>
                <w:szCs w:val="20"/>
                <w:color w:val="auto"/>
              </w:rPr>
            </w:pPr>
            <w:r>
              <w:rPr>
                <w:rFonts w:ascii="Verdana" w:cs="Verdana" w:eastAsia="Verdana" w:hAnsi="Verdana"/>
                <w:sz w:val="13"/>
                <w:szCs w:val="13"/>
                <w:b w:val="1"/>
                <w:bCs w:val="1"/>
                <w:color w:val="auto"/>
              </w:rPr>
              <w:t>Retail Other</w:t>
            </w:r>
          </w:p>
        </w:tc>
        <w:tc>
          <w:tcPr>
            <w:tcW w:w="340" w:type="dxa"/>
            <w:vAlign w:val="bottom"/>
          </w:tcPr>
          <w:p>
            <w:pPr>
              <w:spacing w:after="0"/>
              <w:rPr>
                <w:sz w:val="10"/>
                <w:szCs w:val="10"/>
                <w:color w:val="auto"/>
              </w:rPr>
            </w:pPr>
          </w:p>
        </w:tc>
        <w:tc>
          <w:tcPr>
            <w:tcW w:w="1120" w:type="dxa"/>
            <w:vAlign w:val="bottom"/>
            <w:vMerge w:val="restart"/>
          </w:tcPr>
          <w:p>
            <w:pPr>
              <w:jc w:val="right"/>
              <w:ind w:right="475"/>
              <w:spacing w:after="0"/>
              <w:rPr>
                <w:sz w:val="20"/>
                <w:szCs w:val="20"/>
                <w:color w:val="auto"/>
              </w:rPr>
            </w:pPr>
            <w:r>
              <w:rPr>
                <w:rFonts w:ascii="Verdana" w:cs="Verdana" w:eastAsia="Verdana" w:hAnsi="Verdana"/>
                <w:sz w:val="13"/>
                <w:szCs w:val="13"/>
                <w:b w:val="1"/>
                <w:bCs w:val="1"/>
                <w:color w:val="auto"/>
              </w:rPr>
              <w:t>Total</w:t>
            </w:r>
          </w:p>
        </w:tc>
        <w:tc>
          <w:tcPr>
            <w:tcW w:w="0" w:type="dxa"/>
            <w:vAlign w:val="bottom"/>
          </w:tcPr>
          <w:p>
            <w:pPr>
              <w:spacing w:after="0"/>
              <w:rPr>
                <w:sz w:val="1"/>
                <w:szCs w:val="1"/>
                <w:color w:val="auto"/>
              </w:rPr>
            </w:pPr>
          </w:p>
        </w:tc>
      </w:tr>
      <w:tr>
        <w:trPr>
          <w:trHeight w:val="170"/>
        </w:trPr>
        <w:tc>
          <w:tcPr>
            <w:tcW w:w="2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Verdana" w:cs="Verdana" w:eastAsia="Verdana" w:hAnsi="Verdana"/>
                <w:sz w:val="13"/>
                <w:szCs w:val="13"/>
                <w:b w:val="1"/>
                <w:bCs w:val="1"/>
                <w:color w:val="auto"/>
                <w:w w:val="97"/>
              </w:rPr>
              <w:t>Commercial</w:t>
            </w:r>
          </w:p>
        </w:tc>
        <w:tc>
          <w:tcPr>
            <w:tcW w:w="22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Verdana" w:cs="Verdana" w:eastAsia="Verdana" w:hAnsi="Verdana"/>
                <w:sz w:val="13"/>
                <w:szCs w:val="13"/>
                <w:b w:val="1"/>
                <w:bCs w:val="1"/>
                <w:color w:val="auto"/>
              </w:rPr>
              <w:t>Real Estate</w:t>
            </w:r>
          </w:p>
        </w:tc>
        <w:tc>
          <w:tcPr>
            <w:tcW w:w="20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Verdana" w:cs="Verdana" w:eastAsia="Verdana" w:hAnsi="Verdana"/>
                <w:sz w:val="13"/>
                <w:szCs w:val="13"/>
                <w:b w:val="1"/>
                <w:bCs w:val="1"/>
                <w:color w:val="auto"/>
                <w:w w:val="96"/>
              </w:rPr>
              <w:t>Construction</w:t>
            </w: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Verdana" w:cs="Verdana" w:eastAsia="Verdana" w:hAnsi="Verdana"/>
                <w:sz w:val="13"/>
                <w:szCs w:val="13"/>
                <w:b w:val="1"/>
                <w:bCs w:val="1"/>
                <w:color w:val="auto"/>
                <w:w w:val="97"/>
              </w:rPr>
              <w:t>Real Estate</w:t>
            </w:r>
          </w:p>
        </w:tc>
        <w:tc>
          <w:tcPr>
            <w:tcW w:w="2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0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ACL balance,</w:t>
            </w:r>
          </w:p>
        </w:tc>
        <w:tc>
          <w:tcPr>
            <w:tcW w:w="180" w:type="dxa"/>
            <w:vAlign w:val="bottom"/>
            <w:tcBorders>
              <w:top w:val="single" w:sz="8" w:color="auto"/>
            </w:tcBorders>
            <w:shd w:val="clear" w:color="auto" w:fill="E0E7ED"/>
          </w:tcPr>
          <w:p>
            <w:pPr>
              <w:spacing w:after="0"/>
              <w:rPr>
                <w:sz w:val="19"/>
                <w:szCs w:val="19"/>
                <w:color w:val="auto"/>
              </w:rPr>
            </w:pPr>
          </w:p>
        </w:tc>
        <w:tc>
          <w:tcPr>
            <w:tcW w:w="12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24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00" w:type="dxa"/>
            <w:vAlign w:val="bottom"/>
            <w:tcBorders>
              <w:top w:val="single" w:sz="8" w:color="auto"/>
            </w:tcBorders>
            <w:shd w:val="clear" w:color="auto" w:fill="E0E7ED"/>
          </w:tcPr>
          <w:p>
            <w:pPr>
              <w:spacing w:after="0"/>
              <w:rPr>
                <w:sz w:val="19"/>
                <w:szCs w:val="19"/>
                <w:color w:val="auto"/>
              </w:rPr>
            </w:pPr>
          </w:p>
        </w:tc>
        <w:tc>
          <w:tcPr>
            <w:tcW w:w="126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24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24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340" w:type="dxa"/>
            <w:vAlign w:val="bottom"/>
            <w:tcBorders>
              <w:top w:val="single" w:sz="8" w:color="auto"/>
            </w:tcBorders>
            <w:shd w:val="clear" w:color="auto" w:fill="E0E7ED"/>
          </w:tcPr>
          <w:p>
            <w:pPr>
              <w:spacing w:after="0"/>
              <w:rPr>
                <w:sz w:val="19"/>
                <w:szCs w:val="19"/>
                <w:color w:val="auto"/>
              </w:rPr>
            </w:pPr>
          </w:p>
        </w:tc>
        <w:tc>
          <w:tcPr>
            <w:tcW w:w="112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December 31, 2022</w:t>
            </w:r>
          </w:p>
        </w:tc>
        <w:tc>
          <w:tcPr>
            <w:tcW w:w="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23,860</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ind w:right="18"/>
              <w:spacing w:after="0"/>
              <w:rPr>
                <w:sz w:val="20"/>
                <w:szCs w:val="20"/>
                <w:color w:val="auto"/>
              </w:rPr>
            </w:pPr>
            <w:r>
              <w:rPr>
                <w:rFonts w:ascii="Verdana" w:cs="Verdana" w:eastAsia="Verdana" w:hAnsi="Verdana"/>
                <w:sz w:val="18"/>
                <w:szCs w:val="18"/>
                <w:color w:val="auto"/>
              </w:rPr>
              <w:t>38,299</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6,457</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240" w:type="dxa"/>
            <w:vAlign w:val="bottom"/>
            <w:shd w:val="clear" w:color="auto" w:fill="E0E7ED"/>
          </w:tcPr>
          <w:p>
            <w:pPr>
              <w:jc w:val="right"/>
              <w:ind w:right="18"/>
              <w:spacing w:after="0"/>
              <w:rPr>
                <w:sz w:val="20"/>
                <w:szCs w:val="20"/>
                <w:color w:val="auto"/>
              </w:rPr>
            </w:pPr>
            <w:r>
              <w:rPr>
                <w:rFonts w:ascii="Verdana" w:cs="Verdana" w:eastAsia="Verdana" w:hAnsi="Verdana"/>
                <w:sz w:val="18"/>
                <w:szCs w:val="18"/>
                <w:color w:val="auto"/>
              </w:rPr>
              <w:t>18,193</w:t>
            </w: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4,799</w:t>
            </w: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jc w:val="right"/>
              <w:ind w:right="110"/>
              <w:spacing w:after="0"/>
              <w:rPr>
                <w:sz w:val="20"/>
                <w:szCs w:val="20"/>
                <w:color w:val="auto"/>
              </w:rPr>
            </w:pPr>
            <w:r>
              <w:rPr>
                <w:rFonts w:ascii="Verdana" w:cs="Verdana" w:eastAsia="Verdana" w:hAnsi="Verdana"/>
                <w:sz w:val="18"/>
                <w:szCs w:val="18"/>
                <w:color w:val="auto"/>
              </w:rPr>
              <w:t>$</w:t>
            </w:r>
          </w:p>
        </w:tc>
        <w:tc>
          <w:tcPr>
            <w:tcW w:w="11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91,608</w:t>
            </w:r>
          </w:p>
        </w:tc>
        <w:tc>
          <w:tcPr>
            <w:tcW w:w="0" w:type="dxa"/>
            <w:vAlign w:val="bottom"/>
          </w:tcPr>
          <w:p>
            <w:pPr>
              <w:spacing w:after="0"/>
              <w:rPr>
                <w:sz w:val="1"/>
                <w:szCs w:val="1"/>
                <w:color w:val="auto"/>
              </w:rPr>
            </w:pPr>
          </w:p>
        </w:tc>
      </w:tr>
      <w:tr>
        <w:trPr>
          <w:trHeight w:val="238"/>
        </w:trPr>
        <w:tc>
          <w:tcPr>
            <w:tcW w:w="2000" w:type="dxa"/>
            <w:vAlign w:val="bottom"/>
          </w:tcPr>
          <w:p>
            <w:pPr>
              <w:ind w:left="180"/>
              <w:spacing w:after="0"/>
              <w:rPr>
                <w:sz w:val="20"/>
                <w:szCs w:val="20"/>
                <w:color w:val="auto"/>
              </w:rPr>
            </w:pPr>
            <w:r>
              <w:rPr>
                <w:rFonts w:ascii="Verdana" w:cs="Verdana" w:eastAsia="Verdana" w:hAnsi="Verdana"/>
                <w:sz w:val="18"/>
                <w:szCs w:val="18"/>
                <w:color w:val="auto"/>
              </w:rPr>
              <w:t>Provision for credit</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00" w:type="dxa"/>
            <w:vAlign w:val="bottom"/>
          </w:tcPr>
          <w:p>
            <w:pPr>
              <w:ind w:left="180"/>
              <w:spacing w:after="0"/>
              <w:rPr>
                <w:sz w:val="20"/>
                <w:szCs w:val="20"/>
                <w:color w:val="auto"/>
              </w:rPr>
            </w:pPr>
            <w:r>
              <w:rPr>
                <w:rFonts w:ascii="Verdana" w:cs="Verdana" w:eastAsia="Verdana" w:hAnsi="Verdana"/>
                <w:sz w:val="18"/>
                <w:szCs w:val="18"/>
                <w:color w:val="auto"/>
              </w:rPr>
              <w:t>losses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(3,006)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(1,404)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8"/>
              <w:spacing w:after="0"/>
              <w:rPr>
                <w:sz w:val="20"/>
                <w:szCs w:val="20"/>
                <w:color w:val="auto"/>
              </w:rPr>
            </w:pPr>
            <w:r>
              <w:rPr>
                <w:rFonts w:ascii="Verdana" w:cs="Verdana" w:eastAsia="Verdana" w:hAnsi="Verdana"/>
                <w:sz w:val="18"/>
                <w:szCs w:val="18"/>
                <w:color w:val="auto"/>
              </w:rPr>
              <w:t>6,975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(700)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Verdana" w:cs="Verdana" w:eastAsia="Verdana" w:hAnsi="Verdana"/>
                <w:sz w:val="18"/>
                <w:szCs w:val="18"/>
                <w:color w:val="auto"/>
              </w:rPr>
              <w:t>1,944</w:t>
            </w:r>
          </w:p>
        </w:tc>
        <w:tc>
          <w:tcPr>
            <w:tcW w:w="0" w:type="dxa"/>
            <w:vAlign w:val="bottom"/>
          </w:tcPr>
          <w:p>
            <w:pPr>
              <w:spacing w:after="0"/>
              <w:rPr>
                <w:sz w:val="1"/>
                <w:szCs w:val="1"/>
                <w:color w:val="auto"/>
              </w:rPr>
            </w:pPr>
          </w:p>
        </w:tc>
      </w:tr>
      <w:tr>
        <w:trPr>
          <w:trHeight w:val="277"/>
        </w:trPr>
        <w:tc>
          <w:tcPr>
            <w:tcW w:w="20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Charged-off</w:t>
            </w:r>
          </w:p>
        </w:tc>
        <w:tc>
          <w:tcPr>
            <w:tcW w:w="18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(1,733)</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(1,175)</w:t>
            </w: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6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(252)</w:t>
            </w:r>
          </w:p>
        </w:tc>
        <w:tc>
          <w:tcPr>
            <w:tcW w:w="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(483)</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1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(3,643)</w:t>
            </w:r>
          </w:p>
        </w:tc>
        <w:tc>
          <w:tcPr>
            <w:tcW w:w="0" w:type="dxa"/>
            <w:vAlign w:val="bottom"/>
          </w:tcPr>
          <w:p>
            <w:pPr>
              <w:spacing w:after="0"/>
              <w:rPr>
                <w:sz w:val="1"/>
                <w:szCs w:val="1"/>
                <w:color w:val="auto"/>
              </w:rPr>
            </w:pPr>
          </w:p>
        </w:tc>
      </w:tr>
      <w:tr>
        <w:trPr>
          <w:trHeight w:val="263"/>
        </w:trPr>
        <w:tc>
          <w:tcPr>
            <w:tcW w:w="200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Recoveries</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427</w:t>
            </w:r>
          </w:p>
        </w:tc>
        <w:tc>
          <w:tcPr>
            <w:tcW w:w="100" w:type="dxa"/>
            <w:vAlign w:val="bottom"/>
            <w:tcBorders>
              <w:bottom w:val="single" w:sz="8" w:color="E0E7E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8"/>
              <w:spacing w:after="0"/>
              <w:rPr>
                <w:sz w:val="20"/>
                <w:szCs w:val="20"/>
                <w:color w:val="auto"/>
              </w:rPr>
            </w:pPr>
            <w:r>
              <w:rPr>
                <w:rFonts w:ascii="Verdana" w:cs="Verdana" w:eastAsia="Verdana" w:hAnsi="Verdana"/>
                <w:sz w:val="18"/>
                <w:szCs w:val="18"/>
                <w:color w:val="auto"/>
              </w:rPr>
              <w:t>573</w:t>
            </w:r>
          </w:p>
        </w:tc>
        <w:tc>
          <w:tcPr>
            <w:tcW w:w="10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153</w:t>
            </w:r>
          </w:p>
        </w:tc>
        <w:tc>
          <w:tcPr>
            <w:tcW w:w="100" w:type="dxa"/>
            <w:vAlign w:val="bottom"/>
            <w:tcBorders>
              <w:bottom w:val="single" w:sz="8" w:color="E0E7E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8"/>
              <w:spacing w:after="0"/>
              <w:rPr>
                <w:sz w:val="20"/>
                <w:szCs w:val="20"/>
                <w:color w:val="auto"/>
              </w:rPr>
            </w:pPr>
            <w:r>
              <w:rPr>
                <w:rFonts w:ascii="Verdana" w:cs="Verdana" w:eastAsia="Verdana" w:hAnsi="Verdana"/>
                <w:sz w:val="18"/>
                <w:szCs w:val="18"/>
                <w:color w:val="auto"/>
              </w:rPr>
              <w:t>417</w:t>
            </w:r>
          </w:p>
        </w:tc>
        <w:tc>
          <w:tcPr>
            <w:tcW w:w="80" w:type="dxa"/>
            <w:vAlign w:val="bottom"/>
            <w:tcBorders>
              <w:bottom w:val="single" w:sz="8" w:color="E0E7E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231</w:t>
            </w:r>
          </w:p>
        </w:tc>
        <w:tc>
          <w:tcPr>
            <w:tcW w:w="10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1,801</w:t>
            </w:r>
          </w:p>
        </w:tc>
        <w:tc>
          <w:tcPr>
            <w:tcW w:w="0" w:type="dxa"/>
            <w:vAlign w:val="bottom"/>
          </w:tcPr>
          <w:p>
            <w:pPr>
              <w:spacing w:after="0"/>
              <w:rPr>
                <w:sz w:val="1"/>
                <w:szCs w:val="1"/>
                <w:color w:val="auto"/>
              </w:rPr>
            </w:pPr>
          </w:p>
        </w:tc>
      </w:tr>
      <w:tr>
        <w:trPr>
          <w:trHeight w:val="224"/>
        </w:trPr>
        <w:tc>
          <w:tcPr>
            <w:tcW w:w="20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ACL balance,</w:t>
            </w:r>
          </w:p>
        </w:tc>
        <w:tc>
          <w:tcPr>
            <w:tcW w:w="18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22,633</w:t>
            </w:r>
          </w:p>
        </w:tc>
        <w:tc>
          <w:tcPr>
            <w:tcW w:w="100" w:type="dxa"/>
            <w:vAlign w:val="bottom"/>
            <w:shd w:val="clear" w:color="auto" w:fill="E0E7ED"/>
          </w:tcPr>
          <w:p>
            <w:pPr>
              <w:spacing w:after="0"/>
              <w:rPr>
                <w:sz w:val="19"/>
                <w:szCs w:val="19"/>
                <w:color w:val="auto"/>
              </w:rPr>
            </w:pPr>
          </w:p>
        </w:tc>
        <w:tc>
          <w:tcPr>
            <w:tcW w:w="22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40" w:type="dxa"/>
            <w:vAlign w:val="bottom"/>
            <w:vMerge w:val="restart"/>
            <w:shd w:val="clear" w:color="auto" w:fill="E0E7ED"/>
          </w:tcPr>
          <w:p>
            <w:pPr>
              <w:jc w:val="right"/>
              <w:ind w:right="18"/>
              <w:spacing w:after="0"/>
              <w:rPr>
                <w:sz w:val="20"/>
                <w:szCs w:val="20"/>
                <w:color w:val="auto"/>
              </w:rPr>
            </w:pPr>
            <w:r>
              <w:rPr>
                <w:rFonts w:ascii="Verdana" w:cs="Verdana" w:eastAsia="Verdana" w:hAnsi="Verdana"/>
                <w:sz w:val="18"/>
                <w:szCs w:val="18"/>
                <w:color w:val="auto"/>
              </w:rPr>
              <w:t>34,691</w:t>
            </w:r>
          </w:p>
        </w:tc>
        <w:tc>
          <w:tcPr>
            <w:tcW w:w="100" w:type="dxa"/>
            <w:vAlign w:val="bottom"/>
            <w:shd w:val="clear" w:color="auto" w:fill="E0E7ED"/>
          </w:tcPr>
          <w:p>
            <w:pPr>
              <w:spacing w:after="0"/>
              <w:rPr>
                <w:sz w:val="19"/>
                <w:szCs w:val="19"/>
                <w:color w:val="auto"/>
              </w:rPr>
            </w:pPr>
          </w:p>
        </w:tc>
        <w:tc>
          <w:tcPr>
            <w:tcW w:w="20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26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5,206</w:t>
            </w:r>
          </w:p>
        </w:tc>
        <w:tc>
          <w:tcPr>
            <w:tcW w:w="100" w:type="dxa"/>
            <w:vAlign w:val="bottom"/>
            <w:shd w:val="clear" w:color="auto" w:fill="E0E7ED"/>
          </w:tcPr>
          <w:p>
            <w:pPr>
              <w:spacing w:after="0"/>
              <w:rPr>
                <w:sz w:val="19"/>
                <w:szCs w:val="19"/>
                <w:color w:val="auto"/>
              </w:rPr>
            </w:pPr>
          </w:p>
        </w:tc>
        <w:tc>
          <w:tcPr>
            <w:tcW w:w="220" w:type="dxa"/>
            <w:vAlign w:val="bottom"/>
            <w:vMerge w:val="restart"/>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240" w:type="dxa"/>
            <w:vAlign w:val="bottom"/>
            <w:vMerge w:val="restart"/>
            <w:shd w:val="clear" w:color="auto" w:fill="E0E7ED"/>
          </w:tcPr>
          <w:p>
            <w:pPr>
              <w:jc w:val="right"/>
              <w:ind w:right="18"/>
              <w:spacing w:after="0"/>
              <w:rPr>
                <w:sz w:val="20"/>
                <w:szCs w:val="20"/>
                <w:color w:val="auto"/>
              </w:rPr>
            </w:pPr>
            <w:r>
              <w:rPr>
                <w:rFonts w:ascii="Verdana" w:cs="Verdana" w:eastAsia="Verdana" w:hAnsi="Verdana"/>
                <w:sz w:val="18"/>
                <w:szCs w:val="18"/>
                <w:color w:val="auto"/>
              </w:rPr>
              <w:t>25,333</w:t>
            </w:r>
          </w:p>
        </w:tc>
        <w:tc>
          <w:tcPr>
            <w:tcW w:w="80" w:type="dxa"/>
            <w:vAlign w:val="bottom"/>
            <w:shd w:val="clear" w:color="auto" w:fill="E0E7ED"/>
          </w:tcPr>
          <w:p>
            <w:pPr>
              <w:spacing w:after="0"/>
              <w:rPr>
                <w:sz w:val="19"/>
                <w:szCs w:val="19"/>
                <w:color w:val="auto"/>
              </w:rPr>
            </w:pPr>
          </w:p>
        </w:tc>
        <w:tc>
          <w:tcPr>
            <w:tcW w:w="22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4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3,847</w:t>
            </w:r>
          </w:p>
        </w:tc>
        <w:tc>
          <w:tcPr>
            <w:tcW w:w="100" w:type="dxa"/>
            <w:vAlign w:val="bottom"/>
            <w:shd w:val="clear" w:color="auto" w:fill="E0E7ED"/>
          </w:tcPr>
          <w:p>
            <w:pPr>
              <w:spacing w:after="0"/>
              <w:rPr>
                <w:sz w:val="19"/>
                <w:szCs w:val="19"/>
                <w:color w:val="auto"/>
              </w:rPr>
            </w:pPr>
          </w:p>
        </w:tc>
        <w:tc>
          <w:tcPr>
            <w:tcW w:w="340" w:type="dxa"/>
            <w:vAlign w:val="bottom"/>
            <w:vMerge w:val="restart"/>
            <w:shd w:val="clear" w:color="auto" w:fill="E0E7ED"/>
          </w:tcPr>
          <w:p>
            <w:pPr>
              <w:jc w:val="right"/>
              <w:ind w:right="110"/>
              <w:spacing w:after="0"/>
              <w:rPr>
                <w:sz w:val="20"/>
                <w:szCs w:val="20"/>
                <w:color w:val="auto"/>
              </w:rPr>
            </w:pPr>
            <w:r>
              <w:rPr>
                <w:rFonts w:ascii="Verdana" w:cs="Verdana" w:eastAsia="Verdana" w:hAnsi="Verdana"/>
                <w:sz w:val="18"/>
                <w:szCs w:val="18"/>
                <w:color w:val="auto"/>
              </w:rPr>
              <w:t>$</w:t>
            </w:r>
          </w:p>
        </w:tc>
        <w:tc>
          <w:tcPr>
            <w:tcW w:w="112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91,710</w:t>
            </w:r>
          </w:p>
        </w:tc>
        <w:tc>
          <w:tcPr>
            <w:tcW w:w="0" w:type="dxa"/>
            <w:vAlign w:val="bottom"/>
          </w:tcPr>
          <w:p>
            <w:pPr>
              <w:spacing w:after="0"/>
              <w:rPr>
                <w:sz w:val="1"/>
                <w:szCs w:val="1"/>
                <w:color w:val="auto"/>
              </w:rPr>
            </w:pPr>
          </w:p>
        </w:tc>
      </w:tr>
      <w:tr>
        <w:trPr>
          <w:trHeight w:val="241"/>
        </w:trPr>
        <w:tc>
          <w:tcPr>
            <w:tcW w:w="200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September 30, 2023</w:t>
            </w:r>
          </w:p>
        </w:tc>
        <w:tc>
          <w:tcPr>
            <w:tcW w:w="180" w:type="dxa"/>
            <w:vAlign w:val="bottom"/>
            <w:tcBorders>
              <w:bottom w:val="single" w:sz="8" w:color="auto"/>
            </w:tcBorders>
            <w:vMerge w:val="continue"/>
            <w:shd w:val="clear" w:color="auto" w:fill="E0E7ED"/>
          </w:tcPr>
          <w:p>
            <w:pPr>
              <w:spacing w:after="0"/>
              <w:rPr>
                <w:sz w:val="20"/>
                <w:szCs w:val="20"/>
                <w:color w:val="auto"/>
              </w:rPr>
            </w:pPr>
          </w:p>
        </w:tc>
        <w:tc>
          <w:tcPr>
            <w:tcW w:w="1280" w:type="dxa"/>
            <w:vAlign w:val="bottom"/>
            <w:tcBorders>
              <w:bottom w:val="single" w:sz="8" w:color="auto"/>
            </w:tcBorders>
            <w:vMerge w:val="continue"/>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220" w:type="dxa"/>
            <w:vAlign w:val="bottom"/>
            <w:tcBorders>
              <w:bottom w:val="single" w:sz="8" w:color="auto"/>
            </w:tcBorders>
            <w:vMerge w:val="continue"/>
            <w:shd w:val="clear" w:color="auto" w:fill="E0E7ED"/>
          </w:tcPr>
          <w:p>
            <w:pPr>
              <w:spacing w:after="0"/>
              <w:rPr>
                <w:sz w:val="20"/>
                <w:szCs w:val="20"/>
                <w:color w:val="auto"/>
              </w:rPr>
            </w:pPr>
          </w:p>
        </w:tc>
        <w:tc>
          <w:tcPr>
            <w:tcW w:w="1240" w:type="dxa"/>
            <w:vAlign w:val="bottom"/>
            <w:tcBorders>
              <w:bottom w:val="single" w:sz="8" w:color="auto"/>
            </w:tcBorders>
            <w:vMerge w:val="continue"/>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200" w:type="dxa"/>
            <w:vAlign w:val="bottom"/>
            <w:tcBorders>
              <w:bottom w:val="single" w:sz="8" w:color="auto"/>
            </w:tcBorders>
            <w:vMerge w:val="continue"/>
            <w:shd w:val="clear" w:color="auto" w:fill="E0E7ED"/>
          </w:tcPr>
          <w:p>
            <w:pPr>
              <w:spacing w:after="0"/>
              <w:rPr>
                <w:sz w:val="20"/>
                <w:szCs w:val="20"/>
                <w:color w:val="auto"/>
              </w:rPr>
            </w:pPr>
          </w:p>
        </w:tc>
        <w:tc>
          <w:tcPr>
            <w:tcW w:w="1260" w:type="dxa"/>
            <w:vAlign w:val="bottom"/>
            <w:tcBorders>
              <w:bottom w:val="single" w:sz="8" w:color="auto"/>
            </w:tcBorders>
            <w:vMerge w:val="continue"/>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220" w:type="dxa"/>
            <w:vAlign w:val="bottom"/>
            <w:tcBorders>
              <w:bottom w:val="single" w:sz="8" w:color="auto"/>
            </w:tcBorders>
            <w:vMerge w:val="continue"/>
            <w:shd w:val="clear" w:color="auto" w:fill="E0E7ED"/>
          </w:tcPr>
          <w:p>
            <w:pPr>
              <w:spacing w:after="0"/>
              <w:rPr>
                <w:sz w:val="20"/>
                <w:szCs w:val="20"/>
                <w:color w:val="auto"/>
              </w:rPr>
            </w:pPr>
          </w:p>
        </w:tc>
        <w:tc>
          <w:tcPr>
            <w:tcW w:w="124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220" w:type="dxa"/>
            <w:vAlign w:val="bottom"/>
            <w:tcBorders>
              <w:bottom w:val="single" w:sz="8" w:color="auto"/>
            </w:tcBorders>
            <w:vMerge w:val="continue"/>
            <w:shd w:val="clear" w:color="auto" w:fill="E0E7ED"/>
          </w:tcPr>
          <w:p>
            <w:pPr>
              <w:spacing w:after="0"/>
              <w:rPr>
                <w:sz w:val="20"/>
                <w:szCs w:val="20"/>
                <w:color w:val="auto"/>
              </w:rPr>
            </w:pPr>
          </w:p>
        </w:tc>
        <w:tc>
          <w:tcPr>
            <w:tcW w:w="1240" w:type="dxa"/>
            <w:vAlign w:val="bottom"/>
            <w:tcBorders>
              <w:bottom w:val="single" w:sz="8" w:color="auto"/>
            </w:tcBorders>
            <w:vMerge w:val="continue"/>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340" w:type="dxa"/>
            <w:vAlign w:val="bottom"/>
            <w:tcBorders>
              <w:bottom w:val="single" w:sz="8" w:color="auto"/>
            </w:tcBorders>
            <w:vMerge w:val="continue"/>
            <w:shd w:val="clear" w:color="auto" w:fill="E0E7ED"/>
          </w:tcPr>
          <w:p>
            <w:pPr>
              <w:spacing w:after="0"/>
              <w:rPr>
                <w:sz w:val="20"/>
                <w:szCs w:val="20"/>
                <w:color w:val="auto"/>
              </w:rPr>
            </w:pPr>
          </w:p>
        </w:tc>
        <w:tc>
          <w:tcPr>
            <w:tcW w:w="1120" w:type="dxa"/>
            <w:vAlign w:val="bottom"/>
            <w:tcBorders>
              <w:bottom w:val="single" w:sz="8" w:color="auto"/>
            </w:tcBorders>
            <w:vMerge w:val="continue"/>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2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2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The following tables present the ACL and amortized cost of portfolio loans by loan category and lending activity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5"/>
          </w:tcPr>
          <w:p>
            <w:pPr>
              <w:ind w:left="320"/>
              <w:spacing w:after="0"/>
              <w:rPr>
                <w:sz w:val="20"/>
                <w:szCs w:val="20"/>
                <w:color w:val="auto"/>
              </w:rPr>
            </w:pPr>
            <w:r>
              <w:rPr>
                <w:rFonts w:ascii="Verdana" w:cs="Verdana" w:eastAsia="Verdana" w:hAnsi="Verdana"/>
                <w:sz w:val="13"/>
                <w:szCs w:val="13"/>
                <w:b w:val="1"/>
                <w:bCs w:val="1"/>
                <w:color w:val="auto"/>
              </w:rPr>
              <w:t>As of September 30, 2024</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9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Verdana" w:cs="Verdana" w:eastAsia="Verdana" w:hAnsi="Verdana"/>
                <w:sz w:val="13"/>
                <w:szCs w:val="13"/>
                <w:b w:val="1"/>
                <w:bCs w:val="1"/>
                <w:color w:val="auto"/>
                <w:w w:val="95"/>
              </w:rPr>
              <w:t>Portfolio Loans</w:t>
            </w: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6"/>
          </w:tcPr>
          <w:p>
            <w:pPr>
              <w:jc w:val="center"/>
              <w:ind w:left="759"/>
              <w:spacing w:after="0"/>
              <w:rPr>
                <w:sz w:val="20"/>
                <w:szCs w:val="20"/>
                <w:color w:val="auto"/>
              </w:rPr>
            </w:pPr>
            <w:r>
              <w:rPr>
                <w:rFonts w:ascii="Verdana" w:cs="Verdana" w:eastAsia="Verdana" w:hAnsi="Verdana"/>
                <w:sz w:val="13"/>
                <w:szCs w:val="13"/>
                <w:b w:val="1"/>
                <w:bCs w:val="1"/>
                <w:color w:val="auto"/>
                <w:w w:val="96"/>
              </w:rPr>
              <w:t>ACL Attributed to Portfolio Loans</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2"/>
          </w:tcPr>
          <w:p>
            <w:pPr>
              <w:jc w:val="center"/>
              <w:ind w:right="300"/>
              <w:spacing w:after="0" w:line="120" w:lineRule="exact"/>
              <w:rPr>
                <w:sz w:val="20"/>
                <w:szCs w:val="20"/>
                <w:color w:val="auto"/>
              </w:rPr>
            </w:pPr>
            <w:r>
              <w:rPr>
                <w:rFonts w:ascii="Verdana" w:cs="Verdana" w:eastAsia="Verdana" w:hAnsi="Verdana"/>
                <w:sz w:val="13"/>
                <w:szCs w:val="13"/>
                <w:b w:val="1"/>
                <w:bCs w:val="1"/>
                <w:color w:val="auto"/>
                <w:w w:val="95"/>
              </w:rPr>
              <w:t>Collectively</w:t>
            </w:r>
          </w:p>
        </w:tc>
        <w:tc>
          <w:tcPr>
            <w:tcW w:w="160" w:type="dxa"/>
            <w:vAlign w:val="bottom"/>
          </w:tcPr>
          <w:p>
            <w:pPr>
              <w:spacing w:after="0"/>
              <w:rPr>
                <w:sz w:val="10"/>
                <w:szCs w:val="10"/>
                <w:color w:val="auto"/>
              </w:rPr>
            </w:pPr>
          </w:p>
        </w:tc>
        <w:tc>
          <w:tcPr>
            <w:tcW w:w="1400" w:type="dxa"/>
            <w:vAlign w:val="bottom"/>
            <w:gridSpan w:val="2"/>
          </w:tcPr>
          <w:p>
            <w:pPr>
              <w:jc w:val="center"/>
              <w:ind w:right="280"/>
              <w:spacing w:after="0" w:line="120" w:lineRule="exact"/>
              <w:rPr>
                <w:sz w:val="20"/>
                <w:szCs w:val="20"/>
                <w:color w:val="auto"/>
              </w:rPr>
            </w:pPr>
            <w:r>
              <w:rPr>
                <w:rFonts w:ascii="Verdana" w:cs="Verdana" w:eastAsia="Verdana" w:hAnsi="Verdana"/>
                <w:sz w:val="13"/>
                <w:szCs w:val="13"/>
                <w:b w:val="1"/>
                <w:bCs w:val="1"/>
                <w:color w:val="auto"/>
                <w:w w:val="96"/>
              </w:rPr>
              <w:t>Individually</w:t>
            </w: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2"/>
          </w:tcPr>
          <w:p>
            <w:pPr>
              <w:jc w:val="center"/>
              <w:ind w:right="280"/>
              <w:spacing w:after="0" w:line="120" w:lineRule="exact"/>
              <w:rPr>
                <w:sz w:val="20"/>
                <w:szCs w:val="20"/>
                <w:color w:val="auto"/>
              </w:rPr>
            </w:pPr>
            <w:r>
              <w:rPr>
                <w:rFonts w:ascii="Verdana" w:cs="Verdana" w:eastAsia="Verdana" w:hAnsi="Verdana"/>
                <w:sz w:val="13"/>
                <w:szCs w:val="13"/>
                <w:b w:val="1"/>
                <w:bCs w:val="1"/>
                <w:color w:val="auto"/>
                <w:w w:val="97"/>
              </w:rPr>
              <w:t>Collectively</w:t>
            </w:r>
          </w:p>
        </w:tc>
        <w:tc>
          <w:tcPr>
            <w:tcW w:w="200" w:type="dxa"/>
            <w:vAlign w:val="bottom"/>
          </w:tcPr>
          <w:p>
            <w:pPr>
              <w:spacing w:after="0"/>
              <w:rPr>
                <w:sz w:val="10"/>
                <w:szCs w:val="10"/>
                <w:color w:val="auto"/>
              </w:rPr>
            </w:pPr>
          </w:p>
        </w:tc>
        <w:tc>
          <w:tcPr>
            <w:tcW w:w="1360" w:type="dxa"/>
            <w:vAlign w:val="bottom"/>
            <w:gridSpan w:val="2"/>
          </w:tcPr>
          <w:p>
            <w:pPr>
              <w:jc w:val="center"/>
              <w:ind w:right="300"/>
              <w:spacing w:after="0" w:line="120" w:lineRule="exact"/>
              <w:rPr>
                <w:sz w:val="20"/>
                <w:szCs w:val="20"/>
                <w:color w:val="auto"/>
              </w:rPr>
            </w:pPr>
            <w:r>
              <w:rPr>
                <w:rFonts w:ascii="Verdana" w:cs="Verdana" w:eastAsia="Verdana" w:hAnsi="Verdana"/>
                <w:sz w:val="13"/>
                <w:szCs w:val="13"/>
                <w:b w:val="1"/>
                <w:bCs w:val="1"/>
                <w:color w:val="auto"/>
                <w:w w:val="98"/>
              </w:rPr>
              <w:t>Individually</w:t>
            </w: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2"/>
          </w:tcPr>
          <w:p>
            <w:pPr>
              <w:jc w:val="center"/>
              <w:ind w:right="300"/>
              <w:spacing w:after="0" w:line="122" w:lineRule="exact"/>
              <w:rPr>
                <w:sz w:val="20"/>
                <w:szCs w:val="20"/>
                <w:color w:val="auto"/>
              </w:rPr>
            </w:pPr>
            <w:r>
              <w:rPr>
                <w:rFonts w:ascii="Verdana" w:cs="Verdana" w:eastAsia="Verdana" w:hAnsi="Verdana"/>
                <w:sz w:val="13"/>
                <w:szCs w:val="13"/>
                <w:b w:val="1"/>
                <w:bCs w:val="1"/>
                <w:color w:val="auto"/>
                <w:w w:val="98"/>
              </w:rPr>
              <w:t>Evaluated for</w:t>
            </w: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2" w:lineRule="exact"/>
              <w:rPr>
                <w:sz w:val="20"/>
                <w:szCs w:val="20"/>
                <w:color w:val="auto"/>
              </w:rPr>
            </w:pPr>
            <w:r>
              <w:rPr>
                <w:rFonts w:ascii="Verdana" w:cs="Verdana" w:eastAsia="Verdana" w:hAnsi="Verdana"/>
                <w:sz w:val="13"/>
                <w:szCs w:val="13"/>
                <w:b w:val="1"/>
                <w:bCs w:val="1"/>
                <w:color w:val="auto"/>
                <w:w w:val="96"/>
              </w:rPr>
              <w:t>Evaluated for</w:t>
            </w:r>
          </w:p>
        </w:tc>
        <w:tc>
          <w:tcPr>
            <w:tcW w:w="280" w:type="dxa"/>
            <w:vAlign w:val="bottom"/>
          </w:tcPr>
          <w:p>
            <w:pPr>
              <w:spacing w:after="0"/>
              <w:rPr>
                <w:sz w:val="10"/>
                <w:szCs w:val="10"/>
                <w:color w:val="auto"/>
              </w:rPr>
            </w:pPr>
          </w:p>
        </w:tc>
        <w:tc>
          <w:tcPr>
            <w:tcW w:w="1280" w:type="dxa"/>
            <w:vAlign w:val="bottom"/>
            <w:gridSpan w:val="2"/>
            <w:vMerge w:val="restart"/>
          </w:tcPr>
          <w:p>
            <w:pPr>
              <w:ind w:left="280"/>
              <w:spacing w:after="0"/>
              <w:rPr>
                <w:sz w:val="20"/>
                <w:szCs w:val="20"/>
                <w:color w:val="auto"/>
              </w:rPr>
            </w:pPr>
            <w:r>
              <w:rPr>
                <w:rFonts w:ascii="Verdana" w:cs="Verdana" w:eastAsia="Verdana" w:hAnsi="Verdana"/>
                <w:sz w:val="13"/>
                <w:szCs w:val="13"/>
                <w:b w:val="1"/>
                <w:bCs w:val="1"/>
                <w:color w:val="auto"/>
              </w:rPr>
              <w:t>Total</w:t>
            </w:r>
          </w:p>
        </w:tc>
        <w:tc>
          <w:tcPr>
            <w:tcW w:w="200" w:type="dxa"/>
            <w:vAlign w:val="bottom"/>
          </w:tcPr>
          <w:p>
            <w:pPr>
              <w:spacing w:after="0"/>
              <w:rPr>
                <w:sz w:val="10"/>
                <w:szCs w:val="10"/>
                <w:color w:val="auto"/>
              </w:rPr>
            </w:pPr>
          </w:p>
        </w:tc>
        <w:tc>
          <w:tcPr>
            <w:tcW w:w="1380" w:type="dxa"/>
            <w:vAlign w:val="bottom"/>
            <w:gridSpan w:val="2"/>
          </w:tcPr>
          <w:p>
            <w:pPr>
              <w:jc w:val="center"/>
              <w:ind w:right="280"/>
              <w:spacing w:after="0" w:line="122" w:lineRule="exact"/>
              <w:rPr>
                <w:sz w:val="20"/>
                <w:szCs w:val="20"/>
                <w:color w:val="auto"/>
              </w:rPr>
            </w:pPr>
            <w:r>
              <w:rPr>
                <w:rFonts w:ascii="Verdana" w:cs="Verdana" w:eastAsia="Verdana" w:hAnsi="Verdana"/>
                <w:sz w:val="13"/>
                <w:szCs w:val="13"/>
                <w:b w:val="1"/>
                <w:bCs w:val="1"/>
                <w:color w:val="auto"/>
                <w:w w:val="96"/>
              </w:rPr>
              <w:t>Evaluated for</w:t>
            </w:r>
          </w:p>
        </w:tc>
        <w:tc>
          <w:tcPr>
            <w:tcW w:w="200" w:type="dxa"/>
            <w:vAlign w:val="bottom"/>
          </w:tcPr>
          <w:p>
            <w:pPr>
              <w:spacing w:after="0"/>
              <w:rPr>
                <w:sz w:val="10"/>
                <w:szCs w:val="10"/>
                <w:color w:val="auto"/>
              </w:rPr>
            </w:pPr>
          </w:p>
        </w:tc>
        <w:tc>
          <w:tcPr>
            <w:tcW w:w="1360" w:type="dxa"/>
            <w:vAlign w:val="bottom"/>
            <w:gridSpan w:val="2"/>
          </w:tcPr>
          <w:p>
            <w:pPr>
              <w:jc w:val="center"/>
              <w:ind w:right="300"/>
              <w:spacing w:after="0" w:line="122" w:lineRule="exact"/>
              <w:rPr>
                <w:sz w:val="20"/>
                <w:szCs w:val="20"/>
                <w:color w:val="auto"/>
              </w:rPr>
            </w:pPr>
            <w:r>
              <w:rPr>
                <w:rFonts w:ascii="Verdana" w:cs="Verdana" w:eastAsia="Verdana" w:hAnsi="Verdana"/>
                <w:sz w:val="13"/>
                <w:szCs w:val="13"/>
                <w:b w:val="1"/>
                <w:bCs w:val="1"/>
                <w:color w:val="auto"/>
                <w:w w:val="96"/>
              </w:rPr>
              <w:t>Evaluated for</w:t>
            </w:r>
          </w:p>
        </w:tc>
        <w:tc>
          <w:tcPr>
            <w:tcW w:w="440" w:type="dxa"/>
            <w:vAlign w:val="bottom"/>
          </w:tcPr>
          <w:p>
            <w:pPr>
              <w:spacing w:after="0"/>
              <w:rPr>
                <w:sz w:val="10"/>
                <w:szCs w:val="10"/>
                <w:color w:val="auto"/>
              </w:rPr>
            </w:pPr>
          </w:p>
        </w:tc>
        <w:tc>
          <w:tcPr>
            <w:tcW w:w="1020" w:type="dxa"/>
            <w:vAlign w:val="bottom"/>
            <w:vMerge w:val="restart"/>
          </w:tcPr>
          <w:p>
            <w:pPr>
              <w:jc w:val="right"/>
              <w:ind w:right="473"/>
              <w:spacing w:after="0"/>
              <w:rPr>
                <w:sz w:val="20"/>
                <w:szCs w:val="20"/>
                <w:color w:val="auto"/>
              </w:rPr>
            </w:pPr>
            <w:r>
              <w:rPr>
                <w:rFonts w:ascii="Verdana" w:cs="Verdana" w:eastAsia="Verdana" w:hAnsi="Verdana"/>
                <w:sz w:val="13"/>
                <w:szCs w:val="13"/>
                <w:b w:val="1"/>
                <w:bCs w:val="1"/>
                <w:color w:val="auto"/>
              </w:rPr>
              <w:t>Total</w:t>
            </w:r>
          </w:p>
        </w:tc>
        <w:tc>
          <w:tcPr>
            <w:tcW w:w="0" w:type="dxa"/>
            <w:vAlign w:val="bottom"/>
          </w:tcPr>
          <w:p>
            <w:pPr>
              <w:spacing w:after="0"/>
              <w:rPr>
                <w:sz w:val="1"/>
                <w:szCs w:val="1"/>
                <w:color w:val="auto"/>
              </w:rPr>
            </w:pPr>
          </w:p>
        </w:tc>
      </w:tr>
      <w:tr>
        <w:trPr>
          <w:trHeight w:val="170"/>
        </w:trPr>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Verdana" w:cs="Verdana" w:eastAsia="Verdana" w:hAnsi="Verdana"/>
                <w:sz w:val="13"/>
                <w:szCs w:val="13"/>
                <w:b w:val="1"/>
                <w:bCs w:val="1"/>
                <w:color w:val="auto"/>
                <w:w w:val="96"/>
              </w:rPr>
              <w:t>Impairment</w:t>
            </w:r>
          </w:p>
        </w:tc>
        <w:tc>
          <w:tcPr>
            <w:tcW w:w="16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Verdana" w:cs="Verdana" w:eastAsia="Verdana" w:hAnsi="Verdana"/>
                <w:sz w:val="13"/>
                <w:szCs w:val="13"/>
                <w:b w:val="1"/>
                <w:bCs w:val="1"/>
                <w:color w:val="auto"/>
                <w:w w:val="96"/>
              </w:rPr>
              <w:t>Impairment</w:t>
            </w:r>
          </w:p>
        </w:tc>
        <w:tc>
          <w:tcPr>
            <w:tcW w:w="2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Verdana" w:cs="Verdana" w:eastAsia="Verdana" w:hAnsi="Verdana"/>
                <w:sz w:val="13"/>
                <w:szCs w:val="13"/>
                <w:b w:val="1"/>
                <w:bCs w:val="1"/>
                <w:color w:val="auto"/>
                <w:w w:val="96"/>
              </w:rPr>
              <w:t>Impairment</w:t>
            </w:r>
          </w:p>
        </w:tc>
        <w:tc>
          <w:tcPr>
            <w:tcW w:w="20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Verdana" w:cs="Verdana" w:eastAsia="Verdana" w:hAnsi="Verdana"/>
                <w:sz w:val="13"/>
                <w:szCs w:val="13"/>
                <w:b w:val="1"/>
                <w:bCs w:val="1"/>
                <w:color w:val="auto"/>
                <w:w w:val="98"/>
              </w:rPr>
              <w:t>Impairment</w:t>
            </w:r>
          </w:p>
        </w:tc>
        <w:tc>
          <w:tcPr>
            <w:tcW w:w="4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19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 loans</w:t>
            </w:r>
          </w:p>
        </w:tc>
        <w:tc>
          <w:tcPr>
            <w:tcW w:w="20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130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8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0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0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440" w:type="dxa"/>
            <w:vAlign w:val="bottom"/>
            <w:tcBorders>
              <w:top w:val="single" w:sz="8" w:color="auto"/>
            </w:tcBorders>
            <w:shd w:val="clear" w:color="auto" w:fill="E0E7ED"/>
          </w:tcPr>
          <w:p>
            <w:pPr>
              <w:spacing w:after="0"/>
              <w:rPr>
                <w:sz w:val="22"/>
                <w:szCs w:val="22"/>
                <w:color w:val="auto"/>
              </w:rPr>
            </w:pPr>
          </w:p>
        </w:tc>
        <w:tc>
          <w:tcPr>
            <w:tcW w:w="102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1940" w:type="dxa"/>
            <w:vAlign w:val="bottom"/>
          </w:tcPr>
          <w:p>
            <w:pPr>
              <w:ind w:left="180"/>
              <w:spacing w:after="0"/>
              <w:rPr>
                <w:sz w:val="20"/>
                <w:szCs w:val="20"/>
                <w:color w:val="auto"/>
              </w:rPr>
            </w:pPr>
            <w:r>
              <w:rPr>
                <w:rFonts w:ascii="Verdana" w:cs="Verdana" w:eastAsia="Verdana" w:hAnsi="Verdana"/>
                <w:sz w:val="18"/>
                <w:szCs w:val="18"/>
                <w:color w:val="auto"/>
              </w:rPr>
              <w:t>C&amp;I and other</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940" w:type="dxa"/>
            <w:vAlign w:val="bottom"/>
          </w:tcPr>
          <w:p>
            <w:pPr>
              <w:ind w:left="180"/>
              <w:spacing w:after="0"/>
              <w:rPr>
                <w:sz w:val="20"/>
                <w:szCs w:val="20"/>
                <w:color w:val="auto"/>
              </w:rPr>
            </w:pPr>
            <w:r>
              <w:rPr>
                <w:rFonts w:ascii="Verdana" w:cs="Verdana" w:eastAsia="Verdana" w:hAnsi="Verdana"/>
                <w:sz w:val="18"/>
                <w:szCs w:val="18"/>
                <w:color w:val="auto"/>
              </w:rPr>
              <w:t>commercial</w:t>
            </w: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1,873,260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00" w:type="dxa"/>
            <w:vAlign w:val="bottom"/>
          </w:tcPr>
          <w:p>
            <w:pPr>
              <w:jc w:val="right"/>
              <w:ind w:right="19"/>
              <w:spacing w:after="0"/>
              <w:rPr>
                <w:sz w:val="20"/>
                <w:szCs w:val="20"/>
                <w:color w:val="auto"/>
              </w:rPr>
            </w:pPr>
            <w:r>
              <w:rPr>
                <w:rFonts w:ascii="Verdana" w:cs="Verdana" w:eastAsia="Verdana" w:hAnsi="Verdana"/>
                <w:sz w:val="18"/>
                <w:szCs w:val="18"/>
                <w:color w:val="auto"/>
              </w:rPr>
              <w:t>4,237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Verdana" w:cs="Verdana" w:eastAsia="Verdana" w:hAnsi="Verdana"/>
                <w:sz w:val="18"/>
                <w:szCs w:val="18"/>
                <w:color w:val="auto"/>
                <w:w w:val="86"/>
              </w:rPr>
              <w:t>$</w:t>
            </w:r>
          </w:p>
        </w:tc>
        <w:tc>
          <w:tcPr>
            <w:tcW w:w="1200" w:type="dxa"/>
            <w:vAlign w:val="bottom"/>
          </w:tcPr>
          <w:p>
            <w:pPr>
              <w:jc w:val="right"/>
              <w:ind w:right="15"/>
              <w:spacing w:after="0"/>
              <w:rPr>
                <w:sz w:val="20"/>
                <w:szCs w:val="20"/>
                <w:color w:val="auto"/>
              </w:rPr>
            </w:pPr>
            <w:r>
              <w:rPr>
                <w:rFonts w:ascii="Verdana" w:cs="Verdana" w:eastAsia="Verdana" w:hAnsi="Verdana"/>
                <w:sz w:val="18"/>
                <w:szCs w:val="18"/>
                <w:color w:val="auto"/>
              </w:rPr>
              <w:t>1,877,497</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19,146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260" w:type="dxa"/>
            <w:vAlign w:val="bottom"/>
          </w:tcPr>
          <w:p>
            <w:pPr>
              <w:jc w:val="right"/>
              <w:spacing w:after="0"/>
              <w:rPr>
                <w:sz w:val="20"/>
                <w:szCs w:val="20"/>
                <w:color w:val="auto"/>
              </w:rPr>
            </w:pPr>
            <w:r>
              <w:rPr>
                <w:rFonts w:ascii="Verdana" w:cs="Verdana" w:eastAsia="Verdana" w:hAnsi="Verdana"/>
                <w:sz w:val="18"/>
                <w:szCs w:val="18"/>
                <w:color w:val="auto"/>
              </w:rPr>
              <w:t>1,863</w:t>
            </w:r>
          </w:p>
        </w:tc>
        <w:tc>
          <w:tcPr>
            <w:tcW w:w="100" w:type="dxa"/>
            <w:vAlign w:val="bottom"/>
          </w:tcPr>
          <w:p>
            <w:pPr>
              <w:spacing w:after="0"/>
              <w:rPr>
                <w:sz w:val="21"/>
                <w:szCs w:val="21"/>
                <w:color w:val="auto"/>
              </w:rPr>
            </w:pPr>
          </w:p>
        </w:tc>
        <w:tc>
          <w:tcPr>
            <w:tcW w:w="440" w:type="dxa"/>
            <w:vAlign w:val="bottom"/>
          </w:tcPr>
          <w:p>
            <w:pPr>
              <w:jc w:val="right"/>
              <w:ind w:right="210"/>
              <w:spacing w:after="0"/>
              <w:rPr>
                <w:sz w:val="20"/>
                <w:szCs w:val="20"/>
                <w:color w:val="auto"/>
              </w:rPr>
            </w:pPr>
            <w:r>
              <w:rPr>
                <w:rFonts w:ascii="Verdana" w:cs="Verdana" w:eastAsia="Verdana" w:hAnsi="Verdana"/>
                <w:sz w:val="18"/>
                <w:szCs w:val="18"/>
                <w:color w:val="auto"/>
              </w:rPr>
              <w:t>$</w:t>
            </w:r>
          </w:p>
        </w:tc>
        <w:tc>
          <w:tcPr>
            <w:tcW w:w="1020" w:type="dxa"/>
            <w:vAlign w:val="bottom"/>
          </w:tcPr>
          <w:p>
            <w:pPr>
              <w:jc w:val="right"/>
              <w:spacing w:after="0"/>
              <w:rPr>
                <w:sz w:val="20"/>
                <w:szCs w:val="20"/>
                <w:color w:val="auto"/>
              </w:rPr>
            </w:pPr>
            <w:r>
              <w:rPr>
                <w:rFonts w:ascii="Verdana" w:cs="Verdana" w:eastAsia="Verdana" w:hAnsi="Verdana"/>
                <w:sz w:val="18"/>
                <w:szCs w:val="18"/>
                <w:color w:val="auto"/>
              </w:rPr>
              <w:t>21,009</w:t>
            </w:r>
          </w:p>
        </w:tc>
        <w:tc>
          <w:tcPr>
            <w:tcW w:w="0" w:type="dxa"/>
            <w:vAlign w:val="bottom"/>
          </w:tcPr>
          <w:p>
            <w:pPr>
              <w:spacing w:after="0"/>
              <w:rPr>
                <w:sz w:val="1"/>
                <w:szCs w:val="1"/>
                <w:color w:val="auto"/>
              </w:rPr>
            </w:pPr>
          </w:p>
        </w:tc>
      </w:tr>
      <w:tr>
        <w:trPr>
          <w:trHeight w:val="244"/>
        </w:trPr>
        <w:tc>
          <w:tcPr>
            <w:tcW w:w="19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w:t>
            </w:r>
          </w:p>
        </w:tc>
        <w:tc>
          <w:tcPr>
            <w:tcW w:w="20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13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440" w:type="dxa"/>
            <w:vAlign w:val="bottom"/>
            <w:shd w:val="clear" w:color="auto" w:fill="E0E7ED"/>
          </w:tcPr>
          <w:p>
            <w:pPr>
              <w:spacing w:after="0"/>
              <w:rPr>
                <w:sz w:val="21"/>
                <w:szCs w:val="21"/>
                <w:color w:val="auto"/>
              </w:rPr>
            </w:pPr>
          </w:p>
        </w:tc>
        <w:tc>
          <w:tcPr>
            <w:tcW w:w="102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9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estate</w:t>
            </w:r>
          </w:p>
        </w:tc>
        <w:tc>
          <w:tcPr>
            <w:tcW w:w="200" w:type="dxa"/>
            <w:vAlign w:val="bottom"/>
            <w:shd w:val="clear" w:color="auto" w:fill="E0E7ED"/>
          </w:tcPr>
          <w:p>
            <w:pPr>
              <w:spacing w:after="0"/>
              <w:rPr>
                <w:sz w:val="21"/>
                <w:szCs w:val="21"/>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3,355,315</w:t>
            </w:r>
          </w:p>
        </w:tc>
        <w:tc>
          <w:tcPr>
            <w:tcW w:w="10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130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492</w:t>
            </w: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20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3,355,807</w:t>
            </w:r>
          </w:p>
        </w:tc>
        <w:tc>
          <w:tcPr>
            <w:tcW w:w="8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33,735</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36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440" w:type="dxa"/>
            <w:vAlign w:val="bottom"/>
            <w:shd w:val="clear" w:color="auto" w:fill="E0E7ED"/>
          </w:tcPr>
          <w:p>
            <w:pPr>
              <w:spacing w:after="0"/>
              <w:rPr>
                <w:sz w:val="21"/>
                <w:szCs w:val="21"/>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33,735</w:t>
            </w:r>
          </w:p>
        </w:tc>
        <w:tc>
          <w:tcPr>
            <w:tcW w:w="0" w:type="dxa"/>
            <w:vAlign w:val="bottom"/>
          </w:tcPr>
          <w:p>
            <w:pPr>
              <w:spacing w:after="0"/>
              <w:rPr>
                <w:sz w:val="1"/>
                <w:szCs w:val="1"/>
                <w:color w:val="auto"/>
              </w:rPr>
            </w:pPr>
          </w:p>
        </w:tc>
      </w:tr>
      <w:tr>
        <w:trPr>
          <w:trHeight w:val="238"/>
        </w:trPr>
        <w:tc>
          <w:tcPr>
            <w:tcW w:w="1940" w:type="dxa"/>
            <w:vAlign w:val="bottom"/>
          </w:tcPr>
          <w:p>
            <w:pPr>
              <w:ind w:left="180"/>
              <w:spacing w:after="0"/>
              <w:rPr>
                <w:sz w:val="20"/>
                <w:szCs w:val="20"/>
                <w:color w:val="auto"/>
              </w:rPr>
            </w:pPr>
            <w:r>
              <w:rPr>
                <w:rFonts w:ascii="Verdana" w:cs="Verdana" w:eastAsia="Verdana" w:hAnsi="Verdana"/>
                <w:sz w:val="18"/>
                <w:szCs w:val="18"/>
                <w:color w:val="auto"/>
              </w:rPr>
              <w:t>Real estate</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940" w:type="dxa"/>
            <w:vAlign w:val="bottom"/>
          </w:tcPr>
          <w:p>
            <w:pPr>
              <w:ind w:left="180"/>
              <w:spacing w:after="0"/>
              <w:rPr>
                <w:sz w:val="20"/>
                <w:szCs w:val="20"/>
                <w:color w:val="auto"/>
              </w:rPr>
            </w:pPr>
            <w:r>
              <w:rPr>
                <w:rFonts w:ascii="Verdana" w:cs="Verdana" w:eastAsia="Verdana" w:hAnsi="Verdana"/>
                <w:sz w:val="18"/>
                <w:szCs w:val="18"/>
                <w:color w:val="auto"/>
              </w:rPr>
              <w:t>construction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397,977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Verdana" w:cs="Verdana" w:eastAsia="Verdana" w:hAnsi="Verdana"/>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Verdana" w:cs="Verdana" w:eastAsia="Verdana" w:hAnsi="Verdana"/>
                <w:sz w:val="18"/>
                <w:szCs w:val="18"/>
                <w:color w:val="auto"/>
              </w:rPr>
              <w:t>397,977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3,771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4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Verdana" w:cs="Verdana" w:eastAsia="Verdana" w:hAnsi="Verdana"/>
                <w:sz w:val="18"/>
                <w:szCs w:val="18"/>
                <w:color w:val="auto"/>
              </w:rPr>
              <w:t>3,771</w:t>
            </w:r>
          </w:p>
        </w:tc>
        <w:tc>
          <w:tcPr>
            <w:tcW w:w="0" w:type="dxa"/>
            <w:vAlign w:val="bottom"/>
          </w:tcPr>
          <w:p>
            <w:pPr>
              <w:spacing w:after="0"/>
              <w:rPr>
                <w:sz w:val="1"/>
                <w:szCs w:val="1"/>
                <w:color w:val="auto"/>
              </w:rPr>
            </w:pPr>
          </w:p>
        </w:tc>
      </w:tr>
      <w:tr>
        <w:trPr>
          <w:trHeight w:val="224"/>
        </w:trPr>
        <w:tc>
          <w:tcPr>
            <w:tcW w:w="19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Commercial loans</w:t>
            </w:r>
          </w:p>
        </w:tc>
        <w:tc>
          <w:tcPr>
            <w:tcW w:w="200" w:type="dxa"/>
            <w:vAlign w:val="bottom"/>
            <w:tcBorders>
              <w:top w:val="single" w:sz="8" w:color="auto"/>
            </w:tcBorders>
            <w:shd w:val="clear" w:color="auto" w:fill="E0E7ED"/>
          </w:tcPr>
          <w:p>
            <w:pPr>
              <w:spacing w:after="0"/>
              <w:rPr>
                <w:sz w:val="19"/>
                <w:szCs w:val="19"/>
                <w:color w:val="auto"/>
              </w:rPr>
            </w:pPr>
          </w:p>
        </w:tc>
        <w:tc>
          <w:tcPr>
            <w:tcW w:w="12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160" w:type="dxa"/>
            <w:vAlign w:val="bottom"/>
            <w:tcBorders>
              <w:top w:val="single" w:sz="8" w:color="auto"/>
            </w:tcBorders>
            <w:shd w:val="clear" w:color="auto" w:fill="E0E7ED"/>
          </w:tcPr>
          <w:p>
            <w:pPr>
              <w:spacing w:after="0"/>
              <w:rPr>
                <w:sz w:val="19"/>
                <w:szCs w:val="19"/>
                <w:color w:val="auto"/>
              </w:rPr>
            </w:pPr>
          </w:p>
        </w:tc>
        <w:tc>
          <w:tcPr>
            <w:tcW w:w="13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80" w:type="dxa"/>
            <w:vAlign w:val="bottom"/>
            <w:tcBorders>
              <w:top w:val="single" w:sz="8" w:color="auto"/>
            </w:tcBorders>
            <w:shd w:val="clear" w:color="auto" w:fill="E0E7ED"/>
          </w:tcPr>
          <w:p>
            <w:pPr>
              <w:spacing w:after="0"/>
              <w:rPr>
                <w:sz w:val="19"/>
                <w:szCs w:val="19"/>
                <w:color w:val="auto"/>
              </w:rPr>
            </w:pPr>
          </w:p>
        </w:tc>
        <w:tc>
          <w:tcPr>
            <w:tcW w:w="120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00" w:type="dxa"/>
            <w:vAlign w:val="bottom"/>
            <w:tcBorders>
              <w:top w:val="single" w:sz="8" w:color="auto"/>
            </w:tcBorders>
            <w:shd w:val="clear" w:color="auto" w:fill="E0E7ED"/>
          </w:tcPr>
          <w:p>
            <w:pPr>
              <w:spacing w:after="0"/>
              <w:rPr>
                <w:sz w:val="19"/>
                <w:szCs w:val="19"/>
                <w:color w:val="auto"/>
              </w:rPr>
            </w:pPr>
          </w:p>
        </w:tc>
        <w:tc>
          <w:tcPr>
            <w:tcW w:w="12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00" w:type="dxa"/>
            <w:vAlign w:val="bottom"/>
            <w:tcBorders>
              <w:top w:val="single" w:sz="8" w:color="auto"/>
            </w:tcBorders>
            <w:shd w:val="clear" w:color="auto" w:fill="E0E7ED"/>
          </w:tcPr>
          <w:p>
            <w:pPr>
              <w:spacing w:after="0"/>
              <w:rPr>
                <w:sz w:val="19"/>
                <w:szCs w:val="19"/>
                <w:color w:val="auto"/>
              </w:rPr>
            </w:pPr>
          </w:p>
        </w:tc>
        <w:tc>
          <w:tcPr>
            <w:tcW w:w="126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440" w:type="dxa"/>
            <w:vAlign w:val="bottom"/>
            <w:tcBorders>
              <w:top w:val="single" w:sz="8" w:color="auto"/>
            </w:tcBorders>
            <w:shd w:val="clear" w:color="auto" w:fill="E0E7ED"/>
          </w:tcPr>
          <w:p>
            <w:pPr>
              <w:spacing w:after="0"/>
              <w:rPr>
                <w:sz w:val="19"/>
                <w:szCs w:val="19"/>
                <w:color w:val="auto"/>
              </w:rPr>
            </w:pPr>
          </w:p>
        </w:tc>
        <w:tc>
          <w:tcPr>
            <w:tcW w:w="102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9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and related ACL</w:t>
            </w:r>
          </w:p>
        </w:tc>
        <w:tc>
          <w:tcPr>
            <w:tcW w:w="200" w:type="dxa"/>
            <w:vAlign w:val="bottom"/>
            <w:tcBorders>
              <w:bottom w:val="single" w:sz="8" w:color="auto"/>
            </w:tcBorders>
            <w:shd w:val="clear" w:color="auto" w:fill="E0E7ED"/>
          </w:tcPr>
          <w:p>
            <w:pPr>
              <w:spacing w:after="0"/>
              <w:rPr>
                <w:sz w:val="21"/>
                <w:szCs w:val="21"/>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5,626,552</w:t>
            </w:r>
          </w:p>
        </w:tc>
        <w:tc>
          <w:tcPr>
            <w:tcW w:w="100" w:type="dxa"/>
            <w:vAlign w:val="bottom"/>
            <w:shd w:val="clear" w:color="auto" w:fill="E0E7ED"/>
          </w:tcPr>
          <w:p>
            <w:pPr>
              <w:spacing w:after="0"/>
              <w:rPr>
                <w:sz w:val="21"/>
                <w:szCs w:val="21"/>
                <w:color w:val="auto"/>
              </w:rPr>
            </w:pPr>
          </w:p>
        </w:tc>
        <w:tc>
          <w:tcPr>
            <w:tcW w:w="160" w:type="dxa"/>
            <w:vAlign w:val="bottom"/>
            <w:tcBorders>
              <w:bottom w:val="single" w:sz="8" w:color="auto"/>
            </w:tcBorders>
            <w:shd w:val="clear" w:color="auto" w:fill="E0E7ED"/>
          </w:tcPr>
          <w:p>
            <w:pPr>
              <w:spacing w:after="0"/>
              <w:rPr>
                <w:sz w:val="21"/>
                <w:szCs w:val="21"/>
                <w:color w:val="auto"/>
              </w:rPr>
            </w:pPr>
          </w:p>
        </w:tc>
        <w:tc>
          <w:tcPr>
            <w:tcW w:w="1300" w:type="dxa"/>
            <w:vAlign w:val="bottom"/>
            <w:tcBorders>
              <w:bottom w:val="single" w:sz="8" w:color="auto"/>
            </w:tcBorders>
            <w:shd w:val="clear" w:color="auto" w:fill="E0E7ED"/>
          </w:tcPr>
          <w:p>
            <w:pPr>
              <w:jc w:val="right"/>
              <w:ind w:right="19"/>
              <w:spacing w:after="0"/>
              <w:rPr>
                <w:sz w:val="20"/>
                <w:szCs w:val="20"/>
                <w:color w:val="auto"/>
              </w:rPr>
            </w:pPr>
            <w:r>
              <w:rPr>
                <w:rFonts w:ascii="Verdana" w:cs="Verdana" w:eastAsia="Verdana" w:hAnsi="Verdana"/>
                <w:sz w:val="18"/>
                <w:szCs w:val="18"/>
                <w:color w:val="auto"/>
              </w:rPr>
              <w:t>4,729</w:t>
            </w:r>
          </w:p>
        </w:tc>
        <w:tc>
          <w:tcPr>
            <w:tcW w:w="100" w:type="dxa"/>
            <w:vAlign w:val="bottom"/>
            <w:shd w:val="clear" w:color="auto" w:fill="E0E7ED"/>
          </w:tcPr>
          <w:p>
            <w:pPr>
              <w:spacing w:after="0"/>
              <w:rPr>
                <w:sz w:val="21"/>
                <w:szCs w:val="21"/>
                <w:color w:val="auto"/>
              </w:rPr>
            </w:pPr>
          </w:p>
        </w:tc>
        <w:tc>
          <w:tcPr>
            <w:tcW w:w="280" w:type="dxa"/>
            <w:vAlign w:val="bottom"/>
            <w:tcBorders>
              <w:bottom w:val="single" w:sz="8" w:color="auto"/>
            </w:tcBorders>
            <w:shd w:val="clear" w:color="auto" w:fill="E0E7ED"/>
          </w:tcPr>
          <w:p>
            <w:pPr>
              <w:spacing w:after="0"/>
              <w:rPr>
                <w:sz w:val="21"/>
                <w:szCs w:val="21"/>
                <w:color w:val="auto"/>
              </w:rPr>
            </w:pPr>
          </w:p>
        </w:tc>
        <w:tc>
          <w:tcPr>
            <w:tcW w:w="120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5,631,281</w:t>
            </w:r>
          </w:p>
        </w:tc>
        <w:tc>
          <w:tcPr>
            <w:tcW w:w="80" w:type="dxa"/>
            <w:vAlign w:val="bottom"/>
            <w:shd w:val="clear" w:color="auto" w:fill="E0E7ED"/>
          </w:tcPr>
          <w:p>
            <w:pPr>
              <w:spacing w:after="0"/>
              <w:rPr>
                <w:sz w:val="21"/>
                <w:szCs w:val="21"/>
                <w:color w:val="auto"/>
              </w:rPr>
            </w:pPr>
          </w:p>
        </w:tc>
        <w:tc>
          <w:tcPr>
            <w:tcW w:w="200" w:type="dxa"/>
            <w:vAlign w:val="bottom"/>
            <w:tcBorders>
              <w:bottom w:val="single" w:sz="8" w:color="auto"/>
            </w:tcBorders>
            <w:shd w:val="clear" w:color="auto" w:fill="E0E7ED"/>
          </w:tcPr>
          <w:p>
            <w:pPr>
              <w:spacing w:after="0"/>
              <w:rPr>
                <w:sz w:val="21"/>
                <w:szCs w:val="21"/>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56,652</w:t>
            </w:r>
          </w:p>
        </w:tc>
        <w:tc>
          <w:tcPr>
            <w:tcW w:w="100" w:type="dxa"/>
            <w:vAlign w:val="bottom"/>
            <w:shd w:val="clear" w:color="auto" w:fill="E0E7ED"/>
          </w:tcPr>
          <w:p>
            <w:pPr>
              <w:spacing w:after="0"/>
              <w:rPr>
                <w:sz w:val="21"/>
                <w:szCs w:val="21"/>
                <w:color w:val="auto"/>
              </w:rPr>
            </w:pPr>
          </w:p>
        </w:tc>
        <w:tc>
          <w:tcPr>
            <w:tcW w:w="200" w:type="dxa"/>
            <w:vAlign w:val="bottom"/>
            <w:tcBorders>
              <w:bottom w:val="single" w:sz="8" w:color="auto"/>
            </w:tcBorders>
            <w:shd w:val="clear" w:color="auto" w:fill="E0E7ED"/>
          </w:tcPr>
          <w:p>
            <w:pPr>
              <w:spacing w:after="0"/>
              <w:rPr>
                <w:sz w:val="21"/>
                <w:szCs w:val="21"/>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1,863</w:t>
            </w:r>
          </w:p>
        </w:tc>
        <w:tc>
          <w:tcPr>
            <w:tcW w:w="100" w:type="dxa"/>
            <w:vAlign w:val="bottom"/>
            <w:shd w:val="clear" w:color="auto" w:fill="E0E7ED"/>
          </w:tcPr>
          <w:p>
            <w:pPr>
              <w:spacing w:after="0"/>
              <w:rPr>
                <w:sz w:val="21"/>
                <w:szCs w:val="21"/>
                <w:color w:val="auto"/>
              </w:rPr>
            </w:pPr>
          </w:p>
        </w:tc>
        <w:tc>
          <w:tcPr>
            <w:tcW w:w="440" w:type="dxa"/>
            <w:vAlign w:val="bottom"/>
            <w:tcBorders>
              <w:bottom w:val="single" w:sz="8" w:color="auto"/>
            </w:tcBorders>
            <w:shd w:val="clear" w:color="auto" w:fill="E0E7ED"/>
          </w:tcPr>
          <w:p>
            <w:pPr>
              <w:spacing w:after="0"/>
              <w:rPr>
                <w:sz w:val="21"/>
                <w:szCs w:val="21"/>
                <w:color w:val="auto"/>
              </w:rPr>
            </w:pPr>
          </w:p>
        </w:tc>
        <w:tc>
          <w:tcPr>
            <w:tcW w:w="10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58,515</w:t>
            </w:r>
          </w:p>
        </w:tc>
        <w:tc>
          <w:tcPr>
            <w:tcW w:w="0" w:type="dxa"/>
            <w:vAlign w:val="bottom"/>
          </w:tcPr>
          <w:p>
            <w:pPr>
              <w:spacing w:after="0"/>
              <w:rPr>
                <w:sz w:val="1"/>
                <w:szCs w:val="1"/>
                <w:color w:val="auto"/>
              </w:rPr>
            </w:pPr>
          </w:p>
        </w:tc>
      </w:tr>
      <w:tr>
        <w:trPr>
          <w:trHeight w:val="243"/>
        </w:trPr>
        <w:tc>
          <w:tcPr>
            <w:tcW w:w="1940" w:type="dxa"/>
            <w:vAlign w:val="bottom"/>
          </w:tcPr>
          <w:p>
            <w:pPr>
              <w:ind w:left="20"/>
              <w:spacing w:after="0"/>
              <w:rPr>
                <w:sz w:val="20"/>
                <w:szCs w:val="20"/>
                <w:color w:val="auto"/>
              </w:rPr>
            </w:pPr>
            <w:r>
              <w:rPr>
                <w:rFonts w:ascii="Verdana" w:cs="Verdana" w:eastAsia="Verdana" w:hAnsi="Verdana"/>
                <w:sz w:val="18"/>
                <w:szCs w:val="18"/>
                <w:b w:val="1"/>
                <w:bCs w:val="1"/>
                <w:color w:val="auto"/>
              </w:rPr>
              <w:t>Retail loans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9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20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1,708,771</w:t>
            </w:r>
          </w:p>
        </w:tc>
        <w:tc>
          <w:tcPr>
            <w:tcW w:w="10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1400" w:type="dxa"/>
            <w:vAlign w:val="bottom"/>
            <w:gridSpan w:val="2"/>
            <w:shd w:val="clear" w:color="auto" w:fill="E0E7ED"/>
          </w:tcPr>
          <w:p>
            <w:pPr>
              <w:jc w:val="right"/>
              <w:ind w:right="200"/>
              <w:spacing w:after="0"/>
              <w:rPr>
                <w:sz w:val="20"/>
                <w:szCs w:val="20"/>
                <w:color w:val="auto"/>
              </w:rPr>
            </w:pPr>
            <w:r>
              <w:rPr>
                <w:rFonts w:ascii="Verdana" w:cs="Verdana" w:eastAsia="Verdana" w:hAnsi="Verdana"/>
                <w:sz w:val="18"/>
                <w:szCs w:val="18"/>
                <w:color w:val="auto"/>
              </w:rPr>
              <w:t>—</w:t>
            </w:r>
          </w:p>
        </w:tc>
        <w:tc>
          <w:tcPr>
            <w:tcW w:w="280" w:type="dxa"/>
            <w:vAlign w:val="bottom"/>
            <w:shd w:val="clear" w:color="auto" w:fill="E0E7ED"/>
          </w:tcPr>
          <w:p>
            <w:pPr>
              <w:spacing w:after="0"/>
              <w:rPr>
                <w:sz w:val="24"/>
                <w:szCs w:val="24"/>
                <w:color w:val="auto"/>
              </w:rPr>
            </w:pPr>
          </w:p>
        </w:tc>
        <w:tc>
          <w:tcPr>
            <w:tcW w:w="120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1,708,771</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23,979</w:t>
            </w: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6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440" w:type="dxa"/>
            <w:vAlign w:val="bottom"/>
            <w:shd w:val="clear" w:color="auto" w:fill="E0E7ED"/>
          </w:tcPr>
          <w:p>
            <w:pPr>
              <w:spacing w:after="0"/>
              <w:rPr>
                <w:sz w:val="24"/>
                <w:szCs w:val="24"/>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23,979</w:t>
            </w:r>
          </w:p>
        </w:tc>
        <w:tc>
          <w:tcPr>
            <w:tcW w:w="0" w:type="dxa"/>
            <w:vAlign w:val="bottom"/>
          </w:tcPr>
          <w:p>
            <w:pPr>
              <w:spacing w:after="0"/>
              <w:rPr>
                <w:sz w:val="1"/>
                <w:szCs w:val="1"/>
                <w:color w:val="auto"/>
              </w:rPr>
            </w:pPr>
          </w:p>
        </w:tc>
      </w:tr>
      <w:tr>
        <w:trPr>
          <w:trHeight w:val="263"/>
        </w:trPr>
        <w:tc>
          <w:tcPr>
            <w:tcW w:w="1940" w:type="dxa"/>
            <w:vAlign w:val="bottom"/>
          </w:tcPr>
          <w:p>
            <w:pPr>
              <w:ind w:left="180"/>
              <w:spacing w:after="0"/>
              <w:rPr>
                <w:sz w:val="20"/>
                <w:szCs w:val="20"/>
                <w:color w:val="auto"/>
              </w:rPr>
            </w:pPr>
            <w:r>
              <w:rPr>
                <w:rFonts w:ascii="Verdana" w:cs="Verdana" w:eastAsia="Verdana" w:hAnsi="Verdana"/>
                <w:sz w:val="18"/>
                <w:szCs w:val="18"/>
                <w:color w:val="auto"/>
              </w:rPr>
              <w:t>Retail other</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469,045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Verdana" w:cs="Verdana" w:eastAsia="Verdana" w:hAnsi="Verdana"/>
                <w:sz w:val="18"/>
                <w:szCs w:val="18"/>
                <w:color w:val="auto"/>
              </w:rPr>
              <w:t>—</w:t>
            </w:r>
          </w:p>
        </w:tc>
        <w:tc>
          <w:tcPr>
            <w:tcW w:w="2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Verdana" w:cs="Verdana" w:eastAsia="Verdana" w:hAnsi="Verdana"/>
                <w:sz w:val="18"/>
                <w:szCs w:val="18"/>
                <w:color w:val="auto"/>
              </w:rPr>
              <w:t>469,045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2,487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440" w:type="dxa"/>
            <w:vAlign w:val="bottom"/>
          </w:tcPr>
          <w:p>
            <w:pPr>
              <w:spacing w:after="0"/>
              <w:rPr>
                <w:sz w:val="22"/>
                <w:szCs w:val="22"/>
                <w:color w:val="auto"/>
              </w:rPr>
            </w:pPr>
          </w:p>
        </w:tc>
        <w:tc>
          <w:tcPr>
            <w:tcW w:w="1020" w:type="dxa"/>
            <w:vAlign w:val="bottom"/>
          </w:tcPr>
          <w:p>
            <w:pPr>
              <w:jc w:val="right"/>
              <w:ind w:right="13"/>
              <w:spacing w:after="0"/>
              <w:rPr>
                <w:sz w:val="20"/>
                <w:szCs w:val="20"/>
                <w:color w:val="auto"/>
              </w:rPr>
            </w:pPr>
            <w:r>
              <w:rPr>
                <w:rFonts w:ascii="Verdana" w:cs="Verdana" w:eastAsia="Verdana" w:hAnsi="Verdana"/>
                <w:sz w:val="18"/>
                <w:szCs w:val="18"/>
                <w:color w:val="auto"/>
              </w:rPr>
              <w:t>2,487</w:t>
            </w:r>
          </w:p>
        </w:tc>
        <w:tc>
          <w:tcPr>
            <w:tcW w:w="0" w:type="dxa"/>
            <w:vAlign w:val="bottom"/>
          </w:tcPr>
          <w:p>
            <w:pPr>
              <w:spacing w:after="0"/>
              <w:rPr>
                <w:sz w:val="1"/>
                <w:szCs w:val="1"/>
                <w:color w:val="auto"/>
              </w:rPr>
            </w:pPr>
          </w:p>
        </w:tc>
      </w:tr>
      <w:tr>
        <w:trPr>
          <w:trHeight w:val="224"/>
        </w:trPr>
        <w:tc>
          <w:tcPr>
            <w:tcW w:w="19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Retail loans and</w:t>
            </w:r>
          </w:p>
        </w:tc>
        <w:tc>
          <w:tcPr>
            <w:tcW w:w="200" w:type="dxa"/>
            <w:vAlign w:val="bottom"/>
            <w:tcBorders>
              <w:top w:val="single" w:sz="8" w:color="auto"/>
            </w:tcBorders>
            <w:shd w:val="clear" w:color="auto" w:fill="E0E7ED"/>
          </w:tcPr>
          <w:p>
            <w:pPr>
              <w:spacing w:after="0"/>
              <w:rPr>
                <w:sz w:val="19"/>
                <w:szCs w:val="19"/>
                <w:color w:val="auto"/>
              </w:rPr>
            </w:pPr>
          </w:p>
        </w:tc>
        <w:tc>
          <w:tcPr>
            <w:tcW w:w="12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160" w:type="dxa"/>
            <w:vAlign w:val="bottom"/>
            <w:tcBorders>
              <w:top w:val="single" w:sz="8" w:color="auto"/>
            </w:tcBorders>
            <w:shd w:val="clear" w:color="auto" w:fill="E0E7ED"/>
          </w:tcPr>
          <w:p>
            <w:pPr>
              <w:spacing w:after="0"/>
              <w:rPr>
                <w:sz w:val="19"/>
                <w:szCs w:val="19"/>
                <w:color w:val="auto"/>
              </w:rPr>
            </w:pPr>
          </w:p>
        </w:tc>
        <w:tc>
          <w:tcPr>
            <w:tcW w:w="13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80" w:type="dxa"/>
            <w:vAlign w:val="bottom"/>
            <w:tcBorders>
              <w:top w:val="single" w:sz="8" w:color="auto"/>
            </w:tcBorders>
            <w:shd w:val="clear" w:color="auto" w:fill="E0E7ED"/>
          </w:tcPr>
          <w:p>
            <w:pPr>
              <w:spacing w:after="0"/>
              <w:rPr>
                <w:sz w:val="19"/>
                <w:szCs w:val="19"/>
                <w:color w:val="auto"/>
              </w:rPr>
            </w:pPr>
          </w:p>
        </w:tc>
        <w:tc>
          <w:tcPr>
            <w:tcW w:w="120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00" w:type="dxa"/>
            <w:vAlign w:val="bottom"/>
            <w:tcBorders>
              <w:top w:val="single" w:sz="8" w:color="auto"/>
            </w:tcBorders>
            <w:shd w:val="clear" w:color="auto" w:fill="E0E7ED"/>
          </w:tcPr>
          <w:p>
            <w:pPr>
              <w:spacing w:after="0"/>
              <w:rPr>
                <w:sz w:val="19"/>
                <w:szCs w:val="19"/>
                <w:color w:val="auto"/>
              </w:rPr>
            </w:pPr>
          </w:p>
        </w:tc>
        <w:tc>
          <w:tcPr>
            <w:tcW w:w="12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00" w:type="dxa"/>
            <w:vAlign w:val="bottom"/>
            <w:tcBorders>
              <w:top w:val="single" w:sz="8" w:color="auto"/>
            </w:tcBorders>
            <w:shd w:val="clear" w:color="auto" w:fill="E0E7ED"/>
          </w:tcPr>
          <w:p>
            <w:pPr>
              <w:spacing w:after="0"/>
              <w:rPr>
                <w:sz w:val="19"/>
                <w:szCs w:val="19"/>
                <w:color w:val="auto"/>
              </w:rPr>
            </w:pPr>
          </w:p>
        </w:tc>
        <w:tc>
          <w:tcPr>
            <w:tcW w:w="126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440" w:type="dxa"/>
            <w:vAlign w:val="bottom"/>
            <w:tcBorders>
              <w:top w:val="single" w:sz="8" w:color="auto"/>
            </w:tcBorders>
            <w:shd w:val="clear" w:color="auto" w:fill="E0E7ED"/>
          </w:tcPr>
          <w:p>
            <w:pPr>
              <w:spacing w:after="0"/>
              <w:rPr>
                <w:sz w:val="19"/>
                <w:szCs w:val="19"/>
                <w:color w:val="auto"/>
              </w:rPr>
            </w:pPr>
          </w:p>
        </w:tc>
        <w:tc>
          <w:tcPr>
            <w:tcW w:w="102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9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related ACL</w:t>
            </w:r>
          </w:p>
        </w:tc>
        <w:tc>
          <w:tcPr>
            <w:tcW w:w="200" w:type="dxa"/>
            <w:vAlign w:val="bottom"/>
            <w:shd w:val="clear" w:color="auto" w:fill="E0E7ED"/>
          </w:tcPr>
          <w:p>
            <w:pPr>
              <w:spacing w:after="0"/>
              <w:rPr>
                <w:sz w:val="21"/>
                <w:szCs w:val="21"/>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2,177,816</w:t>
            </w:r>
          </w:p>
        </w:tc>
        <w:tc>
          <w:tcPr>
            <w:tcW w:w="10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1400" w:type="dxa"/>
            <w:vAlign w:val="bottom"/>
            <w:gridSpan w:val="2"/>
            <w:shd w:val="clear" w:color="auto" w:fill="E0E7ED"/>
          </w:tcPr>
          <w:p>
            <w:pPr>
              <w:jc w:val="right"/>
              <w:ind w:right="200"/>
              <w:spacing w:after="0"/>
              <w:rPr>
                <w:sz w:val="20"/>
                <w:szCs w:val="20"/>
                <w:color w:val="auto"/>
              </w:rPr>
            </w:pPr>
            <w:r>
              <w:rPr>
                <w:rFonts w:ascii="Verdana" w:cs="Verdana" w:eastAsia="Verdana" w:hAnsi="Verdana"/>
                <w:sz w:val="18"/>
                <w:szCs w:val="18"/>
                <w:color w:val="auto"/>
              </w:rPr>
              <w:t>—</w:t>
            </w:r>
          </w:p>
        </w:tc>
        <w:tc>
          <w:tcPr>
            <w:tcW w:w="280" w:type="dxa"/>
            <w:vAlign w:val="bottom"/>
            <w:shd w:val="clear" w:color="auto" w:fill="E0E7ED"/>
          </w:tcPr>
          <w:p>
            <w:pPr>
              <w:spacing w:after="0"/>
              <w:rPr>
                <w:sz w:val="21"/>
                <w:szCs w:val="21"/>
                <w:color w:val="auto"/>
              </w:rPr>
            </w:pPr>
          </w:p>
        </w:tc>
        <w:tc>
          <w:tcPr>
            <w:tcW w:w="120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2,177,816</w:t>
            </w:r>
          </w:p>
        </w:tc>
        <w:tc>
          <w:tcPr>
            <w:tcW w:w="8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26,466</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36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440" w:type="dxa"/>
            <w:vAlign w:val="bottom"/>
            <w:shd w:val="clear" w:color="auto" w:fill="E0E7ED"/>
          </w:tcPr>
          <w:p>
            <w:pPr>
              <w:spacing w:after="0"/>
              <w:rPr>
                <w:sz w:val="21"/>
                <w:szCs w:val="21"/>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26,466</w:t>
            </w:r>
          </w:p>
        </w:tc>
        <w:tc>
          <w:tcPr>
            <w:tcW w:w="0" w:type="dxa"/>
            <w:vAlign w:val="bottom"/>
          </w:tcPr>
          <w:p>
            <w:pPr>
              <w:spacing w:after="0"/>
              <w:rPr>
                <w:sz w:val="1"/>
                <w:szCs w:val="1"/>
                <w:color w:val="auto"/>
              </w:rPr>
            </w:pPr>
          </w:p>
        </w:tc>
      </w:tr>
      <w:tr>
        <w:trPr>
          <w:trHeight w:val="218"/>
        </w:trPr>
        <w:tc>
          <w:tcPr>
            <w:tcW w:w="1940" w:type="dxa"/>
            <w:vAlign w:val="bottom"/>
          </w:tcPr>
          <w:p>
            <w:pPr>
              <w:ind w:left="20"/>
              <w:spacing w:after="0" w:line="217" w:lineRule="exact"/>
              <w:rPr>
                <w:sz w:val="20"/>
                <w:szCs w:val="20"/>
                <w:color w:val="auto"/>
              </w:rPr>
            </w:pPr>
            <w:r>
              <w:rPr>
                <w:rFonts w:ascii="Verdana" w:cs="Verdana" w:eastAsia="Verdana" w:hAnsi="Verdana"/>
                <w:sz w:val="18"/>
                <w:szCs w:val="18"/>
                <w:color w:val="auto"/>
              </w:rPr>
              <w:t>Portfolio loans and</w:t>
            </w:r>
          </w:p>
        </w:tc>
        <w:tc>
          <w:tcPr>
            <w:tcW w:w="200" w:type="dxa"/>
            <w:vAlign w:val="bottom"/>
            <w:tcBorders>
              <w:top w:val="single" w:sz="8" w:color="auto"/>
            </w:tcBorders>
            <w:vMerge w:val="restart"/>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Borders>
              <w:top w:val="single" w:sz="8" w:color="auto"/>
            </w:tcBorders>
            <w:vMerge w:val="restart"/>
          </w:tcPr>
          <w:p>
            <w:pPr>
              <w:jc w:val="right"/>
              <w:spacing w:after="0"/>
              <w:rPr>
                <w:sz w:val="20"/>
                <w:szCs w:val="20"/>
                <w:color w:val="auto"/>
              </w:rPr>
            </w:pPr>
            <w:r>
              <w:rPr>
                <w:rFonts w:ascii="Verdana" w:cs="Verdana" w:eastAsia="Verdana" w:hAnsi="Verdana"/>
                <w:sz w:val="18"/>
                <w:szCs w:val="18"/>
                <w:color w:val="auto"/>
              </w:rPr>
              <w:t>7,804,368</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Verdana" w:cs="Verdana" w:eastAsia="Verdana" w:hAnsi="Verdana"/>
                <w:sz w:val="18"/>
                <w:szCs w:val="18"/>
                <w:color w:val="auto"/>
              </w:rPr>
              <w:t>$</w:t>
            </w:r>
          </w:p>
        </w:tc>
        <w:tc>
          <w:tcPr>
            <w:tcW w:w="1300" w:type="dxa"/>
            <w:vAlign w:val="bottom"/>
            <w:tcBorders>
              <w:top w:val="single" w:sz="8" w:color="auto"/>
            </w:tcBorders>
            <w:vMerge w:val="restart"/>
          </w:tcPr>
          <w:p>
            <w:pPr>
              <w:jc w:val="right"/>
              <w:ind w:right="19"/>
              <w:spacing w:after="0"/>
              <w:rPr>
                <w:sz w:val="20"/>
                <w:szCs w:val="20"/>
                <w:color w:val="auto"/>
              </w:rPr>
            </w:pPr>
            <w:r>
              <w:rPr>
                <w:rFonts w:ascii="Verdana" w:cs="Verdana" w:eastAsia="Verdana" w:hAnsi="Verdana"/>
                <w:sz w:val="18"/>
                <w:szCs w:val="18"/>
                <w:color w:val="auto"/>
              </w:rPr>
              <w:t>4,729</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Verdana" w:cs="Verdana" w:eastAsia="Verdana" w:hAnsi="Verdana"/>
                <w:sz w:val="18"/>
                <w:szCs w:val="18"/>
                <w:color w:val="auto"/>
                <w:w w:val="86"/>
              </w:rPr>
              <w:t>$</w:t>
            </w:r>
          </w:p>
        </w:tc>
        <w:tc>
          <w:tcPr>
            <w:tcW w:w="1200" w:type="dxa"/>
            <w:vAlign w:val="bottom"/>
            <w:tcBorders>
              <w:top w:val="single" w:sz="8" w:color="auto"/>
            </w:tcBorders>
            <w:vMerge w:val="restart"/>
          </w:tcPr>
          <w:p>
            <w:pPr>
              <w:jc w:val="right"/>
              <w:ind w:right="15"/>
              <w:spacing w:after="0"/>
              <w:rPr>
                <w:sz w:val="20"/>
                <w:szCs w:val="20"/>
                <w:color w:val="auto"/>
              </w:rPr>
            </w:pPr>
            <w:r>
              <w:rPr>
                <w:rFonts w:ascii="Verdana" w:cs="Verdana" w:eastAsia="Verdana" w:hAnsi="Verdana"/>
                <w:sz w:val="18"/>
                <w:szCs w:val="18"/>
                <w:color w:val="auto"/>
              </w:rPr>
              <w:t>7,809,097</w:t>
            </w:r>
          </w:p>
        </w:tc>
        <w:tc>
          <w:tcPr>
            <w:tcW w:w="8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Borders>
              <w:top w:val="single" w:sz="8" w:color="auto"/>
            </w:tcBorders>
            <w:vMerge w:val="restart"/>
          </w:tcPr>
          <w:p>
            <w:pPr>
              <w:jc w:val="right"/>
              <w:spacing w:after="0"/>
              <w:rPr>
                <w:sz w:val="20"/>
                <w:szCs w:val="20"/>
                <w:color w:val="auto"/>
              </w:rPr>
            </w:pPr>
            <w:r>
              <w:rPr>
                <w:rFonts w:ascii="Verdana" w:cs="Verdana" w:eastAsia="Verdana" w:hAnsi="Verdana"/>
                <w:sz w:val="18"/>
                <w:szCs w:val="18"/>
                <w:color w:val="auto"/>
              </w:rPr>
              <w:t>83,118</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Verdana" w:cs="Verdana" w:eastAsia="Verdana" w:hAnsi="Verdana"/>
                <w:sz w:val="18"/>
                <w:szCs w:val="18"/>
                <w:color w:val="auto"/>
                <w:w w:val="86"/>
              </w:rPr>
              <w:t>$</w:t>
            </w:r>
          </w:p>
        </w:tc>
        <w:tc>
          <w:tcPr>
            <w:tcW w:w="1260" w:type="dxa"/>
            <w:vAlign w:val="bottom"/>
            <w:tcBorders>
              <w:top w:val="single" w:sz="8" w:color="auto"/>
            </w:tcBorders>
            <w:vMerge w:val="restart"/>
          </w:tcPr>
          <w:p>
            <w:pPr>
              <w:jc w:val="right"/>
              <w:spacing w:after="0"/>
              <w:rPr>
                <w:sz w:val="20"/>
                <w:szCs w:val="20"/>
                <w:color w:val="auto"/>
              </w:rPr>
            </w:pPr>
            <w:r>
              <w:rPr>
                <w:rFonts w:ascii="Verdana" w:cs="Verdana" w:eastAsia="Verdana" w:hAnsi="Verdana"/>
                <w:sz w:val="18"/>
                <w:szCs w:val="18"/>
                <w:color w:val="auto"/>
              </w:rPr>
              <w:t>1,863</w:t>
            </w:r>
          </w:p>
        </w:tc>
        <w:tc>
          <w:tcPr>
            <w:tcW w:w="100" w:type="dxa"/>
            <w:vAlign w:val="bottom"/>
          </w:tcPr>
          <w:p>
            <w:pPr>
              <w:spacing w:after="0"/>
              <w:rPr>
                <w:sz w:val="18"/>
                <w:szCs w:val="18"/>
                <w:color w:val="auto"/>
              </w:rPr>
            </w:pPr>
          </w:p>
        </w:tc>
        <w:tc>
          <w:tcPr>
            <w:tcW w:w="440" w:type="dxa"/>
            <w:vAlign w:val="bottom"/>
            <w:tcBorders>
              <w:top w:val="single" w:sz="8" w:color="auto"/>
            </w:tcBorders>
            <w:vMerge w:val="restart"/>
          </w:tcPr>
          <w:p>
            <w:pPr>
              <w:jc w:val="right"/>
              <w:ind w:right="210"/>
              <w:spacing w:after="0"/>
              <w:rPr>
                <w:sz w:val="20"/>
                <w:szCs w:val="20"/>
                <w:color w:val="auto"/>
              </w:rPr>
            </w:pPr>
            <w:r>
              <w:rPr>
                <w:rFonts w:ascii="Verdana" w:cs="Verdana" w:eastAsia="Verdana" w:hAnsi="Verdana"/>
                <w:sz w:val="18"/>
                <w:szCs w:val="18"/>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Verdana" w:cs="Verdana" w:eastAsia="Verdana" w:hAnsi="Verdana"/>
                <w:sz w:val="18"/>
                <w:szCs w:val="18"/>
                <w:color w:val="auto"/>
              </w:rPr>
              <w:t>84,981</w:t>
            </w:r>
          </w:p>
        </w:tc>
        <w:tc>
          <w:tcPr>
            <w:tcW w:w="0" w:type="dxa"/>
            <w:vAlign w:val="bottom"/>
          </w:tcPr>
          <w:p>
            <w:pPr>
              <w:spacing w:after="0"/>
              <w:rPr>
                <w:sz w:val="1"/>
                <w:szCs w:val="1"/>
                <w:color w:val="auto"/>
              </w:rPr>
            </w:pPr>
          </w:p>
        </w:tc>
      </w:tr>
      <w:tr>
        <w:trPr>
          <w:trHeight w:val="226"/>
        </w:trPr>
        <w:tc>
          <w:tcPr>
            <w:tcW w:w="1940" w:type="dxa"/>
            <w:vAlign w:val="bottom"/>
          </w:tcPr>
          <w:p>
            <w:pPr>
              <w:ind w:left="20"/>
              <w:spacing w:after="0"/>
              <w:rPr>
                <w:sz w:val="20"/>
                <w:szCs w:val="20"/>
                <w:color w:val="auto"/>
              </w:rPr>
            </w:pPr>
            <w:r>
              <w:rPr>
                <w:rFonts w:ascii="Verdana" w:cs="Verdana" w:eastAsia="Verdana" w:hAnsi="Verdana"/>
                <w:sz w:val="18"/>
                <w:szCs w:val="18"/>
                <w:color w:val="auto"/>
              </w:rPr>
              <w:t>related ACL</w:t>
            </w:r>
          </w:p>
        </w:tc>
        <w:tc>
          <w:tcPr>
            <w:tcW w:w="20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37" w:name="page38"/>
    <w:bookmarkEnd w:id="37"/>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5"/>
          </w:tcPr>
          <w:p>
            <w:pPr>
              <w:ind w:left="340"/>
              <w:spacing w:after="0"/>
              <w:rPr>
                <w:sz w:val="20"/>
                <w:szCs w:val="20"/>
                <w:color w:val="auto"/>
              </w:rPr>
            </w:pPr>
            <w:r>
              <w:rPr>
                <w:rFonts w:ascii="Verdana" w:cs="Verdana" w:eastAsia="Verdana" w:hAnsi="Verdana"/>
                <w:sz w:val="13"/>
                <w:szCs w:val="13"/>
                <w:b w:val="1"/>
                <w:bCs w:val="1"/>
                <w:color w:val="auto"/>
              </w:rPr>
              <w:t>As of December 31, 2023</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9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Verdana" w:cs="Verdana" w:eastAsia="Verdana" w:hAnsi="Verdana"/>
                <w:sz w:val="13"/>
                <w:szCs w:val="13"/>
                <w:b w:val="1"/>
                <w:bCs w:val="1"/>
                <w:color w:val="auto"/>
                <w:w w:val="95"/>
              </w:rPr>
              <w:t>Portfolio Loans</w:t>
            </w: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6"/>
          </w:tcPr>
          <w:p>
            <w:pPr>
              <w:jc w:val="center"/>
              <w:ind w:left="759"/>
              <w:spacing w:after="0"/>
              <w:rPr>
                <w:sz w:val="20"/>
                <w:szCs w:val="20"/>
                <w:color w:val="auto"/>
              </w:rPr>
            </w:pPr>
            <w:r>
              <w:rPr>
                <w:rFonts w:ascii="Verdana" w:cs="Verdana" w:eastAsia="Verdana" w:hAnsi="Verdana"/>
                <w:sz w:val="13"/>
                <w:szCs w:val="13"/>
                <w:b w:val="1"/>
                <w:bCs w:val="1"/>
                <w:color w:val="auto"/>
                <w:w w:val="96"/>
              </w:rPr>
              <w:t>ACL Attributed to Portfolio Loans</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2"/>
          </w:tcPr>
          <w:p>
            <w:pPr>
              <w:jc w:val="center"/>
              <w:ind w:right="300"/>
              <w:spacing w:after="0" w:line="120" w:lineRule="exact"/>
              <w:rPr>
                <w:sz w:val="20"/>
                <w:szCs w:val="20"/>
                <w:color w:val="auto"/>
              </w:rPr>
            </w:pPr>
            <w:r>
              <w:rPr>
                <w:rFonts w:ascii="Verdana" w:cs="Verdana" w:eastAsia="Verdana" w:hAnsi="Verdana"/>
                <w:sz w:val="13"/>
                <w:szCs w:val="13"/>
                <w:b w:val="1"/>
                <w:bCs w:val="1"/>
                <w:color w:val="auto"/>
                <w:w w:val="95"/>
              </w:rPr>
              <w:t>Collectively</w:t>
            </w:r>
          </w:p>
        </w:tc>
        <w:tc>
          <w:tcPr>
            <w:tcW w:w="160" w:type="dxa"/>
            <w:vAlign w:val="bottom"/>
          </w:tcPr>
          <w:p>
            <w:pPr>
              <w:spacing w:after="0"/>
              <w:rPr>
                <w:sz w:val="10"/>
                <w:szCs w:val="10"/>
                <w:color w:val="auto"/>
              </w:rPr>
            </w:pPr>
          </w:p>
        </w:tc>
        <w:tc>
          <w:tcPr>
            <w:tcW w:w="1400" w:type="dxa"/>
            <w:vAlign w:val="bottom"/>
            <w:gridSpan w:val="2"/>
          </w:tcPr>
          <w:p>
            <w:pPr>
              <w:jc w:val="center"/>
              <w:ind w:right="280"/>
              <w:spacing w:after="0" w:line="120" w:lineRule="exact"/>
              <w:rPr>
                <w:sz w:val="20"/>
                <w:szCs w:val="20"/>
                <w:color w:val="auto"/>
              </w:rPr>
            </w:pPr>
            <w:r>
              <w:rPr>
                <w:rFonts w:ascii="Verdana" w:cs="Verdana" w:eastAsia="Verdana" w:hAnsi="Verdana"/>
                <w:sz w:val="13"/>
                <w:szCs w:val="13"/>
                <w:b w:val="1"/>
                <w:bCs w:val="1"/>
                <w:color w:val="auto"/>
                <w:w w:val="96"/>
              </w:rPr>
              <w:t>Individually</w:t>
            </w: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2"/>
          </w:tcPr>
          <w:p>
            <w:pPr>
              <w:jc w:val="center"/>
              <w:ind w:right="280"/>
              <w:spacing w:after="0" w:line="120" w:lineRule="exact"/>
              <w:rPr>
                <w:sz w:val="20"/>
                <w:szCs w:val="20"/>
                <w:color w:val="auto"/>
              </w:rPr>
            </w:pPr>
            <w:r>
              <w:rPr>
                <w:rFonts w:ascii="Verdana" w:cs="Verdana" w:eastAsia="Verdana" w:hAnsi="Verdana"/>
                <w:sz w:val="13"/>
                <w:szCs w:val="13"/>
                <w:b w:val="1"/>
                <w:bCs w:val="1"/>
                <w:color w:val="auto"/>
                <w:w w:val="97"/>
              </w:rPr>
              <w:t>Collectively</w:t>
            </w:r>
          </w:p>
        </w:tc>
        <w:tc>
          <w:tcPr>
            <w:tcW w:w="200" w:type="dxa"/>
            <w:vAlign w:val="bottom"/>
          </w:tcPr>
          <w:p>
            <w:pPr>
              <w:spacing w:after="0"/>
              <w:rPr>
                <w:sz w:val="10"/>
                <w:szCs w:val="10"/>
                <w:color w:val="auto"/>
              </w:rPr>
            </w:pPr>
          </w:p>
        </w:tc>
        <w:tc>
          <w:tcPr>
            <w:tcW w:w="1360" w:type="dxa"/>
            <w:vAlign w:val="bottom"/>
            <w:gridSpan w:val="2"/>
          </w:tcPr>
          <w:p>
            <w:pPr>
              <w:jc w:val="center"/>
              <w:ind w:right="300"/>
              <w:spacing w:after="0" w:line="120" w:lineRule="exact"/>
              <w:rPr>
                <w:sz w:val="20"/>
                <w:szCs w:val="20"/>
                <w:color w:val="auto"/>
              </w:rPr>
            </w:pPr>
            <w:r>
              <w:rPr>
                <w:rFonts w:ascii="Verdana" w:cs="Verdana" w:eastAsia="Verdana" w:hAnsi="Verdana"/>
                <w:sz w:val="13"/>
                <w:szCs w:val="13"/>
                <w:b w:val="1"/>
                <w:bCs w:val="1"/>
                <w:color w:val="auto"/>
                <w:w w:val="98"/>
              </w:rPr>
              <w:t>Individually</w:t>
            </w: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2"/>
          </w:tcPr>
          <w:p>
            <w:pPr>
              <w:jc w:val="center"/>
              <w:ind w:right="300"/>
              <w:spacing w:after="0" w:line="122" w:lineRule="exact"/>
              <w:rPr>
                <w:sz w:val="20"/>
                <w:szCs w:val="20"/>
                <w:color w:val="auto"/>
              </w:rPr>
            </w:pPr>
            <w:r>
              <w:rPr>
                <w:rFonts w:ascii="Verdana" w:cs="Verdana" w:eastAsia="Verdana" w:hAnsi="Verdana"/>
                <w:sz w:val="13"/>
                <w:szCs w:val="13"/>
                <w:b w:val="1"/>
                <w:bCs w:val="1"/>
                <w:color w:val="auto"/>
                <w:w w:val="98"/>
              </w:rPr>
              <w:t>Evaluated for</w:t>
            </w: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2" w:lineRule="exact"/>
              <w:rPr>
                <w:sz w:val="20"/>
                <w:szCs w:val="20"/>
                <w:color w:val="auto"/>
              </w:rPr>
            </w:pPr>
            <w:r>
              <w:rPr>
                <w:rFonts w:ascii="Verdana" w:cs="Verdana" w:eastAsia="Verdana" w:hAnsi="Verdana"/>
                <w:sz w:val="13"/>
                <w:szCs w:val="13"/>
                <w:b w:val="1"/>
                <w:bCs w:val="1"/>
                <w:color w:val="auto"/>
                <w:w w:val="96"/>
              </w:rPr>
              <w:t>Evaluated for</w:t>
            </w:r>
          </w:p>
        </w:tc>
        <w:tc>
          <w:tcPr>
            <w:tcW w:w="280" w:type="dxa"/>
            <w:vAlign w:val="bottom"/>
          </w:tcPr>
          <w:p>
            <w:pPr>
              <w:spacing w:after="0"/>
              <w:rPr>
                <w:sz w:val="10"/>
                <w:szCs w:val="10"/>
                <w:color w:val="auto"/>
              </w:rPr>
            </w:pPr>
          </w:p>
        </w:tc>
        <w:tc>
          <w:tcPr>
            <w:tcW w:w="1280" w:type="dxa"/>
            <w:vAlign w:val="bottom"/>
            <w:gridSpan w:val="2"/>
            <w:vMerge w:val="restart"/>
          </w:tcPr>
          <w:p>
            <w:pPr>
              <w:ind w:left="280"/>
              <w:spacing w:after="0"/>
              <w:rPr>
                <w:sz w:val="20"/>
                <w:szCs w:val="20"/>
                <w:color w:val="auto"/>
              </w:rPr>
            </w:pPr>
            <w:r>
              <w:rPr>
                <w:rFonts w:ascii="Verdana" w:cs="Verdana" w:eastAsia="Verdana" w:hAnsi="Verdana"/>
                <w:sz w:val="13"/>
                <w:szCs w:val="13"/>
                <w:b w:val="1"/>
                <w:bCs w:val="1"/>
                <w:color w:val="auto"/>
              </w:rPr>
              <w:t>Total</w:t>
            </w:r>
          </w:p>
        </w:tc>
        <w:tc>
          <w:tcPr>
            <w:tcW w:w="200" w:type="dxa"/>
            <w:vAlign w:val="bottom"/>
          </w:tcPr>
          <w:p>
            <w:pPr>
              <w:spacing w:after="0"/>
              <w:rPr>
                <w:sz w:val="10"/>
                <w:szCs w:val="10"/>
                <w:color w:val="auto"/>
              </w:rPr>
            </w:pPr>
          </w:p>
        </w:tc>
        <w:tc>
          <w:tcPr>
            <w:tcW w:w="1380" w:type="dxa"/>
            <w:vAlign w:val="bottom"/>
            <w:gridSpan w:val="2"/>
          </w:tcPr>
          <w:p>
            <w:pPr>
              <w:jc w:val="center"/>
              <w:ind w:right="280"/>
              <w:spacing w:after="0" w:line="122" w:lineRule="exact"/>
              <w:rPr>
                <w:sz w:val="20"/>
                <w:szCs w:val="20"/>
                <w:color w:val="auto"/>
              </w:rPr>
            </w:pPr>
            <w:r>
              <w:rPr>
                <w:rFonts w:ascii="Verdana" w:cs="Verdana" w:eastAsia="Verdana" w:hAnsi="Verdana"/>
                <w:sz w:val="13"/>
                <w:szCs w:val="13"/>
                <w:b w:val="1"/>
                <w:bCs w:val="1"/>
                <w:color w:val="auto"/>
                <w:w w:val="96"/>
              </w:rPr>
              <w:t>Evaluated for</w:t>
            </w:r>
          </w:p>
        </w:tc>
        <w:tc>
          <w:tcPr>
            <w:tcW w:w="200" w:type="dxa"/>
            <w:vAlign w:val="bottom"/>
          </w:tcPr>
          <w:p>
            <w:pPr>
              <w:spacing w:after="0"/>
              <w:rPr>
                <w:sz w:val="10"/>
                <w:szCs w:val="10"/>
                <w:color w:val="auto"/>
              </w:rPr>
            </w:pPr>
          </w:p>
        </w:tc>
        <w:tc>
          <w:tcPr>
            <w:tcW w:w="1360" w:type="dxa"/>
            <w:vAlign w:val="bottom"/>
            <w:gridSpan w:val="2"/>
          </w:tcPr>
          <w:p>
            <w:pPr>
              <w:jc w:val="center"/>
              <w:ind w:right="300"/>
              <w:spacing w:after="0" w:line="122" w:lineRule="exact"/>
              <w:rPr>
                <w:sz w:val="20"/>
                <w:szCs w:val="20"/>
                <w:color w:val="auto"/>
              </w:rPr>
            </w:pPr>
            <w:r>
              <w:rPr>
                <w:rFonts w:ascii="Verdana" w:cs="Verdana" w:eastAsia="Verdana" w:hAnsi="Verdana"/>
                <w:sz w:val="13"/>
                <w:szCs w:val="13"/>
                <w:b w:val="1"/>
                <w:bCs w:val="1"/>
                <w:color w:val="auto"/>
                <w:w w:val="96"/>
              </w:rPr>
              <w:t>Evaluated for</w:t>
            </w:r>
          </w:p>
        </w:tc>
        <w:tc>
          <w:tcPr>
            <w:tcW w:w="440" w:type="dxa"/>
            <w:vAlign w:val="bottom"/>
          </w:tcPr>
          <w:p>
            <w:pPr>
              <w:spacing w:after="0"/>
              <w:rPr>
                <w:sz w:val="10"/>
                <w:szCs w:val="10"/>
                <w:color w:val="auto"/>
              </w:rPr>
            </w:pPr>
          </w:p>
        </w:tc>
        <w:tc>
          <w:tcPr>
            <w:tcW w:w="1020" w:type="dxa"/>
            <w:vAlign w:val="bottom"/>
            <w:vMerge w:val="restart"/>
          </w:tcPr>
          <w:p>
            <w:pPr>
              <w:jc w:val="right"/>
              <w:ind w:right="473"/>
              <w:spacing w:after="0"/>
              <w:rPr>
                <w:sz w:val="20"/>
                <w:szCs w:val="20"/>
                <w:color w:val="auto"/>
              </w:rPr>
            </w:pPr>
            <w:r>
              <w:rPr>
                <w:rFonts w:ascii="Verdana" w:cs="Verdana" w:eastAsia="Verdana" w:hAnsi="Verdana"/>
                <w:sz w:val="13"/>
                <w:szCs w:val="13"/>
                <w:b w:val="1"/>
                <w:bCs w:val="1"/>
                <w:color w:val="auto"/>
              </w:rPr>
              <w:t>Total</w:t>
            </w:r>
          </w:p>
        </w:tc>
        <w:tc>
          <w:tcPr>
            <w:tcW w:w="0" w:type="dxa"/>
            <w:vAlign w:val="bottom"/>
          </w:tcPr>
          <w:p>
            <w:pPr>
              <w:spacing w:after="0"/>
              <w:rPr>
                <w:sz w:val="1"/>
                <w:szCs w:val="1"/>
                <w:color w:val="auto"/>
              </w:rPr>
            </w:pPr>
          </w:p>
        </w:tc>
      </w:tr>
      <w:tr>
        <w:trPr>
          <w:trHeight w:val="170"/>
        </w:trPr>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Verdana" w:cs="Verdana" w:eastAsia="Verdana" w:hAnsi="Verdana"/>
                <w:sz w:val="13"/>
                <w:szCs w:val="13"/>
                <w:b w:val="1"/>
                <w:bCs w:val="1"/>
                <w:color w:val="auto"/>
                <w:w w:val="96"/>
              </w:rPr>
              <w:t>Impairment</w:t>
            </w:r>
          </w:p>
        </w:tc>
        <w:tc>
          <w:tcPr>
            <w:tcW w:w="16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Verdana" w:cs="Verdana" w:eastAsia="Verdana" w:hAnsi="Verdana"/>
                <w:sz w:val="13"/>
                <w:szCs w:val="13"/>
                <w:b w:val="1"/>
                <w:bCs w:val="1"/>
                <w:color w:val="auto"/>
                <w:w w:val="96"/>
              </w:rPr>
              <w:t>Impairment</w:t>
            </w:r>
          </w:p>
        </w:tc>
        <w:tc>
          <w:tcPr>
            <w:tcW w:w="2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Verdana" w:cs="Verdana" w:eastAsia="Verdana" w:hAnsi="Verdana"/>
                <w:sz w:val="13"/>
                <w:szCs w:val="13"/>
                <w:b w:val="1"/>
                <w:bCs w:val="1"/>
                <w:color w:val="auto"/>
                <w:w w:val="96"/>
              </w:rPr>
              <w:t>Impairment</w:t>
            </w:r>
          </w:p>
        </w:tc>
        <w:tc>
          <w:tcPr>
            <w:tcW w:w="20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Verdana" w:cs="Verdana" w:eastAsia="Verdana" w:hAnsi="Verdana"/>
                <w:sz w:val="13"/>
                <w:szCs w:val="13"/>
                <w:b w:val="1"/>
                <w:bCs w:val="1"/>
                <w:color w:val="auto"/>
                <w:w w:val="98"/>
              </w:rPr>
              <w:t>Impairment</w:t>
            </w:r>
          </w:p>
        </w:tc>
        <w:tc>
          <w:tcPr>
            <w:tcW w:w="4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19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 loans</w:t>
            </w:r>
          </w:p>
        </w:tc>
        <w:tc>
          <w:tcPr>
            <w:tcW w:w="20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130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8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0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0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440" w:type="dxa"/>
            <w:vAlign w:val="bottom"/>
            <w:tcBorders>
              <w:top w:val="single" w:sz="8" w:color="auto"/>
            </w:tcBorders>
            <w:shd w:val="clear" w:color="auto" w:fill="E0E7ED"/>
          </w:tcPr>
          <w:p>
            <w:pPr>
              <w:spacing w:after="0"/>
              <w:rPr>
                <w:sz w:val="22"/>
                <w:szCs w:val="22"/>
                <w:color w:val="auto"/>
              </w:rPr>
            </w:pPr>
          </w:p>
        </w:tc>
        <w:tc>
          <w:tcPr>
            <w:tcW w:w="102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1940" w:type="dxa"/>
            <w:vAlign w:val="bottom"/>
          </w:tcPr>
          <w:p>
            <w:pPr>
              <w:ind w:left="180"/>
              <w:spacing w:after="0"/>
              <w:rPr>
                <w:sz w:val="20"/>
                <w:szCs w:val="20"/>
                <w:color w:val="auto"/>
              </w:rPr>
            </w:pPr>
            <w:r>
              <w:rPr>
                <w:rFonts w:ascii="Verdana" w:cs="Verdana" w:eastAsia="Verdana" w:hAnsi="Verdana"/>
                <w:sz w:val="18"/>
                <w:szCs w:val="18"/>
                <w:color w:val="auto"/>
              </w:rPr>
              <w:t>C&amp;I and other</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940" w:type="dxa"/>
            <w:vAlign w:val="bottom"/>
          </w:tcPr>
          <w:p>
            <w:pPr>
              <w:ind w:left="180"/>
              <w:spacing w:after="0"/>
              <w:rPr>
                <w:sz w:val="20"/>
                <w:szCs w:val="20"/>
                <w:color w:val="auto"/>
              </w:rPr>
            </w:pPr>
            <w:r>
              <w:rPr>
                <w:rFonts w:ascii="Verdana" w:cs="Verdana" w:eastAsia="Verdana" w:hAnsi="Verdana"/>
                <w:sz w:val="18"/>
                <w:szCs w:val="18"/>
                <w:color w:val="auto"/>
              </w:rPr>
              <w:t>commercial</w:t>
            </w: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1,833,624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00" w:type="dxa"/>
            <w:vAlign w:val="bottom"/>
          </w:tcPr>
          <w:p>
            <w:pPr>
              <w:jc w:val="right"/>
              <w:ind w:right="19"/>
              <w:spacing w:after="0"/>
              <w:rPr>
                <w:sz w:val="20"/>
                <w:szCs w:val="20"/>
                <w:color w:val="auto"/>
              </w:rPr>
            </w:pPr>
            <w:r>
              <w:rPr>
                <w:rFonts w:ascii="Verdana" w:cs="Verdana" w:eastAsia="Verdana" w:hAnsi="Verdana"/>
                <w:sz w:val="18"/>
                <w:szCs w:val="18"/>
                <w:color w:val="auto"/>
              </w:rPr>
              <w:t>2,370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Verdana" w:cs="Verdana" w:eastAsia="Verdana" w:hAnsi="Verdana"/>
                <w:sz w:val="18"/>
                <w:szCs w:val="18"/>
                <w:color w:val="auto"/>
                <w:w w:val="86"/>
              </w:rPr>
              <w:t>$</w:t>
            </w:r>
          </w:p>
        </w:tc>
        <w:tc>
          <w:tcPr>
            <w:tcW w:w="1200" w:type="dxa"/>
            <w:vAlign w:val="bottom"/>
          </w:tcPr>
          <w:p>
            <w:pPr>
              <w:jc w:val="right"/>
              <w:ind w:right="15"/>
              <w:spacing w:after="0"/>
              <w:rPr>
                <w:sz w:val="20"/>
                <w:szCs w:val="20"/>
                <w:color w:val="auto"/>
              </w:rPr>
            </w:pPr>
            <w:r>
              <w:rPr>
                <w:rFonts w:ascii="Verdana" w:cs="Verdana" w:eastAsia="Verdana" w:hAnsi="Verdana"/>
                <w:sz w:val="18"/>
                <w:szCs w:val="18"/>
                <w:color w:val="auto"/>
              </w:rPr>
              <w:t>1,835,994</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20,471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260" w:type="dxa"/>
            <w:vAlign w:val="bottom"/>
          </w:tcPr>
          <w:p>
            <w:pPr>
              <w:jc w:val="right"/>
              <w:spacing w:after="0"/>
              <w:rPr>
                <w:sz w:val="20"/>
                <w:szCs w:val="20"/>
                <w:color w:val="auto"/>
              </w:rPr>
            </w:pPr>
            <w:r>
              <w:rPr>
                <w:rFonts w:ascii="Verdana" w:cs="Verdana" w:eastAsia="Verdana" w:hAnsi="Verdana"/>
                <w:sz w:val="18"/>
                <w:szCs w:val="18"/>
                <w:color w:val="auto"/>
              </w:rPr>
              <w:t>785</w:t>
            </w:r>
          </w:p>
        </w:tc>
        <w:tc>
          <w:tcPr>
            <w:tcW w:w="100" w:type="dxa"/>
            <w:vAlign w:val="bottom"/>
          </w:tcPr>
          <w:p>
            <w:pPr>
              <w:spacing w:after="0"/>
              <w:rPr>
                <w:sz w:val="21"/>
                <w:szCs w:val="21"/>
                <w:color w:val="auto"/>
              </w:rPr>
            </w:pPr>
          </w:p>
        </w:tc>
        <w:tc>
          <w:tcPr>
            <w:tcW w:w="440" w:type="dxa"/>
            <w:vAlign w:val="bottom"/>
          </w:tcPr>
          <w:p>
            <w:pPr>
              <w:jc w:val="right"/>
              <w:ind w:right="210"/>
              <w:spacing w:after="0"/>
              <w:rPr>
                <w:sz w:val="20"/>
                <w:szCs w:val="20"/>
                <w:color w:val="auto"/>
              </w:rPr>
            </w:pPr>
            <w:r>
              <w:rPr>
                <w:rFonts w:ascii="Verdana" w:cs="Verdana" w:eastAsia="Verdana" w:hAnsi="Verdana"/>
                <w:sz w:val="18"/>
                <w:szCs w:val="18"/>
                <w:color w:val="auto"/>
              </w:rPr>
              <w:t>$</w:t>
            </w:r>
          </w:p>
        </w:tc>
        <w:tc>
          <w:tcPr>
            <w:tcW w:w="1020" w:type="dxa"/>
            <w:vAlign w:val="bottom"/>
          </w:tcPr>
          <w:p>
            <w:pPr>
              <w:jc w:val="right"/>
              <w:spacing w:after="0"/>
              <w:rPr>
                <w:sz w:val="20"/>
                <w:szCs w:val="20"/>
                <w:color w:val="auto"/>
              </w:rPr>
            </w:pPr>
            <w:r>
              <w:rPr>
                <w:rFonts w:ascii="Verdana" w:cs="Verdana" w:eastAsia="Verdana" w:hAnsi="Verdana"/>
                <w:sz w:val="18"/>
                <w:szCs w:val="18"/>
                <w:color w:val="auto"/>
              </w:rPr>
              <w:t>21,256</w:t>
            </w:r>
          </w:p>
        </w:tc>
        <w:tc>
          <w:tcPr>
            <w:tcW w:w="0" w:type="dxa"/>
            <w:vAlign w:val="bottom"/>
          </w:tcPr>
          <w:p>
            <w:pPr>
              <w:spacing w:after="0"/>
              <w:rPr>
                <w:sz w:val="1"/>
                <w:szCs w:val="1"/>
                <w:color w:val="auto"/>
              </w:rPr>
            </w:pPr>
          </w:p>
        </w:tc>
      </w:tr>
      <w:tr>
        <w:trPr>
          <w:trHeight w:val="244"/>
        </w:trPr>
        <w:tc>
          <w:tcPr>
            <w:tcW w:w="19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w:t>
            </w:r>
          </w:p>
        </w:tc>
        <w:tc>
          <w:tcPr>
            <w:tcW w:w="20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13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440" w:type="dxa"/>
            <w:vAlign w:val="bottom"/>
            <w:shd w:val="clear" w:color="auto" w:fill="E0E7ED"/>
          </w:tcPr>
          <w:p>
            <w:pPr>
              <w:spacing w:after="0"/>
              <w:rPr>
                <w:sz w:val="21"/>
                <w:szCs w:val="21"/>
                <w:color w:val="auto"/>
              </w:rPr>
            </w:pPr>
          </w:p>
        </w:tc>
        <w:tc>
          <w:tcPr>
            <w:tcW w:w="102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9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estate</w:t>
            </w:r>
          </w:p>
        </w:tc>
        <w:tc>
          <w:tcPr>
            <w:tcW w:w="200" w:type="dxa"/>
            <w:vAlign w:val="bottom"/>
            <w:shd w:val="clear" w:color="auto" w:fill="E0E7ED"/>
          </w:tcPr>
          <w:p>
            <w:pPr>
              <w:spacing w:after="0"/>
              <w:rPr>
                <w:sz w:val="21"/>
                <w:szCs w:val="21"/>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3,336,642</w:t>
            </w:r>
          </w:p>
        </w:tc>
        <w:tc>
          <w:tcPr>
            <w:tcW w:w="10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130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695</w:t>
            </w: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20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3,337,337</w:t>
            </w:r>
          </w:p>
        </w:tc>
        <w:tc>
          <w:tcPr>
            <w:tcW w:w="8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35,380</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85</w:t>
            </w:r>
          </w:p>
        </w:tc>
        <w:tc>
          <w:tcPr>
            <w:tcW w:w="100" w:type="dxa"/>
            <w:vAlign w:val="bottom"/>
            <w:shd w:val="clear" w:color="auto" w:fill="E0E7ED"/>
          </w:tcPr>
          <w:p>
            <w:pPr>
              <w:spacing w:after="0"/>
              <w:rPr>
                <w:sz w:val="21"/>
                <w:szCs w:val="21"/>
                <w:color w:val="auto"/>
              </w:rPr>
            </w:pPr>
          </w:p>
        </w:tc>
        <w:tc>
          <w:tcPr>
            <w:tcW w:w="440" w:type="dxa"/>
            <w:vAlign w:val="bottom"/>
            <w:shd w:val="clear" w:color="auto" w:fill="E0E7ED"/>
          </w:tcPr>
          <w:p>
            <w:pPr>
              <w:spacing w:after="0"/>
              <w:rPr>
                <w:sz w:val="21"/>
                <w:szCs w:val="21"/>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35,465</w:t>
            </w:r>
          </w:p>
        </w:tc>
        <w:tc>
          <w:tcPr>
            <w:tcW w:w="0" w:type="dxa"/>
            <w:vAlign w:val="bottom"/>
          </w:tcPr>
          <w:p>
            <w:pPr>
              <w:spacing w:after="0"/>
              <w:rPr>
                <w:sz w:val="1"/>
                <w:szCs w:val="1"/>
                <w:color w:val="auto"/>
              </w:rPr>
            </w:pPr>
          </w:p>
        </w:tc>
      </w:tr>
      <w:tr>
        <w:trPr>
          <w:trHeight w:val="238"/>
        </w:trPr>
        <w:tc>
          <w:tcPr>
            <w:tcW w:w="1940" w:type="dxa"/>
            <w:vAlign w:val="bottom"/>
          </w:tcPr>
          <w:p>
            <w:pPr>
              <w:ind w:left="180"/>
              <w:spacing w:after="0"/>
              <w:rPr>
                <w:sz w:val="20"/>
                <w:szCs w:val="20"/>
                <w:color w:val="auto"/>
              </w:rPr>
            </w:pPr>
            <w:r>
              <w:rPr>
                <w:rFonts w:ascii="Verdana" w:cs="Verdana" w:eastAsia="Verdana" w:hAnsi="Verdana"/>
                <w:sz w:val="18"/>
                <w:szCs w:val="18"/>
                <w:color w:val="auto"/>
              </w:rPr>
              <w:t>Real estate</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940" w:type="dxa"/>
            <w:vAlign w:val="bottom"/>
          </w:tcPr>
          <w:p>
            <w:pPr>
              <w:ind w:left="180"/>
              <w:spacing w:after="0"/>
              <w:rPr>
                <w:sz w:val="20"/>
                <w:szCs w:val="20"/>
                <w:color w:val="auto"/>
              </w:rPr>
            </w:pPr>
            <w:r>
              <w:rPr>
                <w:rFonts w:ascii="Verdana" w:cs="Verdana" w:eastAsia="Verdana" w:hAnsi="Verdana"/>
                <w:sz w:val="18"/>
                <w:szCs w:val="18"/>
                <w:color w:val="auto"/>
              </w:rPr>
              <w:t>construction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461,717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Verdana" w:cs="Verdana" w:eastAsia="Verdana" w:hAnsi="Verdana"/>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Verdana" w:cs="Verdana" w:eastAsia="Verdana" w:hAnsi="Verdana"/>
                <w:sz w:val="18"/>
                <w:szCs w:val="18"/>
                <w:color w:val="auto"/>
              </w:rPr>
              <w:t>461,717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5,163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4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Verdana" w:cs="Verdana" w:eastAsia="Verdana" w:hAnsi="Verdana"/>
                <w:sz w:val="18"/>
                <w:szCs w:val="18"/>
                <w:color w:val="auto"/>
              </w:rPr>
              <w:t>5,163</w:t>
            </w:r>
          </w:p>
        </w:tc>
        <w:tc>
          <w:tcPr>
            <w:tcW w:w="0" w:type="dxa"/>
            <w:vAlign w:val="bottom"/>
          </w:tcPr>
          <w:p>
            <w:pPr>
              <w:spacing w:after="0"/>
              <w:rPr>
                <w:sz w:val="1"/>
                <w:szCs w:val="1"/>
                <w:color w:val="auto"/>
              </w:rPr>
            </w:pPr>
          </w:p>
        </w:tc>
      </w:tr>
      <w:tr>
        <w:trPr>
          <w:trHeight w:val="224"/>
        </w:trPr>
        <w:tc>
          <w:tcPr>
            <w:tcW w:w="19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Commercial loans</w:t>
            </w:r>
          </w:p>
        </w:tc>
        <w:tc>
          <w:tcPr>
            <w:tcW w:w="200" w:type="dxa"/>
            <w:vAlign w:val="bottom"/>
            <w:tcBorders>
              <w:top w:val="single" w:sz="8" w:color="auto"/>
            </w:tcBorders>
            <w:shd w:val="clear" w:color="auto" w:fill="E0E7ED"/>
          </w:tcPr>
          <w:p>
            <w:pPr>
              <w:spacing w:after="0"/>
              <w:rPr>
                <w:sz w:val="19"/>
                <w:szCs w:val="19"/>
                <w:color w:val="auto"/>
              </w:rPr>
            </w:pPr>
          </w:p>
        </w:tc>
        <w:tc>
          <w:tcPr>
            <w:tcW w:w="12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160" w:type="dxa"/>
            <w:vAlign w:val="bottom"/>
            <w:tcBorders>
              <w:top w:val="single" w:sz="8" w:color="auto"/>
            </w:tcBorders>
            <w:shd w:val="clear" w:color="auto" w:fill="E0E7ED"/>
          </w:tcPr>
          <w:p>
            <w:pPr>
              <w:spacing w:after="0"/>
              <w:rPr>
                <w:sz w:val="19"/>
                <w:szCs w:val="19"/>
                <w:color w:val="auto"/>
              </w:rPr>
            </w:pPr>
          </w:p>
        </w:tc>
        <w:tc>
          <w:tcPr>
            <w:tcW w:w="13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80" w:type="dxa"/>
            <w:vAlign w:val="bottom"/>
            <w:tcBorders>
              <w:top w:val="single" w:sz="8" w:color="auto"/>
            </w:tcBorders>
            <w:shd w:val="clear" w:color="auto" w:fill="E0E7ED"/>
          </w:tcPr>
          <w:p>
            <w:pPr>
              <w:spacing w:after="0"/>
              <w:rPr>
                <w:sz w:val="19"/>
                <w:szCs w:val="19"/>
                <w:color w:val="auto"/>
              </w:rPr>
            </w:pPr>
          </w:p>
        </w:tc>
        <w:tc>
          <w:tcPr>
            <w:tcW w:w="120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00" w:type="dxa"/>
            <w:vAlign w:val="bottom"/>
            <w:tcBorders>
              <w:top w:val="single" w:sz="8" w:color="auto"/>
            </w:tcBorders>
            <w:shd w:val="clear" w:color="auto" w:fill="E0E7ED"/>
          </w:tcPr>
          <w:p>
            <w:pPr>
              <w:spacing w:after="0"/>
              <w:rPr>
                <w:sz w:val="19"/>
                <w:szCs w:val="19"/>
                <w:color w:val="auto"/>
              </w:rPr>
            </w:pPr>
          </w:p>
        </w:tc>
        <w:tc>
          <w:tcPr>
            <w:tcW w:w="12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00" w:type="dxa"/>
            <w:vAlign w:val="bottom"/>
            <w:tcBorders>
              <w:top w:val="single" w:sz="8" w:color="auto"/>
            </w:tcBorders>
            <w:shd w:val="clear" w:color="auto" w:fill="E0E7ED"/>
          </w:tcPr>
          <w:p>
            <w:pPr>
              <w:spacing w:after="0"/>
              <w:rPr>
                <w:sz w:val="19"/>
                <w:szCs w:val="19"/>
                <w:color w:val="auto"/>
              </w:rPr>
            </w:pPr>
          </w:p>
        </w:tc>
        <w:tc>
          <w:tcPr>
            <w:tcW w:w="126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440" w:type="dxa"/>
            <w:vAlign w:val="bottom"/>
            <w:tcBorders>
              <w:top w:val="single" w:sz="8" w:color="auto"/>
            </w:tcBorders>
            <w:shd w:val="clear" w:color="auto" w:fill="E0E7ED"/>
          </w:tcPr>
          <w:p>
            <w:pPr>
              <w:spacing w:after="0"/>
              <w:rPr>
                <w:sz w:val="19"/>
                <w:szCs w:val="19"/>
                <w:color w:val="auto"/>
              </w:rPr>
            </w:pPr>
          </w:p>
        </w:tc>
        <w:tc>
          <w:tcPr>
            <w:tcW w:w="102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9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and related ACL</w:t>
            </w:r>
          </w:p>
        </w:tc>
        <w:tc>
          <w:tcPr>
            <w:tcW w:w="200" w:type="dxa"/>
            <w:vAlign w:val="bottom"/>
            <w:tcBorders>
              <w:bottom w:val="single" w:sz="8" w:color="auto"/>
            </w:tcBorders>
            <w:shd w:val="clear" w:color="auto" w:fill="E0E7ED"/>
          </w:tcPr>
          <w:p>
            <w:pPr>
              <w:spacing w:after="0"/>
              <w:rPr>
                <w:sz w:val="21"/>
                <w:szCs w:val="21"/>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5,631,983</w:t>
            </w:r>
          </w:p>
        </w:tc>
        <w:tc>
          <w:tcPr>
            <w:tcW w:w="100" w:type="dxa"/>
            <w:vAlign w:val="bottom"/>
            <w:shd w:val="clear" w:color="auto" w:fill="E0E7ED"/>
          </w:tcPr>
          <w:p>
            <w:pPr>
              <w:spacing w:after="0"/>
              <w:rPr>
                <w:sz w:val="21"/>
                <w:szCs w:val="21"/>
                <w:color w:val="auto"/>
              </w:rPr>
            </w:pPr>
          </w:p>
        </w:tc>
        <w:tc>
          <w:tcPr>
            <w:tcW w:w="160" w:type="dxa"/>
            <w:vAlign w:val="bottom"/>
            <w:tcBorders>
              <w:bottom w:val="single" w:sz="8" w:color="auto"/>
            </w:tcBorders>
            <w:shd w:val="clear" w:color="auto" w:fill="E0E7ED"/>
          </w:tcPr>
          <w:p>
            <w:pPr>
              <w:spacing w:after="0"/>
              <w:rPr>
                <w:sz w:val="21"/>
                <w:szCs w:val="21"/>
                <w:color w:val="auto"/>
              </w:rPr>
            </w:pPr>
          </w:p>
        </w:tc>
        <w:tc>
          <w:tcPr>
            <w:tcW w:w="1300" w:type="dxa"/>
            <w:vAlign w:val="bottom"/>
            <w:tcBorders>
              <w:bottom w:val="single" w:sz="8" w:color="auto"/>
            </w:tcBorders>
            <w:shd w:val="clear" w:color="auto" w:fill="E0E7ED"/>
          </w:tcPr>
          <w:p>
            <w:pPr>
              <w:jc w:val="right"/>
              <w:ind w:right="19"/>
              <w:spacing w:after="0"/>
              <w:rPr>
                <w:sz w:val="20"/>
                <w:szCs w:val="20"/>
                <w:color w:val="auto"/>
              </w:rPr>
            </w:pPr>
            <w:r>
              <w:rPr>
                <w:rFonts w:ascii="Verdana" w:cs="Verdana" w:eastAsia="Verdana" w:hAnsi="Verdana"/>
                <w:sz w:val="18"/>
                <w:szCs w:val="18"/>
                <w:color w:val="auto"/>
              </w:rPr>
              <w:t>3,065</w:t>
            </w:r>
          </w:p>
        </w:tc>
        <w:tc>
          <w:tcPr>
            <w:tcW w:w="100" w:type="dxa"/>
            <w:vAlign w:val="bottom"/>
            <w:shd w:val="clear" w:color="auto" w:fill="E0E7ED"/>
          </w:tcPr>
          <w:p>
            <w:pPr>
              <w:spacing w:after="0"/>
              <w:rPr>
                <w:sz w:val="21"/>
                <w:szCs w:val="21"/>
                <w:color w:val="auto"/>
              </w:rPr>
            </w:pPr>
          </w:p>
        </w:tc>
        <w:tc>
          <w:tcPr>
            <w:tcW w:w="280" w:type="dxa"/>
            <w:vAlign w:val="bottom"/>
            <w:tcBorders>
              <w:bottom w:val="single" w:sz="8" w:color="auto"/>
            </w:tcBorders>
            <w:shd w:val="clear" w:color="auto" w:fill="E0E7ED"/>
          </w:tcPr>
          <w:p>
            <w:pPr>
              <w:spacing w:after="0"/>
              <w:rPr>
                <w:sz w:val="21"/>
                <w:szCs w:val="21"/>
                <w:color w:val="auto"/>
              </w:rPr>
            </w:pPr>
          </w:p>
        </w:tc>
        <w:tc>
          <w:tcPr>
            <w:tcW w:w="120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5,635,048</w:t>
            </w:r>
          </w:p>
        </w:tc>
        <w:tc>
          <w:tcPr>
            <w:tcW w:w="80" w:type="dxa"/>
            <w:vAlign w:val="bottom"/>
            <w:shd w:val="clear" w:color="auto" w:fill="E0E7ED"/>
          </w:tcPr>
          <w:p>
            <w:pPr>
              <w:spacing w:after="0"/>
              <w:rPr>
                <w:sz w:val="21"/>
                <w:szCs w:val="21"/>
                <w:color w:val="auto"/>
              </w:rPr>
            </w:pPr>
          </w:p>
        </w:tc>
        <w:tc>
          <w:tcPr>
            <w:tcW w:w="200" w:type="dxa"/>
            <w:vAlign w:val="bottom"/>
            <w:tcBorders>
              <w:bottom w:val="single" w:sz="8" w:color="auto"/>
            </w:tcBorders>
            <w:shd w:val="clear" w:color="auto" w:fill="E0E7ED"/>
          </w:tcPr>
          <w:p>
            <w:pPr>
              <w:spacing w:after="0"/>
              <w:rPr>
                <w:sz w:val="21"/>
                <w:szCs w:val="21"/>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61,014</w:t>
            </w:r>
          </w:p>
        </w:tc>
        <w:tc>
          <w:tcPr>
            <w:tcW w:w="100" w:type="dxa"/>
            <w:vAlign w:val="bottom"/>
            <w:shd w:val="clear" w:color="auto" w:fill="E0E7ED"/>
          </w:tcPr>
          <w:p>
            <w:pPr>
              <w:spacing w:after="0"/>
              <w:rPr>
                <w:sz w:val="21"/>
                <w:szCs w:val="21"/>
                <w:color w:val="auto"/>
              </w:rPr>
            </w:pPr>
          </w:p>
        </w:tc>
        <w:tc>
          <w:tcPr>
            <w:tcW w:w="200" w:type="dxa"/>
            <w:vAlign w:val="bottom"/>
            <w:tcBorders>
              <w:bottom w:val="single" w:sz="8" w:color="auto"/>
            </w:tcBorders>
            <w:shd w:val="clear" w:color="auto" w:fill="E0E7ED"/>
          </w:tcPr>
          <w:p>
            <w:pPr>
              <w:spacing w:after="0"/>
              <w:rPr>
                <w:sz w:val="21"/>
                <w:szCs w:val="21"/>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870</w:t>
            </w:r>
          </w:p>
        </w:tc>
        <w:tc>
          <w:tcPr>
            <w:tcW w:w="100" w:type="dxa"/>
            <w:vAlign w:val="bottom"/>
            <w:shd w:val="clear" w:color="auto" w:fill="E0E7ED"/>
          </w:tcPr>
          <w:p>
            <w:pPr>
              <w:spacing w:after="0"/>
              <w:rPr>
                <w:sz w:val="21"/>
                <w:szCs w:val="21"/>
                <w:color w:val="auto"/>
              </w:rPr>
            </w:pPr>
          </w:p>
        </w:tc>
        <w:tc>
          <w:tcPr>
            <w:tcW w:w="440" w:type="dxa"/>
            <w:vAlign w:val="bottom"/>
            <w:tcBorders>
              <w:bottom w:val="single" w:sz="8" w:color="auto"/>
            </w:tcBorders>
            <w:shd w:val="clear" w:color="auto" w:fill="E0E7ED"/>
          </w:tcPr>
          <w:p>
            <w:pPr>
              <w:spacing w:after="0"/>
              <w:rPr>
                <w:sz w:val="21"/>
                <w:szCs w:val="21"/>
                <w:color w:val="auto"/>
              </w:rPr>
            </w:pPr>
          </w:p>
        </w:tc>
        <w:tc>
          <w:tcPr>
            <w:tcW w:w="10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61,884</w:t>
            </w:r>
          </w:p>
        </w:tc>
        <w:tc>
          <w:tcPr>
            <w:tcW w:w="0" w:type="dxa"/>
            <w:vAlign w:val="bottom"/>
          </w:tcPr>
          <w:p>
            <w:pPr>
              <w:spacing w:after="0"/>
              <w:rPr>
                <w:sz w:val="1"/>
                <w:szCs w:val="1"/>
                <w:color w:val="auto"/>
              </w:rPr>
            </w:pPr>
          </w:p>
        </w:tc>
      </w:tr>
      <w:tr>
        <w:trPr>
          <w:trHeight w:val="243"/>
        </w:trPr>
        <w:tc>
          <w:tcPr>
            <w:tcW w:w="1940" w:type="dxa"/>
            <w:vAlign w:val="bottom"/>
          </w:tcPr>
          <w:p>
            <w:pPr>
              <w:ind w:left="20"/>
              <w:spacing w:after="0"/>
              <w:rPr>
                <w:sz w:val="20"/>
                <w:szCs w:val="20"/>
                <w:color w:val="auto"/>
              </w:rPr>
            </w:pPr>
            <w:r>
              <w:rPr>
                <w:rFonts w:ascii="Verdana" w:cs="Verdana" w:eastAsia="Verdana" w:hAnsi="Verdana"/>
                <w:sz w:val="18"/>
                <w:szCs w:val="18"/>
                <w:b w:val="1"/>
                <w:bCs w:val="1"/>
                <w:color w:val="auto"/>
              </w:rPr>
              <w:t>Retail loans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9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20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1,720,369</w:t>
            </w:r>
          </w:p>
        </w:tc>
        <w:tc>
          <w:tcPr>
            <w:tcW w:w="10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130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86</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20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1,720,455</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26,273</w:t>
            </w: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25</w:t>
            </w:r>
          </w:p>
        </w:tc>
        <w:tc>
          <w:tcPr>
            <w:tcW w:w="100" w:type="dxa"/>
            <w:vAlign w:val="bottom"/>
            <w:shd w:val="clear" w:color="auto" w:fill="E0E7ED"/>
          </w:tcPr>
          <w:p>
            <w:pPr>
              <w:spacing w:after="0"/>
              <w:rPr>
                <w:sz w:val="24"/>
                <w:szCs w:val="24"/>
                <w:color w:val="auto"/>
              </w:rPr>
            </w:pPr>
          </w:p>
        </w:tc>
        <w:tc>
          <w:tcPr>
            <w:tcW w:w="440" w:type="dxa"/>
            <w:vAlign w:val="bottom"/>
            <w:shd w:val="clear" w:color="auto" w:fill="E0E7ED"/>
          </w:tcPr>
          <w:p>
            <w:pPr>
              <w:spacing w:after="0"/>
              <w:rPr>
                <w:sz w:val="24"/>
                <w:szCs w:val="24"/>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26,298</w:t>
            </w:r>
          </w:p>
        </w:tc>
        <w:tc>
          <w:tcPr>
            <w:tcW w:w="0" w:type="dxa"/>
            <w:vAlign w:val="bottom"/>
          </w:tcPr>
          <w:p>
            <w:pPr>
              <w:spacing w:after="0"/>
              <w:rPr>
                <w:sz w:val="1"/>
                <w:szCs w:val="1"/>
                <w:color w:val="auto"/>
              </w:rPr>
            </w:pPr>
          </w:p>
        </w:tc>
      </w:tr>
      <w:tr>
        <w:trPr>
          <w:trHeight w:val="263"/>
        </w:trPr>
        <w:tc>
          <w:tcPr>
            <w:tcW w:w="1940" w:type="dxa"/>
            <w:vAlign w:val="bottom"/>
          </w:tcPr>
          <w:p>
            <w:pPr>
              <w:ind w:left="180"/>
              <w:spacing w:after="0"/>
              <w:rPr>
                <w:sz w:val="20"/>
                <w:szCs w:val="20"/>
                <w:color w:val="auto"/>
              </w:rPr>
            </w:pPr>
            <w:r>
              <w:rPr>
                <w:rFonts w:ascii="Verdana" w:cs="Verdana" w:eastAsia="Verdana" w:hAnsi="Verdana"/>
                <w:sz w:val="18"/>
                <w:szCs w:val="18"/>
                <w:color w:val="auto"/>
              </w:rPr>
              <w:t>Retail other</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295,531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Verdana" w:cs="Verdana" w:eastAsia="Verdana" w:hAnsi="Verdana"/>
                <w:sz w:val="18"/>
                <w:szCs w:val="18"/>
                <w:color w:val="auto"/>
              </w:rPr>
              <w:t>—</w:t>
            </w:r>
          </w:p>
        </w:tc>
        <w:tc>
          <w:tcPr>
            <w:tcW w:w="2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Verdana" w:cs="Verdana" w:eastAsia="Verdana" w:hAnsi="Verdana"/>
                <w:sz w:val="18"/>
                <w:szCs w:val="18"/>
                <w:color w:val="auto"/>
              </w:rPr>
              <w:t>295,531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3,558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440" w:type="dxa"/>
            <w:vAlign w:val="bottom"/>
          </w:tcPr>
          <w:p>
            <w:pPr>
              <w:spacing w:after="0"/>
              <w:rPr>
                <w:sz w:val="22"/>
                <w:szCs w:val="22"/>
                <w:color w:val="auto"/>
              </w:rPr>
            </w:pPr>
          </w:p>
        </w:tc>
        <w:tc>
          <w:tcPr>
            <w:tcW w:w="1020" w:type="dxa"/>
            <w:vAlign w:val="bottom"/>
          </w:tcPr>
          <w:p>
            <w:pPr>
              <w:jc w:val="right"/>
              <w:ind w:right="13"/>
              <w:spacing w:after="0"/>
              <w:rPr>
                <w:sz w:val="20"/>
                <w:szCs w:val="20"/>
                <w:color w:val="auto"/>
              </w:rPr>
            </w:pPr>
            <w:r>
              <w:rPr>
                <w:rFonts w:ascii="Verdana" w:cs="Verdana" w:eastAsia="Verdana" w:hAnsi="Verdana"/>
                <w:sz w:val="18"/>
                <w:szCs w:val="18"/>
                <w:color w:val="auto"/>
              </w:rPr>
              <w:t>3,558</w:t>
            </w:r>
          </w:p>
        </w:tc>
        <w:tc>
          <w:tcPr>
            <w:tcW w:w="0" w:type="dxa"/>
            <w:vAlign w:val="bottom"/>
          </w:tcPr>
          <w:p>
            <w:pPr>
              <w:spacing w:after="0"/>
              <w:rPr>
                <w:sz w:val="1"/>
                <w:szCs w:val="1"/>
                <w:color w:val="auto"/>
              </w:rPr>
            </w:pPr>
          </w:p>
        </w:tc>
      </w:tr>
      <w:tr>
        <w:trPr>
          <w:trHeight w:val="224"/>
        </w:trPr>
        <w:tc>
          <w:tcPr>
            <w:tcW w:w="19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Retail loans and</w:t>
            </w:r>
          </w:p>
        </w:tc>
        <w:tc>
          <w:tcPr>
            <w:tcW w:w="200" w:type="dxa"/>
            <w:vAlign w:val="bottom"/>
            <w:tcBorders>
              <w:top w:val="single" w:sz="8" w:color="auto"/>
            </w:tcBorders>
            <w:shd w:val="clear" w:color="auto" w:fill="E0E7ED"/>
          </w:tcPr>
          <w:p>
            <w:pPr>
              <w:spacing w:after="0"/>
              <w:rPr>
                <w:sz w:val="19"/>
                <w:szCs w:val="19"/>
                <w:color w:val="auto"/>
              </w:rPr>
            </w:pPr>
          </w:p>
        </w:tc>
        <w:tc>
          <w:tcPr>
            <w:tcW w:w="12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160" w:type="dxa"/>
            <w:vAlign w:val="bottom"/>
            <w:tcBorders>
              <w:top w:val="single" w:sz="8" w:color="auto"/>
            </w:tcBorders>
            <w:shd w:val="clear" w:color="auto" w:fill="E0E7ED"/>
          </w:tcPr>
          <w:p>
            <w:pPr>
              <w:spacing w:after="0"/>
              <w:rPr>
                <w:sz w:val="19"/>
                <w:szCs w:val="19"/>
                <w:color w:val="auto"/>
              </w:rPr>
            </w:pPr>
          </w:p>
        </w:tc>
        <w:tc>
          <w:tcPr>
            <w:tcW w:w="13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80" w:type="dxa"/>
            <w:vAlign w:val="bottom"/>
            <w:tcBorders>
              <w:top w:val="single" w:sz="8" w:color="auto"/>
            </w:tcBorders>
            <w:shd w:val="clear" w:color="auto" w:fill="E0E7ED"/>
          </w:tcPr>
          <w:p>
            <w:pPr>
              <w:spacing w:after="0"/>
              <w:rPr>
                <w:sz w:val="19"/>
                <w:szCs w:val="19"/>
                <w:color w:val="auto"/>
              </w:rPr>
            </w:pPr>
          </w:p>
        </w:tc>
        <w:tc>
          <w:tcPr>
            <w:tcW w:w="120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00" w:type="dxa"/>
            <w:vAlign w:val="bottom"/>
            <w:tcBorders>
              <w:top w:val="single" w:sz="8" w:color="auto"/>
            </w:tcBorders>
            <w:shd w:val="clear" w:color="auto" w:fill="E0E7ED"/>
          </w:tcPr>
          <w:p>
            <w:pPr>
              <w:spacing w:after="0"/>
              <w:rPr>
                <w:sz w:val="19"/>
                <w:szCs w:val="19"/>
                <w:color w:val="auto"/>
              </w:rPr>
            </w:pPr>
          </w:p>
        </w:tc>
        <w:tc>
          <w:tcPr>
            <w:tcW w:w="12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00" w:type="dxa"/>
            <w:vAlign w:val="bottom"/>
            <w:tcBorders>
              <w:top w:val="single" w:sz="8" w:color="auto"/>
            </w:tcBorders>
            <w:shd w:val="clear" w:color="auto" w:fill="E0E7ED"/>
          </w:tcPr>
          <w:p>
            <w:pPr>
              <w:spacing w:after="0"/>
              <w:rPr>
                <w:sz w:val="19"/>
                <w:szCs w:val="19"/>
                <w:color w:val="auto"/>
              </w:rPr>
            </w:pPr>
          </w:p>
        </w:tc>
        <w:tc>
          <w:tcPr>
            <w:tcW w:w="126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440" w:type="dxa"/>
            <w:vAlign w:val="bottom"/>
            <w:tcBorders>
              <w:top w:val="single" w:sz="8" w:color="auto"/>
            </w:tcBorders>
            <w:shd w:val="clear" w:color="auto" w:fill="E0E7ED"/>
          </w:tcPr>
          <w:p>
            <w:pPr>
              <w:spacing w:after="0"/>
              <w:rPr>
                <w:sz w:val="19"/>
                <w:szCs w:val="19"/>
                <w:color w:val="auto"/>
              </w:rPr>
            </w:pPr>
          </w:p>
        </w:tc>
        <w:tc>
          <w:tcPr>
            <w:tcW w:w="102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9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related ACL</w:t>
            </w:r>
          </w:p>
        </w:tc>
        <w:tc>
          <w:tcPr>
            <w:tcW w:w="200" w:type="dxa"/>
            <w:vAlign w:val="bottom"/>
            <w:tcBorders>
              <w:bottom w:val="single" w:sz="8" w:color="auto"/>
            </w:tcBorders>
            <w:shd w:val="clear" w:color="auto" w:fill="E0E7ED"/>
          </w:tcPr>
          <w:p>
            <w:pPr>
              <w:spacing w:after="0"/>
              <w:rPr>
                <w:sz w:val="21"/>
                <w:szCs w:val="21"/>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2,015,900</w:t>
            </w:r>
          </w:p>
        </w:tc>
        <w:tc>
          <w:tcPr>
            <w:tcW w:w="100" w:type="dxa"/>
            <w:vAlign w:val="bottom"/>
            <w:shd w:val="clear" w:color="auto" w:fill="E0E7ED"/>
          </w:tcPr>
          <w:p>
            <w:pPr>
              <w:spacing w:after="0"/>
              <w:rPr>
                <w:sz w:val="21"/>
                <w:szCs w:val="21"/>
                <w:color w:val="auto"/>
              </w:rPr>
            </w:pPr>
          </w:p>
        </w:tc>
        <w:tc>
          <w:tcPr>
            <w:tcW w:w="160" w:type="dxa"/>
            <w:vAlign w:val="bottom"/>
            <w:tcBorders>
              <w:bottom w:val="single" w:sz="8" w:color="auto"/>
            </w:tcBorders>
            <w:shd w:val="clear" w:color="auto" w:fill="E0E7ED"/>
          </w:tcPr>
          <w:p>
            <w:pPr>
              <w:spacing w:after="0"/>
              <w:rPr>
                <w:sz w:val="21"/>
                <w:szCs w:val="21"/>
                <w:color w:val="auto"/>
              </w:rPr>
            </w:pPr>
          </w:p>
        </w:tc>
        <w:tc>
          <w:tcPr>
            <w:tcW w:w="1300" w:type="dxa"/>
            <w:vAlign w:val="bottom"/>
            <w:tcBorders>
              <w:bottom w:val="single" w:sz="8" w:color="auto"/>
            </w:tcBorders>
            <w:shd w:val="clear" w:color="auto" w:fill="E0E7ED"/>
          </w:tcPr>
          <w:p>
            <w:pPr>
              <w:jc w:val="right"/>
              <w:ind w:right="19"/>
              <w:spacing w:after="0"/>
              <w:rPr>
                <w:sz w:val="20"/>
                <w:szCs w:val="20"/>
                <w:color w:val="auto"/>
              </w:rPr>
            </w:pPr>
            <w:r>
              <w:rPr>
                <w:rFonts w:ascii="Verdana" w:cs="Verdana" w:eastAsia="Verdana" w:hAnsi="Verdana"/>
                <w:sz w:val="18"/>
                <w:szCs w:val="18"/>
                <w:color w:val="auto"/>
              </w:rPr>
              <w:t>86</w:t>
            </w:r>
          </w:p>
        </w:tc>
        <w:tc>
          <w:tcPr>
            <w:tcW w:w="100" w:type="dxa"/>
            <w:vAlign w:val="bottom"/>
            <w:shd w:val="clear" w:color="auto" w:fill="E0E7ED"/>
          </w:tcPr>
          <w:p>
            <w:pPr>
              <w:spacing w:after="0"/>
              <w:rPr>
                <w:sz w:val="21"/>
                <w:szCs w:val="21"/>
                <w:color w:val="auto"/>
              </w:rPr>
            </w:pPr>
          </w:p>
        </w:tc>
        <w:tc>
          <w:tcPr>
            <w:tcW w:w="280" w:type="dxa"/>
            <w:vAlign w:val="bottom"/>
            <w:tcBorders>
              <w:bottom w:val="single" w:sz="8" w:color="auto"/>
            </w:tcBorders>
            <w:shd w:val="clear" w:color="auto" w:fill="E0E7ED"/>
          </w:tcPr>
          <w:p>
            <w:pPr>
              <w:spacing w:after="0"/>
              <w:rPr>
                <w:sz w:val="21"/>
                <w:szCs w:val="21"/>
                <w:color w:val="auto"/>
              </w:rPr>
            </w:pPr>
          </w:p>
        </w:tc>
        <w:tc>
          <w:tcPr>
            <w:tcW w:w="120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2,015,986</w:t>
            </w:r>
          </w:p>
        </w:tc>
        <w:tc>
          <w:tcPr>
            <w:tcW w:w="80" w:type="dxa"/>
            <w:vAlign w:val="bottom"/>
            <w:shd w:val="clear" w:color="auto" w:fill="E0E7ED"/>
          </w:tcPr>
          <w:p>
            <w:pPr>
              <w:spacing w:after="0"/>
              <w:rPr>
                <w:sz w:val="21"/>
                <w:szCs w:val="21"/>
                <w:color w:val="auto"/>
              </w:rPr>
            </w:pPr>
          </w:p>
        </w:tc>
        <w:tc>
          <w:tcPr>
            <w:tcW w:w="200" w:type="dxa"/>
            <w:vAlign w:val="bottom"/>
            <w:tcBorders>
              <w:bottom w:val="single" w:sz="8" w:color="auto"/>
            </w:tcBorders>
            <w:shd w:val="clear" w:color="auto" w:fill="E0E7ED"/>
          </w:tcPr>
          <w:p>
            <w:pPr>
              <w:spacing w:after="0"/>
              <w:rPr>
                <w:sz w:val="21"/>
                <w:szCs w:val="21"/>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29,831</w:t>
            </w:r>
          </w:p>
        </w:tc>
        <w:tc>
          <w:tcPr>
            <w:tcW w:w="100" w:type="dxa"/>
            <w:vAlign w:val="bottom"/>
            <w:shd w:val="clear" w:color="auto" w:fill="E0E7ED"/>
          </w:tcPr>
          <w:p>
            <w:pPr>
              <w:spacing w:after="0"/>
              <w:rPr>
                <w:sz w:val="21"/>
                <w:szCs w:val="21"/>
                <w:color w:val="auto"/>
              </w:rPr>
            </w:pPr>
          </w:p>
        </w:tc>
        <w:tc>
          <w:tcPr>
            <w:tcW w:w="200" w:type="dxa"/>
            <w:vAlign w:val="bottom"/>
            <w:tcBorders>
              <w:bottom w:val="single" w:sz="8" w:color="auto"/>
            </w:tcBorders>
            <w:shd w:val="clear" w:color="auto" w:fill="E0E7ED"/>
          </w:tcPr>
          <w:p>
            <w:pPr>
              <w:spacing w:after="0"/>
              <w:rPr>
                <w:sz w:val="21"/>
                <w:szCs w:val="21"/>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25</w:t>
            </w:r>
          </w:p>
        </w:tc>
        <w:tc>
          <w:tcPr>
            <w:tcW w:w="100" w:type="dxa"/>
            <w:vAlign w:val="bottom"/>
            <w:shd w:val="clear" w:color="auto" w:fill="E0E7ED"/>
          </w:tcPr>
          <w:p>
            <w:pPr>
              <w:spacing w:after="0"/>
              <w:rPr>
                <w:sz w:val="21"/>
                <w:szCs w:val="21"/>
                <w:color w:val="auto"/>
              </w:rPr>
            </w:pPr>
          </w:p>
        </w:tc>
        <w:tc>
          <w:tcPr>
            <w:tcW w:w="440" w:type="dxa"/>
            <w:vAlign w:val="bottom"/>
            <w:tcBorders>
              <w:bottom w:val="single" w:sz="8" w:color="auto"/>
            </w:tcBorders>
            <w:shd w:val="clear" w:color="auto" w:fill="E0E7ED"/>
          </w:tcPr>
          <w:p>
            <w:pPr>
              <w:spacing w:after="0"/>
              <w:rPr>
                <w:sz w:val="21"/>
                <w:szCs w:val="21"/>
                <w:color w:val="auto"/>
              </w:rPr>
            </w:pPr>
          </w:p>
        </w:tc>
        <w:tc>
          <w:tcPr>
            <w:tcW w:w="10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29,856</w:t>
            </w:r>
          </w:p>
        </w:tc>
        <w:tc>
          <w:tcPr>
            <w:tcW w:w="0" w:type="dxa"/>
            <w:vAlign w:val="bottom"/>
          </w:tcPr>
          <w:p>
            <w:pPr>
              <w:spacing w:after="0"/>
              <w:rPr>
                <w:sz w:val="1"/>
                <w:szCs w:val="1"/>
                <w:color w:val="auto"/>
              </w:rPr>
            </w:pPr>
          </w:p>
        </w:tc>
      </w:tr>
      <w:tr>
        <w:trPr>
          <w:trHeight w:val="218"/>
        </w:trPr>
        <w:tc>
          <w:tcPr>
            <w:tcW w:w="1940" w:type="dxa"/>
            <w:vAlign w:val="bottom"/>
          </w:tcPr>
          <w:p>
            <w:pPr>
              <w:ind w:left="20"/>
              <w:spacing w:after="0" w:line="217" w:lineRule="exact"/>
              <w:rPr>
                <w:sz w:val="20"/>
                <w:szCs w:val="20"/>
                <w:color w:val="auto"/>
              </w:rPr>
            </w:pPr>
            <w:r>
              <w:rPr>
                <w:rFonts w:ascii="Verdana" w:cs="Verdana" w:eastAsia="Verdana" w:hAnsi="Verdana"/>
                <w:sz w:val="18"/>
                <w:szCs w:val="18"/>
                <w:color w:val="auto"/>
              </w:rPr>
              <w:t>Portfolio loans and</w:t>
            </w:r>
          </w:p>
        </w:tc>
        <w:tc>
          <w:tcPr>
            <w:tcW w:w="200" w:type="dxa"/>
            <w:vAlign w:val="bottom"/>
            <w:vMerge w:val="restart"/>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vMerge w:val="restart"/>
          </w:tcPr>
          <w:p>
            <w:pPr>
              <w:jc w:val="right"/>
              <w:spacing w:after="0"/>
              <w:rPr>
                <w:sz w:val="20"/>
                <w:szCs w:val="20"/>
                <w:color w:val="auto"/>
              </w:rPr>
            </w:pPr>
            <w:r>
              <w:rPr>
                <w:rFonts w:ascii="Verdana" w:cs="Verdana" w:eastAsia="Verdana" w:hAnsi="Verdana"/>
                <w:sz w:val="18"/>
                <w:szCs w:val="18"/>
                <w:color w:val="auto"/>
              </w:rPr>
              <w:t>7,647,883</w:t>
            </w:r>
          </w:p>
        </w:tc>
        <w:tc>
          <w:tcPr>
            <w:tcW w:w="10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Verdana" w:cs="Verdana" w:eastAsia="Verdana" w:hAnsi="Verdana"/>
                <w:sz w:val="18"/>
                <w:szCs w:val="18"/>
                <w:color w:val="auto"/>
              </w:rPr>
              <w:t>$</w:t>
            </w:r>
          </w:p>
        </w:tc>
        <w:tc>
          <w:tcPr>
            <w:tcW w:w="1300" w:type="dxa"/>
            <w:vAlign w:val="bottom"/>
            <w:vMerge w:val="restart"/>
          </w:tcPr>
          <w:p>
            <w:pPr>
              <w:jc w:val="right"/>
              <w:ind w:right="19"/>
              <w:spacing w:after="0"/>
              <w:rPr>
                <w:sz w:val="20"/>
                <w:szCs w:val="20"/>
                <w:color w:val="auto"/>
              </w:rPr>
            </w:pPr>
            <w:r>
              <w:rPr>
                <w:rFonts w:ascii="Verdana" w:cs="Verdana" w:eastAsia="Verdana" w:hAnsi="Verdana"/>
                <w:sz w:val="18"/>
                <w:szCs w:val="18"/>
                <w:color w:val="auto"/>
              </w:rPr>
              <w:t>3,151</w:t>
            </w:r>
          </w:p>
        </w:tc>
        <w:tc>
          <w:tcPr>
            <w:tcW w:w="100" w:type="dxa"/>
            <w:vAlign w:val="bottom"/>
          </w:tcPr>
          <w:p>
            <w:pPr>
              <w:spacing w:after="0"/>
              <w:rPr>
                <w:sz w:val="18"/>
                <w:szCs w:val="18"/>
                <w:color w:val="auto"/>
              </w:rPr>
            </w:pPr>
          </w:p>
        </w:tc>
        <w:tc>
          <w:tcPr>
            <w:tcW w:w="280" w:type="dxa"/>
            <w:vAlign w:val="bottom"/>
            <w:vMerge w:val="restart"/>
          </w:tcPr>
          <w:p>
            <w:pPr>
              <w:jc w:val="right"/>
              <w:ind w:right="70"/>
              <w:spacing w:after="0"/>
              <w:rPr>
                <w:sz w:val="20"/>
                <w:szCs w:val="20"/>
                <w:color w:val="auto"/>
              </w:rPr>
            </w:pPr>
            <w:r>
              <w:rPr>
                <w:rFonts w:ascii="Verdana" w:cs="Verdana" w:eastAsia="Verdana" w:hAnsi="Verdana"/>
                <w:sz w:val="18"/>
                <w:szCs w:val="18"/>
                <w:color w:val="auto"/>
                <w:w w:val="86"/>
              </w:rPr>
              <w:t>$</w:t>
            </w:r>
          </w:p>
        </w:tc>
        <w:tc>
          <w:tcPr>
            <w:tcW w:w="1200" w:type="dxa"/>
            <w:vAlign w:val="bottom"/>
            <w:vMerge w:val="restart"/>
          </w:tcPr>
          <w:p>
            <w:pPr>
              <w:jc w:val="right"/>
              <w:ind w:right="15"/>
              <w:spacing w:after="0"/>
              <w:rPr>
                <w:sz w:val="20"/>
                <w:szCs w:val="20"/>
                <w:color w:val="auto"/>
              </w:rPr>
            </w:pPr>
            <w:r>
              <w:rPr>
                <w:rFonts w:ascii="Verdana" w:cs="Verdana" w:eastAsia="Verdana" w:hAnsi="Verdana"/>
                <w:sz w:val="18"/>
                <w:szCs w:val="18"/>
                <w:color w:val="auto"/>
              </w:rPr>
              <w:t>7,651,034</w:t>
            </w:r>
          </w:p>
        </w:tc>
        <w:tc>
          <w:tcPr>
            <w:tcW w:w="8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vMerge w:val="restart"/>
          </w:tcPr>
          <w:p>
            <w:pPr>
              <w:jc w:val="right"/>
              <w:spacing w:after="0"/>
              <w:rPr>
                <w:sz w:val="20"/>
                <w:szCs w:val="20"/>
                <w:color w:val="auto"/>
              </w:rPr>
            </w:pPr>
            <w:r>
              <w:rPr>
                <w:rFonts w:ascii="Verdana" w:cs="Verdana" w:eastAsia="Verdana" w:hAnsi="Verdana"/>
                <w:sz w:val="18"/>
                <w:szCs w:val="18"/>
                <w:color w:val="auto"/>
              </w:rPr>
              <w:t>90,845</w:t>
            </w:r>
          </w:p>
        </w:tc>
        <w:tc>
          <w:tcPr>
            <w:tcW w:w="10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Verdana" w:cs="Verdana" w:eastAsia="Verdana" w:hAnsi="Verdana"/>
                <w:sz w:val="18"/>
                <w:szCs w:val="18"/>
                <w:color w:val="auto"/>
                <w:w w:val="86"/>
              </w:rPr>
              <w:t>$</w:t>
            </w:r>
          </w:p>
        </w:tc>
        <w:tc>
          <w:tcPr>
            <w:tcW w:w="1260" w:type="dxa"/>
            <w:vAlign w:val="bottom"/>
            <w:vMerge w:val="restart"/>
          </w:tcPr>
          <w:p>
            <w:pPr>
              <w:jc w:val="right"/>
              <w:spacing w:after="0"/>
              <w:rPr>
                <w:sz w:val="20"/>
                <w:szCs w:val="20"/>
                <w:color w:val="auto"/>
              </w:rPr>
            </w:pPr>
            <w:r>
              <w:rPr>
                <w:rFonts w:ascii="Verdana" w:cs="Verdana" w:eastAsia="Verdana" w:hAnsi="Verdana"/>
                <w:sz w:val="18"/>
                <w:szCs w:val="18"/>
                <w:color w:val="auto"/>
              </w:rPr>
              <w:t>895</w:t>
            </w:r>
          </w:p>
        </w:tc>
        <w:tc>
          <w:tcPr>
            <w:tcW w:w="100" w:type="dxa"/>
            <w:vAlign w:val="bottom"/>
          </w:tcPr>
          <w:p>
            <w:pPr>
              <w:spacing w:after="0"/>
              <w:rPr>
                <w:sz w:val="18"/>
                <w:szCs w:val="18"/>
                <w:color w:val="auto"/>
              </w:rPr>
            </w:pPr>
          </w:p>
        </w:tc>
        <w:tc>
          <w:tcPr>
            <w:tcW w:w="440" w:type="dxa"/>
            <w:vAlign w:val="bottom"/>
            <w:vMerge w:val="restart"/>
          </w:tcPr>
          <w:p>
            <w:pPr>
              <w:jc w:val="right"/>
              <w:ind w:right="210"/>
              <w:spacing w:after="0"/>
              <w:rPr>
                <w:sz w:val="20"/>
                <w:szCs w:val="20"/>
                <w:color w:val="auto"/>
              </w:rPr>
            </w:pPr>
            <w:r>
              <w:rPr>
                <w:rFonts w:ascii="Verdana" w:cs="Verdana" w:eastAsia="Verdana" w:hAnsi="Verdana"/>
                <w:sz w:val="18"/>
                <w:szCs w:val="18"/>
                <w:color w:val="auto"/>
              </w:rPr>
              <w:t>$</w:t>
            </w:r>
          </w:p>
        </w:tc>
        <w:tc>
          <w:tcPr>
            <w:tcW w:w="1020" w:type="dxa"/>
            <w:vAlign w:val="bottom"/>
            <w:vMerge w:val="restart"/>
          </w:tcPr>
          <w:p>
            <w:pPr>
              <w:jc w:val="right"/>
              <w:spacing w:after="0"/>
              <w:rPr>
                <w:sz w:val="20"/>
                <w:szCs w:val="20"/>
                <w:color w:val="auto"/>
              </w:rPr>
            </w:pPr>
            <w:r>
              <w:rPr>
                <w:rFonts w:ascii="Verdana" w:cs="Verdana" w:eastAsia="Verdana" w:hAnsi="Verdana"/>
                <w:sz w:val="18"/>
                <w:szCs w:val="18"/>
                <w:color w:val="auto"/>
              </w:rPr>
              <w:t>91,740</w:t>
            </w:r>
          </w:p>
        </w:tc>
        <w:tc>
          <w:tcPr>
            <w:tcW w:w="0" w:type="dxa"/>
            <w:vAlign w:val="bottom"/>
          </w:tcPr>
          <w:p>
            <w:pPr>
              <w:spacing w:after="0"/>
              <w:rPr>
                <w:sz w:val="1"/>
                <w:szCs w:val="1"/>
                <w:color w:val="auto"/>
              </w:rPr>
            </w:pPr>
          </w:p>
        </w:tc>
      </w:tr>
      <w:tr>
        <w:trPr>
          <w:trHeight w:val="226"/>
        </w:trPr>
        <w:tc>
          <w:tcPr>
            <w:tcW w:w="1940" w:type="dxa"/>
            <w:vAlign w:val="bottom"/>
          </w:tcPr>
          <w:p>
            <w:pPr>
              <w:ind w:left="20"/>
              <w:spacing w:after="0"/>
              <w:rPr>
                <w:sz w:val="20"/>
                <w:szCs w:val="20"/>
                <w:color w:val="auto"/>
              </w:rPr>
            </w:pPr>
            <w:r>
              <w:rPr>
                <w:rFonts w:ascii="Verdana" w:cs="Verdana" w:eastAsia="Verdana" w:hAnsi="Verdana"/>
                <w:sz w:val="18"/>
                <w:szCs w:val="18"/>
                <w:color w:val="auto"/>
              </w:rPr>
              <w:t>related ACL</w:t>
            </w:r>
          </w:p>
        </w:tc>
        <w:tc>
          <w:tcPr>
            <w:tcW w:w="20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5. LEASES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Busey as the Lessee</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Busey has operating leases consisting primarily of equipment leases and real estate leases for banking centers, ATM locations, and office space. The following table summarizes lease-related balances that Busey reported on its </w:t>
      </w:r>
      <w:r>
        <w:rPr>
          <w:rFonts w:ascii="Verdana" w:cs="Verdana" w:eastAsia="Verdana" w:hAnsi="Verdana"/>
          <w:sz w:val="18"/>
          <w:szCs w:val="18"/>
          <w:u w:val="single" w:color="auto"/>
          <w:color w:val="0000FF"/>
        </w:rPr>
        <w:t>Consolidated</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0000FF"/>
        </w:rPr>
        <w:t>Balance Sheets (Unaudited)</w:t>
      </w:r>
      <w:r>
        <w:rPr>
          <w:rFonts w:ascii="Verdana" w:cs="Verdana" w:eastAsia="Verdana" w:hAnsi="Verdana"/>
          <w:sz w:val="18"/>
          <w:szCs w:val="18"/>
          <w:color w:val="0000FF"/>
        </w:rPr>
        <w:t xml:space="preserve"> </w:t>
      </w:r>
      <w:r>
        <w:rPr>
          <w:rFonts w:ascii="Verdana" w:cs="Verdana" w:eastAsia="Verdana" w:hAnsi="Verdana"/>
          <w:sz w:val="18"/>
          <w:szCs w:val="18"/>
          <w:i w:val="1"/>
          <w:iCs w:val="1"/>
          <w:color w:val="000000"/>
        </w:rPr>
        <w:t>(dollars in thousands)</w:t>
      </w:r>
      <w:r>
        <w:rPr>
          <w:rFonts w:ascii="Verdana" w:cs="Verdana" w:eastAsia="Verdana" w:hAnsi="Verdana"/>
          <w:sz w:val="18"/>
          <w:szCs w:val="18"/>
          <w:color w:val="0000FF"/>
        </w:rPr>
        <w:t xml:space="preserve"> </w:t>
      </w:r>
      <w:r>
        <w:rPr>
          <w:rFonts w:ascii="Verdana" w:cs="Verdana" w:eastAsia="Verdana" w:hAnsi="Verdana"/>
          <w:sz w:val="18"/>
          <w:szCs w:val="18"/>
          <w:color w:val="000000"/>
        </w:rPr>
        <w:t>and lease terms: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10"/>
              <w:spacing w:after="0"/>
              <w:rPr>
                <w:sz w:val="20"/>
                <w:szCs w:val="20"/>
                <w:color w:val="auto"/>
              </w:rPr>
            </w:pPr>
            <w:r>
              <w:rPr>
                <w:rFonts w:ascii="Verdana" w:cs="Verdana" w:eastAsia="Verdana" w:hAnsi="Verdana"/>
                <w:sz w:val="13"/>
                <w:szCs w:val="13"/>
                <w:b w:val="1"/>
                <w:bCs w:val="1"/>
                <w:color w:val="auto"/>
              </w:rPr>
              <w:t>As of</w:t>
            </w:r>
          </w:p>
        </w:tc>
        <w:tc>
          <w:tcPr>
            <w:tcW w:w="1440" w:type="dxa"/>
            <w:vAlign w:val="bottom"/>
            <w:tcBorders>
              <w:bottom w:val="single" w:sz="8" w:color="auto"/>
            </w:tcBorders>
          </w:tcPr>
          <w:p>
            <w:pPr>
              <w:spacing w:after="0"/>
              <w:rPr>
                <w:sz w:val="15"/>
                <w:szCs w:val="15"/>
                <w:color w:val="auto"/>
              </w:rPr>
            </w:pPr>
          </w:p>
        </w:tc>
      </w:tr>
      <w:tr>
        <w:trPr>
          <w:trHeight w:val="122"/>
        </w:trPr>
        <w:tc>
          <w:tcPr>
            <w:tcW w:w="7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40" w:type="dxa"/>
            <w:vAlign w:val="bottom"/>
            <w:gridSpan w:val="2"/>
          </w:tcPr>
          <w:p>
            <w:pPr>
              <w:ind w:left="100"/>
              <w:spacing w:after="0" w:line="122" w:lineRule="exact"/>
              <w:rPr>
                <w:sz w:val="20"/>
                <w:szCs w:val="20"/>
                <w:color w:val="auto"/>
              </w:rPr>
            </w:pPr>
            <w:r>
              <w:rPr>
                <w:rFonts w:ascii="Verdana" w:cs="Verdana" w:eastAsia="Verdana" w:hAnsi="Verdana"/>
                <w:sz w:val="13"/>
                <w:szCs w:val="13"/>
                <w:b w:val="1"/>
                <w:bCs w:val="1"/>
                <w:color w:val="auto"/>
              </w:rPr>
              <w:t>September 30,</w:t>
            </w:r>
          </w:p>
        </w:tc>
        <w:tc>
          <w:tcPr>
            <w:tcW w:w="240" w:type="dxa"/>
            <w:vAlign w:val="bottom"/>
          </w:tcPr>
          <w:p>
            <w:pPr>
              <w:spacing w:after="0"/>
              <w:rPr>
                <w:sz w:val="10"/>
                <w:szCs w:val="10"/>
                <w:color w:val="auto"/>
              </w:rPr>
            </w:pPr>
          </w:p>
        </w:tc>
        <w:tc>
          <w:tcPr>
            <w:tcW w:w="1440" w:type="dxa"/>
            <w:vAlign w:val="bottom"/>
          </w:tcPr>
          <w:p>
            <w:pPr>
              <w:jc w:val="right"/>
              <w:ind w:right="258"/>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7800" w:type="dxa"/>
            <w:vAlign w:val="bottom"/>
            <w:tcBorders>
              <w:bottom w:val="single" w:sz="8" w:color="E0E7ED"/>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580"/>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578"/>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78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Lease balances</w:t>
            </w:r>
          </w:p>
        </w:tc>
        <w:tc>
          <w:tcPr>
            <w:tcW w:w="220" w:type="dxa"/>
            <w:vAlign w:val="bottom"/>
            <w:shd w:val="clear" w:color="auto" w:fill="E0E7ED"/>
          </w:tcPr>
          <w:p>
            <w:pPr>
              <w:spacing w:after="0"/>
              <w:rPr>
                <w:sz w:val="22"/>
                <w:szCs w:val="22"/>
                <w:color w:val="auto"/>
              </w:rPr>
            </w:pPr>
          </w:p>
        </w:tc>
        <w:tc>
          <w:tcPr>
            <w:tcW w:w="146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40" w:type="dxa"/>
            <w:vAlign w:val="bottom"/>
            <w:shd w:val="clear" w:color="auto" w:fill="E0E7ED"/>
          </w:tcPr>
          <w:p>
            <w:pPr>
              <w:spacing w:after="0"/>
              <w:rPr>
                <w:sz w:val="22"/>
                <w:szCs w:val="22"/>
                <w:color w:val="auto"/>
              </w:rPr>
            </w:pPr>
          </w:p>
        </w:tc>
        <w:tc>
          <w:tcPr>
            <w:tcW w:w="1440" w:type="dxa"/>
            <w:vAlign w:val="bottom"/>
            <w:shd w:val="clear" w:color="auto" w:fill="E0E7ED"/>
          </w:tcPr>
          <w:p>
            <w:pPr>
              <w:spacing w:after="0"/>
              <w:rPr>
                <w:sz w:val="22"/>
                <w:szCs w:val="22"/>
                <w:color w:val="auto"/>
              </w:rPr>
            </w:pPr>
          </w:p>
        </w:tc>
      </w:tr>
      <w:tr>
        <w:trPr>
          <w:trHeight w:val="263"/>
        </w:trPr>
        <w:tc>
          <w:tcPr>
            <w:tcW w:w="7800" w:type="dxa"/>
            <w:vAlign w:val="bottom"/>
          </w:tcPr>
          <w:p>
            <w:pPr>
              <w:ind w:left="180"/>
              <w:spacing w:after="0"/>
              <w:rPr>
                <w:sz w:val="20"/>
                <w:szCs w:val="20"/>
                <w:color w:val="auto"/>
              </w:rPr>
            </w:pPr>
            <w:r>
              <w:rPr>
                <w:rFonts w:ascii="Verdana" w:cs="Verdana" w:eastAsia="Verdana" w:hAnsi="Verdana"/>
                <w:sz w:val="18"/>
                <w:szCs w:val="18"/>
                <w:color w:val="auto"/>
              </w:rPr>
              <w:t>Right of use assets</w:t>
            </w: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460" w:type="dxa"/>
            <w:vAlign w:val="bottom"/>
          </w:tcPr>
          <w:p>
            <w:pPr>
              <w:jc w:val="right"/>
              <w:ind w:right="200"/>
              <w:spacing w:after="0"/>
              <w:rPr>
                <w:sz w:val="20"/>
                <w:szCs w:val="20"/>
                <w:color w:val="auto"/>
              </w:rPr>
            </w:pPr>
            <w:r>
              <w:rPr>
                <w:rFonts w:ascii="Verdana" w:cs="Verdana" w:eastAsia="Verdana" w:hAnsi="Verdana"/>
                <w:sz w:val="18"/>
                <w:szCs w:val="18"/>
                <w:color w:val="auto"/>
              </w:rPr>
              <w:t>11,100</w:t>
            </w:r>
          </w:p>
        </w:tc>
        <w:tc>
          <w:tcPr>
            <w:tcW w:w="8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440" w:type="dxa"/>
            <w:vAlign w:val="bottom"/>
          </w:tcPr>
          <w:p>
            <w:pPr>
              <w:jc w:val="right"/>
              <w:ind w:right="198"/>
              <w:spacing w:after="0"/>
              <w:rPr>
                <w:sz w:val="20"/>
                <w:szCs w:val="20"/>
                <w:color w:val="auto"/>
              </w:rPr>
            </w:pPr>
            <w:r>
              <w:rPr>
                <w:rFonts w:ascii="Verdana" w:cs="Verdana" w:eastAsia="Verdana" w:hAnsi="Verdana"/>
                <w:sz w:val="18"/>
                <w:szCs w:val="18"/>
                <w:color w:val="auto"/>
              </w:rPr>
              <w:t>11,027</w:t>
            </w:r>
          </w:p>
        </w:tc>
      </w:tr>
      <w:tr>
        <w:trPr>
          <w:trHeight w:val="277"/>
        </w:trPr>
        <w:tc>
          <w:tcPr>
            <w:tcW w:w="78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Lease liabilities</w:t>
            </w:r>
          </w:p>
        </w:tc>
        <w:tc>
          <w:tcPr>
            <w:tcW w:w="220" w:type="dxa"/>
            <w:vAlign w:val="bottom"/>
            <w:shd w:val="clear" w:color="auto" w:fill="E0E7ED"/>
          </w:tcPr>
          <w:p>
            <w:pPr>
              <w:spacing w:after="0"/>
              <w:rPr>
                <w:sz w:val="24"/>
                <w:szCs w:val="24"/>
                <w:color w:val="auto"/>
              </w:rPr>
            </w:pPr>
          </w:p>
        </w:tc>
        <w:tc>
          <w:tcPr>
            <w:tcW w:w="1460" w:type="dxa"/>
            <w:vAlign w:val="bottom"/>
            <w:shd w:val="clear" w:color="auto" w:fill="E0E7ED"/>
          </w:tcPr>
          <w:p>
            <w:pPr>
              <w:jc w:val="right"/>
              <w:ind w:right="200"/>
              <w:spacing w:after="0"/>
              <w:rPr>
                <w:sz w:val="20"/>
                <w:szCs w:val="20"/>
                <w:color w:val="auto"/>
              </w:rPr>
            </w:pPr>
            <w:r>
              <w:rPr>
                <w:rFonts w:ascii="Verdana" w:cs="Verdana" w:eastAsia="Verdana" w:hAnsi="Verdana"/>
                <w:sz w:val="18"/>
                <w:szCs w:val="18"/>
                <w:color w:val="auto"/>
              </w:rPr>
              <w:t>11,470</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jc w:val="right"/>
              <w:ind w:right="198"/>
              <w:spacing w:after="0"/>
              <w:rPr>
                <w:sz w:val="20"/>
                <w:szCs w:val="20"/>
                <w:color w:val="auto"/>
              </w:rPr>
            </w:pPr>
            <w:r>
              <w:rPr>
                <w:rFonts w:ascii="Verdana" w:cs="Verdana" w:eastAsia="Verdana" w:hAnsi="Verdana"/>
                <w:sz w:val="18"/>
                <w:szCs w:val="18"/>
                <w:color w:val="auto"/>
              </w:rPr>
              <w:t>11,308</w:t>
            </w:r>
          </w:p>
        </w:tc>
      </w:tr>
      <w:tr>
        <w:trPr>
          <w:trHeight w:val="270"/>
        </w:trPr>
        <w:tc>
          <w:tcPr>
            <w:tcW w:w="7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78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Lease terms</w:t>
            </w:r>
          </w:p>
        </w:tc>
        <w:tc>
          <w:tcPr>
            <w:tcW w:w="220" w:type="dxa"/>
            <w:vAlign w:val="bottom"/>
            <w:shd w:val="clear" w:color="auto" w:fill="E0E7ED"/>
          </w:tcPr>
          <w:p>
            <w:pPr>
              <w:spacing w:after="0"/>
              <w:rPr>
                <w:sz w:val="23"/>
                <w:szCs w:val="23"/>
                <w:color w:val="auto"/>
              </w:rPr>
            </w:pPr>
          </w:p>
        </w:tc>
        <w:tc>
          <w:tcPr>
            <w:tcW w:w="146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440" w:type="dxa"/>
            <w:vAlign w:val="bottom"/>
            <w:shd w:val="clear" w:color="auto" w:fill="E0E7ED"/>
          </w:tcPr>
          <w:p>
            <w:pPr>
              <w:spacing w:after="0"/>
              <w:rPr>
                <w:sz w:val="23"/>
                <w:szCs w:val="23"/>
                <w:color w:val="auto"/>
              </w:rPr>
            </w:pPr>
          </w:p>
        </w:tc>
      </w:tr>
      <w:tr>
        <w:trPr>
          <w:trHeight w:val="263"/>
        </w:trPr>
        <w:tc>
          <w:tcPr>
            <w:tcW w:w="7800" w:type="dxa"/>
            <w:vAlign w:val="bottom"/>
          </w:tcPr>
          <w:p>
            <w:pPr>
              <w:ind w:left="180"/>
              <w:spacing w:after="0"/>
              <w:rPr>
                <w:sz w:val="20"/>
                <w:szCs w:val="20"/>
                <w:color w:val="auto"/>
              </w:rPr>
            </w:pPr>
            <w:r>
              <w:rPr>
                <w:rFonts w:ascii="Verdana" w:cs="Verdana" w:eastAsia="Verdana" w:hAnsi="Verdana"/>
                <w:sz w:val="18"/>
                <w:szCs w:val="18"/>
                <w:color w:val="auto"/>
              </w:rPr>
              <w:t>Year through which lease terms extend</w:t>
            </w: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Verdana" w:cs="Verdana" w:eastAsia="Verdana" w:hAnsi="Verdana"/>
                <w:sz w:val="18"/>
                <w:szCs w:val="18"/>
                <w:color w:val="auto"/>
              </w:rPr>
              <w:t>2037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Verdana" w:cs="Verdana" w:eastAsia="Verdana" w:hAnsi="Verdana"/>
                <w:sz w:val="18"/>
                <w:szCs w:val="18"/>
                <w:color w:val="auto"/>
              </w:rPr>
              <w:t>2037</w:t>
            </w:r>
          </w:p>
        </w:tc>
      </w:tr>
      <w:tr>
        <w:trPr>
          <w:trHeight w:val="277"/>
        </w:trPr>
        <w:tc>
          <w:tcPr>
            <w:tcW w:w="78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Weighted average remaining lease term</w:t>
            </w:r>
          </w:p>
        </w:tc>
        <w:tc>
          <w:tcPr>
            <w:tcW w:w="220" w:type="dxa"/>
            <w:vAlign w:val="bottom"/>
            <w:shd w:val="clear" w:color="auto" w:fill="E0E7ED"/>
          </w:tcPr>
          <w:p>
            <w:pPr>
              <w:spacing w:after="0"/>
              <w:rPr>
                <w:sz w:val="24"/>
                <w:szCs w:val="24"/>
                <w:color w:val="auto"/>
              </w:rPr>
            </w:pPr>
          </w:p>
        </w:tc>
        <w:tc>
          <w:tcPr>
            <w:tcW w:w="1540" w:type="dxa"/>
            <w:vAlign w:val="bottom"/>
            <w:gridSpan w:val="2"/>
            <w:shd w:val="clear" w:color="auto" w:fill="E0E7ED"/>
          </w:tcPr>
          <w:p>
            <w:pPr>
              <w:jc w:val="right"/>
              <w:ind w:right="100"/>
              <w:spacing w:after="0"/>
              <w:rPr>
                <w:sz w:val="20"/>
                <w:szCs w:val="20"/>
                <w:color w:val="auto"/>
              </w:rPr>
            </w:pPr>
            <w:r>
              <w:rPr>
                <w:rFonts w:ascii="Verdana" w:cs="Verdana" w:eastAsia="Verdana" w:hAnsi="Verdana"/>
                <w:sz w:val="18"/>
                <w:szCs w:val="18"/>
                <w:color w:val="auto"/>
              </w:rPr>
              <w:t>7.62 years</w:t>
            </w: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8.39 years</w:t>
            </w:r>
          </w:p>
        </w:tc>
      </w:tr>
      <w:tr>
        <w:trPr>
          <w:trHeight w:val="257"/>
        </w:trPr>
        <w:tc>
          <w:tcPr>
            <w:tcW w:w="7800" w:type="dxa"/>
            <w:vAlign w:val="bottom"/>
          </w:tcPr>
          <w:p>
            <w:pPr>
              <w:ind w:left="180"/>
              <w:spacing w:after="0"/>
              <w:rPr>
                <w:sz w:val="20"/>
                <w:szCs w:val="20"/>
                <w:color w:val="auto"/>
              </w:rPr>
            </w:pPr>
            <w:r>
              <w:rPr>
                <w:rFonts w:ascii="Verdana" w:cs="Verdana" w:eastAsia="Verdana" w:hAnsi="Verdana"/>
                <w:sz w:val="18"/>
                <w:szCs w:val="18"/>
                <w:color w:val="auto"/>
              </w:rPr>
              <w:t>Weighted average discount rate</w:t>
            </w: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Verdana" w:cs="Verdana" w:eastAsia="Verdana" w:hAnsi="Verdana"/>
                <w:sz w:val="18"/>
                <w:szCs w:val="18"/>
                <w:color w:val="auto"/>
              </w:rPr>
              <w:t>3.74 %</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Verdana" w:cs="Verdana" w:eastAsia="Verdana" w:hAnsi="Verdana"/>
                <w:sz w:val="18"/>
                <w:szCs w:val="18"/>
                <w:color w:val="auto"/>
              </w:rPr>
              <w:t>3.59 %</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38" w:name="page39"/>
    <w:bookmarkEnd w:id="38"/>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 xml:space="preserve">The following table presents lease costs, which are included in net occupancy and equipment expense in the </w:t>
      </w:r>
      <w:r>
        <w:rPr>
          <w:rFonts w:ascii="Verdana" w:cs="Verdana" w:eastAsia="Verdana" w:hAnsi="Verdana"/>
          <w:sz w:val="18"/>
          <w:szCs w:val="18"/>
          <w:u w:val="single" w:color="auto"/>
          <w:color w:val="0000FF"/>
        </w:rPr>
        <w:t>Consolidated</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0000FF"/>
        </w:rPr>
        <w:t>Statements of Income (Unaudited)</w:t>
      </w:r>
      <w:r>
        <w:rPr>
          <w:rFonts w:ascii="Verdana" w:cs="Verdana" w:eastAsia="Verdana" w:hAnsi="Verdana"/>
          <w:sz w:val="18"/>
          <w:szCs w:val="18"/>
          <w:color w:val="000000"/>
        </w:rPr>
        <w:t>, and lease-related cash flows</w:t>
      </w:r>
      <w:r>
        <w:rPr>
          <w:rFonts w:ascii="Verdana" w:cs="Verdana" w:eastAsia="Verdana" w:hAnsi="Verdana"/>
          <w:sz w:val="18"/>
          <w:szCs w:val="18"/>
          <w:color w:val="0000FF"/>
        </w:rPr>
        <w:t xml:space="preserve"> </w:t>
      </w:r>
      <w:r>
        <w:rPr>
          <w:rFonts w:ascii="Verdana" w:cs="Verdana" w:eastAsia="Verdana" w:hAnsi="Verdana"/>
          <w:sz w:val="18"/>
          <w:szCs w:val="18"/>
          <w:i w:val="1"/>
          <w:iCs w:val="1"/>
          <w:color w:val="000000"/>
        </w:rPr>
        <w:t>(dollars in thousands)</w:t>
      </w:r>
      <w:r>
        <w:rPr>
          <w:rFonts w:ascii="Verdana" w:cs="Verdana" w:eastAsia="Verdana" w:hAnsi="Verdana"/>
          <w:sz w:val="18"/>
          <w:szCs w:val="18"/>
          <w:color w:val="000000"/>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3160" w:type="dxa"/>
            <w:vAlign w:val="bottom"/>
            <w:gridSpan w:val="6"/>
          </w:tcPr>
          <w:p>
            <w:pPr>
              <w:ind w:left="280"/>
              <w:spacing w:after="0"/>
              <w:rPr>
                <w:sz w:val="20"/>
                <w:szCs w:val="20"/>
                <w:color w:val="auto"/>
              </w:rPr>
            </w:pPr>
            <w:r>
              <w:rPr>
                <w:rFonts w:ascii="Verdana" w:cs="Verdana" w:eastAsia="Verdana" w:hAnsi="Verdana"/>
                <w:sz w:val="13"/>
                <w:szCs w:val="13"/>
                <w:b w:val="1"/>
                <w:bCs w:val="1"/>
                <w:color w:val="auto"/>
              </w:rPr>
              <w:t>Three Months Ended September 30,</w:t>
            </w:r>
          </w:p>
        </w:tc>
        <w:tc>
          <w:tcPr>
            <w:tcW w:w="240" w:type="dxa"/>
            <w:vAlign w:val="bottom"/>
          </w:tcPr>
          <w:p>
            <w:pPr>
              <w:spacing w:after="0"/>
              <w:rPr>
                <w:sz w:val="15"/>
                <w:szCs w:val="15"/>
                <w:color w:val="auto"/>
              </w:rPr>
            </w:pPr>
          </w:p>
        </w:tc>
        <w:tc>
          <w:tcPr>
            <w:tcW w:w="2860" w:type="dxa"/>
            <w:vAlign w:val="bottom"/>
            <w:gridSpan w:val="4"/>
          </w:tcPr>
          <w:p>
            <w:pPr>
              <w:jc w:val="right"/>
              <w:ind w:right="233"/>
              <w:spacing w:after="0"/>
              <w:rPr>
                <w:sz w:val="20"/>
                <w:szCs w:val="20"/>
                <w:color w:val="auto"/>
              </w:rPr>
            </w:pPr>
            <w:r>
              <w:rPr>
                <w:rFonts w:ascii="Verdana" w:cs="Verdana" w:eastAsia="Verdana" w:hAnsi="Verdana"/>
                <w:sz w:val="13"/>
                <w:szCs w:val="13"/>
                <w:b w:val="1"/>
                <w:bCs w:val="1"/>
                <w:color w:val="auto"/>
                <w:w w:val="99"/>
              </w:rPr>
              <w:t>Nine Months Ended September 30,</w:t>
            </w:r>
          </w:p>
        </w:tc>
      </w:tr>
      <w:tr>
        <w:trPr>
          <w:trHeight w:val="170"/>
        </w:trPr>
        <w:tc>
          <w:tcPr>
            <w:tcW w:w="4980" w:type="dxa"/>
            <w:vAlign w:val="bottom"/>
            <w:tcBorders>
              <w:bottom w:val="single" w:sz="8" w:color="E0E7ED"/>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b w:val="1"/>
                <w:bCs w:val="1"/>
                <w:color w:val="auto"/>
              </w:rPr>
              <w:t>2024</w:t>
            </w:r>
          </w:p>
        </w:tc>
        <w:tc>
          <w:tcPr>
            <w:tcW w:w="5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E0E7ED"/>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93"/>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E0E7ED"/>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476"/>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93"/>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49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Lease costs</w:t>
            </w:r>
          </w:p>
        </w:tc>
        <w:tc>
          <w:tcPr>
            <w:tcW w:w="980" w:type="dxa"/>
            <w:vAlign w:val="bottom"/>
            <w:shd w:val="clear" w:color="auto" w:fill="E0E7ED"/>
          </w:tcPr>
          <w:p>
            <w:pPr>
              <w:spacing w:after="0"/>
              <w:rPr>
                <w:sz w:val="22"/>
                <w:szCs w:val="22"/>
                <w:color w:val="auto"/>
              </w:rPr>
            </w:pPr>
          </w:p>
        </w:tc>
        <w:tc>
          <w:tcPr>
            <w:tcW w:w="50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40" w:type="dxa"/>
            <w:vAlign w:val="bottom"/>
            <w:shd w:val="clear" w:color="auto" w:fill="E0E7ED"/>
          </w:tcPr>
          <w:p>
            <w:pPr>
              <w:spacing w:after="0"/>
              <w:rPr>
                <w:sz w:val="22"/>
                <w:szCs w:val="22"/>
                <w:color w:val="auto"/>
              </w:rPr>
            </w:pPr>
          </w:p>
        </w:tc>
        <w:tc>
          <w:tcPr>
            <w:tcW w:w="116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40" w:type="dxa"/>
            <w:vAlign w:val="bottom"/>
            <w:shd w:val="clear" w:color="auto" w:fill="E0E7ED"/>
          </w:tcPr>
          <w:p>
            <w:pPr>
              <w:spacing w:after="0"/>
              <w:rPr>
                <w:sz w:val="22"/>
                <w:szCs w:val="22"/>
                <w:color w:val="auto"/>
              </w:rPr>
            </w:pPr>
          </w:p>
        </w:tc>
        <w:tc>
          <w:tcPr>
            <w:tcW w:w="12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1140" w:type="dxa"/>
            <w:vAlign w:val="bottom"/>
            <w:shd w:val="clear" w:color="auto" w:fill="E0E7ED"/>
          </w:tcPr>
          <w:p>
            <w:pPr>
              <w:spacing w:after="0"/>
              <w:rPr>
                <w:sz w:val="22"/>
                <w:szCs w:val="22"/>
                <w:color w:val="auto"/>
              </w:rPr>
            </w:pP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Operating lease costs</w:t>
            </w:r>
          </w:p>
        </w:tc>
        <w:tc>
          <w:tcPr>
            <w:tcW w:w="980" w:type="dxa"/>
            <w:vAlign w:val="bottom"/>
          </w:tcPr>
          <w:p>
            <w:pPr>
              <w:jc w:val="right"/>
              <w:ind w:right="781"/>
              <w:spacing w:after="0"/>
              <w:rPr>
                <w:sz w:val="20"/>
                <w:szCs w:val="20"/>
                <w:color w:val="auto"/>
              </w:rPr>
            </w:pPr>
            <w:r>
              <w:rPr>
                <w:rFonts w:ascii="Verdana" w:cs="Verdana" w:eastAsia="Verdana" w:hAnsi="Verdana"/>
                <w:sz w:val="18"/>
                <w:szCs w:val="18"/>
                <w:color w:val="auto"/>
                <w:w w:val="86"/>
              </w:rPr>
              <w:t>$</w:t>
            </w:r>
          </w:p>
        </w:tc>
        <w:tc>
          <w:tcPr>
            <w:tcW w:w="500" w:type="dxa"/>
            <w:vAlign w:val="bottom"/>
          </w:tcPr>
          <w:p>
            <w:pPr>
              <w:jc w:val="right"/>
              <w:spacing w:after="0"/>
              <w:rPr>
                <w:sz w:val="20"/>
                <w:szCs w:val="20"/>
                <w:color w:val="auto"/>
              </w:rPr>
            </w:pPr>
            <w:r>
              <w:rPr>
                <w:rFonts w:ascii="Verdana" w:cs="Verdana" w:eastAsia="Verdana" w:hAnsi="Verdana"/>
                <w:sz w:val="18"/>
                <w:szCs w:val="18"/>
                <w:color w:val="auto"/>
              </w:rPr>
              <w:t>608</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tcPr>
          <w:p>
            <w:pPr>
              <w:jc w:val="right"/>
              <w:ind w:right="13"/>
              <w:spacing w:after="0"/>
              <w:rPr>
                <w:sz w:val="20"/>
                <w:szCs w:val="20"/>
                <w:color w:val="auto"/>
              </w:rPr>
            </w:pPr>
            <w:r>
              <w:rPr>
                <w:rFonts w:ascii="Verdana" w:cs="Verdana" w:eastAsia="Verdana" w:hAnsi="Verdana"/>
                <w:sz w:val="18"/>
                <w:szCs w:val="18"/>
                <w:color w:val="auto"/>
              </w:rPr>
              <w:t>615</w:t>
            </w:r>
          </w:p>
        </w:tc>
        <w:tc>
          <w:tcPr>
            <w:tcW w:w="8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spacing w:after="0"/>
              <w:rPr>
                <w:sz w:val="20"/>
                <w:szCs w:val="20"/>
                <w:color w:val="auto"/>
              </w:rPr>
            </w:pPr>
            <w:r>
              <w:rPr>
                <w:rFonts w:ascii="Verdana" w:cs="Verdana" w:eastAsia="Verdana" w:hAnsi="Verdana"/>
                <w:sz w:val="18"/>
                <w:szCs w:val="18"/>
                <w:color w:val="auto"/>
              </w:rPr>
              <w:t>1,702</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Pr>
          <w:p>
            <w:pPr>
              <w:jc w:val="right"/>
              <w:ind w:right="13"/>
              <w:spacing w:after="0"/>
              <w:rPr>
                <w:sz w:val="20"/>
                <w:szCs w:val="20"/>
                <w:color w:val="auto"/>
              </w:rPr>
            </w:pPr>
            <w:r>
              <w:rPr>
                <w:rFonts w:ascii="Verdana" w:cs="Verdana" w:eastAsia="Verdana" w:hAnsi="Verdana"/>
                <w:sz w:val="18"/>
                <w:szCs w:val="18"/>
                <w:color w:val="auto"/>
              </w:rPr>
              <w:t>1,836</w:t>
            </w:r>
          </w:p>
        </w:tc>
      </w:tr>
      <w:tr>
        <w:trPr>
          <w:trHeight w:val="277"/>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Variable lease costs</w:t>
            </w:r>
          </w:p>
        </w:tc>
        <w:tc>
          <w:tcPr>
            <w:tcW w:w="980" w:type="dxa"/>
            <w:vAlign w:val="bottom"/>
            <w:shd w:val="clear" w:color="auto" w:fill="E0E7ED"/>
          </w:tcPr>
          <w:p>
            <w:pPr>
              <w:spacing w:after="0"/>
              <w:rPr>
                <w:sz w:val="24"/>
                <w:szCs w:val="24"/>
                <w:color w:val="auto"/>
              </w:rPr>
            </w:pPr>
          </w:p>
        </w:tc>
        <w:tc>
          <w:tcPr>
            <w:tcW w:w="5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16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9</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43</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27</w:t>
            </w:r>
          </w:p>
        </w:tc>
      </w:tr>
      <w:tr>
        <w:trPr>
          <w:trHeight w:val="264"/>
        </w:trPr>
        <w:tc>
          <w:tcPr>
            <w:tcW w:w="498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Short-term lease costs</w:t>
            </w: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12</w:t>
            </w:r>
          </w:p>
        </w:tc>
        <w:tc>
          <w:tcPr>
            <w:tcW w:w="10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15</w:t>
            </w:r>
          </w:p>
        </w:tc>
        <w:tc>
          <w:tcPr>
            <w:tcW w:w="80" w:type="dxa"/>
            <w:vAlign w:val="bottom"/>
            <w:tcBorders>
              <w:bottom w:val="single" w:sz="8" w:color="E0E7ED"/>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70</w:t>
            </w:r>
          </w:p>
        </w:tc>
        <w:tc>
          <w:tcPr>
            <w:tcW w:w="100" w:type="dxa"/>
            <w:vAlign w:val="bottom"/>
            <w:tcBorders>
              <w:bottom w:val="single" w:sz="8" w:color="E0E7E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37</w:t>
            </w:r>
          </w:p>
        </w:tc>
      </w:tr>
      <w:tr>
        <w:trPr>
          <w:trHeight w:val="295"/>
        </w:trPr>
        <w:tc>
          <w:tcPr>
            <w:tcW w:w="498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lease cost</w:t>
            </w:r>
          </w:p>
        </w:tc>
        <w:tc>
          <w:tcPr>
            <w:tcW w:w="980" w:type="dxa"/>
            <w:vAlign w:val="bottom"/>
            <w:tcBorders>
              <w:bottom w:val="single" w:sz="8" w:color="auto"/>
            </w:tcBorders>
            <w:shd w:val="clear" w:color="auto" w:fill="E0E7ED"/>
          </w:tcPr>
          <w:p>
            <w:pPr>
              <w:jc w:val="right"/>
              <w:ind w:right="781"/>
              <w:spacing w:after="0"/>
              <w:rPr>
                <w:sz w:val="20"/>
                <w:szCs w:val="20"/>
                <w:color w:val="auto"/>
              </w:rPr>
            </w:pPr>
            <w:r>
              <w:rPr>
                <w:rFonts w:ascii="Verdana" w:cs="Verdana" w:eastAsia="Verdana" w:hAnsi="Verdana"/>
                <w:sz w:val="18"/>
                <w:szCs w:val="18"/>
                <w:color w:val="auto"/>
                <w:w w:val="86"/>
              </w:rPr>
              <w:t>$</w:t>
            </w:r>
          </w:p>
        </w:tc>
        <w:tc>
          <w:tcPr>
            <w:tcW w:w="5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635</w:t>
            </w:r>
          </w:p>
        </w:tc>
        <w:tc>
          <w:tcPr>
            <w:tcW w:w="100" w:type="dxa"/>
            <w:vAlign w:val="bottom"/>
            <w:tcBorders>
              <w:bottom w:val="single" w:sz="8" w:color="E0E7ED"/>
            </w:tcBorders>
            <w:shd w:val="clear" w:color="auto" w:fill="E0E7ED"/>
          </w:tcPr>
          <w:p>
            <w:pPr>
              <w:spacing w:after="0"/>
              <w:rPr>
                <w:sz w:val="24"/>
                <w:szCs w:val="24"/>
                <w:color w:val="auto"/>
              </w:rPr>
            </w:pPr>
          </w:p>
        </w:tc>
        <w:tc>
          <w:tcPr>
            <w:tcW w:w="340" w:type="dxa"/>
            <w:vAlign w:val="bottom"/>
            <w:tcBorders>
              <w:bottom w:val="single" w:sz="8" w:color="auto"/>
            </w:tcBorders>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639</w:t>
            </w:r>
          </w:p>
        </w:tc>
        <w:tc>
          <w:tcPr>
            <w:tcW w:w="80" w:type="dxa"/>
            <w:vAlign w:val="bottom"/>
            <w:tcBorders>
              <w:bottom w:val="single" w:sz="8" w:color="E0E7ED"/>
            </w:tcBorders>
            <w:shd w:val="clear" w:color="auto" w:fill="E0E7ED"/>
          </w:tcPr>
          <w:p>
            <w:pPr>
              <w:spacing w:after="0"/>
              <w:rPr>
                <w:sz w:val="24"/>
                <w:szCs w:val="24"/>
                <w:color w:val="auto"/>
              </w:rPr>
            </w:pPr>
          </w:p>
        </w:tc>
        <w:tc>
          <w:tcPr>
            <w:tcW w:w="240" w:type="dxa"/>
            <w:vAlign w:val="bottom"/>
            <w:tcBorders>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1,815</w:t>
            </w:r>
          </w:p>
        </w:tc>
        <w:tc>
          <w:tcPr>
            <w:tcW w:w="100" w:type="dxa"/>
            <w:vAlign w:val="bottom"/>
            <w:tcBorders>
              <w:bottom w:val="single" w:sz="8" w:color="E0E7ED"/>
            </w:tcBorders>
            <w:shd w:val="clear" w:color="auto" w:fill="E0E7ED"/>
          </w:tcPr>
          <w:p>
            <w:pPr>
              <w:spacing w:after="0"/>
              <w:rPr>
                <w:sz w:val="24"/>
                <w:szCs w:val="24"/>
                <w:color w:val="auto"/>
              </w:rPr>
            </w:pPr>
          </w:p>
        </w:tc>
        <w:tc>
          <w:tcPr>
            <w:tcW w:w="360" w:type="dxa"/>
            <w:vAlign w:val="bottom"/>
            <w:tcBorders>
              <w:bottom w:val="single" w:sz="8" w:color="auto"/>
            </w:tcBorders>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1,900</w:t>
            </w:r>
          </w:p>
        </w:tc>
      </w:tr>
      <w:tr>
        <w:trPr>
          <w:trHeight w:val="20"/>
        </w:trPr>
        <w:tc>
          <w:tcPr>
            <w:tcW w:w="4980" w:type="dxa"/>
            <w:vAlign w:val="bottom"/>
            <w:tcBorders>
              <w:top w:val="single" w:sz="8" w:color="E0E7ED"/>
            </w:tcBorders>
          </w:tcPr>
          <w:p>
            <w:pPr>
              <w:spacing w:after="0" w:line="20" w:lineRule="exact"/>
              <w:rPr>
                <w:sz w:val="1"/>
                <w:szCs w:val="1"/>
                <w:color w:val="auto"/>
              </w:rPr>
            </w:pPr>
          </w:p>
        </w:tc>
        <w:tc>
          <w:tcPr>
            <w:tcW w:w="980" w:type="dxa"/>
            <w:vAlign w:val="bottom"/>
            <w:tcBorders>
              <w:top w:val="single" w:sz="8" w:color="E0E7ED"/>
              <w:bottom w:val="single" w:sz="8" w:color="auto"/>
            </w:tcBorders>
          </w:tcPr>
          <w:p>
            <w:pPr>
              <w:spacing w:after="0" w:line="20" w:lineRule="exact"/>
              <w:rPr>
                <w:sz w:val="1"/>
                <w:szCs w:val="1"/>
                <w:color w:val="auto"/>
              </w:rPr>
            </w:pPr>
          </w:p>
        </w:tc>
        <w:tc>
          <w:tcPr>
            <w:tcW w:w="5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2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r>
      <w:tr>
        <w:trPr>
          <w:trHeight w:val="217"/>
        </w:trPr>
        <w:tc>
          <w:tcPr>
            <w:tcW w:w="4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70"/>
        </w:trPr>
        <w:tc>
          <w:tcPr>
            <w:tcW w:w="49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Cash flows related to leases</w:t>
            </w:r>
          </w:p>
        </w:tc>
        <w:tc>
          <w:tcPr>
            <w:tcW w:w="980" w:type="dxa"/>
            <w:vAlign w:val="bottom"/>
            <w:shd w:val="clear" w:color="auto" w:fill="E0E7ED"/>
          </w:tcPr>
          <w:p>
            <w:pPr>
              <w:spacing w:after="0"/>
              <w:rPr>
                <w:sz w:val="23"/>
                <w:szCs w:val="23"/>
                <w:color w:val="auto"/>
              </w:rPr>
            </w:pPr>
          </w:p>
        </w:tc>
        <w:tc>
          <w:tcPr>
            <w:tcW w:w="5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spacing w:after="0"/>
              <w:rPr>
                <w:sz w:val="23"/>
                <w:szCs w:val="23"/>
                <w:color w:val="auto"/>
              </w:rPr>
            </w:pPr>
          </w:p>
        </w:tc>
        <w:tc>
          <w:tcPr>
            <w:tcW w:w="116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26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60" w:type="dxa"/>
            <w:vAlign w:val="bottom"/>
            <w:shd w:val="clear" w:color="auto" w:fill="E0E7ED"/>
          </w:tcPr>
          <w:p>
            <w:pPr>
              <w:spacing w:after="0"/>
              <w:rPr>
                <w:sz w:val="23"/>
                <w:szCs w:val="23"/>
                <w:color w:val="auto"/>
              </w:rPr>
            </w:pPr>
          </w:p>
        </w:tc>
        <w:tc>
          <w:tcPr>
            <w:tcW w:w="1140" w:type="dxa"/>
            <w:vAlign w:val="bottom"/>
            <w:shd w:val="clear" w:color="auto" w:fill="E0E7ED"/>
          </w:tcPr>
          <w:p>
            <w:pPr>
              <w:spacing w:after="0"/>
              <w:rPr>
                <w:sz w:val="23"/>
                <w:szCs w:val="23"/>
                <w:color w:val="auto"/>
              </w:rPr>
            </w:pPr>
          </w:p>
        </w:tc>
      </w:tr>
      <w:tr>
        <w:trPr>
          <w:trHeight w:val="238"/>
        </w:trPr>
        <w:tc>
          <w:tcPr>
            <w:tcW w:w="4980" w:type="dxa"/>
            <w:vAlign w:val="bottom"/>
          </w:tcPr>
          <w:p>
            <w:pPr>
              <w:ind w:left="180"/>
              <w:spacing w:after="0"/>
              <w:rPr>
                <w:sz w:val="20"/>
                <w:szCs w:val="20"/>
                <w:color w:val="auto"/>
              </w:rPr>
            </w:pPr>
            <w:r>
              <w:rPr>
                <w:rFonts w:ascii="Verdana" w:cs="Verdana" w:eastAsia="Verdana" w:hAnsi="Verdana"/>
                <w:sz w:val="18"/>
                <w:szCs w:val="18"/>
                <w:color w:val="auto"/>
              </w:rPr>
              <w:t>Cash paid for amounts included in the measurement</w:t>
            </w: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2"/>
        </w:trPr>
        <w:tc>
          <w:tcPr>
            <w:tcW w:w="4980" w:type="dxa"/>
            <w:vAlign w:val="bottom"/>
          </w:tcPr>
          <w:p>
            <w:pPr>
              <w:ind w:left="180"/>
              <w:spacing w:after="0"/>
              <w:rPr>
                <w:sz w:val="20"/>
                <w:szCs w:val="20"/>
                <w:color w:val="auto"/>
              </w:rPr>
            </w:pPr>
            <w:r>
              <w:rPr>
                <w:rFonts w:ascii="Verdana" w:cs="Verdana" w:eastAsia="Verdana" w:hAnsi="Verdana"/>
                <w:sz w:val="18"/>
                <w:szCs w:val="18"/>
                <w:color w:val="auto"/>
              </w:rPr>
              <w:t>of lease liabilities:</w:t>
            </w: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7"/>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Operating lease cash flows – Fixed payments</w:t>
            </w:r>
          </w:p>
        </w:tc>
        <w:tc>
          <w:tcPr>
            <w:tcW w:w="980" w:type="dxa"/>
            <w:vAlign w:val="bottom"/>
            <w:shd w:val="clear" w:color="auto" w:fill="E0E7ED"/>
          </w:tcPr>
          <w:p>
            <w:pPr>
              <w:jc w:val="right"/>
              <w:ind w:right="781"/>
              <w:spacing w:after="0"/>
              <w:rPr>
                <w:sz w:val="20"/>
                <w:szCs w:val="20"/>
                <w:color w:val="auto"/>
              </w:rPr>
            </w:pPr>
            <w:r>
              <w:rPr>
                <w:rFonts w:ascii="Verdana" w:cs="Verdana" w:eastAsia="Verdana" w:hAnsi="Verdana"/>
                <w:sz w:val="18"/>
                <w:szCs w:val="18"/>
                <w:color w:val="auto"/>
                <w:w w:val="86"/>
              </w:rPr>
              <w:t>$</w:t>
            </w:r>
          </w:p>
        </w:tc>
        <w:tc>
          <w:tcPr>
            <w:tcW w:w="5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568</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586</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1,605</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1,720</w:t>
            </w: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Operating lease cash flows – Liability reduction</w:t>
            </w: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Verdana" w:cs="Verdana" w:eastAsia="Verdana" w:hAnsi="Verdana"/>
                <w:sz w:val="18"/>
                <w:szCs w:val="18"/>
                <w:color w:val="auto"/>
              </w:rPr>
              <w:t>466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3"/>
              <w:spacing w:after="0"/>
              <w:rPr>
                <w:sz w:val="20"/>
                <w:szCs w:val="20"/>
                <w:color w:val="auto"/>
              </w:rPr>
            </w:pPr>
            <w:r>
              <w:rPr>
                <w:rFonts w:ascii="Verdana" w:cs="Verdana" w:eastAsia="Verdana" w:hAnsi="Verdana"/>
                <w:sz w:val="18"/>
                <w:szCs w:val="18"/>
                <w:color w:val="auto"/>
              </w:rPr>
              <w:t>483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1,310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Verdana" w:cs="Verdana" w:eastAsia="Verdana" w:hAnsi="Verdana"/>
                <w:sz w:val="18"/>
                <w:szCs w:val="18"/>
                <w:color w:val="auto"/>
              </w:rPr>
              <w:t>1,423</w:t>
            </w:r>
          </w:p>
        </w:tc>
      </w:tr>
      <w:tr>
        <w:trPr>
          <w:trHeight w:val="244"/>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Right of use assets obtained during the period in</w:t>
            </w:r>
          </w:p>
        </w:tc>
        <w:tc>
          <w:tcPr>
            <w:tcW w:w="980" w:type="dxa"/>
            <w:vAlign w:val="bottom"/>
            <w:shd w:val="clear" w:color="auto" w:fill="E0E7ED"/>
          </w:tcPr>
          <w:p>
            <w:pPr>
              <w:spacing w:after="0"/>
              <w:rPr>
                <w:sz w:val="21"/>
                <w:szCs w:val="21"/>
                <w:color w:val="auto"/>
              </w:rPr>
            </w:pPr>
          </w:p>
        </w:tc>
        <w:tc>
          <w:tcPr>
            <w:tcW w:w="5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r>
      <w:tr>
        <w:trPr>
          <w:trHeight w:val="248"/>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exchange for operating lease liabilities</w:t>
            </w:r>
            <w:r>
              <w:rPr>
                <w:rFonts w:ascii="Verdana" w:cs="Verdana" w:eastAsia="Verdana" w:hAnsi="Verdana"/>
                <w:sz w:val="11"/>
                <w:szCs w:val="11"/>
                <w:color w:val="auto"/>
              </w:rPr>
              <w:t>1</w:t>
            </w:r>
          </w:p>
        </w:tc>
        <w:tc>
          <w:tcPr>
            <w:tcW w:w="980" w:type="dxa"/>
            <w:vAlign w:val="bottom"/>
            <w:shd w:val="clear" w:color="auto" w:fill="E0E7ED"/>
          </w:tcPr>
          <w:p>
            <w:pPr>
              <w:spacing w:after="0"/>
              <w:rPr>
                <w:sz w:val="21"/>
                <w:szCs w:val="21"/>
                <w:color w:val="auto"/>
              </w:rPr>
            </w:pPr>
          </w:p>
        </w:tc>
        <w:tc>
          <w:tcPr>
            <w:tcW w:w="5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469</w:t>
            </w: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6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199</w:t>
            </w: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1,478</w:t>
            </w: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208</w:t>
            </w:r>
          </w:p>
        </w:tc>
      </w:tr>
    </w:tbl>
    <w:p>
      <w:pPr>
        <w:spacing w:after="0" w:line="80"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jc w:val="both"/>
        <w:ind w:left="500" w:hanging="330"/>
        <w:spacing w:after="0"/>
        <w:tabs>
          <w:tab w:leader="none" w:pos="491" w:val="left"/>
        </w:tabs>
        <w:numPr>
          <w:ilvl w:val="0"/>
          <w:numId w:val="15"/>
        </w:numPr>
        <w:rPr>
          <w:rFonts w:ascii="Verdana" w:cs="Verdana" w:eastAsia="Verdana" w:hAnsi="Verdana"/>
          <w:sz w:val="13"/>
          <w:szCs w:val="13"/>
          <w:color w:val="auto"/>
        </w:rPr>
      </w:pPr>
      <w:r>
        <w:rPr>
          <w:rFonts w:ascii="Verdana" w:cs="Verdana" w:eastAsia="Verdana" w:hAnsi="Verdana"/>
          <w:sz w:val="13"/>
          <w:szCs w:val="13"/>
          <w:color w:val="auto"/>
        </w:rPr>
        <w:t xml:space="preserve">The nine months ended September 30, 2024, included $0.3 million right of use assets recognized during the second quarter of 2024 in connection with the acquisition of M&amp;M (see </w:t>
      </w:r>
      <w:r>
        <w:rPr>
          <w:rFonts w:ascii="Verdana" w:cs="Verdana" w:eastAsia="Verdana" w:hAnsi="Verdana"/>
          <w:sz w:val="13"/>
          <w:szCs w:val="13"/>
          <w:i w:val="1"/>
          <w:iCs w:val="1"/>
          <w:color w:val="auto"/>
        </w:rPr>
        <w:t>“</w:t>
      </w:r>
      <w:r>
        <w:rPr>
          <w:rFonts w:ascii="Verdana" w:cs="Verdana" w:eastAsia="Verdana" w:hAnsi="Verdana"/>
          <w:sz w:val="13"/>
          <w:szCs w:val="13"/>
          <w:i w:val="1"/>
          <w:iCs w:val="1"/>
          <w:u w:val="single" w:color="auto"/>
          <w:color w:val="0000FF"/>
        </w:rPr>
        <w:t>Note 2. Mergers and Acquisitions</w:t>
      </w:r>
      <w:r>
        <w:rPr>
          <w:rFonts w:ascii="Verdana" w:cs="Verdana" w:eastAsia="Verdana" w:hAnsi="Verdana"/>
          <w:sz w:val="13"/>
          <w:szCs w:val="13"/>
          <w:i w:val="1"/>
          <w:iCs w:val="1"/>
          <w:color w:val="auto"/>
        </w:rPr>
        <w:t>”</w:t>
      </w:r>
      <w:r>
        <w:rPr>
          <w:rFonts w:ascii="Verdana" w:cs="Verdana" w:eastAsia="Verdana" w:hAnsi="Verdana"/>
          <w:sz w:val="13"/>
          <w:szCs w:val="13"/>
          <w:color w:val="auto"/>
        </w:rPr>
        <w:t>), and an additional $0.7 million recognized in the second quarter of 2024 in connection with a lease amendment that was executed subsequent to the acquisition for a lease that was obtained in the acquisition.</w:t>
      </w:r>
    </w:p>
    <w:p>
      <w:pPr>
        <w:spacing w:after="0" w:line="160" w:lineRule="exact"/>
        <w:rPr>
          <w:sz w:val="20"/>
          <w:szCs w:val="20"/>
          <w:color w:val="auto"/>
        </w:rPr>
      </w:pPr>
    </w:p>
    <w:p>
      <w:pPr>
        <w:ind w:right="20"/>
        <w:spacing w:after="0" w:line="254" w:lineRule="auto"/>
        <w:rPr>
          <w:sz w:val="20"/>
          <w:szCs w:val="20"/>
          <w:color w:val="auto"/>
        </w:rPr>
      </w:pPr>
      <w:r>
        <w:rPr>
          <w:rFonts w:ascii="Verdana" w:cs="Verdana" w:eastAsia="Verdana" w:hAnsi="Verdana"/>
          <w:sz w:val="18"/>
          <w:szCs w:val="18"/>
          <w:color w:val="auto"/>
        </w:rPr>
        <w:t xml:space="preserve">Busey was obligated under noncancelable operating leases for office space and other commitments. Future undiscounted lease payments with initial terms of one year or more, are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512"/>
              <w:spacing w:after="0"/>
              <w:rPr>
                <w:sz w:val="20"/>
                <w:szCs w:val="20"/>
                <w:color w:val="auto"/>
              </w:rPr>
            </w:pPr>
            <w:r>
              <w:rPr>
                <w:rFonts w:ascii="Verdana" w:cs="Verdana" w:eastAsia="Verdana" w:hAnsi="Verdana"/>
                <w:sz w:val="13"/>
                <w:szCs w:val="13"/>
                <w:b w:val="1"/>
                <w:bCs w:val="1"/>
                <w:color w:val="auto"/>
              </w:rPr>
              <w:t>As of</w:t>
            </w:r>
          </w:p>
        </w:tc>
      </w:tr>
      <w:tr>
        <w:trPr>
          <w:trHeight w:val="170"/>
        </w:trPr>
        <w:tc>
          <w:tcPr>
            <w:tcW w:w="9720" w:type="dxa"/>
            <w:vAlign w:val="bottom"/>
            <w:tcBorders>
              <w:bottom w:val="single" w:sz="8" w:color="E0E7ED"/>
            </w:tcBorders>
          </w:tcPr>
          <w:p>
            <w:pPr>
              <w:spacing w:after="0"/>
              <w:rPr>
                <w:sz w:val="14"/>
                <w:szCs w:val="14"/>
                <w:color w:val="auto"/>
              </w:rPr>
            </w:pPr>
          </w:p>
        </w:tc>
        <w:tc>
          <w:tcPr>
            <w:tcW w:w="1520" w:type="dxa"/>
            <w:vAlign w:val="bottom"/>
            <w:tcBorders>
              <w:bottom w:val="single" w:sz="8" w:color="auto"/>
            </w:tcBorders>
            <w:gridSpan w:val="2"/>
          </w:tcPr>
          <w:p>
            <w:pPr>
              <w:ind w:left="40"/>
              <w:spacing w:after="0"/>
              <w:rPr>
                <w:sz w:val="20"/>
                <w:szCs w:val="20"/>
                <w:color w:val="auto"/>
              </w:rPr>
            </w:pPr>
            <w:r>
              <w:rPr>
                <w:rFonts w:ascii="Verdana" w:cs="Verdana" w:eastAsia="Verdana" w:hAnsi="Verdana"/>
                <w:sz w:val="13"/>
                <w:szCs w:val="13"/>
                <w:b w:val="1"/>
                <w:bCs w:val="1"/>
                <w:color w:val="auto"/>
                <w:w w:val="98"/>
              </w:rPr>
              <w:t>September 30, 2024</w:t>
            </w:r>
          </w:p>
        </w:tc>
      </w:tr>
      <w:tr>
        <w:trPr>
          <w:trHeight w:val="255"/>
        </w:trPr>
        <w:tc>
          <w:tcPr>
            <w:tcW w:w="97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Rent commitments</w:t>
            </w:r>
          </w:p>
        </w:tc>
        <w:tc>
          <w:tcPr>
            <w:tcW w:w="360" w:type="dxa"/>
            <w:vAlign w:val="bottom"/>
            <w:shd w:val="clear" w:color="auto" w:fill="E0E7ED"/>
          </w:tcPr>
          <w:p>
            <w:pPr>
              <w:spacing w:after="0"/>
              <w:rPr>
                <w:sz w:val="22"/>
                <w:szCs w:val="22"/>
                <w:color w:val="auto"/>
              </w:rPr>
            </w:pPr>
          </w:p>
        </w:tc>
        <w:tc>
          <w:tcPr>
            <w:tcW w:w="1160" w:type="dxa"/>
            <w:vAlign w:val="bottom"/>
            <w:shd w:val="clear" w:color="auto" w:fill="E0E7ED"/>
          </w:tcPr>
          <w:p>
            <w:pPr>
              <w:spacing w:after="0"/>
              <w:rPr>
                <w:sz w:val="22"/>
                <w:szCs w:val="22"/>
                <w:color w:val="auto"/>
              </w:rPr>
            </w:pPr>
          </w:p>
        </w:tc>
      </w:tr>
      <w:tr>
        <w:trPr>
          <w:trHeight w:val="263"/>
        </w:trPr>
        <w:tc>
          <w:tcPr>
            <w:tcW w:w="9720" w:type="dxa"/>
            <w:vAlign w:val="bottom"/>
          </w:tcPr>
          <w:p>
            <w:pPr>
              <w:ind w:left="180"/>
              <w:spacing w:after="0"/>
              <w:rPr>
                <w:sz w:val="20"/>
                <w:szCs w:val="20"/>
                <w:color w:val="auto"/>
              </w:rPr>
            </w:pPr>
            <w:r>
              <w:rPr>
                <w:rFonts w:ascii="Verdana" w:cs="Verdana" w:eastAsia="Verdana" w:hAnsi="Verdana"/>
                <w:sz w:val="18"/>
                <w:szCs w:val="18"/>
                <w:color w:val="auto"/>
              </w:rPr>
              <w:t>Remainder of 2024</w:t>
            </w:r>
          </w:p>
        </w:tc>
        <w:tc>
          <w:tcPr>
            <w:tcW w:w="360" w:type="dxa"/>
            <w:vAlign w:val="bottom"/>
          </w:tcPr>
          <w:p>
            <w:pPr>
              <w:ind w:left="20"/>
              <w:spacing w:after="0"/>
              <w:rPr>
                <w:sz w:val="20"/>
                <w:szCs w:val="20"/>
                <w:color w:val="auto"/>
              </w:rPr>
            </w:pPr>
            <w:r>
              <w:rPr>
                <w:rFonts w:ascii="Verdana" w:cs="Verdana" w:eastAsia="Verdana" w:hAnsi="Verdana"/>
                <w:sz w:val="18"/>
                <w:szCs w:val="18"/>
                <w:color w:val="auto"/>
              </w:rPr>
              <w:t>$</w:t>
            </w:r>
          </w:p>
        </w:tc>
        <w:tc>
          <w:tcPr>
            <w:tcW w:w="1160" w:type="dxa"/>
            <w:vAlign w:val="bottom"/>
          </w:tcPr>
          <w:p>
            <w:pPr>
              <w:jc w:val="right"/>
              <w:spacing w:after="0"/>
              <w:rPr>
                <w:sz w:val="20"/>
                <w:szCs w:val="20"/>
                <w:color w:val="auto"/>
              </w:rPr>
            </w:pPr>
            <w:r>
              <w:rPr>
                <w:rFonts w:ascii="Verdana" w:cs="Verdana" w:eastAsia="Verdana" w:hAnsi="Verdana"/>
                <w:sz w:val="18"/>
                <w:szCs w:val="18"/>
                <w:color w:val="auto"/>
              </w:rPr>
              <w:t>590</w:t>
            </w:r>
          </w:p>
        </w:tc>
      </w:tr>
      <w:tr>
        <w:trPr>
          <w:trHeight w:val="277"/>
        </w:trPr>
        <w:tc>
          <w:tcPr>
            <w:tcW w:w="97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2025</w:t>
            </w:r>
          </w:p>
        </w:tc>
        <w:tc>
          <w:tcPr>
            <w:tcW w:w="360" w:type="dxa"/>
            <w:vAlign w:val="bottom"/>
            <w:shd w:val="clear" w:color="auto" w:fill="E0E7ED"/>
          </w:tcPr>
          <w:p>
            <w:pPr>
              <w:spacing w:after="0"/>
              <w:rPr>
                <w:sz w:val="24"/>
                <w:szCs w:val="24"/>
                <w:color w:val="auto"/>
              </w:rPr>
            </w:pPr>
          </w:p>
        </w:tc>
        <w:tc>
          <w:tcPr>
            <w:tcW w:w="11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2,088</w:t>
            </w:r>
          </w:p>
        </w:tc>
      </w:tr>
      <w:tr>
        <w:trPr>
          <w:trHeight w:val="263"/>
        </w:trPr>
        <w:tc>
          <w:tcPr>
            <w:tcW w:w="9720" w:type="dxa"/>
            <w:vAlign w:val="bottom"/>
          </w:tcPr>
          <w:p>
            <w:pPr>
              <w:ind w:left="180"/>
              <w:spacing w:after="0"/>
              <w:rPr>
                <w:sz w:val="20"/>
                <w:szCs w:val="20"/>
                <w:color w:val="auto"/>
              </w:rPr>
            </w:pPr>
            <w:r>
              <w:rPr>
                <w:rFonts w:ascii="Verdana" w:cs="Verdana" w:eastAsia="Verdana" w:hAnsi="Verdana"/>
                <w:sz w:val="18"/>
                <w:szCs w:val="18"/>
                <w:color w:val="auto"/>
              </w:rPr>
              <w:t>2026</w:t>
            </w:r>
          </w:p>
        </w:tc>
        <w:tc>
          <w:tcPr>
            <w:tcW w:w="36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Verdana" w:cs="Verdana" w:eastAsia="Verdana" w:hAnsi="Verdana"/>
                <w:sz w:val="18"/>
                <w:szCs w:val="18"/>
                <w:color w:val="auto"/>
              </w:rPr>
              <w:t>1,766</w:t>
            </w:r>
          </w:p>
        </w:tc>
      </w:tr>
      <w:tr>
        <w:trPr>
          <w:trHeight w:val="277"/>
        </w:trPr>
        <w:tc>
          <w:tcPr>
            <w:tcW w:w="97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2027</w:t>
            </w:r>
          </w:p>
        </w:tc>
        <w:tc>
          <w:tcPr>
            <w:tcW w:w="360" w:type="dxa"/>
            <w:vAlign w:val="bottom"/>
            <w:shd w:val="clear" w:color="auto" w:fill="E0E7ED"/>
          </w:tcPr>
          <w:p>
            <w:pPr>
              <w:spacing w:after="0"/>
              <w:rPr>
                <w:sz w:val="24"/>
                <w:szCs w:val="24"/>
                <w:color w:val="auto"/>
              </w:rPr>
            </w:pPr>
          </w:p>
        </w:tc>
        <w:tc>
          <w:tcPr>
            <w:tcW w:w="11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1,549</w:t>
            </w:r>
          </w:p>
        </w:tc>
      </w:tr>
      <w:tr>
        <w:trPr>
          <w:trHeight w:val="263"/>
        </w:trPr>
        <w:tc>
          <w:tcPr>
            <w:tcW w:w="9720" w:type="dxa"/>
            <w:vAlign w:val="bottom"/>
          </w:tcPr>
          <w:p>
            <w:pPr>
              <w:ind w:left="180"/>
              <w:spacing w:after="0"/>
              <w:rPr>
                <w:sz w:val="20"/>
                <w:szCs w:val="20"/>
                <w:color w:val="auto"/>
              </w:rPr>
            </w:pPr>
            <w:r>
              <w:rPr>
                <w:rFonts w:ascii="Verdana" w:cs="Verdana" w:eastAsia="Verdana" w:hAnsi="Verdana"/>
                <w:sz w:val="18"/>
                <w:szCs w:val="18"/>
                <w:color w:val="auto"/>
              </w:rPr>
              <w:t>2028</w:t>
            </w:r>
          </w:p>
        </w:tc>
        <w:tc>
          <w:tcPr>
            <w:tcW w:w="36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Verdana" w:cs="Verdana" w:eastAsia="Verdana" w:hAnsi="Verdana"/>
                <w:sz w:val="18"/>
                <w:szCs w:val="18"/>
                <w:color w:val="auto"/>
              </w:rPr>
              <w:t>1,494</w:t>
            </w:r>
          </w:p>
        </w:tc>
      </w:tr>
      <w:tr>
        <w:trPr>
          <w:trHeight w:val="277"/>
        </w:trPr>
        <w:tc>
          <w:tcPr>
            <w:tcW w:w="97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2029</w:t>
            </w:r>
          </w:p>
        </w:tc>
        <w:tc>
          <w:tcPr>
            <w:tcW w:w="360" w:type="dxa"/>
            <w:vAlign w:val="bottom"/>
            <w:shd w:val="clear" w:color="auto" w:fill="E0E7ED"/>
          </w:tcPr>
          <w:p>
            <w:pPr>
              <w:spacing w:after="0"/>
              <w:rPr>
                <w:sz w:val="24"/>
                <w:szCs w:val="24"/>
                <w:color w:val="auto"/>
              </w:rPr>
            </w:pPr>
          </w:p>
        </w:tc>
        <w:tc>
          <w:tcPr>
            <w:tcW w:w="11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1,503</w:t>
            </w:r>
          </w:p>
        </w:tc>
      </w:tr>
      <w:tr>
        <w:trPr>
          <w:trHeight w:val="264"/>
        </w:trPr>
        <w:tc>
          <w:tcPr>
            <w:tcW w:w="97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Thereafter</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4,303</w:t>
            </w:r>
          </w:p>
        </w:tc>
      </w:tr>
      <w:tr>
        <w:trPr>
          <w:trHeight w:val="270"/>
        </w:trPr>
        <w:tc>
          <w:tcPr>
            <w:tcW w:w="97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undiscounted cash flows</w:t>
            </w:r>
          </w:p>
        </w:tc>
        <w:tc>
          <w:tcPr>
            <w:tcW w:w="360" w:type="dxa"/>
            <w:vAlign w:val="bottom"/>
            <w:shd w:val="clear" w:color="auto" w:fill="E0E7ED"/>
          </w:tcPr>
          <w:p>
            <w:pPr>
              <w:spacing w:after="0"/>
              <w:rPr>
                <w:sz w:val="23"/>
                <w:szCs w:val="23"/>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13,293</w:t>
            </w:r>
          </w:p>
        </w:tc>
      </w:tr>
      <w:tr>
        <w:trPr>
          <w:trHeight w:val="263"/>
        </w:trPr>
        <w:tc>
          <w:tcPr>
            <w:tcW w:w="9720" w:type="dxa"/>
            <w:vAlign w:val="bottom"/>
            <w:tcBorders>
              <w:bottom w:val="single" w:sz="8" w:color="E0E7ED"/>
            </w:tcBorders>
          </w:tcPr>
          <w:p>
            <w:pPr>
              <w:ind w:left="20"/>
              <w:spacing w:after="0"/>
              <w:rPr>
                <w:sz w:val="20"/>
                <w:szCs w:val="20"/>
                <w:color w:val="auto"/>
              </w:rPr>
            </w:pPr>
            <w:r>
              <w:rPr>
                <w:rFonts w:ascii="Verdana" w:cs="Verdana" w:eastAsia="Verdana" w:hAnsi="Verdana"/>
                <w:sz w:val="18"/>
                <w:szCs w:val="18"/>
                <w:color w:val="auto"/>
              </w:rPr>
              <w:t>Less: Amounts representing interest</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1,823</w:t>
            </w:r>
          </w:p>
        </w:tc>
      </w:tr>
      <w:tr>
        <w:trPr>
          <w:trHeight w:val="295"/>
        </w:trPr>
        <w:tc>
          <w:tcPr>
            <w:tcW w:w="97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Present value of net future minimum lease payments</w:t>
            </w:r>
          </w:p>
        </w:tc>
        <w:tc>
          <w:tcPr>
            <w:tcW w:w="360" w:type="dxa"/>
            <w:vAlign w:val="bottom"/>
            <w:tcBorders>
              <w:bottom w:val="single" w:sz="8" w:color="auto"/>
            </w:tcBorders>
            <w:shd w:val="clear" w:color="auto" w:fill="E0E7ED"/>
          </w:tcPr>
          <w:p>
            <w:pPr>
              <w:ind w:left="20"/>
              <w:spacing w:after="0"/>
              <w:rPr>
                <w:sz w:val="20"/>
                <w:szCs w:val="20"/>
                <w:color w:val="auto"/>
              </w:rPr>
            </w:pPr>
            <w:r>
              <w:rPr>
                <w:rFonts w:ascii="Verdana" w:cs="Verdana" w:eastAsia="Verdana" w:hAnsi="Verdana"/>
                <w:sz w:val="18"/>
                <w:szCs w:val="18"/>
                <w:color w:val="auto"/>
              </w:rPr>
              <w:t>$</w:t>
            </w: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11,470</w:t>
            </w:r>
          </w:p>
        </w:tc>
      </w:tr>
      <w:tr>
        <w:trPr>
          <w:trHeight w:val="20"/>
        </w:trPr>
        <w:tc>
          <w:tcPr>
            <w:tcW w:w="972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39" w:name="page40"/>
    <w:bookmarkEnd w:id="39"/>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Busey as the Lessor</w:t>
      </w:r>
    </w:p>
    <w:p>
      <w:pPr>
        <w:spacing w:after="0" w:line="17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Busey leases office and parking spaces to outside parties. Revenues recorded in connection with these leases, reported in other income on our </w:t>
      </w:r>
      <w:r>
        <w:rPr>
          <w:rFonts w:ascii="Verdana" w:cs="Verdana" w:eastAsia="Verdana" w:hAnsi="Verdana"/>
          <w:sz w:val="18"/>
          <w:szCs w:val="18"/>
          <w:u w:val="single" w:color="auto"/>
          <w:color w:val="0000FF"/>
        </w:rPr>
        <w:t>Consolidated Statements of Income (Unaudited)</w:t>
      </w:r>
      <w:r>
        <w:rPr>
          <w:rFonts w:ascii="Verdana" w:cs="Verdana" w:eastAsia="Verdana" w:hAnsi="Verdana"/>
          <w:sz w:val="18"/>
          <w:szCs w:val="18"/>
          <w:color w:val="auto"/>
        </w:rPr>
        <w:t xml:space="preserve">, are summarized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3180" w:type="dxa"/>
            <w:vAlign w:val="bottom"/>
            <w:gridSpan w:val="6"/>
          </w:tcPr>
          <w:p>
            <w:pPr>
              <w:ind w:left="280"/>
              <w:spacing w:after="0"/>
              <w:rPr>
                <w:sz w:val="20"/>
                <w:szCs w:val="20"/>
                <w:color w:val="auto"/>
              </w:rPr>
            </w:pPr>
            <w:r>
              <w:rPr>
                <w:rFonts w:ascii="Verdana" w:cs="Verdana" w:eastAsia="Verdana" w:hAnsi="Verdana"/>
                <w:sz w:val="13"/>
                <w:szCs w:val="13"/>
                <w:b w:val="1"/>
                <w:bCs w:val="1"/>
                <w:color w:val="auto"/>
              </w:rPr>
              <w:t>Three Months Ended September 30,</w:t>
            </w:r>
          </w:p>
        </w:tc>
        <w:tc>
          <w:tcPr>
            <w:tcW w:w="220" w:type="dxa"/>
            <w:vAlign w:val="bottom"/>
          </w:tcPr>
          <w:p>
            <w:pPr>
              <w:spacing w:after="0"/>
              <w:rPr>
                <w:sz w:val="15"/>
                <w:szCs w:val="15"/>
                <w:color w:val="auto"/>
              </w:rPr>
            </w:pPr>
          </w:p>
        </w:tc>
        <w:tc>
          <w:tcPr>
            <w:tcW w:w="2860" w:type="dxa"/>
            <w:vAlign w:val="bottom"/>
            <w:gridSpan w:val="4"/>
          </w:tcPr>
          <w:p>
            <w:pPr>
              <w:jc w:val="right"/>
              <w:ind w:right="244"/>
              <w:spacing w:after="0"/>
              <w:rPr>
                <w:sz w:val="20"/>
                <w:szCs w:val="20"/>
                <w:color w:val="auto"/>
              </w:rPr>
            </w:pPr>
            <w:r>
              <w:rPr>
                <w:rFonts w:ascii="Verdana" w:cs="Verdana" w:eastAsia="Verdana" w:hAnsi="Verdana"/>
                <w:sz w:val="13"/>
                <w:szCs w:val="13"/>
                <w:b w:val="1"/>
                <w:bCs w:val="1"/>
                <w:color w:val="auto"/>
                <w:w w:val="99"/>
              </w:rPr>
              <w:t>Nine Months Ended September 30,</w:t>
            </w:r>
          </w:p>
        </w:tc>
      </w:tr>
      <w:tr>
        <w:trPr>
          <w:trHeight w:val="170"/>
        </w:trPr>
        <w:tc>
          <w:tcPr>
            <w:tcW w:w="4980" w:type="dxa"/>
            <w:vAlign w:val="bottom"/>
            <w:tcBorders>
              <w:bottom w:val="single" w:sz="8" w:color="E0E7ED"/>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Verdana" w:cs="Verdana" w:eastAsia="Verdana" w:hAnsi="Verdana"/>
                <w:sz w:val="13"/>
                <w:szCs w:val="13"/>
                <w:b w:val="1"/>
                <w:bCs w:val="1"/>
                <w:color w:val="auto"/>
              </w:rPr>
              <w:t>2024</w:t>
            </w:r>
          </w:p>
        </w:tc>
        <w:tc>
          <w:tcPr>
            <w:tcW w:w="5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84"/>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488"/>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04"/>
              <w:spacing w:after="0"/>
              <w:rPr>
                <w:sz w:val="20"/>
                <w:szCs w:val="20"/>
                <w:color w:val="auto"/>
              </w:rPr>
            </w:pPr>
            <w:r>
              <w:rPr>
                <w:rFonts w:ascii="Verdana" w:cs="Verdana" w:eastAsia="Verdana" w:hAnsi="Verdana"/>
                <w:sz w:val="13"/>
                <w:szCs w:val="13"/>
                <w:b w:val="1"/>
                <w:bCs w:val="1"/>
                <w:color w:val="auto"/>
              </w:rPr>
              <w:t>2023</w:t>
            </w:r>
          </w:p>
        </w:tc>
      </w:tr>
      <w:tr>
        <w:trPr>
          <w:trHeight w:val="269"/>
        </w:trPr>
        <w:tc>
          <w:tcPr>
            <w:tcW w:w="49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Rental income</w:t>
            </w:r>
          </w:p>
        </w:tc>
        <w:tc>
          <w:tcPr>
            <w:tcW w:w="1000" w:type="dxa"/>
            <w:vAlign w:val="bottom"/>
            <w:shd w:val="clear" w:color="auto" w:fill="E0E7ED"/>
          </w:tcPr>
          <w:p>
            <w:pPr>
              <w:jc w:val="right"/>
              <w:ind w:right="808"/>
              <w:spacing w:after="0"/>
              <w:rPr>
                <w:sz w:val="20"/>
                <w:szCs w:val="20"/>
                <w:color w:val="auto"/>
              </w:rPr>
            </w:pPr>
            <w:r>
              <w:rPr>
                <w:rFonts w:ascii="Verdana" w:cs="Verdana" w:eastAsia="Verdana" w:hAnsi="Verdana"/>
                <w:sz w:val="18"/>
                <w:szCs w:val="18"/>
                <w:color w:val="auto"/>
                <w:w w:val="86"/>
              </w:rPr>
              <w:t>$</w:t>
            </w:r>
          </w:p>
        </w:tc>
        <w:tc>
          <w:tcPr>
            <w:tcW w:w="50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206</w:t>
            </w:r>
          </w:p>
        </w:tc>
        <w:tc>
          <w:tcPr>
            <w:tcW w:w="80" w:type="dxa"/>
            <w:vAlign w:val="bottom"/>
            <w:shd w:val="clear" w:color="auto" w:fill="E0E7ED"/>
          </w:tcPr>
          <w:p>
            <w:pPr>
              <w:spacing w:after="0"/>
              <w:rPr>
                <w:sz w:val="23"/>
                <w:szCs w:val="23"/>
                <w:color w:val="auto"/>
              </w:rPr>
            </w:pP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shd w:val="clear" w:color="auto" w:fill="E0E7ED"/>
          </w:tcPr>
          <w:p>
            <w:pPr>
              <w:jc w:val="right"/>
              <w:ind w:right="4"/>
              <w:spacing w:after="0"/>
              <w:rPr>
                <w:sz w:val="20"/>
                <w:szCs w:val="20"/>
                <w:color w:val="auto"/>
              </w:rPr>
            </w:pPr>
            <w:r>
              <w:rPr>
                <w:rFonts w:ascii="Verdana" w:cs="Verdana" w:eastAsia="Verdana" w:hAnsi="Verdana"/>
                <w:sz w:val="18"/>
                <w:szCs w:val="18"/>
                <w:color w:val="auto"/>
              </w:rPr>
              <w:t>152</w:t>
            </w:r>
          </w:p>
        </w:tc>
        <w:tc>
          <w:tcPr>
            <w:tcW w:w="100" w:type="dxa"/>
            <w:vAlign w:val="bottom"/>
            <w:shd w:val="clear" w:color="auto" w:fill="E0E7ED"/>
          </w:tcPr>
          <w:p>
            <w:pPr>
              <w:spacing w:after="0"/>
              <w:rPr>
                <w:sz w:val="23"/>
                <w:szCs w:val="23"/>
                <w:color w:val="auto"/>
              </w:rPr>
            </w:pPr>
          </w:p>
        </w:tc>
        <w:tc>
          <w:tcPr>
            <w:tcW w:w="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60" w:type="dxa"/>
            <w:vAlign w:val="bottom"/>
            <w:shd w:val="clear" w:color="auto" w:fill="E0E7ED"/>
          </w:tcPr>
          <w:p>
            <w:pPr>
              <w:jc w:val="right"/>
              <w:ind w:right="8"/>
              <w:spacing w:after="0"/>
              <w:rPr>
                <w:sz w:val="20"/>
                <w:szCs w:val="20"/>
                <w:color w:val="auto"/>
              </w:rPr>
            </w:pPr>
            <w:r>
              <w:rPr>
                <w:rFonts w:ascii="Verdana" w:cs="Verdana" w:eastAsia="Verdana" w:hAnsi="Verdana"/>
                <w:sz w:val="18"/>
                <w:szCs w:val="18"/>
                <w:color w:val="auto"/>
              </w:rPr>
              <w:t>612</w:t>
            </w:r>
          </w:p>
        </w:tc>
        <w:tc>
          <w:tcPr>
            <w:tcW w:w="100" w:type="dxa"/>
            <w:vAlign w:val="bottom"/>
            <w:shd w:val="clear" w:color="auto" w:fill="E0E7ED"/>
          </w:tcPr>
          <w:p>
            <w:pPr>
              <w:spacing w:after="0"/>
              <w:rPr>
                <w:sz w:val="23"/>
                <w:szCs w:val="23"/>
                <w:color w:val="auto"/>
              </w:rPr>
            </w:pP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shd w:val="clear" w:color="auto" w:fill="E0E7ED"/>
          </w:tcPr>
          <w:p>
            <w:pPr>
              <w:jc w:val="right"/>
              <w:ind w:right="4"/>
              <w:spacing w:after="0"/>
              <w:rPr>
                <w:sz w:val="20"/>
                <w:szCs w:val="20"/>
                <w:color w:val="auto"/>
              </w:rPr>
            </w:pPr>
            <w:r>
              <w:rPr>
                <w:rFonts w:ascii="Verdana" w:cs="Verdana" w:eastAsia="Verdana" w:hAnsi="Verdana"/>
                <w:sz w:val="18"/>
                <w:szCs w:val="18"/>
                <w:color w:val="auto"/>
              </w:rPr>
              <w:t>526</w:t>
            </w:r>
          </w:p>
        </w:tc>
      </w:tr>
    </w:tbl>
    <w:p>
      <w:pPr>
        <w:spacing w:after="0" w:line="265"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Noncancellable terms for these leases, all of which are operating leases, extend through 2028. Under the terms of these lease agreements, Busey is entitled to receive aggregate future minimum lease payments as shown in the table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right"/>
              <w:ind w:right="577"/>
              <w:spacing w:after="0"/>
              <w:rPr>
                <w:sz w:val="20"/>
                <w:szCs w:val="20"/>
                <w:color w:val="auto"/>
              </w:rPr>
            </w:pPr>
            <w:r>
              <w:rPr>
                <w:rFonts w:ascii="Verdana" w:cs="Verdana" w:eastAsia="Verdana" w:hAnsi="Verdana"/>
                <w:sz w:val="13"/>
                <w:szCs w:val="13"/>
                <w:b w:val="1"/>
                <w:bCs w:val="1"/>
                <w:color w:val="auto"/>
              </w:rPr>
              <w:t>As of</w:t>
            </w:r>
          </w:p>
        </w:tc>
        <w:tc>
          <w:tcPr>
            <w:tcW w:w="0" w:type="dxa"/>
            <w:vAlign w:val="bottom"/>
          </w:tcPr>
          <w:p>
            <w:pPr>
              <w:spacing w:after="0"/>
              <w:rPr>
                <w:sz w:val="1"/>
                <w:szCs w:val="1"/>
                <w:color w:val="auto"/>
              </w:rPr>
            </w:pPr>
          </w:p>
        </w:tc>
      </w:tr>
      <w:tr>
        <w:trPr>
          <w:trHeight w:val="170"/>
        </w:trPr>
        <w:tc>
          <w:tcPr>
            <w:tcW w:w="8120" w:type="dxa"/>
            <w:vAlign w:val="bottom"/>
            <w:tcBorders>
              <w:bottom w:val="single" w:sz="8" w:color="E0E7ED"/>
            </w:tcBorders>
          </w:tcPr>
          <w:p>
            <w:pPr>
              <w:spacing w:after="0"/>
              <w:rPr>
                <w:sz w:val="14"/>
                <w:szCs w:val="14"/>
                <w:color w:val="auto"/>
              </w:rPr>
            </w:pPr>
          </w:p>
        </w:tc>
        <w:tc>
          <w:tcPr>
            <w:tcW w:w="180" w:type="dxa"/>
            <w:vAlign w:val="bottom"/>
            <w:tcBorders>
              <w:bottom w:val="single" w:sz="8" w:color="E0E7ED"/>
            </w:tcBorders>
          </w:tcPr>
          <w:p>
            <w:pPr>
              <w:spacing w:after="0"/>
              <w:rPr>
                <w:sz w:val="14"/>
                <w:szCs w:val="14"/>
                <w:color w:val="auto"/>
              </w:rPr>
            </w:pPr>
          </w:p>
        </w:tc>
        <w:tc>
          <w:tcPr>
            <w:tcW w:w="1320" w:type="dxa"/>
            <w:vAlign w:val="bottom"/>
            <w:tcBorders>
              <w:bottom w:val="single" w:sz="8" w:color="E0E7ED"/>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17"/>
              <w:spacing w:after="0"/>
              <w:rPr>
                <w:sz w:val="20"/>
                <w:szCs w:val="20"/>
                <w:color w:val="auto"/>
              </w:rPr>
            </w:pPr>
            <w:r>
              <w:rPr>
                <w:rFonts w:ascii="Verdana" w:cs="Verdana" w:eastAsia="Verdana" w:hAnsi="Verdana"/>
                <w:sz w:val="13"/>
                <w:szCs w:val="13"/>
                <w:b w:val="1"/>
                <w:bCs w:val="1"/>
                <w:color w:val="auto"/>
                <w:w w:val="99"/>
              </w:rPr>
              <w:t>September 30, 2024</w:t>
            </w:r>
          </w:p>
        </w:tc>
        <w:tc>
          <w:tcPr>
            <w:tcW w:w="0" w:type="dxa"/>
            <w:vAlign w:val="bottom"/>
          </w:tcPr>
          <w:p>
            <w:pPr>
              <w:spacing w:after="0"/>
              <w:rPr>
                <w:sz w:val="1"/>
                <w:szCs w:val="1"/>
                <w:color w:val="auto"/>
              </w:rPr>
            </w:pPr>
          </w:p>
        </w:tc>
      </w:tr>
      <w:tr>
        <w:trPr>
          <w:trHeight w:val="255"/>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Rents to be received</w:t>
            </w:r>
          </w:p>
        </w:tc>
        <w:tc>
          <w:tcPr>
            <w:tcW w:w="18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c>
          <w:tcPr>
            <w:tcW w:w="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Remainder of 2024</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00" w:type="dxa"/>
            <w:vAlign w:val="bottom"/>
            <w:gridSpan w:val="3"/>
          </w:tcPr>
          <w:p>
            <w:pPr>
              <w:jc w:val="right"/>
              <w:ind w:right="160"/>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spacing w:after="0"/>
              <w:rPr>
                <w:sz w:val="20"/>
                <w:szCs w:val="20"/>
                <w:color w:val="auto"/>
              </w:rPr>
            </w:pPr>
            <w:r>
              <w:rPr>
                <w:rFonts w:ascii="Verdana" w:cs="Verdana" w:eastAsia="Verdana" w:hAnsi="Verdana"/>
                <w:sz w:val="18"/>
                <w:szCs w:val="18"/>
                <w:color w:val="auto"/>
              </w:rPr>
              <w:t>207</w:t>
            </w:r>
          </w:p>
        </w:tc>
        <w:tc>
          <w:tcPr>
            <w:tcW w:w="0" w:type="dxa"/>
            <w:vAlign w:val="bottom"/>
          </w:tcPr>
          <w:p>
            <w:pPr>
              <w:spacing w:after="0"/>
              <w:rPr>
                <w:sz w:val="1"/>
                <w:szCs w:val="1"/>
                <w:color w:val="auto"/>
              </w:rPr>
            </w:pP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2025</w:t>
            </w:r>
          </w:p>
        </w:tc>
        <w:tc>
          <w:tcPr>
            <w:tcW w:w="180" w:type="dxa"/>
            <w:vAlign w:val="bottom"/>
            <w:shd w:val="clear" w:color="auto" w:fill="E0E7ED"/>
          </w:tcPr>
          <w:p>
            <w:pPr>
              <w:spacing w:after="0"/>
              <w:rPr>
                <w:sz w:val="24"/>
                <w:szCs w:val="24"/>
                <w:color w:val="auto"/>
              </w:rPr>
            </w:pPr>
          </w:p>
        </w:tc>
        <w:tc>
          <w:tcPr>
            <w:tcW w:w="132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665</w:t>
            </w:r>
          </w:p>
        </w:tc>
        <w:tc>
          <w:tcPr>
            <w:tcW w:w="0" w:type="dxa"/>
            <w:vAlign w:val="bottom"/>
          </w:tcPr>
          <w:p>
            <w:pPr>
              <w:spacing w:after="0"/>
              <w:rPr>
                <w:sz w:val="1"/>
                <w:szCs w:val="1"/>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2026</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503</w:t>
            </w:r>
          </w:p>
        </w:tc>
        <w:tc>
          <w:tcPr>
            <w:tcW w:w="0" w:type="dxa"/>
            <w:vAlign w:val="bottom"/>
          </w:tcPr>
          <w:p>
            <w:pPr>
              <w:spacing w:after="0"/>
              <w:rPr>
                <w:sz w:val="1"/>
                <w:szCs w:val="1"/>
                <w:color w:val="auto"/>
              </w:rPr>
            </w:pP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2027</w:t>
            </w:r>
          </w:p>
        </w:tc>
        <w:tc>
          <w:tcPr>
            <w:tcW w:w="180" w:type="dxa"/>
            <w:vAlign w:val="bottom"/>
            <w:shd w:val="clear" w:color="auto" w:fill="E0E7ED"/>
          </w:tcPr>
          <w:p>
            <w:pPr>
              <w:spacing w:after="0"/>
              <w:rPr>
                <w:sz w:val="24"/>
                <w:szCs w:val="24"/>
                <w:color w:val="auto"/>
              </w:rPr>
            </w:pPr>
          </w:p>
        </w:tc>
        <w:tc>
          <w:tcPr>
            <w:tcW w:w="132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301</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2028</w:t>
            </w:r>
          </w:p>
        </w:tc>
        <w:tc>
          <w:tcPr>
            <w:tcW w:w="180" w:type="dxa"/>
            <w:vAlign w:val="bottom"/>
            <w:tcBorders>
              <w:bottom w:val="single" w:sz="8" w:color="E0E7ED"/>
            </w:tcBorders>
          </w:tcPr>
          <w:p>
            <w:pPr>
              <w:spacing w:after="0"/>
              <w:rPr>
                <w:sz w:val="22"/>
                <w:szCs w:val="22"/>
                <w:color w:val="auto"/>
              </w:rPr>
            </w:pPr>
          </w:p>
        </w:tc>
        <w:tc>
          <w:tcPr>
            <w:tcW w:w="1320" w:type="dxa"/>
            <w:vAlign w:val="bottom"/>
            <w:tcBorders>
              <w:bottom w:val="single" w:sz="8" w:color="E0E7ED"/>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185</w:t>
            </w:r>
          </w:p>
        </w:tc>
        <w:tc>
          <w:tcPr>
            <w:tcW w:w="0" w:type="dxa"/>
            <w:vAlign w:val="bottom"/>
          </w:tcPr>
          <w:p>
            <w:pPr>
              <w:spacing w:after="0"/>
              <w:rPr>
                <w:sz w:val="1"/>
                <w:szCs w:val="1"/>
                <w:color w:val="auto"/>
              </w:rPr>
            </w:pPr>
          </w:p>
        </w:tc>
      </w:tr>
      <w:tr>
        <w:trPr>
          <w:trHeight w:val="295"/>
        </w:trPr>
        <w:tc>
          <w:tcPr>
            <w:tcW w:w="81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lease payments from operating leases</w:t>
            </w:r>
          </w:p>
        </w:tc>
        <w:tc>
          <w:tcPr>
            <w:tcW w:w="180" w:type="dxa"/>
            <w:vAlign w:val="bottom"/>
            <w:tcBorders>
              <w:bottom w:val="single" w:sz="8" w:color="E0E7ED"/>
            </w:tcBorders>
            <w:shd w:val="clear" w:color="auto" w:fill="E0E7ED"/>
          </w:tcPr>
          <w:p>
            <w:pPr>
              <w:spacing w:after="0"/>
              <w:rPr>
                <w:sz w:val="24"/>
                <w:szCs w:val="24"/>
                <w:color w:val="auto"/>
              </w:rPr>
            </w:pPr>
          </w:p>
        </w:tc>
        <w:tc>
          <w:tcPr>
            <w:tcW w:w="1320" w:type="dxa"/>
            <w:vAlign w:val="bottom"/>
            <w:tcBorders>
              <w:bottom w:val="single" w:sz="8" w:color="E0E7ED"/>
            </w:tcBorders>
            <w:shd w:val="clear" w:color="auto" w:fill="E0E7ED"/>
          </w:tcPr>
          <w:p>
            <w:pPr>
              <w:spacing w:after="0"/>
              <w:rPr>
                <w:sz w:val="24"/>
                <w:szCs w:val="24"/>
                <w:color w:val="auto"/>
              </w:rPr>
            </w:pPr>
          </w:p>
        </w:tc>
        <w:tc>
          <w:tcPr>
            <w:tcW w:w="300" w:type="dxa"/>
            <w:vAlign w:val="bottom"/>
            <w:tcBorders>
              <w:bottom w:val="single" w:sz="8" w:color="auto"/>
            </w:tcBorders>
            <w:gridSpan w:val="3"/>
            <w:shd w:val="clear" w:color="auto" w:fill="E0E7ED"/>
          </w:tcPr>
          <w:p>
            <w:pPr>
              <w:jc w:val="right"/>
              <w:ind w:right="160"/>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8"/>
                <w:szCs w:val="18"/>
                <w:color w:val="auto"/>
              </w:rPr>
              <w:t>1,861</w:t>
            </w:r>
          </w:p>
        </w:tc>
        <w:tc>
          <w:tcPr>
            <w:tcW w:w="0" w:type="dxa"/>
            <w:vAlign w:val="bottom"/>
          </w:tcPr>
          <w:p>
            <w:pPr>
              <w:spacing w:after="0"/>
              <w:rPr>
                <w:sz w:val="1"/>
                <w:szCs w:val="1"/>
                <w:color w:val="auto"/>
              </w:rPr>
            </w:pPr>
          </w:p>
        </w:tc>
      </w:tr>
      <w:tr>
        <w:trPr>
          <w:trHeight w:val="20"/>
        </w:trPr>
        <w:tc>
          <w:tcPr>
            <w:tcW w:w="8120" w:type="dxa"/>
            <w:vAlign w:val="bottom"/>
            <w:tcBorders>
              <w:top w:val="single" w:sz="8" w:color="E0E7ED"/>
              <w:bottom w:val="single" w:sz="8" w:color="E0E7ED"/>
            </w:tcBorders>
            <w:vMerge w:val="restart"/>
          </w:tcPr>
          <w:p>
            <w:pPr>
              <w:spacing w:after="0"/>
              <w:rPr>
                <w:sz w:val="20"/>
                <w:szCs w:val="20"/>
                <w:color w:val="auto"/>
              </w:rPr>
            </w:pPr>
            <w:r>
              <w:rPr>
                <w:rFonts w:ascii="Verdana" w:cs="Verdana" w:eastAsia="Verdana" w:hAnsi="Verdana"/>
                <w:sz w:val="18"/>
                <w:szCs w:val="18"/>
                <w:b w:val="1"/>
                <w:bCs w:val="1"/>
                <w:color w:val="auto"/>
              </w:rPr>
              <w:t>NOTE 6. DEPOSITS</w:t>
            </w:r>
          </w:p>
        </w:tc>
        <w:tc>
          <w:tcPr>
            <w:tcW w:w="180" w:type="dxa"/>
            <w:vAlign w:val="bottom"/>
            <w:tcBorders>
              <w:top w:val="single" w:sz="8" w:color="E0E7ED"/>
            </w:tcBorders>
          </w:tcPr>
          <w:p>
            <w:pPr>
              <w:spacing w:after="0" w:line="20" w:lineRule="exact"/>
              <w:rPr>
                <w:sz w:val="1"/>
                <w:szCs w:val="1"/>
                <w:color w:val="auto"/>
              </w:rPr>
            </w:pPr>
          </w:p>
        </w:tc>
        <w:tc>
          <w:tcPr>
            <w:tcW w:w="1320" w:type="dxa"/>
            <w:vAlign w:val="bottom"/>
            <w:tcBorders>
              <w:top w:val="single" w:sz="8" w:color="E0E7ED"/>
            </w:tcBorders>
          </w:tcPr>
          <w:p>
            <w:pPr>
              <w:spacing w:after="0" w:line="20" w:lineRule="exact"/>
              <w:rPr>
                <w:sz w:val="1"/>
                <w:szCs w:val="1"/>
                <w:color w:val="auto"/>
              </w:rPr>
            </w:pPr>
          </w:p>
        </w:tc>
        <w:tc>
          <w:tcPr>
            <w:tcW w:w="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bottom w:val="single" w:sz="8" w:color="auto"/>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32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81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300" w:type="dxa"/>
            <w:vAlign w:val="bottom"/>
            <w:gridSpan w:val="2"/>
          </w:tcPr>
          <w:p>
            <w:pPr>
              <w:spacing w:after="0"/>
              <w:rPr>
                <w:sz w:val="20"/>
                <w:szCs w:val="20"/>
                <w:color w:val="auto"/>
              </w:rPr>
            </w:pPr>
            <w:r>
              <w:rPr>
                <w:rFonts w:ascii="Verdana" w:cs="Verdana" w:eastAsia="Verdana" w:hAnsi="Verdana"/>
                <w:sz w:val="18"/>
                <w:szCs w:val="18"/>
                <w:color w:val="auto"/>
              </w:rPr>
              <w:t xml:space="preserve">The composition of Busey’s deposits is presented in the table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right"/>
              <w:ind w:right="60"/>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8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jc w:val="center"/>
              <w:ind w:right="81"/>
              <w:spacing w:after="0" w:line="122" w:lineRule="exact"/>
              <w:rPr>
                <w:sz w:val="20"/>
                <w:szCs w:val="20"/>
                <w:color w:val="auto"/>
              </w:rPr>
            </w:pPr>
            <w:r>
              <w:rPr>
                <w:rFonts w:ascii="Verdana" w:cs="Verdana" w:eastAsia="Verdana" w:hAnsi="Verdana"/>
                <w:sz w:val="13"/>
                <w:szCs w:val="13"/>
                <w:b w:val="1"/>
                <w:bCs w:val="1"/>
                <w:color w:val="auto"/>
                <w:w w:val="97"/>
              </w:rPr>
              <w:t>September 30,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jc w:val="center"/>
              <w:ind w:right="97"/>
              <w:spacing w:after="0" w:line="122" w:lineRule="exact"/>
              <w:rPr>
                <w:sz w:val="20"/>
                <w:szCs w:val="20"/>
                <w:color w:val="auto"/>
              </w:rPr>
            </w:pPr>
            <w:r>
              <w:rPr>
                <w:rFonts w:ascii="Verdana" w:cs="Verdana" w:eastAsia="Verdana" w:hAnsi="Verdana"/>
                <w:sz w:val="13"/>
                <w:szCs w:val="13"/>
                <w:b w:val="1"/>
                <w:bCs w:val="1"/>
                <w:color w:val="auto"/>
                <w:w w:val="96"/>
              </w:rPr>
              <w:t>December 31,</w:t>
            </w:r>
          </w:p>
        </w:tc>
        <w:tc>
          <w:tcPr>
            <w:tcW w:w="0" w:type="dxa"/>
            <w:vAlign w:val="bottom"/>
          </w:tcPr>
          <w:p>
            <w:pPr>
              <w:spacing w:after="0"/>
              <w:rPr>
                <w:sz w:val="1"/>
                <w:szCs w:val="1"/>
                <w:color w:val="auto"/>
              </w:rPr>
            </w:pPr>
          </w:p>
        </w:tc>
      </w:tr>
      <w:tr>
        <w:trPr>
          <w:trHeight w:val="170"/>
        </w:trPr>
        <w:tc>
          <w:tcPr>
            <w:tcW w:w="812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81"/>
              <w:spacing w:after="0"/>
              <w:rPr>
                <w:sz w:val="20"/>
                <w:szCs w:val="20"/>
                <w:color w:val="auto"/>
              </w:rPr>
            </w:pPr>
            <w:r>
              <w:rPr>
                <w:rFonts w:ascii="Verdana" w:cs="Verdana" w:eastAsia="Verdana" w:hAnsi="Verdana"/>
                <w:sz w:val="13"/>
                <w:szCs w:val="13"/>
                <w:b w:val="1"/>
                <w:bCs w:val="1"/>
                <w:color w:val="auto"/>
                <w:w w:val="97"/>
              </w:rPr>
              <w:t>2024</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17"/>
              <w:spacing w:after="0"/>
              <w:rPr>
                <w:sz w:val="20"/>
                <w:szCs w:val="20"/>
                <w:color w:val="auto"/>
              </w:rPr>
            </w:pPr>
            <w:r>
              <w:rPr>
                <w:rFonts w:ascii="Verdana" w:cs="Verdana" w:eastAsia="Verdana" w:hAnsi="Verdana"/>
                <w:sz w:val="13"/>
                <w:szCs w:val="13"/>
                <w:b w:val="1"/>
                <w:bCs w:val="1"/>
                <w:color w:val="auto"/>
                <w:w w:val="97"/>
              </w:rPr>
              <w:t>2023</w:t>
            </w:r>
          </w:p>
        </w:tc>
        <w:tc>
          <w:tcPr>
            <w:tcW w:w="0" w:type="dxa"/>
            <w:vAlign w:val="bottom"/>
          </w:tcPr>
          <w:p>
            <w:pPr>
              <w:spacing w:after="0"/>
              <w:rPr>
                <w:sz w:val="1"/>
                <w:szCs w:val="1"/>
                <w:color w:val="auto"/>
              </w:rPr>
            </w:pPr>
          </w:p>
        </w:tc>
      </w:tr>
      <w:tr>
        <w:trPr>
          <w:trHeight w:val="255"/>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Deposits</w:t>
            </w:r>
          </w:p>
        </w:tc>
        <w:tc>
          <w:tcPr>
            <w:tcW w:w="18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c>
          <w:tcPr>
            <w:tcW w:w="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Noninterest-bearing demand deposits</w:t>
            </w:r>
          </w:p>
        </w:tc>
        <w:tc>
          <w:tcPr>
            <w:tcW w:w="18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ind w:right="1"/>
              <w:spacing w:after="0"/>
              <w:rPr>
                <w:sz w:val="20"/>
                <w:szCs w:val="20"/>
                <w:color w:val="auto"/>
              </w:rPr>
            </w:pPr>
            <w:r>
              <w:rPr>
                <w:rFonts w:ascii="Verdana" w:cs="Verdana" w:eastAsia="Verdana" w:hAnsi="Verdana"/>
                <w:sz w:val="18"/>
                <w:szCs w:val="18"/>
                <w:color w:val="auto"/>
              </w:rPr>
              <w:t>2,683,543</w:t>
            </w:r>
          </w:p>
        </w:tc>
        <w:tc>
          <w:tcPr>
            <w:tcW w:w="300" w:type="dxa"/>
            <w:vAlign w:val="bottom"/>
            <w:gridSpan w:val="3"/>
          </w:tcPr>
          <w:p>
            <w:pPr>
              <w:jc w:val="right"/>
              <w:ind w:right="60"/>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spacing w:after="0"/>
              <w:rPr>
                <w:sz w:val="20"/>
                <w:szCs w:val="20"/>
                <w:color w:val="auto"/>
              </w:rPr>
            </w:pPr>
            <w:r>
              <w:rPr>
                <w:rFonts w:ascii="Verdana" w:cs="Verdana" w:eastAsia="Verdana" w:hAnsi="Verdana"/>
                <w:sz w:val="18"/>
                <w:szCs w:val="18"/>
                <w:color w:val="auto"/>
              </w:rPr>
              <w:t>2,834,655</w:t>
            </w:r>
          </w:p>
        </w:tc>
        <w:tc>
          <w:tcPr>
            <w:tcW w:w="0" w:type="dxa"/>
            <w:vAlign w:val="bottom"/>
          </w:tcPr>
          <w:p>
            <w:pPr>
              <w:spacing w:after="0"/>
              <w:rPr>
                <w:sz w:val="1"/>
                <w:szCs w:val="1"/>
                <w:color w:val="auto"/>
              </w:rPr>
            </w:pP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Interest-bearing transaction deposits</w:t>
            </w:r>
          </w:p>
        </w:tc>
        <w:tc>
          <w:tcPr>
            <w:tcW w:w="18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
              <w:spacing w:after="0"/>
              <w:rPr>
                <w:sz w:val="20"/>
                <w:szCs w:val="20"/>
                <w:color w:val="auto"/>
              </w:rPr>
            </w:pPr>
            <w:r>
              <w:rPr>
                <w:rFonts w:ascii="Verdana" w:cs="Verdana" w:eastAsia="Verdana" w:hAnsi="Verdana"/>
                <w:sz w:val="18"/>
                <w:szCs w:val="18"/>
                <w:color w:val="auto"/>
              </w:rPr>
              <w:t>2,455,217</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2,717,139</w:t>
            </w:r>
          </w:p>
        </w:tc>
        <w:tc>
          <w:tcPr>
            <w:tcW w:w="0" w:type="dxa"/>
            <w:vAlign w:val="bottom"/>
          </w:tcPr>
          <w:p>
            <w:pPr>
              <w:spacing w:after="0"/>
              <w:rPr>
                <w:sz w:val="1"/>
                <w:szCs w:val="1"/>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Saving deposits and money market deposits</w:t>
            </w:r>
          </w:p>
        </w:tc>
        <w:tc>
          <w:tcPr>
            <w:tcW w:w="180" w:type="dxa"/>
            <w:vAlign w:val="bottom"/>
          </w:tcPr>
          <w:p>
            <w:pPr>
              <w:spacing w:after="0"/>
              <w:rPr>
                <w:sz w:val="22"/>
                <w:szCs w:val="22"/>
                <w:color w:val="auto"/>
              </w:rPr>
            </w:pPr>
          </w:p>
        </w:tc>
        <w:tc>
          <w:tcPr>
            <w:tcW w:w="1320" w:type="dxa"/>
            <w:vAlign w:val="bottom"/>
          </w:tcPr>
          <w:p>
            <w:pPr>
              <w:jc w:val="right"/>
              <w:ind w:right="1"/>
              <w:spacing w:after="0"/>
              <w:rPr>
                <w:sz w:val="20"/>
                <w:szCs w:val="20"/>
                <w:color w:val="auto"/>
              </w:rPr>
            </w:pPr>
            <w:r>
              <w:rPr>
                <w:rFonts w:ascii="Verdana" w:cs="Verdana" w:eastAsia="Verdana" w:hAnsi="Verdana"/>
                <w:sz w:val="18"/>
                <w:szCs w:val="18"/>
                <w:color w:val="auto"/>
              </w:rPr>
              <w:t>3,284,556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2,920,088</w:t>
            </w:r>
          </w:p>
        </w:tc>
        <w:tc>
          <w:tcPr>
            <w:tcW w:w="0" w:type="dxa"/>
            <w:vAlign w:val="bottom"/>
          </w:tcPr>
          <w:p>
            <w:pPr>
              <w:spacing w:after="0"/>
              <w:rPr>
                <w:sz w:val="1"/>
                <w:szCs w:val="1"/>
                <w:color w:val="auto"/>
              </w:rPr>
            </w:pPr>
          </w:p>
        </w:tc>
      </w:tr>
      <w:tr>
        <w:trPr>
          <w:trHeight w:val="270"/>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Time deposits</w:t>
            </w:r>
          </w:p>
        </w:tc>
        <w:tc>
          <w:tcPr>
            <w:tcW w:w="180" w:type="dxa"/>
            <w:vAlign w:val="bottom"/>
            <w:tcBorders>
              <w:bottom w:val="single" w:sz="8" w:color="auto"/>
            </w:tcBorders>
            <w:shd w:val="clear" w:color="auto" w:fill="E0E7ED"/>
          </w:tcPr>
          <w:p>
            <w:pPr>
              <w:spacing w:after="0"/>
              <w:rPr>
                <w:sz w:val="23"/>
                <w:szCs w:val="23"/>
                <w:color w:val="auto"/>
              </w:rPr>
            </w:pPr>
          </w:p>
        </w:tc>
        <w:tc>
          <w:tcPr>
            <w:tcW w:w="1320" w:type="dxa"/>
            <w:vAlign w:val="bottom"/>
            <w:tcBorders>
              <w:bottom w:val="single" w:sz="8" w:color="auto"/>
            </w:tcBorders>
            <w:shd w:val="clear" w:color="auto" w:fill="E0E7ED"/>
          </w:tcPr>
          <w:p>
            <w:pPr>
              <w:jc w:val="right"/>
              <w:ind w:right="1"/>
              <w:spacing w:after="0"/>
              <w:rPr>
                <w:sz w:val="20"/>
                <w:szCs w:val="20"/>
                <w:color w:val="auto"/>
              </w:rPr>
            </w:pPr>
            <w:r>
              <w:rPr>
                <w:rFonts w:ascii="Verdana" w:cs="Verdana" w:eastAsia="Verdana" w:hAnsi="Verdana"/>
                <w:sz w:val="18"/>
                <w:szCs w:val="18"/>
                <w:color w:val="auto"/>
              </w:rPr>
              <w:t>1,519,925</w:t>
            </w:r>
          </w:p>
        </w:tc>
        <w:tc>
          <w:tcPr>
            <w:tcW w:w="20" w:type="dxa"/>
            <w:vAlign w:val="bottom"/>
            <w:tcBorders>
              <w:bottom w:val="single" w:sz="8" w:color="auto"/>
            </w:tcBorders>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00" w:type="dxa"/>
            <w:vAlign w:val="bottom"/>
            <w:tcBorders>
              <w:bottom w:val="single" w:sz="8" w:color="auto"/>
            </w:tcBorders>
            <w:shd w:val="clear" w:color="auto" w:fill="E0E7ED"/>
          </w:tcPr>
          <w:p>
            <w:pPr>
              <w:spacing w:after="0"/>
              <w:rPr>
                <w:sz w:val="23"/>
                <w:szCs w:val="23"/>
                <w:color w:val="auto"/>
              </w:rPr>
            </w:pP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1,819,274</w:t>
            </w:r>
          </w:p>
        </w:tc>
        <w:tc>
          <w:tcPr>
            <w:tcW w:w="0" w:type="dxa"/>
            <w:vAlign w:val="bottom"/>
          </w:tcPr>
          <w:p>
            <w:pPr>
              <w:spacing w:after="0"/>
              <w:rPr>
                <w:sz w:val="1"/>
                <w:szCs w:val="1"/>
                <w:color w:val="auto"/>
              </w:rPr>
            </w:pPr>
          </w:p>
        </w:tc>
      </w:tr>
      <w:tr>
        <w:trPr>
          <w:trHeight w:val="270"/>
        </w:trPr>
        <w:tc>
          <w:tcPr>
            <w:tcW w:w="8120" w:type="dxa"/>
            <w:vAlign w:val="bottom"/>
          </w:tcPr>
          <w:p>
            <w:pPr>
              <w:ind w:left="20"/>
              <w:spacing w:after="0"/>
              <w:rPr>
                <w:sz w:val="20"/>
                <w:szCs w:val="20"/>
                <w:color w:val="auto"/>
              </w:rPr>
            </w:pPr>
            <w:r>
              <w:rPr>
                <w:rFonts w:ascii="Verdana" w:cs="Verdana" w:eastAsia="Verdana" w:hAnsi="Verdana"/>
                <w:sz w:val="18"/>
                <w:szCs w:val="18"/>
                <w:color w:val="auto"/>
              </w:rPr>
              <w:t>Total deposits</w:t>
            </w:r>
          </w:p>
        </w:tc>
        <w:tc>
          <w:tcPr>
            <w:tcW w:w="18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ind w:right="1"/>
              <w:spacing w:after="0"/>
              <w:rPr>
                <w:sz w:val="20"/>
                <w:szCs w:val="20"/>
                <w:color w:val="auto"/>
              </w:rPr>
            </w:pPr>
            <w:r>
              <w:rPr>
                <w:rFonts w:ascii="Verdana" w:cs="Verdana" w:eastAsia="Verdana" w:hAnsi="Verdana"/>
                <w:sz w:val="18"/>
                <w:szCs w:val="18"/>
                <w:color w:val="auto"/>
              </w:rPr>
              <w:t>9,943,241</w:t>
            </w:r>
          </w:p>
        </w:tc>
        <w:tc>
          <w:tcPr>
            <w:tcW w:w="300" w:type="dxa"/>
            <w:vAlign w:val="bottom"/>
            <w:gridSpan w:val="3"/>
          </w:tcPr>
          <w:p>
            <w:pPr>
              <w:jc w:val="right"/>
              <w:ind w:right="60"/>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spacing w:after="0"/>
              <w:rPr>
                <w:sz w:val="20"/>
                <w:szCs w:val="20"/>
                <w:color w:val="auto"/>
              </w:rPr>
            </w:pPr>
            <w:r>
              <w:rPr>
                <w:rFonts w:ascii="Verdana" w:cs="Verdana" w:eastAsia="Verdana" w:hAnsi="Verdana"/>
                <w:sz w:val="18"/>
                <w:szCs w:val="18"/>
                <w:color w:val="auto"/>
              </w:rPr>
              <w:t>10,291,156</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Verdana" w:cs="Verdana" w:eastAsia="Verdana" w:hAnsi="Verdana"/>
                <w:sz w:val="18"/>
                <w:szCs w:val="18"/>
                <w:color w:val="auto"/>
              </w:rPr>
              <w:t xml:space="preserve">Additional information about Busey’s deposits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81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right"/>
              <w:ind w:right="60"/>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8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jc w:val="center"/>
              <w:ind w:right="81"/>
              <w:spacing w:after="0" w:line="122" w:lineRule="exact"/>
              <w:rPr>
                <w:sz w:val="20"/>
                <w:szCs w:val="20"/>
                <w:color w:val="auto"/>
              </w:rPr>
            </w:pPr>
            <w:r>
              <w:rPr>
                <w:rFonts w:ascii="Verdana" w:cs="Verdana" w:eastAsia="Verdana" w:hAnsi="Verdana"/>
                <w:sz w:val="13"/>
                <w:szCs w:val="13"/>
                <w:b w:val="1"/>
                <w:bCs w:val="1"/>
                <w:color w:val="auto"/>
                <w:w w:val="97"/>
              </w:rPr>
              <w:t>September 30,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jc w:val="center"/>
              <w:ind w:right="97"/>
              <w:spacing w:after="0" w:line="122" w:lineRule="exact"/>
              <w:rPr>
                <w:sz w:val="20"/>
                <w:szCs w:val="20"/>
                <w:color w:val="auto"/>
              </w:rPr>
            </w:pPr>
            <w:r>
              <w:rPr>
                <w:rFonts w:ascii="Verdana" w:cs="Verdana" w:eastAsia="Verdana" w:hAnsi="Verdana"/>
                <w:sz w:val="13"/>
                <w:szCs w:val="13"/>
                <w:b w:val="1"/>
                <w:bCs w:val="1"/>
                <w:color w:val="auto"/>
                <w:w w:val="96"/>
              </w:rPr>
              <w:t>December 31,</w:t>
            </w:r>
          </w:p>
        </w:tc>
        <w:tc>
          <w:tcPr>
            <w:tcW w:w="0" w:type="dxa"/>
            <w:vAlign w:val="bottom"/>
          </w:tcPr>
          <w:p>
            <w:pPr>
              <w:spacing w:after="0"/>
              <w:rPr>
                <w:sz w:val="1"/>
                <w:szCs w:val="1"/>
                <w:color w:val="auto"/>
              </w:rPr>
            </w:pPr>
          </w:p>
        </w:tc>
      </w:tr>
      <w:tr>
        <w:trPr>
          <w:trHeight w:val="170"/>
        </w:trPr>
        <w:tc>
          <w:tcPr>
            <w:tcW w:w="812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81"/>
              <w:spacing w:after="0"/>
              <w:rPr>
                <w:sz w:val="20"/>
                <w:szCs w:val="20"/>
                <w:color w:val="auto"/>
              </w:rPr>
            </w:pPr>
            <w:r>
              <w:rPr>
                <w:rFonts w:ascii="Verdana" w:cs="Verdana" w:eastAsia="Verdana" w:hAnsi="Verdana"/>
                <w:sz w:val="13"/>
                <w:szCs w:val="13"/>
                <w:b w:val="1"/>
                <w:bCs w:val="1"/>
                <w:color w:val="auto"/>
                <w:w w:val="97"/>
              </w:rPr>
              <w:t>2024</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17"/>
              <w:spacing w:after="0"/>
              <w:rPr>
                <w:sz w:val="20"/>
                <w:szCs w:val="20"/>
                <w:color w:val="auto"/>
              </w:rPr>
            </w:pPr>
            <w:r>
              <w:rPr>
                <w:rFonts w:ascii="Verdana" w:cs="Verdana" w:eastAsia="Verdana" w:hAnsi="Verdana"/>
                <w:sz w:val="13"/>
                <w:szCs w:val="13"/>
                <w:b w:val="1"/>
                <w:bCs w:val="1"/>
                <w:color w:val="auto"/>
                <w:w w:val="97"/>
              </w:rPr>
              <w:t>2023</w:t>
            </w:r>
          </w:p>
        </w:tc>
        <w:tc>
          <w:tcPr>
            <w:tcW w:w="0" w:type="dxa"/>
            <w:vAlign w:val="bottom"/>
          </w:tcPr>
          <w:p>
            <w:pPr>
              <w:spacing w:after="0"/>
              <w:rPr>
                <w:sz w:val="1"/>
                <w:szCs w:val="1"/>
                <w:color w:val="auto"/>
              </w:rPr>
            </w:pPr>
          </w:p>
        </w:tc>
      </w:tr>
      <w:tr>
        <w:trPr>
          <w:trHeight w:val="269"/>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Brokered savings deposits and money market deposits</w:t>
            </w:r>
          </w:p>
        </w:tc>
        <w:tc>
          <w:tcPr>
            <w:tcW w:w="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shd w:val="clear" w:color="auto" w:fill="E0E7ED"/>
          </w:tcPr>
          <w:p>
            <w:pPr>
              <w:jc w:val="right"/>
              <w:ind w:right="1"/>
              <w:spacing w:after="0"/>
              <w:rPr>
                <w:sz w:val="20"/>
                <w:szCs w:val="20"/>
                <w:color w:val="auto"/>
              </w:rPr>
            </w:pPr>
            <w:r>
              <w:rPr>
                <w:rFonts w:ascii="Verdana" w:cs="Verdana" w:eastAsia="Verdana" w:hAnsi="Verdana"/>
                <w:sz w:val="18"/>
                <w:szCs w:val="18"/>
                <w:color w:val="auto"/>
              </w:rPr>
              <w:t>6,001</w:t>
            </w:r>
          </w:p>
        </w:tc>
        <w:tc>
          <w:tcPr>
            <w:tcW w:w="300" w:type="dxa"/>
            <w:vAlign w:val="bottom"/>
            <w:gridSpan w:val="3"/>
            <w:shd w:val="clear" w:color="auto" w:fill="E0E7ED"/>
          </w:tcPr>
          <w:p>
            <w:pPr>
              <w:jc w:val="right"/>
              <w:ind w:right="60"/>
              <w:spacing w:after="0"/>
              <w:rPr>
                <w:sz w:val="20"/>
                <w:szCs w:val="20"/>
                <w:color w:val="auto"/>
              </w:rPr>
            </w:pPr>
            <w:r>
              <w:rPr>
                <w:rFonts w:ascii="Verdana" w:cs="Verdana" w:eastAsia="Verdana" w:hAnsi="Verdana"/>
                <w:sz w:val="18"/>
                <w:szCs w:val="18"/>
                <w:color w:val="auto"/>
              </w:rPr>
              <w:t>$</w:t>
            </w:r>
          </w:p>
        </w:tc>
        <w:tc>
          <w:tcPr>
            <w:tcW w:w="132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6,001</w:t>
            </w:r>
          </w:p>
        </w:tc>
        <w:tc>
          <w:tcPr>
            <w:tcW w:w="0" w:type="dxa"/>
            <w:vAlign w:val="bottom"/>
          </w:tcPr>
          <w:p>
            <w:pPr>
              <w:spacing w:after="0"/>
              <w:rPr>
                <w:sz w:val="1"/>
                <w:szCs w:val="1"/>
                <w:color w:val="auto"/>
              </w:rPr>
            </w:pPr>
          </w:p>
        </w:tc>
      </w:tr>
      <w:tr>
        <w:trPr>
          <w:trHeight w:val="263"/>
        </w:trPr>
        <w:tc>
          <w:tcPr>
            <w:tcW w:w="8120" w:type="dxa"/>
            <w:vAlign w:val="bottom"/>
          </w:tcPr>
          <w:p>
            <w:pPr>
              <w:ind w:left="20"/>
              <w:spacing w:after="0"/>
              <w:rPr>
                <w:sz w:val="20"/>
                <w:szCs w:val="20"/>
                <w:color w:val="auto"/>
              </w:rPr>
            </w:pPr>
            <w:r>
              <w:rPr>
                <w:rFonts w:ascii="Verdana" w:cs="Verdana" w:eastAsia="Verdana" w:hAnsi="Verdana"/>
                <w:sz w:val="18"/>
                <w:szCs w:val="18"/>
                <w:color w:val="auto"/>
              </w:rPr>
              <w:t>Brokered time deposits</w:t>
            </w:r>
          </w:p>
        </w:tc>
        <w:tc>
          <w:tcPr>
            <w:tcW w:w="180" w:type="dxa"/>
            <w:vAlign w:val="bottom"/>
          </w:tcPr>
          <w:p>
            <w:pPr>
              <w:spacing w:after="0"/>
              <w:rPr>
                <w:sz w:val="22"/>
                <w:szCs w:val="22"/>
                <w:color w:val="auto"/>
              </w:rPr>
            </w:pPr>
          </w:p>
        </w:tc>
        <w:tc>
          <w:tcPr>
            <w:tcW w:w="1320" w:type="dxa"/>
            <w:vAlign w:val="bottom"/>
          </w:tcPr>
          <w:p>
            <w:pPr>
              <w:jc w:val="right"/>
              <w:ind w:right="1"/>
              <w:spacing w:after="0"/>
              <w:rPr>
                <w:sz w:val="20"/>
                <w:szCs w:val="20"/>
                <w:color w:val="auto"/>
              </w:rPr>
            </w:pPr>
            <w:r>
              <w:rPr>
                <w:rFonts w:ascii="Verdana" w:cs="Verdana" w:eastAsia="Verdana" w:hAnsi="Verdana"/>
                <w:sz w:val="18"/>
                <w:szCs w:val="18"/>
                <w:color w:val="auto"/>
              </w:rPr>
              <w:t>7,088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285</w:t>
            </w:r>
          </w:p>
        </w:tc>
        <w:tc>
          <w:tcPr>
            <w:tcW w:w="0" w:type="dxa"/>
            <w:vAlign w:val="bottom"/>
          </w:tcPr>
          <w:p>
            <w:pPr>
              <w:spacing w:after="0"/>
              <w:rPr>
                <w:sz w:val="1"/>
                <w:szCs w:val="1"/>
                <w:color w:val="auto"/>
              </w:rPr>
            </w:pPr>
          </w:p>
        </w:tc>
      </w:tr>
      <w:tr>
        <w:trPr>
          <w:trHeight w:val="277"/>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Aggregate amount of time deposits with a minimum denomination of $100,000</w:t>
            </w:r>
          </w:p>
        </w:tc>
        <w:tc>
          <w:tcPr>
            <w:tcW w:w="18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
              <w:spacing w:after="0"/>
              <w:rPr>
                <w:sz w:val="20"/>
                <w:szCs w:val="20"/>
                <w:color w:val="auto"/>
              </w:rPr>
            </w:pPr>
            <w:r>
              <w:rPr>
                <w:rFonts w:ascii="Verdana" w:cs="Verdana" w:eastAsia="Verdana" w:hAnsi="Verdana"/>
                <w:sz w:val="18"/>
                <w:szCs w:val="18"/>
                <w:color w:val="auto"/>
              </w:rPr>
              <w:t>873,754</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1,072,189</w:t>
            </w:r>
          </w:p>
        </w:tc>
        <w:tc>
          <w:tcPr>
            <w:tcW w:w="0" w:type="dxa"/>
            <w:vAlign w:val="bottom"/>
          </w:tcPr>
          <w:p>
            <w:pPr>
              <w:spacing w:after="0"/>
              <w:rPr>
                <w:sz w:val="1"/>
                <w:szCs w:val="1"/>
                <w:color w:val="auto"/>
              </w:rPr>
            </w:pPr>
          </w:p>
        </w:tc>
      </w:tr>
      <w:tr>
        <w:trPr>
          <w:trHeight w:val="238"/>
        </w:trPr>
        <w:tc>
          <w:tcPr>
            <w:tcW w:w="8120" w:type="dxa"/>
            <w:vAlign w:val="bottom"/>
          </w:tcPr>
          <w:p>
            <w:pPr>
              <w:ind w:left="20"/>
              <w:spacing w:after="0"/>
              <w:rPr>
                <w:sz w:val="20"/>
                <w:szCs w:val="20"/>
                <w:color w:val="auto"/>
              </w:rPr>
            </w:pPr>
            <w:r>
              <w:rPr>
                <w:rFonts w:ascii="Verdana" w:cs="Verdana" w:eastAsia="Verdana" w:hAnsi="Verdana"/>
                <w:sz w:val="18"/>
                <w:szCs w:val="18"/>
                <w:color w:val="auto"/>
              </w:rPr>
              <w:t>Aggregate amount of time deposits with a minimum denomination that meets or</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8120" w:type="dxa"/>
            <w:vAlign w:val="bottom"/>
          </w:tcPr>
          <w:p>
            <w:pPr>
              <w:ind w:left="20"/>
              <w:spacing w:after="0"/>
              <w:rPr>
                <w:sz w:val="20"/>
                <w:szCs w:val="20"/>
                <w:color w:val="auto"/>
              </w:rPr>
            </w:pPr>
            <w:r>
              <w:rPr>
                <w:rFonts w:ascii="Verdana" w:cs="Verdana" w:eastAsia="Verdana" w:hAnsi="Verdana"/>
                <w:sz w:val="18"/>
                <w:szCs w:val="18"/>
                <w:color w:val="auto"/>
              </w:rPr>
              <w:t>exceeds the FDIC insurance limit of $250,000</w:t>
            </w:r>
          </w:p>
        </w:tc>
        <w:tc>
          <w:tcPr>
            <w:tcW w:w="180" w:type="dxa"/>
            <w:vAlign w:val="bottom"/>
          </w:tcPr>
          <w:p>
            <w:pPr>
              <w:spacing w:after="0"/>
              <w:rPr>
                <w:sz w:val="20"/>
                <w:szCs w:val="20"/>
                <w:color w:val="auto"/>
              </w:rPr>
            </w:pPr>
          </w:p>
        </w:tc>
        <w:tc>
          <w:tcPr>
            <w:tcW w:w="1320" w:type="dxa"/>
            <w:vAlign w:val="bottom"/>
          </w:tcPr>
          <w:p>
            <w:pPr>
              <w:jc w:val="right"/>
              <w:ind w:right="1"/>
              <w:spacing w:after="0"/>
              <w:rPr>
                <w:sz w:val="20"/>
                <w:szCs w:val="20"/>
                <w:color w:val="auto"/>
              </w:rPr>
            </w:pPr>
            <w:r>
              <w:rPr>
                <w:rFonts w:ascii="Verdana" w:cs="Verdana" w:eastAsia="Verdana" w:hAnsi="Verdana"/>
                <w:sz w:val="18"/>
                <w:szCs w:val="18"/>
                <w:color w:val="auto"/>
              </w:rPr>
              <w:t>338,808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386,286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40" w:name="page41"/>
    <w:bookmarkEnd w:id="40"/>
    <w:p>
      <w:pPr>
        <w:spacing w:after="0"/>
        <w:rPr>
          <w:sz w:val="20"/>
          <w:szCs w:val="20"/>
          <w:color w:val="auto"/>
        </w:rPr>
      </w:pPr>
      <w:r>
        <w:rPr>
          <w:rFonts w:ascii="Verdana" w:cs="Verdana" w:eastAsia="Verdana" w:hAnsi="Verdana"/>
          <w:sz w:val="18"/>
          <w:szCs w:val="18"/>
          <w:color w:val="0000FF"/>
        </w:rPr>
        <w:t>Table of Contents</w:t>
      </w:r>
    </w:p>
    <w:tbl>
      <w:tblPr>
        <w:tblLayout w:type="fixed"/>
        <w:tblInd w:w="0" w:type="dxa"/>
        <w:tblCellMar>
          <w:top w:w="0" w:type="dxa"/>
          <w:left w:w="0" w:type="dxa"/>
          <w:bottom w:w="0" w:type="dxa"/>
          <w:right w:w="0" w:type="dxa"/>
        </w:tblCellMar>
      </w:tblPr>
      <w:tr>
        <w:trPr>
          <w:trHeight w:val="218"/>
        </w:trPr>
        <w:tc>
          <w:tcPr>
            <w:tcW w:w="1580" w:type="dxa"/>
            <w:vAlign w:val="bottom"/>
            <w:tcBorders>
              <w:top w:val="single" w:sz="8" w:color="0000FF"/>
            </w:tcBorders>
          </w:tcPr>
          <w:p>
            <w:pPr>
              <w:spacing w:after="0"/>
              <w:rPr>
                <w:sz w:val="18"/>
                <w:szCs w:val="18"/>
                <w:color w:val="auto"/>
              </w:rPr>
            </w:pPr>
          </w:p>
        </w:tc>
        <w:tc>
          <w:tcPr>
            <w:tcW w:w="8140" w:type="dxa"/>
            <w:vAlign w:val="bottom"/>
          </w:tcPr>
          <w:p>
            <w:pPr>
              <w:jc w:val="center"/>
              <w:spacing w:after="0" w:line="217" w:lineRule="exact"/>
              <w:rPr>
                <w:sz w:val="20"/>
                <w:szCs w:val="20"/>
                <w:color w:val="auto"/>
              </w:rPr>
            </w:pPr>
            <w:r>
              <w:rPr>
                <w:rFonts w:ascii="Verdana" w:cs="Verdana" w:eastAsia="Verdana" w:hAnsi="Verdana"/>
                <w:sz w:val="18"/>
                <w:szCs w:val="18"/>
                <w:b w:val="1"/>
                <w:bCs w:val="1"/>
                <w:color w:val="auto"/>
              </w:rPr>
              <w:t>FIRST BUSEY CORPORATION</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5"/>
        </w:trPr>
        <w:tc>
          <w:tcPr>
            <w:tcW w:w="1580" w:type="dxa"/>
            <w:vAlign w:val="bottom"/>
          </w:tcPr>
          <w:p>
            <w:pPr>
              <w:spacing w:after="0"/>
              <w:rPr>
                <w:sz w:val="20"/>
                <w:szCs w:val="20"/>
                <w:color w:val="auto"/>
              </w:rPr>
            </w:pPr>
          </w:p>
        </w:tc>
        <w:tc>
          <w:tcPr>
            <w:tcW w:w="8140" w:type="dxa"/>
            <w:vAlign w:val="bottom"/>
          </w:tcPr>
          <w:p>
            <w:pPr>
              <w:jc w:val="center"/>
              <w:spacing w:after="0"/>
              <w:rPr>
                <w:sz w:val="20"/>
                <w:szCs w:val="20"/>
                <w:color w:val="auto"/>
              </w:rPr>
            </w:pPr>
            <w:r>
              <w:rPr>
                <w:rFonts w:ascii="Verdana" w:cs="Verdana" w:eastAsia="Verdana" w:hAnsi="Verdana"/>
                <w:sz w:val="18"/>
                <w:szCs w:val="18"/>
                <w:b w:val="1"/>
                <w:bCs w:val="1"/>
                <w:color w:val="auto"/>
                <w:w w:val="99"/>
              </w:rPr>
              <w:t>NOTES TO CONSOLIDATED FINANCIAL STATEMENTS (Unaudited)</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918"/>
        </w:trPr>
        <w:tc>
          <w:tcPr>
            <w:tcW w:w="9720" w:type="dxa"/>
            <w:vAlign w:val="bottom"/>
            <w:gridSpan w:val="2"/>
          </w:tcPr>
          <w:p>
            <w:pPr>
              <w:spacing w:after="0"/>
              <w:rPr>
                <w:sz w:val="20"/>
                <w:szCs w:val="20"/>
                <w:color w:val="auto"/>
              </w:rPr>
            </w:pPr>
            <w:r>
              <w:rPr>
                <w:rFonts w:ascii="Verdana" w:cs="Verdana" w:eastAsia="Verdana" w:hAnsi="Verdana"/>
                <w:sz w:val="18"/>
                <w:szCs w:val="18"/>
                <w:color w:val="auto"/>
              </w:rPr>
              <w:t xml:space="preserve">Scheduled maturities of time deposits are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11"/>
        </w:trPr>
        <w:tc>
          <w:tcPr>
            <w:tcW w:w="158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jc w:val="right"/>
              <w:ind w:right="513"/>
              <w:spacing w:after="0"/>
              <w:rPr>
                <w:sz w:val="20"/>
                <w:szCs w:val="20"/>
                <w:color w:val="auto"/>
              </w:rPr>
            </w:pPr>
            <w:r>
              <w:rPr>
                <w:rFonts w:ascii="Verdana" w:cs="Verdana" w:eastAsia="Verdana" w:hAnsi="Verdana"/>
                <w:sz w:val="13"/>
                <w:szCs w:val="13"/>
                <w:b w:val="1"/>
                <w:bCs w:val="1"/>
                <w:color w:val="auto"/>
              </w:rPr>
              <w:t>As of</w:t>
            </w:r>
          </w:p>
        </w:tc>
      </w:tr>
      <w:tr>
        <w:trPr>
          <w:trHeight w:val="170"/>
        </w:trPr>
        <w:tc>
          <w:tcPr>
            <w:tcW w:w="1580" w:type="dxa"/>
            <w:vAlign w:val="bottom"/>
            <w:tcBorders>
              <w:bottom w:val="single" w:sz="8" w:color="E0E7ED"/>
            </w:tcBorders>
          </w:tcPr>
          <w:p>
            <w:pPr>
              <w:spacing w:after="0"/>
              <w:rPr>
                <w:sz w:val="14"/>
                <w:szCs w:val="14"/>
                <w:color w:val="auto"/>
              </w:rPr>
            </w:pPr>
          </w:p>
        </w:tc>
        <w:tc>
          <w:tcPr>
            <w:tcW w:w="8140" w:type="dxa"/>
            <w:vAlign w:val="bottom"/>
            <w:tcBorders>
              <w:bottom w:val="single" w:sz="8" w:color="E0E7ED"/>
            </w:tcBorders>
          </w:tcPr>
          <w:p>
            <w:pPr>
              <w:spacing w:after="0"/>
              <w:rPr>
                <w:sz w:val="14"/>
                <w:szCs w:val="14"/>
                <w:color w:val="auto"/>
              </w:rPr>
            </w:pPr>
          </w:p>
        </w:tc>
        <w:tc>
          <w:tcPr>
            <w:tcW w:w="1520" w:type="dxa"/>
            <w:vAlign w:val="bottom"/>
            <w:tcBorders>
              <w:bottom w:val="single" w:sz="8" w:color="auto"/>
            </w:tcBorders>
            <w:gridSpan w:val="2"/>
          </w:tcPr>
          <w:p>
            <w:pPr>
              <w:ind w:left="40"/>
              <w:spacing w:after="0"/>
              <w:rPr>
                <w:sz w:val="20"/>
                <w:szCs w:val="20"/>
                <w:color w:val="auto"/>
              </w:rPr>
            </w:pPr>
            <w:r>
              <w:rPr>
                <w:rFonts w:ascii="Verdana" w:cs="Verdana" w:eastAsia="Verdana" w:hAnsi="Verdana"/>
                <w:sz w:val="13"/>
                <w:szCs w:val="13"/>
                <w:b w:val="1"/>
                <w:bCs w:val="1"/>
                <w:color w:val="auto"/>
                <w:w w:val="98"/>
              </w:rPr>
              <w:t>September 30, 2024</w:t>
            </w:r>
          </w:p>
        </w:tc>
      </w:tr>
      <w:tr>
        <w:trPr>
          <w:trHeight w:val="255"/>
        </w:trPr>
        <w:tc>
          <w:tcPr>
            <w:tcW w:w="972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b w:val="1"/>
                <w:bCs w:val="1"/>
                <w:color w:val="auto"/>
              </w:rPr>
              <w:t>Time deposits by schedule of maturities</w:t>
            </w:r>
          </w:p>
        </w:tc>
        <w:tc>
          <w:tcPr>
            <w:tcW w:w="320" w:type="dxa"/>
            <w:vAlign w:val="bottom"/>
            <w:shd w:val="clear" w:color="auto" w:fill="E0E7ED"/>
          </w:tcPr>
          <w:p>
            <w:pPr>
              <w:spacing w:after="0"/>
              <w:rPr>
                <w:sz w:val="22"/>
                <w:szCs w:val="22"/>
                <w:color w:val="auto"/>
              </w:rPr>
            </w:pPr>
          </w:p>
        </w:tc>
        <w:tc>
          <w:tcPr>
            <w:tcW w:w="1200" w:type="dxa"/>
            <w:vAlign w:val="bottom"/>
            <w:shd w:val="clear" w:color="auto" w:fill="E0E7ED"/>
          </w:tcPr>
          <w:p>
            <w:pPr>
              <w:spacing w:after="0"/>
              <w:rPr>
                <w:sz w:val="22"/>
                <w:szCs w:val="22"/>
                <w:color w:val="auto"/>
              </w:rPr>
            </w:pPr>
          </w:p>
        </w:tc>
      </w:tr>
      <w:tr>
        <w:trPr>
          <w:trHeight w:val="263"/>
        </w:trPr>
        <w:tc>
          <w:tcPr>
            <w:tcW w:w="9720" w:type="dxa"/>
            <w:vAlign w:val="bottom"/>
            <w:gridSpan w:val="2"/>
          </w:tcPr>
          <w:p>
            <w:pPr>
              <w:ind w:left="180"/>
              <w:spacing w:after="0"/>
              <w:rPr>
                <w:sz w:val="20"/>
                <w:szCs w:val="20"/>
                <w:color w:val="auto"/>
              </w:rPr>
            </w:pPr>
            <w:r>
              <w:rPr>
                <w:rFonts w:ascii="Verdana" w:cs="Verdana" w:eastAsia="Verdana" w:hAnsi="Verdana"/>
                <w:sz w:val="18"/>
                <w:szCs w:val="18"/>
                <w:color w:val="auto"/>
              </w:rPr>
              <w:t>Remainder of 2024</w:t>
            </w:r>
          </w:p>
        </w:tc>
        <w:tc>
          <w:tcPr>
            <w:tcW w:w="320" w:type="dxa"/>
            <w:vAlign w:val="bottom"/>
          </w:tcPr>
          <w:p>
            <w:pPr>
              <w:ind w:left="2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547,111</w:t>
            </w:r>
          </w:p>
        </w:tc>
      </w:tr>
      <w:tr>
        <w:trPr>
          <w:trHeight w:val="277"/>
        </w:trPr>
        <w:tc>
          <w:tcPr>
            <w:tcW w:w="15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2025</w:t>
            </w:r>
          </w:p>
        </w:tc>
        <w:tc>
          <w:tcPr>
            <w:tcW w:w="814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914,253</w:t>
            </w:r>
          </w:p>
        </w:tc>
      </w:tr>
      <w:tr>
        <w:trPr>
          <w:trHeight w:val="263"/>
        </w:trPr>
        <w:tc>
          <w:tcPr>
            <w:tcW w:w="1580" w:type="dxa"/>
            <w:vAlign w:val="bottom"/>
          </w:tcPr>
          <w:p>
            <w:pPr>
              <w:ind w:left="180"/>
              <w:spacing w:after="0"/>
              <w:rPr>
                <w:sz w:val="20"/>
                <w:szCs w:val="20"/>
                <w:color w:val="auto"/>
              </w:rPr>
            </w:pPr>
            <w:r>
              <w:rPr>
                <w:rFonts w:ascii="Verdana" w:cs="Verdana" w:eastAsia="Verdana" w:hAnsi="Verdana"/>
                <w:sz w:val="18"/>
                <w:szCs w:val="18"/>
                <w:color w:val="auto"/>
              </w:rPr>
              <w:t>2026</w:t>
            </w:r>
          </w:p>
        </w:tc>
        <w:tc>
          <w:tcPr>
            <w:tcW w:w="8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30,592</w:t>
            </w:r>
          </w:p>
        </w:tc>
      </w:tr>
      <w:tr>
        <w:trPr>
          <w:trHeight w:val="277"/>
        </w:trPr>
        <w:tc>
          <w:tcPr>
            <w:tcW w:w="15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2027</w:t>
            </w:r>
          </w:p>
        </w:tc>
        <w:tc>
          <w:tcPr>
            <w:tcW w:w="814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13,689</w:t>
            </w:r>
          </w:p>
        </w:tc>
      </w:tr>
      <w:tr>
        <w:trPr>
          <w:trHeight w:val="263"/>
        </w:trPr>
        <w:tc>
          <w:tcPr>
            <w:tcW w:w="1580" w:type="dxa"/>
            <w:vAlign w:val="bottom"/>
          </w:tcPr>
          <w:p>
            <w:pPr>
              <w:ind w:left="180"/>
              <w:spacing w:after="0"/>
              <w:rPr>
                <w:sz w:val="20"/>
                <w:szCs w:val="20"/>
                <w:color w:val="auto"/>
              </w:rPr>
            </w:pPr>
            <w:r>
              <w:rPr>
                <w:rFonts w:ascii="Verdana" w:cs="Verdana" w:eastAsia="Verdana" w:hAnsi="Verdana"/>
                <w:sz w:val="18"/>
                <w:szCs w:val="18"/>
                <w:color w:val="auto"/>
              </w:rPr>
              <w:t>2028</w:t>
            </w:r>
          </w:p>
        </w:tc>
        <w:tc>
          <w:tcPr>
            <w:tcW w:w="8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Verdana" w:cs="Verdana" w:eastAsia="Verdana" w:hAnsi="Verdana"/>
                <w:sz w:val="18"/>
                <w:szCs w:val="18"/>
                <w:color w:val="auto"/>
              </w:rPr>
              <w:t>8,715</w:t>
            </w:r>
          </w:p>
        </w:tc>
      </w:tr>
      <w:tr>
        <w:trPr>
          <w:trHeight w:val="277"/>
        </w:trPr>
        <w:tc>
          <w:tcPr>
            <w:tcW w:w="15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2029</w:t>
            </w:r>
          </w:p>
        </w:tc>
        <w:tc>
          <w:tcPr>
            <w:tcW w:w="814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2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5,116</w:t>
            </w:r>
          </w:p>
        </w:tc>
      </w:tr>
      <w:tr>
        <w:trPr>
          <w:trHeight w:val="263"/>
        </w:trPr>
        <w:tc>
          <w:tcPr>
            <w:tcW w:w="9720" w:type="dxa"/>
            <w:vAlign w:val="bottom"/>
            <w:tcBorders>
              <w:bottom w:val="single" w:sz="8" w:color="E0E7ED"/>
            </w:tcBorders>
            <w:gridSpan w:val="2"/>
          </w:tcPr>
          <w:p>
            <w:pPr>
              <w:ind w:left="180"/>
              <w:spacing w:after="0"/>
              <w:rPr>
                <w:sz w:val="20"/>
                <w:szCs w:val="20"/>
                <w:color w:val="auto"/>
              </w:rPr>
            </w:pPr>
            <w:r>
              <w:rPr>
                <w:rFonts w:ascii="Verdana" w:cs="Verdana" w:eastAsia="Verdana" w:hAnsi="Verdana"/>
                <w:sz w:val="18"/>
                <w:szCs w:val="18"/>
                <w:color w:val="auto"/>
              </w:rPr>
              <w:t>Thereafter</w:t>
            </w: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449</w:t>
            </w:r>
          </w:p>
        </w:tc>
      </w:tr>
      <w:tr>
        <w:trPr>
          <w:trHeight w:val="295"/>
        </w:trPr>
        <w:tc>
          <w:tcPr>
            <w:tcW w:w="9720" w:type="dxa"/>
            <w:vAlign w:val="bottom"/>
            <w:tcBorders>
              <w:bottom w:val="single" w:sz="8" w:color="E0E7ED"/>
            </w:tcBorders>
            <w:gridSpan w:val="2"/>
            <w:shd w:val="clear" w:color="auto" w:fill="E0E7ED"/>
          </w:tcPr>
          <w:p>
            <w:pPr>
              <w:ind w:left="20"/>
              <w:spacing w:after="0"/>
              <w:rPr>
                <w:sz w:val="20"/>
                <w:szCs w:val="20"/>
                <w:color w:val="auto"/>
              </w:rPr>
            </w:pPr>
            <w:r>
              <w:rPr>
                <w:rFonts w:ascii="Verdana" w:cs="Verdana" w:eastAsia="Verdana" w:hAnsi="Verdana"/>
                <w:sz w:val="18"/>
                <w:szCs w:val="18"/>
                <w:color w:val="auto"/>
              </w:rPr>
              <w:t>Time deposits</w:t>
            </w:r>
          </w:p>
        </w:tc>
        <w:tc>
          <w:tcPr>
            <w:tcW w:w="320" w:type="dxa"/>
            <w:vAlign w:val="bottom"/>
            <w:tcBorders>
              <w:bottom w:val="single" w:sz="8" w:color="auto"/>
            </w:tcBorders>
            <w:shd w:val="clear" w:color="auto" w:fill="E0E7ED"/>
          </w:tcPr>
          <w:p>
            <w:pPr>
              <w:ind w:left="20"/>
              <w:spacing w:after="0"/>
              <w:rPr>
                <w:sz w:val="20"/>
                <w:szCs w:val="20"/>
                <w:color w:val="auto"/>
              </w:rPr>
            </w:pPr>
            <w:r>
              <w:rPr>
                <w:rFonts w:ascii="Verdana" w:cs="Verdana" w:eastAsia="Verdana" w:hAnsi="Verdana"/>
                <w:sz w:val="18"/>
                <w:szCs w:val="18"/>
                <w:color w:val="auto"/>
              </w:rPr>
              <w:t>$</w:t>
            </w: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1,519,925</w:t>
            </w:r>
          </w:p>
        </w:tc>
      </w:tr>
      <w:tr>
        <w:trPr>
          <w:trHeight w:val="20"/>
        </w:trPr>
        <w:tc>
          <w:tcPr>
            <w:tcW w:w="1580" w:type="dxa"/>
            <w:vAlign w:val="bottom"/>
            <w:tcBorders>
              <w:top w:val="single" w:sz="8" w:color="E0E7ED"/>
            </w:tcBorders>
          </w:tcPr>
          <w:p>
            <w:pPr>
              <w:spacing w:after="0" w:line="20" w:lineRule="exact"/>
              <w:rPr>
                <w:sz w:val="1"/>
                <w:szCs w:val="1"/>
                <w:color w:val="auto"/>
              </w:rPr>
            </w:pPr>
          </w:p>
        </w:tc>
        <w:tc>
          <w:tcPr>
            <w:tcW w:w="814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7. BORROWINGS</w:t>
      </w:r>
    </w:p>
    <w:p>
      <w:pPr>
        <w:spacing w:after="0" w:line="186"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Securities Sold Under Agreements to Repurchase</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 xml:space="preserve">Securities sold under agreements to repurchase, which are classified as secured borrowings, generally mature daily. Securities sold under agreements to repurchase are reflected at the amount of cash received in connection with the transaction. The underlying securities are held by Busey’s safekeeping agent. Busey may be required to provide additional collateral based on fluctuations in the fair value of the underlying securities. Securities sold under agreements to repurchase were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3"/>
          </w:tcPr>
          <w:p>
            <w:pPr>
              <w:jc w:val="right"/>
              <w:ind w:right="100"/>
              <w:spacing w:after="0"/>
              <w:rPr>
                <w:sz w:val="20"/>
                <w:szCs w:val="20"/>
                <w:color w:val="auto"/>
              </w:rPr>
            </w:pPr>
            <w:r>
              <w:rPr>
                <w:rFonts w:ascii="Verdana" w:cs="Verdana" w:eastAsia="Verdana" w:hAnsi="Verdana"/>
                <w:sz w:val="13"/>
                <w:szCs w:val="13"/>
                <w:b w:val="1"/>
                <w:bCs w:val="1"/>
                <w:color w:val="auto"/>
              </w:rPr>
              <w:t>As of</w:t>
            </w:r>
          </w:p>
        </w:tc>
        <w:tc>
          <w:tcPr>
            <w:tcW w:w="1440" w:type="dxa"/>
            <w:vAlign w:val="bottom"/>
            <w:tcBorders>
              <w:bottom w:val="single" w:sz="8" w:color="auto"/>
            </w:tcBorders>
          </w:tcPr>
          <w:p>
            <w:pPr>
              <w:spacing w:after="0"/>
              <w:rPr>
                <w:sz w:val="15"/>
                <w:szCs w:val="15"/>
                <w:color w:val="auto"/>
              </w:rPr>
            </w:pPr>
          </w:p>
        </w:tc>
      </w:tr>
      <w:tr>
        <w:trPr>
          <w:trHeight w:val="122"/>
        </w:trPr>
        <w:tc>
          <w:tcPr>
            <w:tcW w:w="7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jc w:val="right"/>
              <w:ind w:right="24"/>
              <w:spacing w:after="0" w:line="122" w:lineRule="exact"/>
              <w:rPr>
                <w:sz w:val="20"/>
                <w:szCs w:val="20"/>
                <w:color w:val="auto"/>
              </w:rPr>
            </w:pPr>
            <w:r>
              <w:rPr>
                <w:rFonts w:ascii="Verdana" w:cs="Verdana" w:eastAsia="Verdana" w:hAnsi="Verdana"/>
                <w:sz w:val="13"/>
                <w:szCs w:val="13"/>
                <w:b w:val="1"/>
                <w:bCs w:val="1"/>
                <w:color w:val="auto"/>
              </w:rPr>
              <w:t>September 30,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tcPr>
          <w:p>
            <w:pPr>
              <w:jc w:val="right"/>
              <w:ind w:right="264"/>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7800" w:type="dxa"/>
            <w:vAlign w:val="bottom"/>
            <w:tcBorders>
              <w:bottom w:val="single" w:sz="8" w:color="E0E7ED"/>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364"/>
              <w:spacing w:after="0"/>
              <w:rPr>
                <w:sz w:val="20"/>
                <w:szCs w:val="20"/>
                <w:color w:val="auto"/>
              </w:rPr>
            </w:pPr>
            <w:r>
              <w:rPr>
                <w:rFonts w:ascii="Verdana" w:cs="Verdana" w:eastAsia="Verdana" w:hAnsi="Verdana"/>
                <w:sz w:val="13"/>
                <w:szCs w:val="13"/>
                <w:b w:val="1"/>
                <w:bCs w:val="1"/>
                <w:color w:val="auto"/>
              </w:rPr>
              <w:t>2024</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584"/>
              <w:spacing w:after="0"/>
              <w:rPr>
                <w:sz w:val="20"/>
                <w:szCs w:val="20"/>
                <w:color w:val="auto"/>
              </w:rPr>
            </w:pPr>
            <w:r>
              <w:rPr>
                <w:rFonts w:ascii="Verdana" w:cs="Verdana" w:eastAsia="Verdana" w:hAnsi="Verdana"/>
                <w:sz w:val="13"/>
                <w:szCs w:val="13"/>
                <w:b w:val="1"/>
                <w:bCs w:val="1"/>
                <w:color w:val="auto"/>
              </w:rPr>
              <w:t>2023</w:t>
            </w:r>
          </w:p>
        </w:tc>
      </w:tr>
      <w:tr>
        <w:trPr>
          <w:trHeight w:val="269"/>
        </w:trPr>
        <w:tc>
          <w:tcPr>
            <w:tcW w:w="78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Securities sold under agreements to repurchase</w:t>
            </w: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128,429</w:t>
            </w:r>
          </w:p>
        </w:tc>
        <w:tc>
          <w:tcPr>
            <w:tcW w:w="540" w:type="dxa"/>
            <w:vAlign w:val="bottom"/>
            <w:gridSpan w:val="3"/>
            <w:shd w:val="clear" w:color="auto" w:fill="E0E7ED"/>
          </w:tcPr>
          <w:p>
            <w:pPr>
              <w:jc w:val="right"/>
              <w:ind w:right="100"/>
              <w:spacing w:after="0"/>
              <w:rPr>
                <w:sz w:val="20"/>
                <w:szCs w:val="20"/>
                <w:color w:val="auto"/>
              </w:rPr>
            </w:pPr>
            <w:r>
              <w:rPr>
                <w:rFonts w:ascii="Verdana" w:cs="Verdana" w:eastAsia="Verdana" w:hAnsi="Verdana"/>
                <w:sz w:val="18"/>
                <w:szCs w:val="18"/>
                <w:color w:val="auto"/>
              </w:rPr>
              <w:t>$</w:t>
            </w:r>
          </w:p>
        </w:tc>
        <w:tc>
          <w:tcPr>
            <w:tcW w:w="1440" w:type="dxa"/>
            <w:vAlign w:val="bottom"/>
            <w:shd w:val="clear" w:color="auto" w:fill="E0E7ED"/>
          </w:tcPr>
          <w:p>
            <w:pPr>
              <w:jc w:val="right"/>
              <w:ind w:right="204"/>
              <w:spacing w:after="0"/>
              <w:rPr>
                <w:sz w:val="20"/>
                <w:szCs w:val="20"/>
                <w:color w:val="auto"/>
              </w:rPr>
            </w:pPr>
            <w:r>
              <w:rPr>
                <w:rFonts w:ascii="Verdana" w:cs="Verdana" w:eastAsia="Verdana" w:hAnsi="Verdana"/>
                <w:sz w:val="18"/>
                <w:szCs w:val="18"/>
                <w:color w:val="auto"/>
              </w:rPr>
              <w:t>187,396</w:t>
            </w:r>
          </w:p>
        </w:tc>
      </w:tr>
      <w:tr>
        <w:trPr>
          <w:trHeight w:val="257"/>
        </w:trPr>
        <w:tc>
          <w:tcPr>
            <w:tcW w:w="7800" w:type="dxa"/>
            <w:vAlign w:val="bottom"/>
          </w:tcPr>
          <w:p>
            <w:pPr>
              <w:ind w:left="20"/>
              <w:spacing w:after="0"/>
              <w:rPr>
                <w:sz w:val="20"/>
                <w:szCs w:val="20"/>
                <w:color w:val="auto"/>
              </w:rPr>
            </w:pPr>
            <w:r>
              <w:rPr>
                <w:rFonts w:ascii="Verdana" w:cs="Verdana" w:eastAsia="Verdana" w:hAnsi="Verdana"/>
                <w:sz w:val="18"/>
                <w:szCs w:val="18"/>
                <w:color w:val="auto"/>
              </w:rPr>
              <w:t>Weighted average rate for securities sold under agreements to repurchase</w:t>
            </w:r>
          </w:p>
        </w:tc>
        <w:tc>
          <w:tcPr>
            <w:tcW w:w="220" w:type="dxa"/>
            <w:vAlign w:val="bottom"/>
          </w:tcPr>
          <w:p>
            <w:pPr>
              <w:spacing w:after="0"/>
              <w:rPr>
                <w:sz w:val="22"/>
                <w:szCs w:val="22"/>
                <w:color w:val="auto"/>
              </w:rPr>
            </w:pPr>
          </w:p>
        </w:tc>
        <w:tc>
          <w:tcPr>
            <w:tcW w:w="1460" w:type="dxa"/>
            <w:vAlign w:val="bottom"/>
            <w:gridSpan w:val="2"/>
          </w:tcPr>
          <w:p>
            <w:pPr>
              <w:jc w:val="right"/>
              <w:spacing w:after="0"/>
              <w:rPr>
                <w:sz w:val="20"/>
                <w:szCs w:val="20"/>
                <w:color w:val="auto"/>
              </w:rPr>
            </w:pPr>
            <w:r>
              <w:rPr>
                <w:rFonts w:ascii="Verdana" w:cs="Verdana" w:eastAsia="Verdana" w:hAnsi="Verdana"/>
                <w:sz w:val="18"/>
                <w:szCs w:val="18"/>
                <w:color w:val="auto"/>
              </w:rPr>
              <w:t>2.77 %</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Verdana" w:cs="Verdana" w:eastAsia="Verdana" w:hAnsi="Verdana"/>
                <w:sz w:val="18"/>
                <w:szCs w:val="18"/>
                <w:color w:val="auto"/>
              </w:rPr>
              <w:t>3.26 %</w:t>
            </w:r>
          </w:p>
        </w:tc>
      </w:tr>
    </w:tbl>
    <w:p>
      <w:pPr>
        <w:spacing w:after="0" w:line="278"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Term Loan and Revolving Line of Credit</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On May 28, 2021, Busey entered into a Second Amended and Restated Credit Agreement, pursuant to which Busey has access to (1) a $40.0 million revolving line of credit with an initial termination date of April 30, 2022, and (2) a $60.0 million Term Loan with a maturity date of May 31, 2026. The loans had an annual interest rate of 1.75% plus the one-month LIBOR rate. On April 30, 2022, the agreement was amended, effecting an extension of the termination date for the revolving line of credit to April 30, 2023, and providing for the transition from a LIBOR-indexed interest rate to a SOFR-indexed interest rate. Under the terms of the amendment, the annual interest rate for the loans was established at 1.80% plus the one-month forward-looking term rate based on SOFR. The agreement has subsequently been amended twice to extend the termination date for the revolving line of credit, which is currently April 30, 2025.</w:t>
      </w:r>
    </w:p>
    <w:p>
      <w:pPr>
        <w:spacing w:after="0" w:line="174"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During the first quarter of 2024, Busey paid the full $30.0 million balance remaining on the Term Loan, at which time the Term Loan carried interest at a rate of 7.13%. As of September 30, 2024, there was no balance outstanding on the revolving credit facility. The revolving credit facility incurs an insignificant non-usage fee based on any undrawn amounts.</w:t>
      </w: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41" w:name="page42"/>
    <w:bookmarkEnd w:id="41"/>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Short-term Borrowings</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Busey’s short-term borrowings include loans maturing within one year of the loan origination date and, when applicable, the current portion of long-term debt that is due within 12 months. Short-term borrowings are summarized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5"/>
                <w:szCs w:val="15"/>
                <w:color w:val="auto"/>
              </w:rPr>
            </w:pPr>
          </w:p>
        </w:tc>
      </w:tr>
      <w:tr>
        <w:trPr>
          <w:trHeight w:val="121"/>
        </w:trPr>
        <w:tc>
          <w:tcPr>
            <w:tcW w:w="8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gridSpan w:val="2"/>
          </w:tcPr>
          <w:p>
            <w:pPr>
              <w:jc w:val="center"/>
              <w:ind w:right="260"/>
              <w:spacing w:after="0" w:line="122" w:lineRule="exact"/>
              <w:rPr>
                <w:sz w:val="20"/>
                <w:szCs w:val="20"/>
                <w:color w:val="auto"/>
              </w:rPr>
            </w:pPr>
            <w:r>
              <w:rPr>
                <w:rFonts w:ascii="Verdana" w:cs="Verdana" w:eastAsia="Verdana" w:hAnsi="Verdana"/>
                <w:sz w:val="13"/>
                <w:szCs w:val="13"/>
                <w:b w:val="1"/>
                <w:bCs w:val="1"/>
                <w:color w:val="auto"/>
                <w:w w:val="97"/>
              </w:rPr>
              <w:t>September 30,</w:t>
            </w:r>
          </w:p>
        </w:tc>
        <w:tc>
          <w:tcPr>
            <w:tcW w:w="200" w:type="dxa"/>
            <w:vAlign w:val="bottom"/>
          </w:tcPr>
          <w:p>
            <w:pPr>
              <w:spacing w:after="0"/>
              <w:rPr>
                <w:sz w:val="10"/>
                <w:szCs w:val="10"/>
                <w:color w:val="auto"/>
              </w:rPr>
            </w:pPr>
          </w:p>
        </w:tc>
        <w:tc>
          <w:tcPr>
            <w:tcW w:w="1320" w:type="dxa"/>
            <w:vAlign w:val="bottom"/>
          </w:tcPr>
          <w:p>
            <w:pPr>
              <w:jc w:val="right"/>
              <w:ind w:right="184"/>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812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06"/>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04"/>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Short-term borrowings</w:t>
            </w:r>
          </w:p>
        </w:tc>
        <w:tc>
          <w:tcPr>
            <w:tcW w:w="180" w:type="dxa"/>
            <w:vAlign w:val="bottom"/>
            <w:shd w:val="clear" w:color="auto" w:fill="E0E7ED"/>
          </w:tcPr>
          <w:p>
            <w:pPr>
              <w:spacing w:after="0"/>
              <w:rPr>
                <w:sz w:val="22"/>
                <w:szCs w:val="22"/>
                <w:color w:val="auto"/>
              </w:rPr>
            </w:pPr>
          </w:p>
        </w:tc>
        <w:tc>
          <w:tcPr>
            <w:tcW w:w="13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r>
      <w:tr>
        <w:trPr>
          <w:trHeight w:val="263"/>
        </w:trPr>
        <w:tc>
          <w:tcPr>
            <w:tcW w:w="81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Term Loan, current portion due within 12 months</w:t>
            </w:r>
          </w:p>
        </w:tc>
        <w:tc>
          <w:tcPr>
            <w:tcW w:w="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40" w:type="dxa"/>
            <w:vAlign w:val="bottom"/>
            <w:tcBorders>
              <w:bottom w:val="single" w:sz="8" w:color="auto"/>
            </w:tcBorders>
          </w:tcPr>
          <w:p>
            <w:pPr>
              <w:ind w:left="1060"/>
              <w:spacing w:after="0"/>
              <w:rPr>
                <w:sz w:val="20"/>
                <w:szCs w:val="20"/>
                <w:color w:val="auto"/>
              </w:rPr>
            </w:pPr>
            <w:r>
              <w:rPr>
                <w:rFonts w:ascii="Verdana" w:cs="Verdana" w:eastAsia="Verdana" w:hAnsi="Verdana"/>
                <w:sz w:val="18"/>
                <w:szCs w:val="18"/>
                <w:color w:val="auto"/>
              </w:rPr>
              <w:t>—</w:t>
            </w:r>
          </w:p>
        </w:tc>
        <w:tc>
          <w:tcPr>
            <w:tcW w:w="8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tcPr>
          <w:p>
            <w:pPr>
              <w:jc w:val="right"/>
              <w:ind w:right="4"/>
              <w:spacing w:after="0"/>
              <w:rPr>
                <w:sz w:val="20"/>
                <w:szCs w:val="20"/>
                <w:color w:val="auto"/>
              </w:rPr>
            </w:pPr>
            <w:r>
              <w:rPr>
                <w:rFonts w:ascii="Verdana" w:cs="Verdana" w:eastAsia="Verdana" w:hAnsi="Verdana"/>
                <w:sz w:val="18"/>
                <w:szCs w:val="18"/>
                <w:color w:val="auto"/>
              </w:rPr>
              <w:t>12,000</w:t>
            </w:r>
          </w:p>
        </w:tc>
      </w:tr>
      <w:tr>
        <w:trPr>
          <w:trHeight w:val="290"/>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short-term debt</w:t>
            </w:r>
          </w:p>
        </w:tc>
        <w:tc>
          <w:tcPr>
            <w:tcW w:w="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420" w:type="dxa"/>
            <w:vAlign w:val="bottom"/>
            <w:gridSpan w:val="2"/>
            <w:shd w:val="clear" w:color="auto" w:fill="E0E7ED"/>
          </w:tcPr>
          <w:p>
            <w:pPr>
              <w:ind w:left="1060"/>
              <w:spacing w:after="0"/>
              <w:rPr>
                <w:sz w:val="20"/>
                <w:szCs w:val="20"/>
                <w:color w:val="auto"/>
              </w:rPr>
            </w:pPr>
            <w:r>
              <w:rPr>
                <w:rFonts w:ascii="Verdana" w:cs="Verdana" w:eastAsia="Verdana" w:hAnsi="Verdana"/>
                <w:sz w:val="18"/>
                <w:szCs w:val="18"/>
                <w:color w:val="auto"/>
              </w:rPr>
              <w:t>—</w:t>
            </w:r>
          </w:p>
        </w:tc>
        <w:tc>
          <w:tcPr>
            <w:tcW w:w="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shd w:val="clear" w:color="auto" w:fill="E0E7ED"/>
          </w:tcPr>
          <w:p>
            <w:pPr>
              <w:jc w:val="right"/>
              <w:ind w:right="4"/>
              <w:spacing w:after="0"/>
              <w:rPr>
                <w:sz w:val="20"/>
                <w:szCs w:val="20"/>
                <w:color w:val="auto"/>
              </w:rPr>
            </w:pPr>
            <w:r>
              <w:rPr>
                <w:rFonts w:ascii="Verdana" w:cs="Verdana" w:eastAsia="Verdana" w:hAnsi="Verdana"/>
                <w:sz w:val="18"/>
                <w:szCs w:val="18"/>
                <w:color w:val="auto"/>
              </w:rPr>
              <w:t>12,000</w:t>
            </w:r>
          </w:p>
        </w:tc>
      </w:tr>
      <w:tr>
        <w:trPr>
          <w:trHeight w:val="20"/>
        </w:trPr>
        <w:tc>
          <w:tcPr>
            <w:tcW w:w="812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Federal funds purchased are short-term borrowings that generally mature between one day and 90 days. During the first quarter of 2024, Busey purchased federal funds to test operational availability to access funds if needed. Busey had no federal funds purchased as of September 30, 2024, or December 31, 2023.</w:t>
      </w:r>
    </w:p>
    <w:p>
      <w:pPr>
        <w:spacing w:after="0" w:line="167"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Long-term Debt</w:t>
      </w:r>
    </w:p>
    <w:p>
      <w:pPr>
        <w:spacing w:after="0" w:line="17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Busey’s long-term debt consists of loans maturing more than one year from the loan origination date, excluding the current portion that is due within 12 months. Long-term debt is summarized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5"/>
                <w:szCs w:val="15"/>
                <w:color w:val="auto"/>
              </w:rPr>
            </w:pPr>
          </w:p>
        </w:tc>
      </w:tr>
      <w:tr>
        <w:trPr>
          <w:trHeight w:val="122"/>
        </w:trPr>
        <w:tc>
          <w:tcPr>
            <w:tcW w:w="8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gridSpan w:val="2"/>
          </w:tcPr>
          <w:p>
            <w:pPr>
              <w:jc w:val="center"/>
              <w:ind w:right="260"/>
              <w:spacing w:after="0" w:line="122" w:lineRule="exact"/>
              <w:rPr>
                <w:sz w:val="20"/>
                <w:szCs w:val="20"/>
                <w:color w:val="auto"/>
              </w:rPr>
            </w:pPr>
            <w:r>
              <w:rPr>
                <w:rFonts w:ascii="Verdana" w:cs="Verdana" w:eastAsia="Verdana" w:hAnsi="Verdana"/>
                <w:sz w:val="13"/>
                <w:szCs w:val="13"/>
                <w:b w:val="1"/>
                <w:bCs w:val="1"/>
                <w:color w:val="auto"/>
                <w:w w:val="97"/>
              </w:rPr>
              <w:t>September 30,</w:t>
            </w:r>
          </w:p>
        </w:tc>
        <w:tc>
          <w:tcPr>
            <w:tcW w:w="200" w:type="dxa"/>
            <w:vAlign w:val="bottom"/>
          </w:tcPr>
          <w:p>
            <w:pPr>
              <w:spacing w:after="0"/>
              <w:rPr>
                <w:sz w:val="10"/>
                <w:szCs w:val="10"/>
                <w:color w:val="auto"/>
              </w:rPr>
            </w:pPr>
          </w:p>
        </w:tc>
        <w:tc>
          <w:tcPr>
            <w:tcW w:w="1320" w:type="dxa"/>
            <w:vAlign w:val="bottom"/>
          </w:tcPr>
          <w:p>
            <w:pPr>
              <w:jc w:val="right"/>
              <w:ind w:right="184"/>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812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06"/>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04"/>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Long-term debt</w:t>
            </w:r>
          </w:p>
        </w:tc>
        <w:tc>
          <w:tcPr>
            <w:tcW w:w="180" w:type="dxa"/>
            <w:vAlign w:val="bottom"/>
            <w:shd w:val="clear" w:color="auto" w:fill="E0E7ED"/>
          </w:tcPr>
          <w:p>
            <w:pPr>
              <w:spacing w:after="0"/>
              <w:rPr>
                <w:sz w:val="22"/>
                <w:szCs w:val="22"/>
                <w:color w:val="auto"/>
              </w:rPr>
            </w:pPr>
          </w:p>
        </w:tc>
        <w:tc>
          <w:tcPr>
            <w:tcW w:w="13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r>
      <w:tr>
        <w:trPr>
          <w:trHeight w:val="263"/>
        </w:trPr>
        <w:tc>
          <w:tcPr>
            <w:tcW w:w="81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Term Loan</w:t>
            </w:r>
          </w:p>
        </w:tc>
        <w:tc>
          <w:tcPr>
            <w:tcW w:w="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40" w:type="dxa"/>
            <w:vAlign w:val="bottom"/>
            <w:tcBorders>
              <w:bottom w:val="single" w:sz="8" w:color="auto"/>
            </w:tcBorders>
          </w:tcPr>
          <w:p>
            <w:pPr>
              <w:ind w:left="1060"/>
              <w:spacing w:after="0"/>
              <w:rPr>
                <w:sz w:val="20"/>
                <w:szCs w:val="20"/>
                <w:color w:val="auto"/>
              </w:rPr>
            </w:pPr>
            <w:r>
              <w:rPr>
                <w:rFonts w:ascii="Verdana" w:cs="Verdana" w:eastAsia="Verdana" w:hAnsi="Verdana"/>
                <w:sz w:val="18"/>
                <w:szCs w:val="18"/>
                <w:color w:val="auto"/>
              </w:rPr>
              <w:t>—</w:t>
            </w:r>
          </w:p>
        </w:tc>
        <w:tc>
          <w:tcPr>
            <w:tcW w:w="8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tcPr>
          <w:p>
            <w:pPr>
              <w:jc w:val="right"/>
              <w:ind w:right="4"/>
              <w:spacing w:after="0"/>
              <w:rPr>
                <w:sz w:val="20"/>
                <w:szCs w:val="20"/>
                <w:color w:val="auto"/>
              </w:rPr>
            </w:pPr>
            <w:r>
              <w:rPr>
                <w:rFonts w:ascii="Verdana" w:cs="Verdana" w:eastAsia="Verdana" w:hAnsi="Verdana"/>
                <w:sz w:val="18"/>
                <w:szCs w:val="18"/>
                <w:color w:val="auto"/>
              </w:rPr>
              <w:t>18,000</w:t>
            </w:r>
          </w:p>
        </w:tc>
      </w:tr>
      <w:tr>
        <w:trPr>
          <w:trHeight w:val="290"/>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long-term debt</w:t>
            </w:r>
          </w:p>
        </w:tc>
        <w:tc>
          <w:tcPr>
            <w:tcW w:w="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420" w:type="dxa"/>
            <w:vAlign w:val="bottom"/>
            <w:gridSpan w:val="2"/>
            <w:shd w:val="clear" w:color="auto" w:fill="E0E7ED"/>
          </w:tcPr>
          <w:p>
            <w:pPr>
              <w:ind w:left="1060"/>
              <w:spacing w:after="0"/>
              <w:rPr>
                <w:sz w:val="20"/>
                <w:szCs w:val="20"/>
                <w:color w:val="auto"/>
              </w:rPr>
            </w:pPr>
            <w:r>
              <w:rPr>
                <w:rFonts w:ascii="Verdana" w:cs="Verdana" w:eastAsia="Verdana" w:hAnsi="Verdana"/>
                <w:sz w:val="18"/>
                <w:szCs w:val="18"/>
                <w:color w:val="auto"/>
              </w:rPr>
              <w:t>—</w:t>
            </w:r>
          </w:p>
        </w:tc>
        <w:tc>
          <w:tcPr>
            <w:tcW w:w="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shd w:val="clear" w:color="auto" w:fill="E0E7ED"/>
          </w:tcPr>
          <w:p>
            <w:pPr>
              <w:jc w:val="right"/>
              <w:ind w:right="4"/>
              <w:spacing w:after="0"/>
              <w:rPr>
                <w:sz w:val="20"/>
                <w:szCs w:val="20"/>
                <w:color w:val="auto"/>
              </w:rPr>
            </w:pPr>
            <w:r>
              <w:rPr>
                <w:rFonts w:ascii="Verdana" w:cs="Verdana" w:eastAsia="Verdana" w:hAnsi="Verdana"/>
                <w:sz w:val="18"/>
                <w:szCs w:val="18"/>
                <w:color w:val="auto"/>
              </w:rPr>
              <w:t>18,000</w:t>
            </w:r>
          </w:p>
        </w:tc>
      </w:tr>
      <w:tr>
        <w:trPr>
          <w:trHeight w:val="20"/>
        </w:trPr>
        <w:tc>
          <w:tcPr>
            <w:tcW w:w="812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Subordinated Notes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On June 1, 2020, Busey issued $125.0 million of fixed-to-floating rate subordinated notes that mature on June 1, 2030. The subordinated notes, which qualify as Tier 2 capital for regulatory purposes, bear interest at an annual rate of 5.25% for the first five years after issuance and thereafter bear interest at a floating rate equal to a three-month benchmark rate plus a spread of 5.11%, as calculated on each applicable determination date. Interest on the subordinated notes is payable semi-annually on each June 1 and December 1 during the five-year fixed-term, and thereafter on March 1, June 1, September 1, and December 1 of each year, commencing on September 1, 2025. The subordinated notes have an optional redemption, in whole or in part, on any interest payment date on or after June 1, 2025. The subordinated notes are unsecured obligations of the Company.</w:t>
      </w:r>
    </w:p>
    <w:p>
      <w:pPr>
        <w:spacing w:after="0" w:line="174"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On June 2, 2022, Busey issued $100.0 million aggregate principal amount of 5.000% fixed-to-floating rate subordinated notes maturing June 15, 2032, which qualify as Tier 2 capital for regulatory purposes. The price to the public for the subordinated notes was 100% of the principal amount of the subordinated notes. Interest on the subordinated notes accrues at a rate equal to (i) 5.000% per annum from the original issue date to, but excluding, June 15, 2027, payable semiannually in arrears, and (ii) a floating rate per annum equal to a benchmark rate, which is expected to be the Three-Month Term SOFR (as defined in the subordinated notes), plus a spread of 252 bps from and including June 15, 2027, payable quarterly in arrears. The subordinated notes have an optional redemption, in whole or in part, on any interest payment date on or after June 15, 2027.</w:t>
      </w: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42" w:name="page43"/>
    <w:bookmarkEnd w:id="42"/>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 xml:space="preserve">Associated with the M&amp;M acquisition completed on April 1, 2024 (see </w:t>
      </w:r>
      <w:r>
        <w:rPr>
          <w:rFonts w:ascii="Verdana" w:cs="Verdana" w:eastAsia="Verdana" w:hAnsi="Verdana"/>
          <w:sz w:val="18"/>
          <w:szCs w:val="18"/>
          <w:i w:val="1"/>
          <w:iCs w:val="1"/>
          <w:color w:val="auto"/>
        </w:rPr>
        <w:t>“</w:t>
      </w:r>
      <w:r>
        <w:rPr>
          <w:rFonts w:ascii="Verdana" w:cs="Verdana" w:eastAsia="Verdana" w:hAnsi="Verdana"/>
          <w:sz w:val="18"/>
          <w:szCs w:val="18"/>
          <w:i w:val="1"/>
          <w:iCs w:val="1"/>
          <w:u w:val="single" w:color="auto"/>
          <w:color w:val="0000FF"/>
        </w:rPr>
        <w:t>Note 2. Mergers and Acquisitions</w:t>
      </w:r>
      <w:r>
        <w:rPr>
          <w:rFonts w:ascii="Verdana" w:cs="Verdana" w:eastAsia="Verdana" w:hAnsi="Verdana"/>
          <w:sz w:val="18"/>
          <w:szCs w:val="18"/>
          <w:i w:val="1"/>
          <w:iCs w:val="1"/>
          <w:color w:val="auto"/>
        </w:rPr>
        <w:t>”</w:t>
      </w:r>
      <w:r>
        <w:rPr>
          <w:rFonts w:ascii="Verdana" w:cs="Verdana" w:eastAsia="Verdana" w:hAnsi="Verdana"/>
          <w:sz w:val="18"/>
          <w:szCs w:val="18"/>
          <w:color w:val="auto"/>
        </w:rPr>
        <w:t>), Busey acquired $4.0 million of 5.25% fixed-to-floating rate subordinated notes maturing December 4, 2030, which qualify as Tier 2 capital for regulatory purposes. Interest on the subordinated notes accrues at a rate equal to (i) 5.25% per annum from the original issue date to December 4, 2025, and (ii) a floating rate per annum equal to a benchmark rate, which is expected to be the Three-Month Term SOFR (as defined in the subordinated notes), plus a spread of 497 bps from December 4, 2025. The subordinated notes have an optional redemption, in whole or in part, on or after December 4, 2025. At September 30, 2024, there was $0.1 million of fair value discount outstanding, to be accreted through the earliest optional redemption date.</w:t>
      </w:r>
    </w:p>
    <w:p>
      <w:pPr>
        <w:spacing w:after="0" w:line="161"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 xml:space="preserve">Unamortized debt issuance costs related to Busey’s subordinated notes are presented in the following table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5"/>
                <w:szCs w:val="15"/>
                <w:color w:val="auto"/>
              </w:rPr>
            </w:pPr>
          </w:p>
        </w:tc>
      </w:tr>
      <w:tr>
        <w:trPr>
          <w:trHeight w:val="121"/>
        </w:trPr>
        <w:tc>
          <w:tcPr>
            <w:tcW w:w="8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gridSpan w:val="2"/>
          </w:tcPr>
          <w:p>
            <w:pPr>
              <w:ind w:left="60"/>
              <w:spacing w:after="0" w:line="122" w:lineRule="exact"/>
              <w:rPr>
                <w:sz w:val="20"/>
                <w:szCs w:val="20"/>
                <w:color w:val="auto"/>
              </w:rPr>
            </w:pPr>
            <w:r>
              <w:rPr>
                <w:rFonts w:ascii="Verdana" w:cs="Verdana" w:eastAsia="Verdana" w:hAnsi="Verdana"/>
                <w:sz w:val="13"/>
                <w:szCs w:val="13"/>
                <w:b w:val="1"/>
                <w:bCs w:val="1"/>
                <w:color w:val="auto"/>
              </w:rPr>
              <w:t>September 30,</w:t>
            </w:r>
          </w:p>
        </w:tc>
        <w:tc>
          <w:tcPr>
            <w:tcW w:w="200" w:type="dxa"/>
            <w:vAlign w:val="bottom"/>
          </w:tcPr>
          <w:p>
            <w:pPr>
              <w:spacing w:after="0"/>
              <w:rPr>
                <w:sz w:val="10"/>
                <w:szCs w:val="10"/>
                <w:color w:val="auto"/>
              </w:rPr>
            </w:pPr>
          </w:p>
        </w:tc>
        <w:tc>
          <w:tcPr>
            <w:tcW w:w="1320" w:type="dxa"/>
            <w:vAlign w:val="bottom"/>
          </w:tcPr>
          <w:p>
            <w:pPr>
              <w:jc w:val="right"/>
              <w:ind w:right="181"/>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812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04"/>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01"/>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Unamortized debt issuance costs</w:t>
            </w:r>
          </w:p>
        </w:tc>
        <w:tc>
          <w:tcPr>
            <w:tcW w:w="180" w:type="dxa"/>
            <w:vAlign w:val="bottom"/>
            <w:shd w:val="clear" w:color="auto" w:fill="E0E7ED"/>
          </w:tcPr>
          <w:p>
            <w:pPr>
              <w:spacing w:after="0"/>
              <w:rPr>
                <w:sz w:val="22"/>
                <w:szCs w:val="22"/>
                <w:color w:val="auto"/>
              </w:rPr>
            </w:pPr>
          </w:p>
        </w:tc>
        <w:tc>
          <w:tcPr>
            <w:tcW w:w="13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r>
      <w:tr>
        <w:trPr>
          <w:trHeight w:val="263"/>
        </w:trPr>
        <w:tc>
          <w:tcPr>
            <w:tcW w:w="8120" w:type="dxa"/>
            <w:vAlign w:val="bottom"/>
          </w:tcPr>
          <w:p>
            <w:pPr>
              <w:jc w:val="center"/>
              <w:ind w:right="4510"/>
              <w:spacing w:after="0"/>
              <w:rPr>
                <w:sz w:val="20"/>
                <w:szCs w:val="20"/>
                <w:color w:val="auto"/>
              </w:rPr>
            </w:pPr>
            <w:r>
              <w:rPr>
                <w:rFonts w:ascii="Verdana" w:cs="Verdana" w:eastAsia="Verdana" w:hAnsi="Verdana"/>
                <w:sz w:val="18"/>
                <w:szCs w:val="18"/>
                <w:color w:val="auto"/>
              </w:rPr>
              <w:t>Subordinated notes issued in 2020</w:t>
            </w:r>
          </w:p>
        </w:tc>
        <w:tc>
          <w:tcPr>
            <w:tcW w:w="18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40" w:type="dxa"/>
            <w:vAlign w:val="bottom"/>
          </w:tcPr>
          <w:p>
            <w:pPr>
              <w:jc w:val="right"/>
              <w:ind w:right="24"/>
              <w:spacing w:after="0"/>
              <w:rPr>
                <w:sz w:val="20"/>
                <w:szCs w:val="20"/>
                <w:color w:val="auto"/>
              </w:rPr>
            </w:pPr>
            <w:r>
              <w:rPr>
                <w:rFonts w:ascii="Verdana" w:cs="Verdana" w:eastAsia="Verdana" w:hAnsi="Verdana"/>
                <w:sz w:val="18"/>
                <w:szCs w:val="18"/>
                <w:color w:val="auto"/>
              </w:rPr>
              <w:t>353</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ind w:right="1"/>
              <w:spacing w:after="0"/>
              <w:rPr>
                <w:sz w:val="20"/>
                <w:szCs w:val="20"/>
                <w:color w:val="auto"/>
              </w:rPr>
            </w:pPr>
            <w:r>
              <w:rPr>
                <w:rFonts w:ascii="Verdana" w:cs="Verdana" w:eastAsia="Verdana" w:hAnsi="Verdana"/>
                <w:sz w:val="18"/>
                <w:szCs w:val="18"/>
                <w:color w:val="auto"/>
              </w:rPr>
              <w:t>735</w:t>
            </w:r>
          </w:p>
        </w:tc>
      </w:tr>
      <w:tr>
        <w:trPr>
          <w:trHeight w:val="270"/>
        </w:trPr>
        <w:tc>
          <w:tcPr>
            <w:tcW w:w="8120" w:type="dxa"/>
            <w:vAlign w:val="bottom"/>
            <w:shd w:val="clear" w:color="auto" w:fill="E0E7ED"/>
          </w:tcPr>
          <w:p>
            <w:pPr>
              <w:jc w:val="center"/>
              <w:ind w:right="4510"/>
              <w:spacing w:after="0"/>
              <w:rPr>
                <w:sz w:val="20"/>
                <w:szCs w:val="20"/>
                <w:color w:val="auto"/>
              </w:rPr>
            </w:pPr>
            <w:r>
              <w:rPr>
                <w:rFonts w:ascii="Verdana" w:cs="Verdana" w:eastAsia="Verdana" w:hAnsi="Verdana"/>
                <w:sz w:val="18"/>
                <w:szCs w:val="18"/>
                <w:color w:val="auto"/>
              </w:rPr>
              <w:t>Subordinated notes issued in 2022</w:t>
            </w:r>
          </w:p>
        </w:tc>
        <w:tc>
          <w:tcPr>
            <w:tcW w:w="180" w:type="dxa"/>
            <w:vAlign w:val="bottom"/>
            <w:tcBorders>
              <w:bottom w:val="single" w:sz="8" w:color="auto"/>
            </w:tcBorders>
            <w:shd w:val="clear" w:color="auto" w:fill="E0E7ED"/>
          </w:tcPr>
          <w:p>
            <w:pPr>
              <w:spacing w:after="0"/>
              <w:rPr>
                <w:sz w:val="23"/>
                <w:szCs w:val="23"/>
                <w:color w:val="auto"/>
              </w:rPr>
            </w:pPr>
          </w:p>
        </w:tc>
        <w:tc>
          <w:tcPr>
            <w:tcW w:w="1340" w:type="dxa"/>
            <w:vAlign w:val="bottom"/>
            <w:tcBorders>
              <w:bottom w:val="single" w:sz="8" w:color="auto"/>
            </w:tcBorders>
            <w:shd w:val="clear" w:color="auto" w:fill="E0E7ED"/>
          </w:tcPr>
          <w:p>
            <w:pPr>
              <w:jc w:val="right"/>
              <w:ind w:right="24"/>
              <w:spacing w:after="0"/>
              <w:rPr>
                <w:sz w:val="20"/>
                <w:szCs w:val="20"/>
                <w:color w:val="auto"/>
              </w:rPr>
            </w:pPr>
            <w:r>
              <w:rPr>
                <w:rFonts w:ascii="Verdana" w:cs="Verdana" w:eastAsia="Verdana" w:hAnsi="Verdana"/>
                <w:sz w:val="18"/>
                <w:szCs w:val="18"/>
                <w:color w:val="auto"/>
              </w:rPr>
              <w:t>1,101</w:t>
            </w:r>
          </w:p>
        </w:tc>
        <w:tc>
          <w:tcPr>
            <w:tcW w:w="80" w:type="dxa"/>
            <w:vAlign w:val="bottom"/>
            <w:shd w:val="clear" w:color="auto" w:fill="E0E7ED"/>
          </w:tcPr>
          <w:p>
            <w:pPr>
              <w:spacing w:after="0"/>
              <w:rPr>
                <w:sz w:val="23"/>
                <w:szCs w:val="23"/>
                <w:color w:val="auto"/>
              </w:rPr>
            </w:pPr>
          </w:p>
        </w:tc>
        <w:tc>
          <w:tcPr>
            <w:tcW w:w="200" w:type="dxa"/>
            <w:vAlign w:val="bottom"/>
            <w:tcBorders>
              <w:bottom w:val="single" w:sz="8" w:color="auto"/>
            </w:tcBorders>
            <w:shd w:val="clear" w:color="auto" w:fill="E0E7ED"/>
          </w:tcPr>
          <w:p>
            <w:pPr>
              <w:spacing w:after="0"/>
              <w:rPr>
                <w:sz w:val="23"/>
                <w:szCs w:val="23"/>
                <w:color w:val="auto"/>
              </w:rPr>
            </w:pPr>
          </w:p>
        </w:tc>
        <w:tc>
          <w:tcPr>
            <w:tcW w:w="1320" w:type="dxa"/>
            <w:vAlign w:val="bottom"/>
            <w:tcBorders>
              <w:bottom w:val="single" w:sz="8" w:color="auto"/>
            </w:tcBorders>
            <w:shd w:val="clear" w:color="auto" w:fill="E0E7ED"/>
          </w:tcPr>
          <w:p>
            <w:pPr>
              <w:jc w:val="right"/>
              <w:ind w:right="21"/>
              <w:spacing w:after="0"/>
              <w:rPr>
                <w:sz w:val="20"/>
                <w:szCs w:val="20"/>
                <w:color w:val="auto"/>
              </w:rPr>
            </w:pPr>
            <w:r>
              <w:rPr>
                <w:rFonts w:ascii="Verdana" w:cs="Verdana" w:eastAsia="Verdana" w:hAnsi="Verdana"/>
                <w:sz w:val="18"/>
                <w:szCs w:val="18"/>
                <w:color w:val="auto"/>
              </w:rPr>
              <w:t>1,383</w:t>
            </w:r>
          </w:p>
        </w:tc>
      </w:tr>
      <w:tr>
        <w:trPr>
          <w:trHeight w:val="270"/>
        </w:trPr>
        <w:tc>
          <w:tcPr>
            <w:tcW w:w="8120" w:type="dxa"/>
            <w:vAlign w:val="bottom"/>
          </w:tcPr>
          <w:p>
            <w:pPr>
              <w:jc w:val="center"/>
              <w:ind w:right="4530"/>
              <w:spacing w:after="0"/>
              <w:rPr>
                <w:sz w:val="20"/>
                <w:szCs w:val="20"/>
                <w:color w:val="auto"/>
              </w:rPr>
            </w:pPr>
            <w:r>
              <w:rPr>
                <w:rFonts w:ascii="Verdana" w:cs="Verdana" w:eastAsia="Verdana" w:hAnsi="Verdana"/>
                <w:sz w:val="18"/>
                <w:szCs w:val="18"/>
                <w:color w:val="auto"/>
                <w:w w:val="99"/>
              </w:rPr>
              <w:t>Total unamortized debt issuance costs</w:t>
            </w:r>
          </w:p>
        </w:tc>
        <w:tc>
          <w:tcPr>
            <w:tcW w:w="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40" w:type="dxa"/>
            <w:vAlign w:val="bottom"/>
            <w:tcBorders>
              <w:bottom w:val="single" w:sz="8" w:color="auto"/>
            </w:tcBorders>
          </w:tcPr>
          <w:p>
            <w:pPr>
              <w:jc w:val="right"/>
              <w:ind w:right="24"/>
              <w:spacing w:after="0"/>
              <w:rPr>
                <w:sz w:val="20"/>
                <w:szCs w:val="20"/>
                <w:color w:val="auto"/>
              </w:rPr>
            </w:pPr>
            <w:r>
              <w:rPr>
                <w:rFonts w:ascii="Verdana" w:cs="Verdana" w:eastAsia="Verdana" w:hAnsi="Verdana"/>
                <w:sz w:val="18"/>
                <w:szCs w:val="18"/>
                <w:color w:val="auto"/>
              </w:rPr>
              <w:t>1,454</w:t>
            </w:r>
          </w:p>
        </w:tc>
        <w:tc>
          <w:tcPr>
            <w:tcW w:w="8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tcPr>
          <w:p>
            <w:pPr>
              <w:jc w:val="right"/>
              <w:ind w:right="21"/>
              <w:spacing w:after="0"/>
              <w:rPr>
                <w:sz w:val="20"/>
                <w:szCs w:val="20"/>
                <w:color w:val="auto"/>
              </w:rPr>
            </w:pPr>
            <w:r>
              <w:rPr>
                <w:rFonts w:ascii="Verdana" w:cs="Verdana" w:eastAsia="Verdana" w:hAnsi="Verdana"/>
                <w:sz w:val="18"/>
                <w:szCs w:val="18"/>
                <w:color w:val="auto"/>
              </w:rPr>
              <w:t>2,118</w:t>
            </w:r>
          </w:p>
        </w:tc>
      </w:tr>
      <w:tr>
        <w:trPr>
          <w:trHeight w:val="21"/>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8. REGULATORY CAPITAL</w:t>
      </w:r>
    </w:p>
    <w:p>
      <w:pPr>
        <w:spacing w:after="0" w:line="186"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First Busey and Busey Bank are subject to various regulatory capital requirements administered by federal banking agencies. Failure to meet minimum capital requirements can initiate certain mandatory—and possibly additional discretionary—actions by regulators that, if undertaken, could have a direct material effect on First Busey's consolidated financial statements. Capital amounts and classification also are subject to qualitative judgments by regulators about components, risk weightings, and other factors.</w:t>
      </w:r>
    </w:p>
    <w:p>
      <w:pPr>
        <w:spacing w:after="0" w:line="157"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Banking regulations identify five capital categories for insured depository institutions: well capitalized, adequately capitalized, undercapitalized, significantly undercapitalized, and critically undercapitalized. As of September 30, 2024, and December 31, 2023, all capital ratios of First Busey and Busey Bank exceeded well capitalized levels under the applicable regulatory capital adequacy guidelines. Management believes that no events or changes have occurred subsequent to September 30, 2024, that would change this designation.</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Current Expected Credit Loss Model</w:t>
      </w:r>
    </w:p>
    <w:p>
      <w:pPr>
        <w:spacing w:after="0" w:line="186"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On August 26, 2020, the FDIC and other federal banking agencies adopted a final rule which provided banking organizations that adopted CECL during 2020 with the option to delay for two years the estimated impact of CECL on regulatory capital and to phase in the aggregate impact of the deferral on regulatory capital over a subsequent three-year period. Under this final rule, because First Busey elected to use the deferral option, the regulatory capital impact of our transition adjustments recorded on January 1, 2020, arising from the adoption of CECL, was deferred for two years. In addition, 25 percent of the ongoing impact of CECL on our ACL, retained earnings, and average total consolidated assets from January 1, 2020, through the end of the two-year deferral period, each as reported for regulatory capital purposes, was added to the deferred transition amounts (“adjusted transition amounts”) and deferred for the two-year period. On January 1, 2022, at the conclusion of the two-year period, the adjusted transition amounts began to be phased-in for regulatory capital purposes at a rate of 25 percent per year, with the phased-in amounts included in regulatory capital at the beginning of each year.</w:t>
      </w: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43" w:name="page44"/>
    <w:bookmarkEnd w:id="43"/>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Capital Amounts and Ratios</w:t>
      </w:r>
    </w:p>
    <w:p>
      <w:pPr>
        <w:spacing w:after="0" w:line="173"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 xml:space="preserve">The following tables summarize regulatory capital requirements applicable to First Busey and Busey Bank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5"/>
          </w:tcPr>
          <w:p>
            <w:pPr>
              <w:ind w:left="80"/>
              <w:spacing w:after="0"/>
              <w:rPr>
                <w:sz w:val="20"/>
                <w:szCs w:val="20"/>
                <w:color w:val="auto"/>
              </w:rPr>
            </w:pPr>
            <w:r>
              <w:rPr>
                <w:rFonts w:ascii="Verdana" w:cs="Verdana" w:eastAsia="Verdana" w:hAnsi="Verdana"/>
                <w:sz w:val="13"/>
                <w:szCs w:val="13"/>
                <w:b w:val="1"/>
                <w:bCs w:val="1"/>
                <w:color w:val="auto"/>
              </w:rPr>
              <w:t>As of September 30, 2024</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3"/>
            <w:vMerge w:val="restart"/>
          </w:tcPr>
          <w:p>
            <w:pPr>
              <w:ind w:left="680"/>
              <w:spacing w:after="0"/>
              <w:rPr>
                <w:sz w:val="20"/>
                <w:szCs w:val="20"/>
                <w:color w:val="auto"/>
              </w:rPr>
            </w:pPr>
            <w:r>
              <w:rPr>
                <w:rFonts w:ascii="Verdana" w:cs="Verdana" w:eastAsia="Verdana" w:hAnsi="Verdana"/>
                <w:sz w:val="13"/>
                <w:szCs w:val="13"/>
                <w:b w:val="1"/>
                <w:bCs w:val="1"/>
                <w:color w:val="auto"/>
              </w:rPr>
              <w:t>Minimum</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3"/>
          </w:tcPr>
          <w:p>
            <w:pPr>
              <w:jc w:val="center"/>
              <w:ind w:left="499"/>
              <w:spacing w:after="0" w:line="122" w:lineRule="exact"/>
              <w:rPr>
                <w:sz w:val="20"/>
                <w:szCs w:val="20"/>
                <w:color w:val="auto"/>
              </w:rPr>
            </w:pPr>
            <w:r>
              <w:rPr>
                <w:rFonts w:ascii="Verdana" w:cs="Verdana" w:eastAsia="Verdana" w:hAnsi="Verdana"/>
                <w:sz w:val="13"/>
                <w:szCs w:val="13"/>
                <w:b w:val="1"/>
                <w:bCs w:val="1"/>
                <w:color w:val="auto"/>
                <w:w w:val="98"/>
              </w:rPr>
              <w:t>Minimum</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3"/>
            <w:vMerge w:val="restart"/>
          </w:tcPr>
          <w:p>
            <w:pPr>
              <w:ind w:left="800"/>
              <w:spacing w:after="0"/>
              <w:rPr>
                <w:sz w:val="20"/>
                <w:szCs w:val="20"/>
                <w:color w:val="auto"/>
              </w:rPr>
            </w:pPr>
            <w:r>
              <w:rPr>
                <w:rFonts w:ascii="Verdana" w:cs="Verdana" w:eastAsia="Verdana" w:hAnsi="Verdana"/>
                <w:sz w:val="13"/>
                <w:szCs w:val="13"/>
                <w:b w:val="1"/>
                <w:bCs w:val="1"/>
                <w:color w:val="auto"/>
              </w:rPr>
              <w:t>Actual</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3"/>
          </w:tcPr>
          <w:p>
            <w:pPr>
              <w:jc w:val="center"/>
              <w:ind w:left="499"/>
              <w:spacing w:after="0" w:line="122" w:lineRule="exact"/>
              <w:rPr>
                <w:sz w:val="20"/>
                <w:szCs w:val="20"/>
                <w:color w:val="auto"/>
              </w:rPr>
            </w:pPr>
            <w:r>
              <w:rPr>
                <w:rFonts w:ascii="Verdana" w:cs="Verdana" w:eastAsia="Verdana" w:hAnsi="Verdana"/>
                <w:sz w:val="13"/>
                <w:szCs w:val="13"/>
                <w:b w:val="1"/>
                <w:bCs w:val="1"/>
                <w:color w:val="auto"/>
                <w:w w:val="95"/>
              </w:rPr>
              <w:t>To Be Well</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5"/>
          </w:tcPr>
          <w:p>
            <w:pPr>
              <w:ind w:left="280"/>
              <w:spacing w:after="0"/>
              <w:rPr>
                <w:sz w:val="20"/>
                <w:szCs w:val="20"/>
                <w:color w:val="auto"/>
              </w:rPr>
            </w:pPr>
            <w:r>
              <w:rPr>
                <w:rFonts w:ascii="Verdana" w:cs="Verdana" w:eastAsia="Verdana" w:hAnsi="Verdana"/>
                <w:sz w:val="13"/>
                <w:szCs w:val="13"/>
                <w:b w:val="1"/>
                <w:bCs w:val="1"/>
                <w:color w:val="auto"/>
              </w:rPr>
              <w:t>Capital Requirement</w:t>
            </w:r>
          </w:p>
        </w:tc>
        <w:tc>
          <w:tcPr>
            <w:tcW w:w="260" w:type="dxa"/>
            <w:vAlign w:val="bottom"/>
          </w:tcPr>
          <w:p>
            <w:pPr>
              <w:spacing w:after="0"/>
              <w:rPr>
                <w:sz w:val="14"/>
                <w:szCs w:val="14"/>
                <w:color w:val="auto"/>
              </w:rPr>
            </w:pPr>
          </w:p>
        </w:tc>
        <w:tc>
          <w:tcPr>
            <w:tcW w:w="1400" w:type="dxa"/>
            <w:vAlign w:val="bottom"/>
            <w:gridSpan w:val="3"/>
          </w:tcPr>
          <w:p>
            <w:pPr>
              <w:jc w:val="center"/>
              <w:ind w:left="499"/>
              <w:spacing w:after="0"/>
              <w:rPr>
                <w:sz w:val="20"/>
                <w:szCs w:val="20"/>
                <w:color w:val="auto"/>
              </w:rPr>
            </w:pPr>
            <w:r>
              <w:rPr>
                <w:rFonts w:ascii="Verdana" w:cs="Verdana" w:eastAsia="Verdana" w:hAnsi="Verdana"/>
                <w:sz w:val="13"/>
                <w:szCs w:val="13"/>
                <w:b w:val="1"/>
                <w:bCs w:val="1"/>
                <w:color w:val="auto"/>
                <w:w w:val="96"/>
              </w:rPr>
              <w:t>Capitalized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3"/>
          </w:tcPr>
          <w:p>
            <w:pPr>
              <w:ind w:left="180"/>
              <w:spacing w:after="0"/>
              <w:rPr>
                <w:sz w:val="20"/>
                <w:szCs w:val="20"/>
                <w:color w:val="auto"/>
              </w:rPr>
            </w:pPr>
            <w:r>
              <w:rPr>
                <w:rFonts w:ascii="Verdana" w:cs="Verdana" w:eastAsia="Verdana" w:hAnsi="Verdana"/>
                <w:sz w:val="13"/>
                <w:szCs w:val="13"/>
                <w:b w:val="1"/>
                <w:bCs w:val="1"/>
                <w:color w:val="auto"/>
              </w:rPr>
              <w:t>Amount</w:t>
            </w:r>
          </w:p>
        </w:tc>
        <w:tc>
          <w:tcPr>
            <w:tcW w:w="920" w:type="dxa"/>
            <w:vAlign w:val="bottom"/>
            <w:tcBorders>
              <w:top w:val="single" w:sz="8" w:color="auto"/>
            </w:tcBorders>
          </w:tcPr>
          <w:p>
            <w:pPr>
              <w:jc w:val="right"/>
              <w:ind w:right="253"/>
              <w:spacing w:after="0"/>
              <w:rPr>
                <w:sz w:val="20"/>
                <w:szCs w:val="20"/>
                <w:color w:val="auto"/>
              </w:rPr>
            </w:pPr>
            <w:r>
              <w:rPr>
                <w:rFonts w:ascii="Verdana" w:cs="Verdana" w:eastAsia="Verdana" w:hAnsi="Verdana"/>
                <w:sz w:val="13"/>
                <w:szCs w:val="13"/>
                <w:b w:val="1"/>
                <w:bCs w:val="1"/>
                <w:color w:val="auto"/>
              </w:rPr>
              <w:t>Ratio</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3"/>
          </w:tcPr>
          <w:p>
            <w:pPr>
              <w:ind w:left="160"/>
              <w:spacing w:after="0"/>
              <w:rPr>
                <w:sz w:val="20"/>
                <w:szCs w:val="20"/>
                <w:color w:val="auto"/>
              </w:rPr>
            </w:pPr>
            <w:r>
              <w:rPr>
                <w:rFonts w:ascii="Verdana" w:cs="Verdana" w:eastAsia="Verdana" w:hAnsi="Verdana"/>
                <w:sz w:val="13"/>
                <w:szCs w:val="13"/>
                <w:b w:val="1"/>
                <w:bCs w:val="1"/>
                <w:color w:val="auto"/>
              </w:rPr>
              <w:t>Amount</w:t>
            </w:r>
          </w:p>
        </w:tc>
        <w:tc>
          <w:tcPr>
            <w:tcW w:w="800" w:type="dxa"/>
            <w:vAlign w:val="bottom"/>
            <w:tcBorders>
              <w:top w:val="single" w:sz="8" w:color="auto"/>
            </w:tcBorders>
          </w:tcPr>
          <w:p>
            <w:pPr>
              <w:ind w:left="100"/>
              <w:spacing w:after="0"/>
              <w:rPr>
                <w:sz w:val="20"/>
                <w:szCs w:val="20"/>
                <w:color w:val="auto"/>
              </w:rPr>
            </w:pPr>
            <w:r>
              <w:rPr>
                <w:rFonts w:ascii="Verdana" w:cs="Verdana" w:eastAsia="Verdana" w:hAnsi="Verdana"/>
                <w:sz w:val="13"/>
                <w:szCs w:val="13"/>
                <w:b w:val="1"/>
                <w:bCs w:val="1"/>
                <w:color w:val="auto"/>
              </w:rPr>
              <w:t>Ratio</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ind w:left="140"/>
              <w:spacing w:after="0"/>
              <w:rPr>
                <w:sz w:val="20"/>
                <w:szCs w:val="20"/>
                <w:color w:val="auto"/>
              </w:rPr>
            </w:pPr>
            <w:r>
              <w:rPr>
                <w:rFonts w:ascii="Verdana" w:cs="Verdana" w:eastAsia="Verdana" w:hAnsi="Verdana"/>
                <w:sz w:val="13"/>
                <w:szCs w:val="13"/>
                <w:b w:val="1"/>
                <w:bCs w:val="1"/>
                <w:color w:val="auto"/>
              </w:rPr>
              <w:t>Amount</w:t>
            </w:r>
          </w:p>
        </w:tc>
        <w:tc>
          <w:tcPr>
            <w:tcW w:w="840" w:type="dxa"/>
            <w:vAlign w:val="bottom"/>
            <w:tcBorders>
              <w:top w:val="single" w:sz="8" w:color="auto"/>
            </w:tcBorders>
          </w:tcPr>
          <w:p>
            <w:pPr>
              <w:jc w:val="right"/>
              <w:ind w:right="253"/>
              <w:spacing w:after="0"/>
              <w:rPr>
                <w:sz w:val="20"/>
                <w:szCs w:val="20"/>
                <w:color w:val="auto"/>
              </w:rPr>
            </w:pPr>
            <w:r>
              <w:rPr>
                <w:rFonts w:ascii="Verdana" w:cs="Verdana" w:eastAsia="Verdana" w:hAnsi="Verdana"/>
                <w:sz w:val="13"/>
                <w:szCs w:val="13"/>
                <w:b w:val="1"/>
                <w:bCs w:val="1"/>
                <w:color w:val="auto"/>
              </w:rPr>
              <w:t>Ratio</w:t>
            </w:r>
          </w:p>
        </w:tc>
        <w:tc>
          <w:tcPr>
            <w:tcW w:w="0" w:type="dxa"/>
            <w:vAlign w:val="bottom"/>
          </w:tcPr>
          <w:p>
            <w:pPr>
              <w:spacing w:after="0"/>
              <w:rPr>
                <w:sz w:val="1"/>
                <w:szCs w:val="1"/>
                <w:color w:val="auto"/>
              </w:rPr>
            </w:pPr>
          </w:p>
        </w:tc>
      </w:tr>
      <w:tr>
        <w:trPr>
          <w:trHeight w:val="223"/>
        </w:trPr>
        <w:tc>
          <w:tcPr>
            <w:tcW w:w="35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Common equity Tier 1 capital to</w:t>
            </w:r>
          </w:p>
        </w:tc>
        <w:tc>
          <w:tcPr>
            <w:tcW w:w="220" w:type="dxa"/>
            <w:vAlign w:val="bottom"/>
            <w:tcBorders>
              <w:top w:val="single" w:sz="8" w:color="auto"/>
            </w:tcBorders>
            <w:shd w:val="clear" w:color="auto" w:fill="E0E7ED"/>
          </w:tcPr>
          <w:p>
            <w:pPr>
              <w:spacing w:after="0"/>
              <w:rPr>
                <w:sz w:val="19"/>
                <w:szCs w:val="19"/>
                <w:color w:val="auto"/>
              </w:rPr>
            </w:pPr>
          </w:p>
        </w:tc>
        <w:tc>
          <w:tcPr>
            <w:tcW w:w="114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140" w:type="dxa"/>
            <w:vAlign w:val="bottom"/>
            <w:tcBorders>
              <w:top w:val="single" w:sz="8" w:color="auto"/>
            </w:tcBorders>
            <w:shd w:val="clear" w:color="auto" w:fill="E0E7ED"/>
          </w:tcPr>
          <w:p>
            <w:pPr>
              <w:spacing w:after="0"/>
              <w:rPr>
                <w:sz w:val="19"/>
                <w:szCs w:val="19"/>
                <w:color w:val="auto"/>
              </w:rPr>
            </w:pPr>
          </w:p>
        </w:tc>
        <w:tc>
          <w:tcPr>
            <w:tcW w:w="92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12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40" w:type="dxa"/>
            <w:vAlign w:val="bottom"/>
            <w:tcBorders>
              <w:top w:val="single" w:sz="8" w:color="auto"/>
            </w:tcBorders>
            <w:shd w:val="clear" w:color="auto" w:fill="E0E7ED"/>
          </w:tcPr>
          <w:p>
            <w:pPr>
              <w:spacing w:after="0"/>
              <w:rPr>
                <w:sz w:val="19"/>
                <w:szCs w:val="19"/>
                <w:color w:val="auto"/>
              </w:rPr>
            </w:pPr>
          </w:p>
        </w:tc>
        <w:tc>
          <w:tcPr>
            <w:tcW w:w="8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60" w:type="dxa"/>
            <w:vAlign w:val="bottom"/>
            <w:tcBorders>
              <w:top w:val="single" w:sz="8" w:color="auto"/>
            </w:tcBorders>
            <w:shd w:val="clear" w:color="auto" w:fill="E0E7ED"/>
          </w:tcPr>
          <w:p>
            <w:pPr>
              <w:spacing w:after="0"/>
              <w:rPr>
                <w:sz w:val="19"/>
                <w:szCs w:val="19"/>
                <w:color w:val="auto"/>
              </w:rPr>
            </w:pPr>
          </w:p>
        </w:tc>
        <w:tc>
          <w:tcPr>
            <w:tcW w:w="10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84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risk weighted assets</w:t>
            </w:r>
          </w:p>
        </w:tc>
        <w:tc>
          <w:tcPr>
            <w:tcW w:w="22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1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8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8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80" w:type="dxa"/>
            <w:vAlign w:val="bottom"/>
          </w:tcPr>
          <w:p>
            <w:pPr>
              <w:ind w:left="180"/>
              <w:spacing w:after="0"/>
              <w:rPr>
                <w:sz w:val="20"/>
                <w:szCs w:val="20"/>
                <w:color w:val="auto"/>
              </w:rPr>
            </w:pPr>
            <w:r>
              <w:rPr>
                <w:rFonts w:ascii="Verdana" w:cs="Verdana" w:eastAsia="Verdana" w:hAnsi="Verdana"/>
                <w:sz w:val="18"/>
                <w:szCs w:val="18"/>
                <w:color w:val="auto"/>
              </w:rPr>
              <w:t>First Busey</w:t>
            </w: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tcPr>
          <w:p>
            <w:pPr>
              <w:jc w:val="right"/>
              <w:ind w:right="15"/>
              <w:spacing w:after="0"/>
              <w:rPr>
                <w:sz w:val="20"/>
                <w:szCs w:val="20"/>
                <w:color w:val="auto"/>
              </w:rPr>
            </w:pPr>
            <w:r>
              <w:rPr>
                <w:rFonts w:ascii="Verdana" w:cs="Verdana" w:eastAsia="Verdana" w:hAnsi="Verdana"/>
                <w:sz w:val="18"/>
                <w:szCs w:val="18"/>
                <w:color w:val="auto"/>
              </w:rPr>
              <w:t>1,219,574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Verdana" w:cs="Verdana" w:eastAsia="Verdana" w:hAnsi="Verdana"/>
                <w:sz w:val="18"/>
                <w:szCs w:val="18"/>
                <w:color w:val="auto"/>
              </w:rPr>
              <w:t>13.78 %</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120" w:type="dxa"/>
            <w:vAlign w:val="bottom"/>
          </w:tcPr>
          <w:p>
            <w:pPr>
              <w:ind w:left="280"/>
              <w:spacing w:after="0"/>
              <w:rPr>
                <w:sz w:val="20"/>
                <w:szCs w:val="20"/>
                <w:color w:val="auto"/>
              </w:rPr>
            </w:pPr>
            <w:r>
              <w:rPr>
                <w:rFonts w:ascii="Verdana" w:cs="Verdana" w:eastAsia="Verdana" w:hAnsi="Verdana"/>
                <w:sz w:val="18"/>
                <w:szCs w:val="18"/>
                <w:color w:val="auto"/>
              </w:rPr>
              <w:t>398,365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ind w:left="120"/>
              <w:spacing w:after="0"/>
              <w:rPr>
                <w:sz w:val="20"/>
                <w:szCs w:val="20"/>
                <w:color w:val="auto"/>
              </w:rPr>
            </w:pPr>
            <w:r>
              <w:rPr>
                <w:rFonts w:ascii="Verdana" w:cs="Verdana" w:eastAsia="Verdana" w:hAnsi="Verdana"/>
                <w:sz w:val="18"/>
                <w:szCs w:val="18"/>
                <w:color w:val="auto"/>
                <w:w w:val="98"/>
              </w:rPr>
              <w:t>4.50 %</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080" w:type="dxa"/>
            <w:vAlign w:val="bottom"/>
          </w:tcPr>
          <w:p>
            <w:pPr>
              <w:jc w:val="right"/>
              <w:ind w:right="19"/>
              <w:spacing w:after="0"/>
              <w:rPr>
                <w:sz w:val="20"/>
                <w:szCs w:val="20"/>
                <w:color w:val="auto"/>
              </w:rPr>
            </w:pPr>
            <w:r>
              <w:rPr>
                <w:rFonts w:ascii="Verdana" w:cs="Verdana" w:eastAsia="Verdana" w:hAnsi="Verdana"/>
                <w:sz w:val="18"/>
                <w:szCs w:val="18"/>
                <w:color w:val="auto"/>
              </w:rPr>
              <w:t>575,416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Verdana" w:cs="Verdana" w:eastAsia="Verdana" w:hAnsi="Verdana"/>
                <w:sz w:val="18"/>
                <w:szCs w:val="18"/>
                <w:color w:val="auto"/>
              </w:rPr>
              <w:t>6.50 %</w:t>
            </w:r>
          </w:p>
        </w:tc>
        <w:tc>
          <w:tcPr>
            <w:tcW w:w="0" w:type="dxa"/>
            <w:vAlign w:val="bottom"/>
          </w:tcPr>
          <w:p>
            <w:pPr>
              <w:spacing w:after="0"/>
              <w:rPr>
                <w:sz w:val="1"/>
                <w:szCs w:val="1"/>
                <w:color w:val="auto"/>
              </w:rPr>
            </w:pPr>
          </w:p>
        </w:tc>
      </w:tr>
      <w:tr>
        <w:trPr>
          <w:trHeight w:val="277"/>
        </w:trPr>
        <w:tc>
          <w:tcPr>
            <w:tcW w:w="35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Busey Bank</w:t>
            </w: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1,425,762</w:t>
            </w:r>
          </w:p>
        </w:tc>
        <w:tc>
          <w:tcPr>
            <w:tcW w:w="8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16.17 %</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120" w:type="dxa"/>
            <w:vAlign w:val="bottom"/>
            <w:shd w:val="clear" w:color="auto" w:fill="E0E7ED"/>
          </w:tcPr>
          <w:p>
            <w:pPr>
              <w:ind w:left="280"/>
              <w:spacing w:after="0"/>
              <w:rPr>
                <w:sz w:val="20"/>
                <w:szCs w:val="20"/>
                <w:color w:val="auto"/>
              </w:rPr>
            </w:pPr>
            <w:r>
              <w:rPr>
                <w:rFonts w:ascii="Verdana" w:cs="Verdana" w:eastAsia="Verdana" w:hAnsi="Verdana"/>
                <w:sz w:val="18"/>
                <w:szCs w:val="18"/>
                <w:color w:val="auto"/>
              </w:rPr>
              <w:t>396,739</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800" w:type="dxa"/>
            <w:vAlign w:val="bottom"/>
            <w:shd w:val="clear" w:color="auto" w:fill="E0E7ED"/>
          </w:tcPr>
          <w:p>
            <w:pPr>
              <w:ind w:left="120"/>
              <w:spacing w:after="0"/>
              <w:rPr>
                <w:sz w:val="20"/>
                <w:szCs w:val="20"/>
                <w:color w:val="auto"/>
              </w:rPr>
            </w:pPr>
            <w:r>
              <w:rPr>
                <w:rFonts w:ascii="Verdana" w:cs="Verdana" w:eastAsia="Verdana" w:hAnsi="Verdana"/>
                <w:sz w:val="18"/>
                <w:szCs w:val="18"/>
                <w:color w:val="auto"/>
                <w:w w:val="98"/>
              </w:rPr>
              <w:t>4.50 %</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08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573,068</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6.50 %</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Tier 1 capital to risk weighted</w:t>
            </w:r>
          </w:p>
        </w:tc>
        <w:tc>
          <w:tcPr>
            <w:tcW w:w="220" w:type="dxa"/>
            <w:vAlign w:val="bottom"/>
            <w:shd w:val="clear" w:color="auto" w:fill="E0E7ED"/>
          </w:tcPr>
          <w:p>
            <w:pPr>
              <w:spacing w:after="0"/>
              <w:rPr>
                <w:sz w:val="20"/>
                <w:szCs w:val="20"/>
                <w:color w:val="auto"/>
              </w:rPr>
            </w:pPr>
          </w:p>
        </w:tc>
        <w:tc>
          <w:tcPr>
            <w:tcW w:w="114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40" w:type="dxa"/>
            <w:vAlign w:val="bottom"/>
            <w:shd w:val="clear" w:color="auto" w:fill="E0E7ED"/>
          </w:tcPr>
          <w:p>
            <w:pPr>
              <w:spacing w:after="0"/>
              <w:rPr>
                <w:sz w:val="20"/>
                <w:szCs w:val="20"/>
                <w:color w:val="auto"/>
              </w:rPr>
            </w:pPr>
          </w:p>
        </w:tc>
        <w:tc>
          <w:tcPr>
            <w:tcW w:w="9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112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8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0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84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assets</w:t>
            </w:r>
          </w:p>
        </w:tc>
        <w:tc>
          <w:tcPr>
            <w:tcW w:w="22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1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8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8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80" w:type="dxa"/>
            <w:vAlign w:val="bottom"/>
          </w:tcPr>
          <w:p>
            <w:pPr>
              <w:ind w:left="180"/>
              <w:spacing w:after="0"/>
              <w:rPr>
                <w:sz w:val="20"/>
                <w:szCs w:val="20"/>
                <w:color w:val="auto"/>
              </w:rPr>
            </w:pPr>
            <w:r>
              <w:rPr>
                <w:rFonts w:ascii="Verdana" w:cs="Verdana" w:eastAsia="Verdana" w:hAnsi="Verdana"/>
                <w:sz w:val="18"/>
                <w:szCs w:val="18"/>
                <w:color w:val="auto"/>
              </w:rPr>
              <w:t>First Busey</w:t>
            </w: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tcPr>
          <w:p>
            <w:pPr>
              <w:jc w:val="right"/>
              <w:ind w:right="15"/>
              <w:spacing w:after="0"/>
              <w:rPr>
                <w:sz w:val="20"/>
                <w:szCs w:val="20"/>
                <w:color w:val="auto"/>
              </w:rPr>
            </w:pPr>
            <w:r>
              <w:rPr>
                <w:rFonts w:ascii="Verdana" w:cs="Verdana" w:eastAsia="Verdana" w:hAnsi="Verdana"/>
                <w:sz w:val="18"/>
                <w:szCs w:val="18"/>
                <w:color w:val="auto"/>
              </w:rPr>
              <w:t>1,296,574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Verdana" w:cs="Verdana" w:eastAsia="Verdana" w:hAnsi="Verdana"/>
                <w:sz w:val="18"/>
                <w:szCs w:val="18"/>
                <w:color w:val="auto"/>
              </w:rPr>
              <w:t>14.65 %</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120" w:type="dxa"/>
            <w:vAlign w:val="bottom"/>
          </w:tcPr>
          <w:p>
            <w:pPr>
              <w:ind w:left="280"/>
              <w:spacing w:after="0"/>
              <w:rPr>
                <w:sz w:val="20"/>
                <w:szCs w:val="20"/>
                <w:color w:val="auto"/>
              </w:rPr>
            </w:pPr>
            <w:r>
              <w:rPr>
                <w:rFonts w:ascii="Verdana" w:cs="Verdana" w:eastAsia="Verdana" w:hAnsi="Verdana"/>
                <w:sz w:val="18"/>
                <w:szCs w:val="18"/>
                <w:color w:val="auto"/>
              </w:rPr>
              <w:t>531,153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ind w:left="120"/>
              <w:spacing w:after="0"/>
              <w:rPr>
                <w:sz w:val="20"/>
                <w:szCs w:val="20"/>
                <w:color w:val="auto"/>
              </w:rPr>
            </w:pPr>
            <w:r>
              <w:rPr>
                <w:rFonts w:ascii="Verdana" w:cs="Verdana" w:eastAsia="Verdana" w:hAnsi="Verdana"/>
                <w:sz w:val="18"/>
                <w:szCs w:val="18"/>
                <w:color w:val="auto"/>
                <w:w w:val="98"/>
              </w:rPr>
              <w:t>6.00 %</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080" w:type="dxa"/>
            <w:vAlign w:val="bottom"/>
          </w:tcPr>
          <w:p>
            <w:pPr>
              <w:jc w:val="right"/>
              <w:ind w:right="19"/>
              <w:spacing w:after="0"/>
              <w:rPr>
                <w:sz w:val="20"/>
                <w:szCs w:val="20"/>
                <w:color w:val="auto"/>
              </w:rPr>
            </w:pPr>
            <w:r>
              <w:rPr>
                <w:rFonts w:ascii="Verdana" w:cs="Verdana" w:eastAsia="Verdana" w:hAnsi="Verdana"/>
                <w:sz w:val="18"/>
                <w:szCs w:val="18"/>
                <w:color w:val="auto"/>
              </w:rPr>
              <w:t>708,204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Verdana" w:cs="Verdana" w:eastAsia="Verdana" w:hAnsi="Verdana"/>
                <w:sz w:val="18"/>
                <w:szCs w:val="18"/>
                <w:color w:val="auto"/>
              </w:rPr>
              <w:t>8.00 %</w:t>
            </w:r>
          </w:p>
        </w:tc>
        <w:tc>
          <w:tcPr>
            <w:tcW w:w="0" w:type="dxa"/>
            <w:vAlign w:val="bottom"/>
          </w:tcPr>
          <w:p>
            <w:pPr>
              <w:spacing w:after="0"/>
              <w:rPr>
                <w:sz w:val="1"/>
                <w:szCs w:val="1"/>
                <w:color w:val="auto"/>
              </w:rPr>
            </w:pPr>
          </w:p>
        </w:tc>
      </w:tr>
      <w:tr>
        <w:trPr>
          <w:trHeight w:val="277"/>
        </w:trPr>
        <w:tc>
          <w:tcPr>
            <w:tcW w:w="35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Busey Bank</w:t>
            </w: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1,425,762</w:t>
            </w:r>
          </w:p>
        </w:tc>
        <w:tc>
          <w:tcPr>
            <w:tcW w:w="8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16.17 %</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120" w:type="dxa"/>
            <w:vAlign w:val="bottom"/>
            <w:shd w:val="clear" w:color="auto" w:fill="E0E7ED"/>
          </w:tcPr>
          <w:p>
            <w:pPr>
              <w:ind w:left="280"/>
              <w:spacing w:after="0"/>
              <w:rPr>
                <w:sz w:val="20"/>
                <w:szCs w:val="20"/>
                <w:color w:val="auto"/>
              </w:rPr>
            </w:pPr>
            <w:r>
              <w:rPr>
                <w:rFonts w:ascii="Verdana" w:cs="Verdana" w:eastAsia="Verdana" w:hAnsi="Verdana"/>
                <w:sz w:val="18"/>
                <w:szCs w:val="18"/>
                <w:color w:val="auto"/>
              </w:rPr>
              <w:t>528,985</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800" w:type="dxa"/>
            <w:vAlign w:val="bottom"/>
            <w:shd w:val="clear" w:color="auto" w:fill="E0E7ED"/>
          </w:tcPr>
          <w:p>
            <w:pPr>
              <w:ind w:left="120"/>
              <w:spacing w:after="0"/>
              <w:rPr>
                <w:sz w:val="20"/>
                <w:szCs w:val="20"/>
                <w:color w:val="auto"/>
              </w:rPr>
            </w:pPr>
            <w:r>
              <w:rPr>
                <w:rFonts w:ascii="Verdana" w:cs="Verdana" w:eastAsia="Verdana" w:hAnsi="Verdana"/>
                <w:sz w:val="18"/>
                <w:szCs w:val="18"/>
                <w:color w:val="auto"/>
                <w:w w:val="98"/>
              </w:rPr>
              <w:t>6.00 %</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08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705,314</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8.00 %</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Total capital to risk weighted</w:t>
            </w:r>
          </w:p>
        </w:tc>
        <w:tc>
          <w:tcPr>
            <w:tcW w:w="220" w:type="dxa"/>
            <w:vAlign w:val="bottom"/>
            <w:shd w:val="clear" w:color="auto" w:fill="E0E7ED"/>
          </w:tcPr>
          <w:p>
            <w:pPr>
              <w:spacing w:after="0"/>
              <w:rPr>
                <w:sz w:val="20"/>
                <w:szCs w:val="20"/>
                <w:color w:val="auto"/>
              </w:rPr>
            </w:pPr>
          </w:p>
        </w:tc>
        <w:tc>
          <w:tcPr>
            <w:tcW w:w="114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40" w:type="dxa"/>
            <w:vAlign w:val="bottom"/>
            <w:shd w:val="clear" w:color="auto" w:fill="E0E7ED"/>
          </w:tcPr>
          <w:p>
            <w:pPr>
              <w:spacing w:after="0"/>
              <w:rPr>
                <w:sz w:val="20"/>
                <w:szCs w:val="20"/>
                <w:color w:val="auto"/>
              </w:rPr>
            </w:pPr>
          </w:p>
        </w:tc>
        <w:tc>
          <w:tcPr>
            <w:tcW w:w="9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112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8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0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84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assets</w:t>
            </w:r>
          </w:p>
        </w:tc>
        <w:tc>
          <w:tcPr>
            <w:tcW w:w="22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1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8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8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80" w:type="dxa"/>
            <w:vAlign w:val="bottom"/>
          </w:tcPr>
          <w:p>
            <w:pPr>
              <w:ind w:left="180"/>
              <w:spacing w:after="0"/>
              <w:rPr>
                <w:sz w:val="20"/>
                <w:szCs w:val="20"/>
                <w:color w:val="auto"/>
              </w:rPr>
            </w:pPr>
            <w:r>
              <w:rPr>
                <w:rFonts w:ascii="Verdana" w:cs="Verdana" w:eastAsia="Verdana" w:hAnsi="Verdana"/>
                <w:sz w:val="18"/>
                <w:szCs w:val="18"/>
                <w:color w:val="auto"/>
              </w:rPr>
              <w:t>First Busey</w:t>
            </w: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tcPr>
          <w:p>
            <w:pPr>
              <w:jc w:val="right"/>
              <w:ind w:right="15"/>
              <w:spacing w:after="0"/>
              <w:rPr>
                <w:sz w:val="20"/>
                <w:szCs w:val="20"/>
                <w:color w:val="auto"/>
              </w:rPr>
            </w:pPr>
            <w:r>
              <w:rPr>
                <w:rFonts w:ascii="Verdana" w:cs="Verdana" w:eastAsia="Verdana" w:hAnsi="Verdana"/>
                <w:sz w:val="18"/>
                <w:szCs w:val="18"/>
                <w:color w:val="auto"/>
              </w:rPr>
              <w:t>1,610,247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Verdana" w:cs="Verdana" w:eastAsia="Verdana" w:hAnsi="Verdana"/>
                <w:sz w:val="18"/>
                <w:szCs w:val="18"/>
                <w:color w:val="auto"/>
              </w:rPr>
              <w:t>18.19 %</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120" w:type="dxa"/>
            <w:vAlign w:val="bottom"/>
          </w:tcPr>
          <w:p>
            <w:pPr>
              <w:ind w:left="280"/>
              <w:spacing w:after="0"/>
              <w:rPr>
                <w:sz w:val="20"/>
                <w:szCs w:val="20"/>
                <w:color w:val="auto"/>
              </w:rPr>
            </w:pPr>
            <w:r>
              <w:rPr>
                <w:rFonts w:ascii="Verdana" w:cs="Verdana" w:eastAsia="Verdana" w:hAnsi="Verdana"/>
                <w:sz w:val="18"/>
                <w:szCs w:val="18"/>
                <w:color w:val="auto"/>
              </w:rPr>
              <w:t>708,204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ind w:left="120"/>
              <w:spacing w:after="0"/>
              <w:rPr>
                <w:sz w:val="20"/>
                <w:szCs w:val="20"/>
                <w:color w:val="auto"/>
              </w:rPr>
            </w:pPr>
            <w:r>
              <w:rPr>
                <w:rFonts w:ascii="Verdana" w:cs="Verdana" w:eastAsia="Verdana" w:hAnsi="Verdana"/>
                <w:sz w:val="18"/>
                <w:szCs w:val="18"/>
                <w:color w:val="auto"/>
                <w:w w:val="98"/>
              </w:rPr>
              <w:t>8.00 %</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080" w:type="dxa"/>
            <w:vAlign w:val="bottom"/>
          </w:tcPr>
          <w:p>
            <w:pPr>
              <w:jc w:val="right"/>
              <w:ind w:right="19"/>
              <w:spacing w:after="0"/>
              <w:rPr>
                <w:sz w:val="20"/>
                <w:szCs w:val="20"/>
                <w:color w:val="auto"/>
              </w:rPr>
            </w:pPr>
            <w:r>
              <w:rPr>
                <w:rFonts w:ascii="Verdana" w:cs="Verdana" w:eastAsia="Verdana" w:hAnsi="Verdana"/>
                <w:sz w:val="18"/>
                <w:szCs w:val="18"/>
                <w:color w:val="auto"/>
              </w:rPr>
              <w:t>885,255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Verdana" w:cs="Verdana" w:eastAsia="Verdana" w:hAnsi="Verdana"/>
                <w:sz w:val="18"/>
                <w:szCs w:val="18"/>
                <w:color w:val="auto"/>
              </w:rPr>
              <w:t>10.00 %</w:t>
            </w:r>
          </w:p>
        </w:tc>
        <w:tc>
          <w:tcPr>
            <w:tcW w:w="0" w:type="dxa"/>
            <w:vAlign w:val="bottom"/>
          </w:tcPr>
          <w:p>
            <w:pPr>
              <w:spacing w:after="0"/>
              <w:rPr>
                <w:sz w:val="1"/>
                <w:szCs w:val="1"/>
                <w:color w:val="auto"/>
              </w:rPr>
            </w:pPr>
          </w:p>
        </w:tc>
      </w:tr>
      <w:tr>
        <w:trPr>
          <w:trHeight w:val="277"/>
        </w:trPr>
        <w:tc>
          <w:tcPr>
            <w:tcW w:w="35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Busey Bank</w:t>
            </w: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1,510,436</w:t>
            </w:r>
          </w:p>
        </w:tc>
        <w:tc>
          <w:tcPr>
            <w:tcW w:w="8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17.13 %</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120" w:type="dxa"/>
            <w:vAlign w:val="bottom"/>
            <w:shd w:val="clear" w:color="auto" w:fill="E0E7ED"/>
          </w:tcPr>
          <w:p>
            <w:pPr>
              <w:ind w:left="280"/>
              <w:spacing w:after="0"/>
              <w:rPr>
                <w:sz w:val="20"/>
                <w:szCs w:val="20"/>
                <w:color w:val="auto"/>
              </w:rPr>
            </w:pPr>
            <w:r>
              <w:rPr>
                <w:rFonts w:ascii="Verdana" w:cs="Verdana" w:eastAsia="Verdana" w:hAnsi="Verdana"/>
                <w:sz w:val="18"/>
                <w:szCs w:val="18"/>
                <w:color w:val="auto"/>
              </w:rPr>
              <w:t>705,314</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800" w:type="dxa"/>
            <w:vAlign w:val="bottom"/>
            <w:shd w:val="clear" w:color="auto" w:fill="E0E7ED"/>
          </w:tcPr>
          <w:p>
            <w:pPr>
              <w:ind w:left="120"/>
              <w:spacing w:after="0"/>
              <w:rPr>
                <w:sz w:val="20"/>
                <w:szCs w:val="20"/>
                <w:color w:val="auto"/>
              </w:rPr>
            </w:pPr>
            <w:r>
              <w:rPr>
                <w:rFonts w:ascii="Verdana" w:cs="Verdana" w:eastAsia="Verdana" w:hAnsi="Verdana"/>
                <w:sz w:val="18"/>
                <w:szCs w:val="18"/>
                <w:color w:val="auto"/>
                <w:w w:val="98"/>
              </w:rPr>
              <w:t>8.00 %</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08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881,642</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10.00 %</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Leverage ratio of Tier 1 capital to</w:t>
            </w:r>
          </w:p>
        </w:tc>
        <w:tc>
          <w:tcPr>
            <w:tcW w:w="220" w:type="dxa"/>
            <w:vAlign w:val="bottom"/>
            <w:shd w:val="clear" w:color="auto" w:fill="E0E7ED"/>
          </w:tcPr>
          <w:p>
            <w:pPr>
              <w:spacing w:after="0"/>
              <w:rPr>
                <w:sz w:val="20"/>
                <w:szCs w:val="20"/>
                <w:color w:val="auto"/>
              </w:rPr>
            </w:pPr>
          </w:p>
        </w:tc>
        <w:tc>
          <w:tcPr>
            <w:tcW w:w="114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40" w:type="dxa"/>
            <w:vAlign w:val="bottom"/>
            <w:shd w:val="clear" w:color="auto" w:fill="E0E7ED"/>
          </w:tcPr>
          <w:p>
            <w:pPr>
              <w:spacing w:after="0"/>
              <w:rPr>
                <w:sz w:val="20"/>
                <w:szCs w:val="20"/>
                <w:color w:val="auto"/>
              </w:rPr>
            </w:pPr>
          </w:p>
        </w:tc>
        <w:tc>
          <w:tcPr>
            <w:tcW w:w="9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112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8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0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84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average assets</w:t>
            </w:r>
          </w:p>
        </w:tc>
        <w:tc>
          <w:tcPr>
            <w:tcW w:w="22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1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8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8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80" w:type="dxa"/>
            <w:vAlign w:val="bottom"/>
          </w:tcPr>
          <w:p>
            <w:pPr>
              <w:ind w:left="180"/>
              <w:spacing w:after="0"/>
              <w:rPr>
                <w:sz w:val="20"/>
                <w:szCs w:val="20"/>
                <w:color w:val="auto"/>
              </w:rPr>
            </w:pPr>
            <w:r>
              <w:rPr>
                <w:rFonts w:ascii="Verdana" w:cs="Verdana" w:eastAsia="Verdana" w:hAnsi="Verdana"/>
                <w:sz w:val="18"/>
                <w:szCs w:val="18"/>
                <w:color w:val="auto"/>
              </w:rPr>
              <w:t>First Busey</w:t>
            </w: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tcPr>
          <w:p>
            <w:pPr>
              <w:jc w:val="right"/>
              <w:ind w:right="15"/>
              <w:spacing w:after="0"/>
              <w:rPr>
                <w:sz w:val="20"/>
                <w:szCs w:val="20"/>
                <w:color w:val="auto"/>
              </w:rPr>
            </w:pPr>
            <w:r>
              <w:rPr>
                <w:rFonts w:ascii="Verdana" w:cs="Verdana" w:eastAsia="Verdana" w:hAnsi="Verdana"/>
                <w:sz w:val="18"/>
                <w:szCs w:val="18"/>
                <w:color w:val="auto"/>
              </w:rPr>
              <w:t>1,296,574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Verdana" w:cs="Verdana" w:eastAsia="Verdana" w:hAnsi="Verdana"/>
                <w:sz w:val="18"/>
                <w:szCs w:val="18"/>
                <w:color w:val="auto"/>
              </w:rPr>
              <w:t>10.97 %</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120" w:type="dxa"/>
            <w:vAlign w:val="bottom"/>
          </w:tcPr>
          <w:p>
            <w:pPr>
              <w:ind w:left="280"/>
              <w:spacing w:after="0"/>
              <w:rPr>
                <w:sz w:val="20"/>
                <w:szCs w:val="20"/>
                <w:color w:val="auto"/>
              </w:rPr>
            </w:pPr>
            <w:r>
              <w:rPr>
                <w:rFonts w:ascii="Verdana" w:cs="Verdana" w:eastAsia="Verdana" w:hAnsi="Verdana"/>
                <w:sz w:val="18"/>
                <w:szCs w:val="18"/>
                <w:color w:val="auto"/>
              </w:rPr>
              <w:t>472,629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ind w:left="120"/>
              <w:spacing w:after="0"/>
              <w:rPr>
                <w:sz w:val="20"/>
                <w:szCs w:val="20"/>
                <w:color w:val="auto"/>
              </w:rPr>
            </w:pPr>
            <w:r>
              <w:rPr>
                <w:rFonts w:ascii="Verdana" w:cs="Verdana" w:eastAsia="Verdana" w:hAnsi="Verdana"/>
                <w:sz w:val="18"/>
                <w:szCs w:val="18"/>
                <w:color w:val="auto"/>
                <w:w w:val="98"/>
              </w:rPr>
              <w:t>4.00 %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gridSpan w:val="3"/>
          </w:tcPr>
          <w:p>
            <w:pPr>
              <w:ind w:left="720"/>
              <w:spacing w:after="0"/>
              <w:rPr>
                <w:sz w:val="20"/>
                <w:szCs w:val="20"/>
                <w:color w:val="auto"/>
              </w:rPr>
            </w:pPr>
            <w:r>
              <w:rPr>
                <w:rFonts w:ascii="Verdana" w:cs="Verdana" w:eastAsia="Verdana" w:hAnsi="Verdana"/>
                <w:sz w:val="18"/>
                <w:szCs w:val="18"/>
                <w:color w:val="auto"/>
              </w:rPr>
              <w:t>N/A</w:t>
            </w:r>
          </w:p>
        </w:tc>
        <w:tc>
          <w:tcPr>
            <w:tcW w:w="840" w:type="dxa"/>
            <w:vAlign w:val="bottom"/>
          </w:tcPr>
          <w:p>
            <w:pPr>
              <w:jc w:val="right"/>
              <w:spacing w:after="0"/>
              <w:rPr>
                <w:sz w:val="20"/>
                <w:szCs w:val="20"/>
                <w:color w:val="auto"/>
              </w:rPr>
            </w:pPr>
            <w:r>
              <w:rPr>
                <w:rFonts w:ascii="Verdana" w:cs="Verdana" w:eastAsia="Verdana" w:hAnsi="Verdana"/>
                <w:sz w:val="18"/>
                <w:szCs w:val="18"/>
                <w:color w:val="auto"/>
              </w:rPr>
              <w:t>N/A</w:t>
            </w:r>
          </w:p>
        </w:tc>
        <w:tc>
          <w:tcPr>
            <w:tcW w:w="0" w:type="dxa"/>
            <w:vAlign w:val="bottom"/>
          </w:tcPr>
          <w:p>
            <w:pPr>
              <w:spacing w:after="0"/>
              <w:rPr>
                <w:sz w:val="1"/>
                <w:szCs w:val="1"/>
                <w:color w:val="auto"/>
              </w:rPr>
            </w:pPr>
          </w:p>
        </w:tc>
      </w:tr>
      <w:tr>
        <w:trPr>
          <w:trHeight w:val="277"/>
        </w:trPr>
        <w:tc>
          <w:tcPr>
            <w:tcW w:w="35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Busey Bank</w:t>
            </w: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1,425,762</w:t>
            </w:r>
          </w:p>
        </w:tc>
        <w:tc>
          <w:tcPr>
            <w:tcW w:w="8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12.10 %</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120" w:type="dxa"/>
            <w:vAlign w:val="bottom"/>
            <w:shd w:val="clear" w:color="auto" w:fill="E0E7ED"/>
          </w:tcPr>
          <w:p>
            <w:pPr>
              <w:ind w:left="280"/>
              <w:spacing w:after="0"/>
              <w:rPr>
                <w:sz w:val="20"/>
                <w:szCs w:val="20"/>
                <w:color w:val="auto"/>
              </w:rPr>
            </w:pPr>
            <w:r>
              <w:rPr>
                <w:rFonts w:ascii="Verdana" w:cs="Verdana" w:eastAsia="Verdana" w:hAnsi="Verdana"/>
                <w:sz w:val="18"/>
                <w:szCs w:val="18"/>
                <w:color w:val="auto"/>
              </w:rPr>
              <w:t>471,202</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800" w:type="dxa"/>
            <w:vAlign w:val="bottom"/>
            <w:shd w:val="clear" w:color="auto" w:fill="E0E7ED"/>
          </w:tcPr>
          <w:p>
            <w:pPr>
              <w:ind w:left="120"/>
              <w:spacing w:after="0"/>
              <w:rPr>
                <w:sz w:val="20"/>
                <w:szCs w:val="20"/>
                <w:color w:val="auto"/>
              </w:rPr>
            </w:pPr>
            <w:r>
              <w:rPr>
                <w:rFonts w:ascii="Verdana" w:cs="Verdana" w:eastAsia="Verdana" w:hAnsi="Verdana"/>
                <w:sz w:val="18"/>
                <w:szCs w:val="18"/>
                <w:color w:val="auto"/>
                <w:w w:val="98"/>
              </w:rPr>
              <w:t>4.00 %</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08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589,003</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44" w:name="page45"/>
    <w:bookmarkEnd w:id="44"/>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ind w:left="100"/>
              <w:spacing w:after="0"/>
              <w:rPr>
                <w:sz w:val="20"/>
                <w:szCs w:val="20"/>
                <w:color w:val="auto"/>
              </w:rPr>
            </w:pPr>
            <w:r>
              <w:rPr>
                <w:rFonts w:ascii="Verdana" w:cs="Verdana" w:eastAsia="Verdana" w:hAnsi="Verdana"/>
                <w:sz w:val="13"/>
                <w:szCs w:val="13"/>
                <w:b w:val="1"/>
                <w:bCs w:val="1"/>
                <w:color w:val="auto"/>
              </w:rPr>
              <w:t>As of December 31, 2023</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3"/>
            <w:vMerge w:val="restart"/>
          </w:tcPr>
          <w:p>
            <w:pPr>
              <w:ind w:left="660"/>
              <w:spacing w:after="0"/>
              <w:rPr>
                <w:sz w:val="20"/>
                <w:szCs w:val="20"/>
                <w:color w:val="auto"/>
              </w:rPr>
            </w:pPr>
            <w:r>
              <w:rPr>
                <w:rFonts w:ascii="Verdana" w:cs="Verdana" w:eastAsia="Verdana" w:hAnsi="Verdana"/>
                <w:sz w:val="13"/>
                <w:szCs w:val="13"/>
                <w:b w:val="1"/>
                <w:bCs w:val="1"/>
                <w:color w:val="auto"/>
              </w:rPr>
              <w:t>Minimum</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3"/>
          </w:tcPr>
          <w:p>
            <w:pPr>
              <w:jc w:val="center"/>
              <w:ind w:left="499"/>
              <w:spacing w:after="0" w:line="122" w:lineRule="exact"/>
              <w:rPr>
                <w:sz w:val="20"/>
                <w:szCs w:val="20"/>
                <w:color w:val="auto"/>
              </w:rPr>
            </w:pPr>
            <w:r>
              <w:rPr>
                <w:rFonts w:ascii="Verdana" w:cs="Verdana" w:eastAsia="Verdana" w:hAnsi="Verdana"/>
                <w:sz w:val="13"/>
                <w:szCs w:val="13"/>
                <w:b w:val="1"/>
                <w:bCs w:val="1"/>
                <w:color w:val="auto"/>
                <w:w w:val="98"/>
              </w:rPr>
              <w:t>Minimum</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3"/>
            <w:vMerge w:val="restart"/>
          </w:tcPr>
          <w:p>
            <w:pPr>
              <w:ind w:left="800"/>
              <w:spacing w:after="0"/>
              <w:rPr>
                <w:sz w:val="20"/>
                <w:szCs w:val="20"/>
                <w:color w:val="auto"/>
              </w:rPr>
            </w:pPr>
            <w:r>
              <w:rPr>
                <w:rFonts w:ascii="Verdana" w:cs="Verdana" w:eastAsia="Verdana" w:hAnsi="Verdana"/>
                <w:sz w:val="13"/>
                <w:szCs w:val="13"/>
                <w:b w:val="1"/>
                <w:bCs w:val="1"/>
                <w:color w:val="auto"/>
              </w:rPr>
              <w:t>Actual</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3"/>
          </w:tcPr>
          <w:p>
            <w:pPr>
              <w:jc w:val="center"/>
              <w:ind w:left="499"/>
              <w:spacing w:after="0" w:line="122" w:lineRule="exact"/>
              <w:rPr>
                <w:sz w:val="20"/>
                <w:szCs w:val="20"/>
                <w:color w:val="auto"/>
              </w:rPr>
            </w:pPr>
            <w:r>
              <w:rPr>
                <w:rFonts w:ascii="Verdana" w:cs="Verdana" w:eastAsia="Verdana" w:hAnsi="Verdana"/>
                <w:sz w:val="13"/>
                <w:szCs w:val="13"/>
                <w:b w:val="1"/>
                <w:bCs w:val="1"/>
                <w:color w:val="auto"/>
                <w:w w:val="95"/>
              </w:rPr>
              <w:t>To Be Well</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5"/>
          </w:tcPr>
          <w:p>
            <w:pPr>
              <w:ind w:left="260"/>
              <w:spacing w:after="0"/>
              <w:rPr>
                <w:sz w:val="20"/>
                <w:szCs w:val="20"/>
                <w:color w:val="auto"/>
              </w:rPr>
            </w:pPr>
            <w:r>
              <w:rPr>
                <w:rFonts w:ascii="Verdana" w:cs="Verdana" w:eastAsia="Verdana" w:hAnsi="Verdana"/>
                <w:sz w:val="13"/>
                <w:szCs w:val="13"/>
                <w:b w:val="1"/>
                <w:bCs w:val="1"/>
                <w:color w:val="auto"/>
              </w:rPr>
              <w:t>Capital Requirement</w:t>
            </w:r>
          </w:p>
        </w:tc>
        <w:tc>
          <w:tcPr>
            <w:tcW w:w="260" w:type="dxa"/>
            <w:vAlign w:val="bottom"/>
          </w:tcPr>
          <w:p>
            <w:pPr>
              <w:spacing w:after="0"/>
              <w:rPr>
                <w:sz w:val="14"/>
                <w:szCs w:val="14"/>
                <w:color w:val="auto"/>
              </w:rPr>
            </w:pPr>
          </w:p>
        </w:tc>
        <w:tc>
          <w:tcPr>
            <w:tcW w:w="1400" w:type="dxa"/>
            <w:vAlign w:val="bottom"/>
            <w:gridSpan w:val="3"/>
          </w:tcPr>
          <w:p>
            <w:pPr>
              <w:jc w:val="center"/>
              <w:ind w:left="499"/>
              <w:spacing w:after="0"/>
              <w:rPr>
                <w:sz w:val="20"/>
                <w:szCs w:val="20"/>
                <w:color w:val="auto"/>
              </w:rPr>
            </w:pPr>
            <w:r>
              <w:rPr>
                <w:rFonts w:ascii="Verdana" w:cs="Verdana" w:eastAsia="Verdana" w:hAnsi="Verdana"/>
                <w:sz w:val="13"/>
                <w:szCs w:val="13"/>
                <w:b w:val="1"/>
                <w:bCs w:val="1"/>
                <w:color w:val="auto"/>
                <w:w w:val="96"/>
              </w:rPr>
              <w:t>Capitalized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3"/>
          </w:tcPr>
          <w:p>
            <w:pPr>
              <w:ind w:left="180"/>
              <w:spacing w:after="0"/>
              <w:rPr>
                <w:sz w:val="20"/>
                <w:szCs w:val="20"/>
                <w:color w:val="auto"/>
              </w:rPr>
            </w:pPr>
            <w:r>
              <w:rPr>
                <w:rFonts w:ascii="Verdana" w:cs="Verdana" w:eastAsia="Verdana" w:hAnsi="Verdana"/>
                <w:sz w:val="13"/>
                <w:szCs w:val="13"/>
                <w:b w:val="1"/>
                <w:bCs w:val="1"/>
                <w:color w:val="auto"/>
              </w:rPr>
              <w:t>Amount</w:t>
            </w:r>
          </w:p>
        </w:tc>
        <w:tc>
          <w:tcPr>
            <w:tcW w:w="920" w:type="dxa"/>
            <w:vAlign w:val="bottom"/>
            <w:tcBorders>
              <w:top w:val="single" w:sz="8" w:color="auto"/>
            </w:tcBorders>
          </w:tcPr>
          <w:p>
            <w:pPr>
              <w:jc w:val="right"/>
              <w:ind w:right="253"/>
              <w:spacing w:after="0"/>
              <w:rPr>
                <w:sz w:val="20"/>
                <w:szCs w:val="20"/>
                <w:color w:val="auto"/>
              </w:rPr>
            </w:pPr>
            <w:r>
              <w:rPr>
                <w:rFonts w:ascii="Verdana" w:cs="Verdana" w:eastAsia="Verdana" w:hAnsi="Verdana"/>
                <w:sz w:val="13"/>
                <w:szCs w:val="13"/>
                <w:b w:val="1"/>
                <w:bCs w:val="1"/>
                <w:color w:val="auto"/>
              </w:rPr>
              <w:t>Ratio</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3"/>
          </w:tcPr>
          <w:p>
            <w:pPr>
              <w:ind w:left="140"/>
              <w:spacing w:after="0"/>
              <w:rPr>
                <w:sz w:val="20"/>
                <w:szCs w:val="20"/>
                <w:color w:val="auto"/>
              </w:rPr>
            </w:pPr>
            <w:r>
              <w:rPr>
                <w:rFonts w:ascii="Verdana" w:cs="Verdana" w:eastAsia="Verdana" w:hAnsi="Verdana"/>
                <w:sz w:val="13"/>
                <w:szCs w:val="13"/>
                <w:b w:val="1"/>
                <w:bCs w:val="1"/>
                <w:color w:val="auto"/>
              </w:rPr>
              <w:t>Amount</w:t>
            </w:r>
          </w:p>
        </w:tc>
        <w:tc>
          <w:tcPr>
            <w:tcW w:w="800" w:type="dxa"/>
            <w:vAlign w:val="bottom"/>
            <w:tcBorders>
              <w:top w:val="single" w:sz="8" w:color="auto"/>
            </w:tcBorders>
          </w:tcPr>
          <w:p>
            <w:pPr>
              <w:ind w:left="100"/>
              <w:spacing w:after="0"/>
              <w:rPr>
                <w:sz w:val="20"/>
                <w:szCs w:val="20"/>
                <w:color w:val="auto"/>
              </w:rPr>
            </w:pPr>
            <w:r>
              <w:rPr>
                <w:rFonts w:ascii="Verdana" w:cs="Verdana" w:eastAsia="Verdana" w:hAnsi="Verdana"/>
                <w:sz w:val="13"/>
                <w:szCs w:val="13"/>
                <w:b w:val="1"/>
                <w:bCs w:val="1"/>
                <w:color w:val="auto"/>
              </w:rPr>
              <w:t>Ratio</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ind w:left="140"/>
              <w:spacing w:after="0"/>
              <w:rPr>
                <w:sz w:val="20"/>
                <w:szCs w:val="20"/>
                <w:color w:val="auto"/>
              </w:rPr>
            </w:pPr>
            <w:r>
              <w:rPr>
                <w:rFonts w:ascii="Verdana" w:cs="Verdana" w:eastAsia="Verdana" w:hAnsi="Verdana"/>
                <w:sz w:val="13"/>
                <w:szCs w:val="13"/>
                <w:b w:val="1"/>
                <w:bCs w:val="1"/>
                <w:color w:val="auto"/>
              </w:rPr>
              <w:t>Amount</w:t>
            </w:r>
          </w:p>
        </w:tc>
        <w:tc>
          <w:tcPr>
            <w:tcW w:w="840" w:type="dxa"/>
            <w:vAlign w:val="bottom"/>
            <w:tcBorders>
              <w:top w:val="single" w:sz="8" w:color="auto"/>
            </w:tcBorders>
          </w:tcPr>
          <w:p>
            <w:pPr>
              <w:jc w:val="right"/>
              <w:ind w:right="253"/>
              <w:spacing w:after="0"/>
              <w:rPr>
                <w:sz w:val="20"/>
                <w:szCs w:val="20"/>
                <w:color w:val="auto"/>
              </w:rPr>
            </w:pPr>
            <w:r>
              <w:rPr>
                <w:rFonts w:ascii="Verdana" w:cs="Verdana" w:eastAsia="Verdana" w:hAnsi="Verdana"/>
                <w:sz w:val="13"/>
                <w:szCs w:val="13"/>
                <w:b w:val="1"/>
                <w:bCs w:val="1"/>
                <w:color w:val="auto"/>
              </w:rPr>
              <w:t>Ratio</w:t>
            </w:r>
          </w:p>
        </w:tc>
        <w:tc>
          <w:tcPr>
            <w:tcW w:w="0" w:type="dxa"/>
            <w:vAlign w:val="bottom"/>
          </w:tcPr>
          <w:p>
            <w:pPr>
              <w:spacing w:after="0"/>
              <w:rPr>
                <w:sz w:val="1"/>
                <w:szCs w:val="1"/>
                <w:color w:val="auto"/>
              </w:rPr>
            </w:pPr>
          </w:p>
        </w:tc>
      </w:tr>
      <w:tr>
        <w:trPr>
          <w:trHeight w:val="223"/>
        </w:trPr>
        <w:tc>
          <w:tcPr>
            <w:tcW w:w="35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Common equity Tier 1 capital to</w:t>
            </w:r>
          </w:p>
        </w:tc>
        <w:tc>
          <w:tcPr>
            <w:tcW w:w="220" w:type="dxa"/>
            <w:vAlign w:val="bottom"/>
            <w:tcBorders>
              <w:top w:val="single" w:sz="8" w:color="auto"/>
            </w:tcBorders>
            <w:shd w:val="clear" w:color="auto" w:fill="E0E7ED"/>
          </w:tcPr>
          <w:p>
            <w:pPr>
              <w:spacing w:after="0"/>
              <w:rPr>
                <w:sz w:val="19"/>
                <w:szCs w:val="19"/>
                <w:color w:val="auto"/>
              </w:rPr>
            </w:pPr>
          </w:p>
        </w:tc>
        <w:tc>
          <w:tcPr>
            <w:tcW w:w="114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140" w:type="dxa"/>
            <w:vAlign w:val="bottom"/>
            <w:tcBorders>
              <w:top w:val="single" w:sz="8" w:color="auto"/>
            </w:tcBorders>
            <w:shd w:val="clear" w:color="auto" w:fill="E0E7ED"/>
          </w:tcPr>
          <w:p>
            <w:pPr>
              <w:spacing w:after="0"/>
              <w:rPr>
                <w:sz w:val="19"/>
                <w:szCs w:val="19"/>
                <w:color w:val="auto"/>
              </w:rPr>
            </w:pPr>
          </w:p>
        </w:tc>
        <w:tc>
          <w:tcPr>
            <w:tcW w:w="92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40" w:type="dxa"/>
            <w:vAlign w:val="bottom"/>
            <w:tcBorders>
              <w:top w:val="single" w:sz="8" w:color="auto"/>
            </w:tcBorders>
            <w:shd w:val="clear" w:color="auto" w:fill="E0E7ED"/>
          </w:tcPr>
          <w:p>
            <w:pPr>
              <w:spacing w:after="0"/>
              <w:rPr>
                <w:sz w:val="19"/>
                <w:szCs w:val="19"/>
                <w:color w:val="auto"/>
              </w:rPr>
            </w:pPr>
          </w:p>
        </w:tc>
        <w:tc>
          <w:tcPr>
            <w:tcW w:w="110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40" w:type="dxa"/>
            <w:vAlign w:val="bottom"/>
            <w:tcBorders>
              <w:top w:val="single" w:sz="8" w:color="auto"/>
            </w:tcBorders>
            <w:shd w:val="clear" w:color="auto" w:fill="E0E7ED"/>
          </w:tcPr>
          <w:p>
            <w:pPr>
              <w:spacing w:after="0"/>
              <w:rPr>
                <w:sz w:val="19"/>
                <w:szCs w:val="19"/>
                <w:color w:val="auto"/>
              </w:rPr>
            </w:pPr>
          </w:p>
        </w:tc>
        <w:tc>
          <w:tcPr>
            <w:tcW w:w="8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60" w:type="dxa"/>
            <w:vAlign w:val="bottom"/>
            <w:tcBorders>
              <w:top w:val="single" w:sz="8" w:color="auto"/>
            </w:tcBorders>
            <w:shd w:val="clear" w:color="auto" w:fill="E0E7ED"/>
          </w:tcPr>
          <w:p>
            <w:pPr>
              <w:spacing w:after="0"/>
              <w:rPr>
                <w:sz w:val="19"/>
                <w:szCs w:val="19"/>
                <w:color w:val="auto"/>
              </w:rPr>
            </w:pPr>
          </w:p>
        </w:tc>
        <w:tc>
          <w:tcPr>
            <w:tcW w:w="10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84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risk weighted assets</w:t>
            </w:r>
          </w:p>
        </w:tc>
        <w:tc>
          <w:tcPr>
            <w:tcW w:w="22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1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8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8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80" w:type="dxa"/>
            <w:vAlign w:val="bottom"/>
          </w:tcPr>
          <w:p>
            <w:pPr>
              <w:ind w:left="180"/>
              <w:spacing w:after="0"/>
              <w:rPr>
                <w:sz w:val="20"/>
                <w:szCs w:val="20"/>
                <w:color w:val="auto"/>
              </w:rPr>
            </w:pPr>
            <w:r>
              <w:rPr>
                <w:rFonts w:ascii="Verdana" w:cs="Verdana" w:eastAsia="Verdana" w:hAnsi="Verdana"/>
                <w:sz w:val="18"/>
                <w:szCs w:val="18"/>
                <w:color w:val="auto"/>
              </w:rPr>
              <w:t>First Busey</w:t>
            </w: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tcPr>
          <w:p>
            <w:pPr>
              <w:jc w:val="right"/>
              <w:ind w:right="15"/>
              <w:spacing w:after="0"/>
              <w:rPr>
                <w:sz w:val="20"/>
                <w:szCs w:val="20"/>
                <w:color w:val="auto"/>
              </w:rPr>
            </w:pPr>
            <w:r>
              <w:rPr>
                <w:rFonts w:ascii="Verdana" w:cs="Verdana" w:eastAsia="Verdana" w:hAnsi="Verdana"/>
                <w:sz w:val="18"/>
                <w:szCs w:val="18"/>
                <w:color w:val="auto"/>
              </w:rPr>
              <w:t>1,155,973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Verdana" w:cs="Verdana" w:eastAsia="Verdana" w:hAnsi="Verdana"/>
                <w:sz w:val="18"/>
                <w:szCs w:val="18"/>
                <w:color w:val="auto"/>
              </w:rPr>
              <w:t>13.09 %</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Verdana" w:cs="Verdana" w:eastAsia="Verdana" w:hAnsi="Verdana"/>
                <w:sz w:val="18"/>
                <w:szCs w:val="18"/>
                <w:color w:val="auto"/>
                <w:w w:val="86"/>
              </w:rPr>
              <w:t>$</w:t>
            </w:r>
          </w:p>
        </w:tc>
        <w:tc>
          <w:tcPr>
            <w:tcW w:w="1100" w:type="dxa"/>
            <w:vAlign w:val="bottom"/>
          </w:tcPr>
          <w:p>
            <w:pPr>
              <w:ind w:left="260"/>
              <w:spacing w:after="0"/>
              <w:rPr>
                <w:sz w:val="20"/>
                <w:szCs w:val="20"/>
                <w:color w:val="auto"/>
              </w:rPr>
            </w:pPr>
            <w:r>
              <w:rPr>
                <w:rFonts w:ascii="Verdana" w:cs="Verdana" w:eastAsia="Verdana" w:hAnsi="Verdana"/>
                <w:sz w:val="18"/>
                <w:szCs w:val="18"/>
                <w:color w:val="auto"/>
              </w:rPr>
              <w:t>397,331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ind w:left="120"/>
              <w:spacing w:after="0"/>
              <w:rPr>
                <w:sz w:val="20"/>
                <w:szCs w:val="20"/>
                <w:color w:val="auto"/>
              </w:rPr>
            </w:pPr>
            <w:r>
              <w:rPr>
                <w:rFonts w:ascii="Verdana" w:cs="Verdana" w:eastAsia="Verdana" w:hAnsi="Verdana"/>
                <w:sz w:val="18"/>
                <w:szCs w:val="18"/>
                <w:color w:val="auto"/>
                <w:w w:val="98"/>
              </w:rPr>
              <w:t>4.50 %</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080" w:type="dxa"/>
            <w:vAlign w:val="bottom"/>
          </w:tcPr>
          <w:p>
            <w:pPr>
              <w:jc w:val="right"/>
              <w:ind w:right="19"/>
              <w:spacing w:after="0"/>
              <w:rPr>
                <w:sz w:val="20"/>
                <w:szCs w:val="20"/>
                <w:color w:val="auto"/>
              </w:rPr>
            </w:pPr>
            <w:r>
              <w:rPr>
                <w:rFonts w:ascii="Verdana" w:cs="Verdana" w:eastAsia="Verdana" w:hAnsi="Verdana"/>
                <w:sz w:val="18"/>
                <w:szCs w:val="18"/>
                <w:color w:val="auto"/>
              </w:rPr>
              <w:t>573,923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Verdana" w:cs="Verdana" w:eastAsia="Verdana" w:hAnsi="Verdana"/>
                <w:sz w:val="18"/>
                <w:szCs w:val="18"/>
                <w:color w:val="auto"/>
              </w:rPr>
              <w:t>6.50 %</w:t>
            </w:r>
          </w:p>
        </w:tc>
        <w:tc>
          <w:tcPr>
            <w:tcW w:w="0" w:type="dxa"/>
            <w:vAlign w:val="bottom"/>
          </w:tcPr>
          <w:p>
            <w:pPr>
              <w:spacing w:after="0"/>
              <w:rPr>
                <w:sz w:val="1"/>
                <w:szCs w:val="1"/>
                <w:color w:val="auto"/>
              </w:rPr>
            </w:pPr>
          </w:p>
        </w:tc>
      </w:tr>
      <w:tr>
        <w:trPr>
          <w:trHeight w:val="277"/>
        </w:trPr>
        <w:tc>
          <w:tcPr>
            <w:tcW w:w="35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Busey Bank</w:t>
            </w: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1,362,962</w:t>
            </w:r>
          </w:p>
        </w:tc>
        <w:tc>
          <w:tcPr>
            <w:tcW w:w="8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15.48 %</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w w:val="86"/>
              </w:rPr>
              <w:t>$</w:t>
            </w:r>
          </w:p>
        </w:tc>
        <w:tc>
          <w:tcPr>
            <w:tcW w:w="1100" w:type="dxa"/>
            <w:vAlign w:val="bottom"/>
            <w:shd w:val="clear" w:color="auto" w:fill="E0E7ED"/>
          </w:tcPr>
          <w:p>
            <w:pPr>
              <w:ind w:left="260"/>
              <w:spacing w:after="0"/>
              <w:rPr>
                <w:sz w:val="20"/>
                <w:szCs w:val="20"/>
                <w:color w:val="auto"/>
              </w:rPr>
            </w:pPr>
            <w:r>
              <w:rPr>
                <w:rFonts w:ascii="Verdana" w:cs="Verdana" w:eastAsia="Verdana" w:hAnsi="Verdana"/>
                <w:sz w:val="18"/>
                <w:szCs w:val="18"/>
                <w:color w:val="auto"/>
              </w:rPr>
              <w:t>396,128</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800" w:type="dxa"/>
            <w:vAlign w:val="bottom"/>
            <w:shd w:val="clear" w:color="auto" w:fill="E0E7ED"/>
          </w:tcPr>
          <w:p>
            <w:pPr>
              <w:ind w:left="120"/>
              <w:spacing w:after="0"/>
              <w:rPr>
                <w:sz w:val="20"/>
                <w:szCs w:val="20"/>
                <w:color w:val="auto"/>
              </w:rPr>
            </w:pPr>
            <w:r>
              <w:rPr>
                <w:rFonts w:ascii="Verdana" w:cs="Verdana" w:eastAsia="Verdana" w:hAnsi="Verdana"/>
                <w:sz w:val="18"/>
                <w:szCs w:val="18"/>
                <w:color w:val="auto"/>
                <w:w w:val="98"/>
              </w:rPr>
              <w:t>4.50 %</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08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572,185</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6.50 %</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Tier 1 capital to risk weighted</w:t>
            </w:r>
          </w:p>
        </w:tc>
        <w:tc>
          <w:tcPr>
            <w:tcW w:w="220" w:type="dxa"/>
            <w:vAlign w:val="bottom"/>
            <w:shd w:val="clear" w:color="auto" w:fill="E0E7ED"/>
          </w:tcPr>
          <w:p>
            <w:pPr>
              <w:spacing w:after="0"/>
              <w:rPr>
                <w:sz w:val="20"/>
                <w:szCs w:val="20"/>
                <w:color w:val="auto"/>
              </w:rPr>
            </w:pPr>
          </w:p>
        </w:tc>
        <w:tc>
          <w:tcPr>
            <w:tcW w:w="114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40" w:type="dxa"/>
            <w:vAlign w:val="bottom"/>
            <w:shd w:val="clear" w:color="auto" w:fill="E0E7ED"/>
          </w:tcPr>
          <w:p>
            <w:pPr>
              <w:spacing w:after="0"/>
              <w:rPr>
                <w:sz w:val="20"/>
                <w:szCs w:val="20"/>
                <w:color w:val="auto"/>
              </w:rPr>
            </w:pPr>
          </w:p>
        </w:tc>
        <w:tc>
          <w:tcPr>
            <w:tcW w:w="9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110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8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0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84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assets</w:t>
            </w:r>
          </w:p>
        </w:tc>
        <w:tc>
          <w:tcPr>
            <w:tcW w:w="22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1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8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8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80" w:type="dxa"/>
            <w:vAlign w:val="bottom"/>
          </w:tcPr>
          <w:p>
            <w:pPr>
              <w:ind w:left="180"/>
              <w:spacing w:after="0"/>
              <w:rPr>
                <w:sz w:val="20"/>
                <w:szCs w:val="20"/>
                <w:color w:val="auto"/>
              </w:rPr>
            </w:pPr>
            <w:r>
              <w:rPr>
                <w:rFonts w:ascii="Verdana" w:cs="Verdana" w:eastAsia="Verdana" w:hAnsi="Verdana"/>
                <w:sz w:val="18"/>
                <w:szCs w:val="18"/>
                <w:color w:val="auto"/>
              </w:rPr>
              <w:t>First Busey</w:t>
            </w: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tcPr>
          <w:p>
            <w:pPr>
              <w:jc w:val="right"/>
              <w:ind w:right="15"/>
              <w:spacing w:after="0"/>
              <w:rPr>
                <w:sz w:val="20"/>
                <w:szCs w:val="20"/>
                <w:color w:val="auto"/>
              </w:rPr>
            </w:pPr>
            <w:r>
              <w:rPr>
                <w:rFonts w:ascii="Verdana" w:cs="Verdana" w:eastAsia="Verdana" w:hAnsi="Verdana"/>
                <w:sz w:val="18"/>
                <w:szCs w:val="18"/>
                <w:color w:val="auto"/>
              </w:rPr>
              <w:t>1,229,973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Verdana" w:cs="Verdana" w:eastAsia="Verdana" w:hAnsi="Verdana"/>
                <w:sz w:val="18"/>
                <w:szCs w:val="18"/>
                <w:color w:val="auto"/>
              </w:rPr>
              <w:t>13.93 %</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Verdana" w:cs="Verdana" w:eastAsia="Verdana" w:hAnsi="Verdana"/>
                <w:sz w:val="18"/>
                <w:szCs w:val="18"/>
                <w:color w:val="auto"/>
                <w:w w:val="86"/>
              </w:rPr>
              <w:t>$</w:t>
            </w:r>
          </w:p>
        </w:tc>
        <w:tc>
          <w:tcPr>
            <w:tcW w:w="1100" w:type="dxa"/>
            <w:vAlign w:val="bottom"/>
          </w:tcPr>
          <w:p>
            <w:pPr>
              <w:ind w:left="260"/>
              <w:spacing w:after="0"/>
              <w:rPr>
                <w:sz w:val="20"/>
                <w:szCs w:val="20"/>
                <w:color w:val="auto"/>
              </w:rPr>
            </w:pPr>
            <w:r>
              <w:rPr>
                <w:rFonts w:ascii="Verdana" w:cs="Verdana" w:eastAsia="Verdana" w:hAnsi="Verdana"/>
                <w:sz w:val="18"/>
                <w:szCs w:val="18"/>
                <w:color w:val="auto"/>
              </w:rPr>
              <w:t>529,775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ind w:left="120"/>
              <w:spacing w:after="0"/>
              <w:rPr>
                <w:sz w:val="20"/>
                <w:szCs w:val="20"/>
                <w:color w:val="auto"/>
              </w:rPr>
            </w:pPr>
            <w:r>
              <w:rPr>
                <w:rFonts w:ascii="Verdana" w:cs="Verdana" w:eastAsia="Verdana" w:hAnsi="Verdana"/>
                <w:sz w:val="18"/>
                <w:szCs w:val="18"/>
                <w:color w:val="auto"/>
                <w:w w:val="98"/>
              </w:rPr>
              <w:t>6.00 %</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080" w:type="dxa"/>
            <w:vAlign w:val="bottom"/>
          </w:tcPr>
          <w:p>
            <w:pPr>
              <w:jc w:val="right"/>
              <w:ind w:right="19"/>
              <w:spacing w:after="0"/>
              <w:rPr>
                <w:sz w:val="20"/>
                <w:szCs w:val="20"/>
                <w:color w:val="auto"/>
              </w:rPr>
            </w:pPr>
            <w:r>
              <w:rPr>
                <w:rFonts w:ascii="Verdana" w:cs="Verdana" w:eastAsia="Verdana" w:hAnsi="Verdana"/>
                <w:sz w:val="18"/>
                <w:szCs w:val="18"/>
                <w:color w:val="auto"/>
              </w:rPr>
              <w:t>706,367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Verdana" w:cs="Verdana" w:eastAsia="Verdana" w:hAnsi="Verdana"/>
                <w:sz w:val="18"/>
                <w:szCs w:val="18"/>
                <w:color w:val="auto"/>
              </w:rPr>
              <w:t>8.00 %</w:t>
            </w:r>
          </w:p>
        </w:tc>
        <w:tc>
          <w:tcPr>
            <w:tcW w:w="0" w:type="dxa"/>
            <w:vAlign w:val="bottom"/>
          </w:tcPr>
          <w:p>
            <w:pPr>
              <w:spacing w:after="0"/>
              <w:rPr>
                <w:sz w:val="1"/>
                <w:szCs w:val="1"/>
                <w:color w:val="auto"/>
              </w:rPr>
            </w:pPr>
          </w:p>
        </w:tc>
      </w:tr>
      <w:tr>
        <w:trPr>
          <w:trHeight w:val="277"/>
        </w:trPr>
        <w:tc>
          <w:tcPr>
            <w:tcW w:w="35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Busey Bank</w:t>
            </w: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1,362,962</w:t>
            </w:r>
          </w:p>
        </w:tc>
        <w:tc>
          <w:tcPr>
            <w:tcW w:w="8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15.48 %</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w w:val="86"/>
              </w:rPr>
              <w:t>$</w:t>
            </w:r>
          </w:p>
        </w:tc>
        <w:tc>
          <w:tcPr>
            <w:tcW w:w="1100" w:type="dxa"/>
            <w:vAlign w:val="bottom"/>
            <w:shd w:val="clear" w:color="auto" w:fill="E0E7ED"/>
          </w:tcPr>
          <w:p>
            <w:pPr>
              <w:ind w:left="260"/>
              <w:spacing w:after="0"/>
              <w:rPr>
                <w:sz w:val="20"/>
                <w:szCs w:val="20"/>
                <w:color w:val="auto"/>
              </w:rPr>
            </w:pPr>
            <w:r>
              <w:rPr>
                <w:rFonts w:ascii="Verdana" w:cs="Verdana" w:eastAsia="Verdana" w:hAnsi="Verdana"/>
                <w:sz w:val="18"/>
                <w:szCs w:val="18"/>
                <w:color w:val="auto"/>
              </w:rPr>
              <w:t>528,171</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800" w:type="dxa"/>
            <w:vAlign w:val="bottom"/>
            <w:shd w:val="clear" w:color="auto" w:fill="E0E7ED"/>
          </w:tcPr>
          <w:p>
            <w:pPr>
              <w:ind w:left="120"/>
              <w:spacing w:after="0"/>
              <w:rPr>
                <w:sz w:val="20"/>
                <w:szCs w:val="20"/>
                <w:color w:val="auto"/>
              </w:rPr>
            </w:pPr>
            <w:r>
              <w:rPr>
                <w:rFonts w:ascii="Verdana" w:cs="Verdana" w:eastAsia="Verdana" w:hAnsi="Verdana"/>
                <w:sz w:val="18"/>
                <w:szCs w:val="18"/>
                <w:color w:val="auto"/>
                <w:w w:val="98"/>
              </w:rPr>
              <w:t>6.00 %</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08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704,228</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8.00 %</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Total capital to risk weighted</w:t>
            </w:r>
          </w:p>
        </w:tc>
        <w:tc>
          <w:tcPr>
            <w:tcW w:w="220" w:type="dxa"/>
            <w:vAlign w:val="bottom"/>
            <w:shd w:val="clear" w:color="auto" w:fill="E0E7ED"/>
          </w:tcPr>
          <w:p>
            <w:pPr>
              <w:spacing w:after="0"/>
              <w:rPr>
                <w:sz w:val="20"/>
                <w:szCs w:val="20"/>
                <w:color w:val="auto"/>
              </w:rPr>
            </w:pPr>
          </w:p>
        </w:tc>
        <w:tc>
          <w:tcPr>
            <w:tcW w:w="114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40" w:type="dxa"/>
            <w:vAlign w:val="bottom"/>
            <w:shd w:val="clear" w:color="auto" w:fill="E0E7ED"/>
          </w:tcPr>
          <w:p>
            <w:pPr>
              <w:spacing w:after="0"/>
              <w:rPr>
                <w:sz w:val="20"/>
                <w:szCs w:val="20"/>
                <w:color w:val="auto"/>
              </w:rPr>
            </w:pPr>
          </w:p>
        </w:tc>
        <w:tc>
          <w:tcPr>
            <w:tcW w:w="9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110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8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0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84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assets</w:t>
            </w:r>
          </w:p>
        </w:tc>
        <w:tc>
          <w:tcPr>
            <w:tcW w:w="22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1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8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8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80" w:type="dxa"/>
            <w:vAlign w:val="bottom"/>
          </w:tcPr>
          <w:p>
            <w:pPr>
              <w:ind w:left="180"/>
              <w:spacing w:after="0"/>
              <w:rPr>
                <w:sz w:val="20"/>
                <w:szCs w:val="20"/>
                <w:color w:val="auto"/>
              </w:rPr>
            </w:pPr>
            <w:r>
              <w:rPr>
                <w:rFonts w:ascii="Verdana" w:cs="Verdana" w:eastAsia="Verdana" w:hAnsi="Verdana"/>
                <w:sz w:val="18"/>
                <w:szCs w:val="18"/>
                <w:color w:val="auto"/>
              </w:rPr>
              <w:t>First Busey</w:t>
            </w: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tcPr>
          <w:p>
            <w:pPr>
              <w:jc w:val="right"/>
              <w:ind w:right="15"/>
              <w:spacing w:after="0"/>
              <w:rPr>
                <w:sz w:val="20"/>
                <w:szCs w:val="20"/>
                <w:color w:val="auto"/>
              </w:rPr>
            </w:pPr>
            <w:r>
              <w:rPr>
                <w:rFonts w:ascii="Verdana" w:cs="Verdana" w:eastAsia="Verdana" w:hAnsi="Verdana"/>
                <w:sz w:val="18"/>
                <w:szCs w:val="18"/>
                <w:color w:val="auto"/>
              </w:rPr>
              <w:t>1,540,318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Verdana" w:cs="Verdana" w:eastAsia="Verdana" w:hAnsi="Verdana"/>
                <w:sz w:val="18"/>
                <w:szCs w:val="18"/>
                <w:color w:val="auto"/>
              </w:rPr>
              <w:t>17.44 %</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Verdana" w:cs="Verdana" w:eastAsia="Verdana" w:hAnsi="Verdana"/>
                <w:sz w:val="18"/>
                <w:szCs w:val="18"/>
                <w:color w:val="auto"/>
                <w:w w:val="86"/>
              </w:rPr>
              <w:t>$</w:t>
            </w:r>
          </w:p>
        </w:tc>
        <w:tc>
          <w:tcPr>
            <w:tcW w:w="1100" w:type="dxa"/>
            <w:vAlign w:val="bottom"/>
          </w:tcPr>
          <w:p>
            <w:pPr>
              <w:ind w:left="260"/>
              <w:spacing w:after="0"/>
              <w:rPr>
                <w:sz w:val="20"/>
                <w:szCs w:val="20"/>
                <w:color w:val="auto"/>
              </w:rPr>
            </w:pPr>
            <w:r>
              <w:rPr>
                <w:rFonts w:ascii="Verdana" w:cs="Verdana" w:eastAsia="Verdana" w:hAnsi="Verdana"/>
                <w:sz w:val="18"/>
                <w:szCs w:val="18"/>
                <w:color w:val="auto"/>
              </w:rPr>
              <w:t>706,367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ind w:left="120"/>
              <w:spacing w:after="0"/>
              <w:rPr>
                <w:sz w:val="20"/>
                <w:szCs w:val="20"/>
                <w:color w:val="auto"/>
              </w:rPr>
            </w:pPr>
            <w:r>
              <w:rPr>
                <w:rFonts w:ascii="Verdana" w:cs="Verdana" w:eastAsia="Verdana" w:hAnsi="Verdana"/>
                <w:sz w:val="18"/>
                <w:szCs w:val="18"/>
                <w:color w:val="auto"/>
                <w:w w:val="98"/>
              </w:rPr>
              <w:t>8.00 %</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080" w:type="dxa"/>
            <w:vAlign w:val="bottom"/>
          </w:tcPr>
          <w:p>
            <w:pPr>
              <w:jc w:val="right"/>
              <w:ind w:right="19"/>
              <w:spacing w:after="0"/>
              <w:rPr>
                <w:sz w:val="20"/>
                <w:szCs w:val="20"/>
                <w:color w:val="auto"/>
              </w:rPr>
            </w:pPr>
            <w:r>
              <w:rPr>
                <w:rFonts w:ascii="Verdana" w:cs="Verdana" w:eastAsia="Verdana" w:hAnsi="Verdana"/>
                <w:sz w:val="18"/>
                <w:szCs w:val="18"/>
                <w:color w:val="auto"/>
              </w:rPr>
              <w:t>882,958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Verdana" w:cs="Verdana" w:eastAsia="Verdana" w:hAnsi="Verdana"/>
                <w:sz w:val="18"/>
                <w:szCs w:val="18"/>
                <w:color w:val="auto"/>
              </w:rPr>
              <w:t>10.00 %</w:t>
            </w:r>
          </w:p>
        </w:tc>
        <w:tc>
          <w:tcPr>
            <w:tcW w:w="0" w:type="dxa"/>
            <w:vAlign w:val="bottom"/>
          </w:tcPr>
          <w:p>
            <w:pPr>
              <w:spacing w:after="0"/>
              <w:rPr>
                <w:sz w:val="1"/>
                <w:szCs w:val="1"/>
                <w:color w:val="auto"/>
              </w:rPr>
            </w:pPr>
          </w:p>
        </w:tc>
      </w:tr>
      <w:tr>
        <w:trPr>
          <w:trHeight w:val="277"/>
        </w:trPr>
        <w:tc>
          <w:tcPr>
            <w:tcW w:w="35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Busey Bank</w:t>
            </w: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1,448,307</w:t>
            </w:r>
          </w:p>
        </w:tc>
        <w:tc>
          <w:tcPr>
            <w:tcW w:w="8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16.45 %</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w w:val="86"/>
              </w:rPr>
              <w:t>$</w:t>
            </w:r>
          </w:p>
        </w:tc>
        <w:tc>
          <w:tcPr>
            <w:tcW w:w="1100" w:type="dxa"/>
            <w:vAlign w:val="bottom"/>
            <w:shd w:val="clear" w:color="auto" w:fill="E0E7ED"/>
          </w:tcPr>
          <w:p>
            <w:pPr>
              <w:ind w:left="260"/>
              <w:spacing w:after="0"/>
              <w:rPr>
                <w:sz w:val="20"/>
                <w:szCs w:val="20"/>
                <w:color w:val="auto"/>
              </w:rPr>
            </w:pPr>
            <w:r>
              <w:rPr>
                <w:rFonts w:ascii="Verdana" w:cs="Verdana" w:eastAsia="Verdana" w:hAnsi="Verdana"/>
                <w:sz w:val="18"/>
                <w:szCs w:val="18"/>
                <w:color w:val="auto"/>
              </w:rPr>
              <w:t>704,228</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800" w:type="dxa"/>
            <w:vAlign w:val="bottom"/>
            <w:shd w:val="clear" w:color="auto" w:fill="E0E7ED"/>
          </w:tcPr>
          <w:p>
            <w:pPr>
              <w:ind w:left="120"/>
              <w:spacing w:after="0"/>
              <w:rPr>
                <w:sz w:val="20"/>
                <w:szCs w:val="20"/>
                <w:color w:val="auto"/>
              </w:rPr>
            </w:pPr>
            <w:r>
              <w:rPr>
                <w:rFonts w:ascii="Verdana" w:cs="Verdana" w:eastAsia="Verdana" w:hAnsi="Verdana"/>
                <w:sz w:val="18"/>
                <w:szCs w:val="18"/>
                <w:color w:val="auto"/>
                <w:w w:val="98"/>
              </w:rPr>
              <w:t>8.00 %</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08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880,285</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10.00 %</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Leverage ratio of Tier 1 capital to</w:t>
            </w:r>
          </w:p>
        </w:tc>
        <w:tc>
          <w:tcPr>
            <w:tcW w:w="220" w:type="dxa"/>
            <w:vAlign w:val="bottom"/>
            <w:shd w:val="clear" w:color="auto" w:fill="E0E7ED"/>
          </w:tcPr>
          <w:p>
            <w:pPr>
              <w:spacing w:after="0"/>
              <w:rPr>
                <w:sz w:val="20"/>
                <w:szCs w:val="20"/>
                <w:color w:val="auto"/>
              </w:rPr>
            </w:pPr>
          </w:p>
        </w:tc>
        <w:tc>
          <w:tcPr>
            <w:tcW w:w="114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40" w:type="dxa"/>
            <w:vAlign w:val="bottom"/>
            <w:shd w:val="clear" w:color="auto" w:fill="E0E7ED"/>
          </w:tcPr>
          <w:p>
            <w:pPr>
              <w:spacing w:after="0"/>
              <w:rPr>
                <w:sz w:val="20"/>
                <w:szCs w:val="20"/>
                <w:color w:val="auto"/>
              </w:rPr>
            </w:pPr>
          </w:p>
        </w:tc>
        <w:tc>
          <w:tcPr>
            <w:tcW w:w="9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110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8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0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84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average assets</w:t>
            </w:r>
          </w:p>
        </w:tc>
        <w:tc>
          <w:tcPr>
            <w:tcW w:w="22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1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8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8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80" w:type="dxa"/>
            <w:vAlign w:val="bottom"/>
          </w:tcPr>
          <w:p>
            <w:pPr>
              <w:ind w:left="180"/>
              <w:spacing w:after="0"/>
              <w:rPr>
                <w:sz w:val="20"/>
                <w:szCs w:val="20"/>
                <w:color w:val="auto"/>
              </w:rPr>
            </w:pPr>
            <w:r>
              <w:rPr>
                <w:rFonts w:ascii="Verdana" w:cs="Verdana" w:eastAsia="Verdana" w:hAnsi="Verdana"/>
                <w:sz w:val="18"/>
                <w:szCs w:val="18"/>
                <w:color w:val="auto"/>
              </w:rPr>
              <w:t>First Busey</w:t>
            </w: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tcPr>
          <w:p>
            <w:pPr>
              <w:jc w:val="right"/>
              <w:ind w:right="15"/>
              <w:spacing w:after="0"/>
              <w:rPr>
                <w:sz w:val="20"/>
                <w:szCs w:val="20"/>
                <w:color w:val="auto"/>
              </w:rPr>
            </w:pPr>
            <w:r>
              <w:rPr>
                <w:rFonts w:ascii="Verdana" w:cs="Verdana" w:eastAsia="Verdana" w:hAnsi="Verdana"/>
                <w:sz w:val="18"/>
                <w:szCs w:val="18"/>
                <w:color w:val="auto"/>
              </w:rPr>
              <w:t>1,229,973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Verdana" w:cs="Verdana" w:eastAsia="Verdana" w:hAnsi="Verdana"/>
                <w:sz w:val="18"/>
                <w:szCs w:val="18"/>
                <w:color w:val="auto"/>
              </w:rPr>
              <w:t>10.08 %</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Verdana" w:cs="Verdana" w:eastAsia="Verdana" w:hAnsi="Verdana"/>
                <w:sz w:val="18"/>
                <w:szCs w:val="18"/>
                <w:color w:val="auto"/>
                <w:w w:val="86"/>
              </w:rPr>
              <w:t>$</w:t>
            </w:r>
          </w:p>
        </w:tc>
        <w:tc>
          <w:tcPr>
            <w:tcW w:w="1100" w:type="dxa"/>
            <w:vAlign w:val="bottom"/>
          </w:tcPr>
          <w:p>
            <w:pPr>
              <w:ind w:left="260"/>
              <w:spacing w:after="0"/>
              <w:rPr>
                <w:sz w:val="20"/>
                <w:szCs w:val="20"/>
                <w:color w:val="auto"/>
              </w:rPr>
            </w:pPr>
            <w:r>
              <w:rPr>
                <w:rFonts w:ascii="Verdana" w:cs="Verdana" w:eastAsia="Verdana" w:hAnsi="Verdana"/>
                <w:sz w:val="18"/>
                <w:szCs w:val="18"/>
                <w:color w:val="auto"/>
              </w:rPr>
              <w:t>488,315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ind w:left="120"/>
              <w:spacing w:after="0"/>
              <w:rPr>
                <w:sz w:val="20"/>
                <w:szCs w:val="20"/>
                <w:color w:val="auto"/>
              </w:rPr>
            </w:pPr>
            <w:r>
              <w:rPr>
                <w:rFonts w:ascii="Verdana" w:cs="Verdana" w:eastAsia="Verdana" w:hAnsi="Verdana"/>
                <w:sz w:val="18"/>
                <w:szCs w:val="18"/>
                <w:color w:val="auto"/>
                <w:w w:val="98"/>
              </w:rPr>
              <w:t>4.00 %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gridSpan w:val="3"/>
          </w:tcPr>
          <w:p>
            <w:pPr>
              <w:ind w:left="720"/>
              <w:spacing w:after="0"/>
              <w:rPr>
                <w:sz w:val="20"/>
                <w:szCs w:val="20"/>
                <w:color w:val="auto"/>
              </w:rPr>
            </w:pPr>
            <w:r>
              <w:rPr>
                <w:rFonts w:ascii="Verdana" w:cs="Verdana" w:eastAsia="Verdana" w:hAnsi="Verdana"/>
                <w:sz w:val="18"/>
                <w:szCs w:val="18"/>
                <w:color w:val="auto"/>
              </w:rPr>
              <w:t>N/A</w:t>
            </w:r>
          </w:p>
        </w:tc>
        <w:tc>
          <w:tcPr>
            <w:tcW w:w="840" w:type="dxa"/>
            <w:vAlign w:val="bottom"/>
          </w:tcPr>
          <w:p>
            <w:pPr>
              <w:jc w:val="right"/>
              <w:spacing w:after="0"/>
              <w:rPr>
                <w:sz w:val="20"/>
                <w:szCs w:val="20"/>
                <w:color w:val="auto"/>
              </w:rPr>
            </w:pPr>
            <w:r>
              <w:rPr>
                <w:rFonts w:ascii="Verdana" w:cs="Verdana" w:eastAsia="Verdana" w:hAnsi="Verdana"/>
                <w:sz w:val="18"/>
                <w:szCs w:val="18"/>
                <w:color w:val="auto"/>
              </w:rPr>
              <w:t>N/A</w:t>
            </w:r>
          </w:p>
        </w:tc>
        <w:tc>
          <w:tcPr>
            <w:tcW w:w="0" w:type="dxa"/>
            <w:vAlign w:val="bottom"/>
          </w:tcPr>
          <w:p>
            <w:pPr>
              <w:spacing w:after="0"/>
              <w:rPr>
                <w:sz w:val="1"/>
                <w:szCs w:val="1"/>
                <w:color w:val="auto"/>
              </w:rPr>
            </w:pPr>
          </w:p>
        </w:tc>
      </w:tr>
      <w:tr>
        <w:trPr>
          <w:trHeight w:val="277"/>
        </w:trPr>
        <w:tc>
          <w:tcPr>
            <w:tcW w:w="35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Busey Bank</w:t>
            </w: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1,362,962</w:t>
            </w:r>
          </w:p>
        </w:tc>
        <w:tc>
          <w:tcPr>
            <w:tcW w:w="8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11.19 %</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w w:val="86"/>
              </w:rPr>
              <w:t>$</w:t>
            </w:r>
          </w:p>
        </w:tc>
        <w:tc>
          <w:tcPr>
            <w:tcW w:w="1100" w:type="dxa"/>
            <w:vAlign w:val="bottom"/>
            <w:shd w:val="clear" w:color="auto" w:fill="E0E7ED"/>
          </w:tcPr>
          <w:p>
            <w:pPr>
              <w:ind w:left="260"/>
              <w:spacing w:after="0"/>
              <w:rPr>
                <w:sz w:val="20"/>
                <w:szCs w:val="20"/>
                <w:color w:val="auto"/>
              </w:rPr>
            </w:pPr>
            <w:r>
              <w:rPr>
                <w:rFonts w:ascii="Verdana" w:cs="Verdana" w:eastAsia="Verdana" w:hAnsi="Verdana"/>
                <w:sz w:val="18"/>
                <w:szCs w:val="18"/>
                <w:color w:val="auto"/>
              </w:rPr>
              <w:t>487,103</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800" w:type="dxa"/>
            <w:vAlign w:val="bottom"/>
            <w:shd w:val="clear" w:color="auto" w:fill="E0E7ED"/>
          </w:tcPr>
          <w:p>
            <w:pPr>
              <w:ind w:left="120"/>
              <w:spacing w:after="0"/>
              <w:rPr>
                <w:sz w:val="20"/>
                <w:szCs w:val="20"/>
                <w:color w:val="auto"/>
              </w:rPr>
            </w:pPr>
            <w:r>
              <w:rPr>
                <w:rFonts w:ascii="Verdana" w:cs="Verdana" w:eastAsia="Verdana" w:hAnsi="Verdana"/>
                <w:sz w:val="18"/>
                <w:szCs w:val="18"/>
                <w:color w:val="auto"/>
                <w:w w:val="98"/>
              </w:rPr>
              <w:t>4.00 %</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08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608,879</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5.00 %</w:t>
            </w: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Capital Conservation Buffer</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In July 2013, U.S. federal banking authorities approved the Basel III Rule for strengthening international capital standards. The Basel III Rule introduced a capital conservation buffer, composed entirely of common equity Tier 1 capital, which is added to the minimum risk-weighted asset ratios. The capital conservation buffer is not a minimum capital requirement; however, banking institutions with a ratio of common equity Tier 1 capital to risk-weighted assets below the capital conservation buffer will face constraints on dividends, equity repurchases, and discretionary bonus payments based on the amount of the shortfall. In order to refrain from restrictions on dividends, equity repurchases, and discretionary bonus payments, banking institutions must maintain minimum ratios of (1) common equity Tier 1 capital to risk-weighted assets of at least 7.0%, which First Busey exceeded by 678 bps as of September 30, 2024, (2) Tier 1 capital to risk-weighted assets of at least 8.5%, which First Busey exceeded by 615 bps as of September 30, 2024, and (3) total capital to risk-weighted assets of at least 10.5%, which First Busey exceeded by 769 bps as of September 30, 2024.</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45" w:name="page46"/>
    <w:bookmarkEnd w:id="45"/>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9. TAX CREDIT AND OTHER INVESTMENTS IN UNCONSOLIDATED ENTITIES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Busey has invested in certain tax-advantaged projects promoting affordable housing, new markets, and historic rehabilitation. These investments are designed to generate returns primarily though the realization of federal and state income tax credits and other tax benefits, such as tax deductions from operating losses of the investments, over specified time periods. These investments are considered to be variable interest entities, and are accounted for under the equity, deferral, or proportional amortization practical expedient methods, as appropriate. Busey is not required to consolidate variable interest entities in which it has concluded it does not have a controlling financial interest and is not the primary beneficiary. Busey’s maximum exposure to loss related to its investments in these unconsolidated variable interest entities is limited to the carrying amount of the investment, net of any unfunded capital commitments and previously recorded tax credits which remain subject to recapture by taxing authorities based on compliance features required to be met at the project level. Busey believes potential losses from these investments are remote.</w:t>
      </w:r>
    </w:p>
    <w:p>
      <w:pPr>
        <w:spacing w:after="0" w:line="171"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In addition, Busey has private equity investments, which are primarily in funds that invest in small businesses across diverse sectors including, but not limited to, financial technology, business services, manufacturing, agribusiness, healthcare, software as a service, environmental, and those that support the preservation of affordable housing.</w:t>
      </w:r>
    </w:p>
    <w:p>
      <w:pPr>
        <w:spacing w:after="0" w:line="154"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Busey’s investments in these unconsolidated entities and related unfunded investment obligations are reflected in other assets and other liabilities on the </w:t>
      </w:r>
      <w:r>
        <w:rPr>
          <w:rFonts w:ascii="Verdana" w:cs="Verdana" w:eastAsia="Verdana" w:hAnsi="Verdana"/>
          <w:sz w:val="18"/>
          <w:szCs w:val="18"/>
          <w:u w:val="single" w:color="auto"/>
          <w:color w:val="0000FF"/>
        </w:rPr>
        <w:t>Consolidated Balance Sheets (Unaudited)</w:t>
      </w:r>
      <w:r>
        <w:rPr>
          <w:rFonts w:ascii="Verdana" w:cs="Verdana" w:eastAsia="Verdana" w:hAnsi="Verdana"/>
          <w:sz w:val="18"/>
          <w:szCs w:val="18"/>
          <w:color w:val="auto"/>
        </w:rPr>
        <w:t xml:space="preserve">, and are summarized in the table below for the periods indicated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560" w:type="dxa"/>
            <w:vAlign w:val="bottom"/>
          </w:tcPr>
          <w:p>
            <w:pPr>
              <w:spacing w:after="0"/>
              <w:rPr>
                <w:sz w:val="10"/>
                <w:szCs w:val="10"/>
                <w:color w:val="auto"/>
              </w:rPr>
            </w:pPr>
          </w:p>
        </w:tc>
        <w:tc>
          <w:tcPr>
            <w:tcW w:w="1560" w:type="dxa"/>
            <w:vAlign w:val="bottom"/>
            <w:gridSpan w:val="2"/>
            <w:vMerge w:val="restart"/>
          </w:tcPr>
          <w:p>
            <w:pPr>
              <w:ind w:left="440"/>
              <w:spacing w:after="0"/>
              <w:rPr>
                <w:sz w:val="20"/>
                <w:szCs w:val="20"/>
                <w:color w:val="auto"/>
              </w:rPr>
            </w:pPr>
            <w:r>
              <w:rPr>
                <w:rFonts w:ascii="Verdana" w:cs="Verdana" w:eastAsia="Verdana" w:hAnsi="Verdana"/>
                <w:sz w:val="13"/>
                <w:szCs w:val="13"/>
                <w:b w:val="1"/>
                <w:bCs w:val="1"/>
                <w:color w:val="auto"/>
              </w:rPr>
              <w:t>Location</w:t>
            </w:r>
          </w:p>
        </w:tc>
        <w:tc>
          <w:tcPr>
            <w:tcW w:w="180" w:type="dxa"/>
            <w:vAlign w:val="bottom"/>
          </w:tcPr>
          <w:p>
            <w:pPr>
              <w:spacing w:after="0"/>
              <w:rPr>
                <w:sz w:val="10"/>
                <w:szCs w:val="10"/>
                <w:color w:val="auto"/>
              </w:rPr>
            </w:pPr>
          </w:p>
        </w:tc>
        <w:tc>
          <w:tcPr>
            <w:tcW w:w="1420" w:type="dxa"/>
            <w:vAlign w:val="bottom"/>
            <w:gridSpan w:val="2"/>
          </w:tcPr>
          <w:p>
            <w:pPr>
              <w:ind w:left="60"/>
              <w:spacing w:after="0" w:line="122" w:lineRule="exact"/>
              <w:rPr>
                <w:sz w:val="20"/>
                <w:szCs w:val="20"/>
                <w:color w:val="auto"/>
              </w:rPr>
            </w:pPr>
            <w:r>
              <w:rPr>
                <w:rFonts w:ascii="Verdana" w:cs="Verdana" w:eastAsia="Verdana" w:hAnsi="Verdana"/>
                <w:sz w:val="13"/>
                <w:szCs w:val="13"/>
                <w:b w:val="1"/>
                <w:bCs w:val="1"/>
                <w:color w:val="auto"/>
              </w:rPr>
              <w:t>September 30,</w:t>
            </w:r>
          </w:p>
        </w:tc>
        <w:tc>
          <w:tcPr>
            <w:tcW w:w="200" w:type="dxa"/>
            <w:vAlign w:val="bottom"/>
          </w:tcPr>
          <w:p>
            <w:pPr>
              <w:spacing w:after="0"/>
              <w:rPr>
                <w:sz w:val="10"/>
                <w:szCs w:val="10"/>
                <w:color w:val="auto"/>
              </w:rPr>
            </w:pPr>
          </w:p>
        </w:tc>
        <w:tc>
          <w:tcPr>
            <w:tcW w:w="1320" w:type="dxa"/>
            <w:vAlign w:val="bottom"/>
          </w:tcPr>
          <w:p>
            <w:pPr>
              <w:jc w:val="right"/>
              <w:ind w:right="179"/>
              <w:spacing w:after="0" w:line="122" w:lineRule="exact"/>
              <w:rPr>
                <w:sz w:val="20"/>
                <w:szCs w:val="20"/>
                <w:color w:val="auto"/>
              </w:rPr>
            </w:pPr>
            <w:r>
              <w:rPr>
                <w:rFonts w:ascii="Verdana" w:cs="Verdana" w:eastAsia="Verdana" w:hAnsi="Verdana"/>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656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502"/>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ind w:right="499"/>
              <w:spacing w:after="0"/>
              <w:rPr>
                <w:sz w:val="20"/>
                <w:szCs w:val="20"/>
                <w:color w:val="auto"/>
              </w:rPr>
            </w:pPr>
            <w:r>
              <w:rPr>
                <w:rFonts w:ascii="Verdana" w:cs="Verdana" w:eastAsia="Verdana" w:hAnsi="Verdana"/>
                <w:sz w:val="13"/>
                <w:szCs w:val="13"/>
                <w:b w:val="1"/>
                <w:bCs w:val="1"/>
                <w:color w:val="auto"/>
              </w:rPr>
              <w:t>2023</w:t>
            </w:r>
          </w:p>
        </w:tc>
        <w:tc>
          <w:tcPr>
            <w:tcW w:w="0" w:type="dxa"/>
            <w:vAlign w:val="bottom"/>
          </w:tcPr>
          <w:p>
            <w:pPr>
              <w:spacing w:after="0"/>
              <w:rPr>
                <w:sz w:val="1"/>
                <w:szCs w:val="1"/>
                <w:color w:val="auto"/>
              </w:rPr>
            </w:pPr>
          </w:p>
        </w:tc>
      </w:tr>
      <w:tr>
        <w:trPr>
          <w:trHeight w:val="255"/>
        </w:trPr>
        <w:tc>
          <w:tcPr>
            <w:tcW w:w="65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Investments in unconsolidated entities</w:t>
            </w:r>
          </w:p>
        </w:tc>
        <w:tc>
          <w:tcPr>
            <w:tcW w:w="14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180" w:type="dxa"/>
            <w:vAlign w:val="bottom"/>
            <w:tcBorders>
              <w:top w:val="single" w:sz="8" w:color="auto"/>
            </w:tcBorders>
            <w:shd w:val="clear" w:color="auto" w:fill="E0E7ED"/>
          </w:tcPr>
          <w:p>
            <w:pPr>
              <w:spacing w:after="0"/>
              <w:rPr>
                <w:sz w:val="22"/>
                <w:szCs w:val="22"/>
                <w:color w:val="auto"/>
              </w:rPr>
            </w:pPr>
          </w:p>
        </w:tc>
        <w:tc>
          <w:tcPr>
            <w:tcW w:w="134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00" w:type="dxa"/>
            <w:vAlign w:val="bottom"/>
            <w:tcBorders>
              <w:top w:val="single" w:sz="8" w:color="auto"/>
            </w:tcBorders>
            <w:shd w:val="clear" w:color="auto" w:fill="E0E7ED"/>
          </w:tcPr>
          <w:p>
            <w:pPr>
              <w:spacing w:after="0"/>
              <w:rPr>
                <w:sz w:val="22"/>
                <w:szCs w:val="22"/>
                <w:color w:val="auto"/>
              </w:rPr>
            </w:pPr>
          </w:p>
        </w:tc>
        <w:tc>
          <w:tcPr>
            <w:tcW w:w="132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560" w:type="dxa"/>
            <w:vAlign w:val="bottom"/>
          </w:tcPr>
          <w:p>
            <w:pPr>
              <w:ind w:left="180"/>
              <w:spacing w:after="0"/>
              <w:rPr>
                <w:sz w:val="20"/>
                <w:szCs w:val="20"/>
                <w:color w:val="auto"/>
              </w:rPr>
            </w:pPr>
            <w:r>
              <w:rPr>
                <w:rFonts w:ascii="Verdana" w:cs="Verdana" w:eastAsia="Verdana" w:hAnsi="Verdana"/>
                <w:sz w:val="18"/>
                <w:szCs w:val="18"/>
                <w:color w:val="auto"/>
              </w:rPr>
              <w:t>Funded investments</w:t>
            </w:r>
          </w:p>
        </w:tc>
        <w:tc>
          <w:tcPr>
            <w:tcW w:w="1560" w:type="dxa"/>
            <w:vAlign w:val="bottom"/>
            <w:gridSpan w:val="2"/>
          </w:tcPr>
          <w:p>
            <w:pPr>
              <w:ind w:left="20"/>
              <w:spacing w:after="0"/>
              <w:rPr>
                <w:sz w:val="20"/>
                <w:szCs w:val="20"/>
                <w:color w:val="auto"/>
              </w:rPr>
            </w:pPr>
            <w:r>
              <w:rPr>
                <w:rFonts w:ascii="Verdana" w:cs="Verdana" w:eastAsia="Verdana" w:hAnsi="Verdana"/>
                <w:sz w:val="18"/>
                <w:szCs w:val="18"/>
                <w:color w:val="auto"/>
              </w:rPr>
              <w:t>Other assets</w:t>
            </w:r>
          </w:p>
        </w:tc>
        <w:tc>
          <w:tcPr>
            <w:tcW w:w="18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40" w:type="dxa"/>
            <w:vAlign w:val="bottom"/>
          </w:tcPr>
          <w:p>
            <w:pPr>
              <w:jc w:val="right"/>
              <w:ind w:right="22"/>
              <w:spacing w:after="0"/>
              <w:rPr>
                <w:sz w:val="20"/>
                <w:szCs w:val="20"/>
                <w:color w:val="auto"/>
              </w:rPr>
            </w:pPr>
            <w:r>
              <w:rPr>
                <w:rFonts w:ascii="Verdana" w:cs="Verdana" w:eastAsia="Verdana" w:hAnsi="Verdana"/>
                <w:sz w:val="18"/>
                <w:szCs w:val="18"/>
                <w:color w:val="auto"/>
              </w:rPr>
              <w:t>68,164</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spacing w:after="0"/>
              <w:rPr>
                <w:sz w:val="20"/>
                <w:szCs w:val="20"/>
                <w:color w:val="auto"/>
              </w:rPr>
            </w:pPr>
            <w:r>
              <w:rPr>
                <w:rFonts w:ascii="Verdana" w:cs="Verdana" w:eastAsia="Verdana" w:hAnsi="Verdana"/>
                <w:sz w:val="18"/>
                <w:szCs w:val="18"/>
                <w:color w:val="auto"/>
              </w:rPr>
              <w:t>68,516</w:t>
            </w:r>
          </w:p>
        </w:tc>
        <w:tc>
          <w:tcPr>
            <w:tcW w:w="0" w:type="dxa"/>
            <w:vAlign w:val="bottom"/>
          </w:tcPr>
          <w:p>
            <w:pPr>
              <w:spacing w:after="0"/>
              <w:rPr>
                <w:sz w:val="1"/>
                <w:szCs w:val="1"/>
                <w:color w:val="auto"/>
              </w:rPr>
            </w:pPr>
          </w:p>
        </w:tc>
      </w:tr>
      <w:tr>
        <w:trPr>
          <w:trHeight w:val="277"/>
        </w:trPr>
        <w:tc>
          <w:tcPr>
            <w:tcW w:w="65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Unfunded investments</w:t>
            </w:r>
          </w:p>
        </w:tc>
        <w:tc>
          <w:tcPr>
            <w:tcW w:w="15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Other assets</w:t>
            </w:r>
          </w:p>
        </w:tc>
        <w:tc>
          <w:tcPr>
            <w:tcW w:w="180" w:type="dxa"/>
            <w:vAlign w:val="bottom"/>
            <w:tcBorders>
              <w:bottom w:val="single" w:sz="8" w:color="auto"/>
            </w:tcBorders>
            <w:shd w:val="clear" w:color="auto" w:fill="E0E7ED"/>
          </w:tcPr>
          <w:p>
            <w:pPr>
              <w:spacing w:after="0"/>
              <w:rPr>
                <w:sz w:val="24"/>
                <w:szCs w:val="24"/>
                <w:color w:val="auto"/>
              </w:rPr>
            </w:pPr>
          </w:p>
        </w:tc>
        <w:tc>
          <w:tcPr>
            <w:tcW w:w="1340" w:type="dxa"/>
            <w:vAlign w:val="bottom"/>
            <w:tcBorders>
              <w:bottom w:val="single" w:sz="8" w:color="auto"/>
            </w:tcBorders>
            <w:shd w:val="clear" w:color="auto" w:fill="E0E7ED"/>
          </w:tcPr>
          <w:p>
            <w:pPr>
              <w:jc w:val="right"/>
              <w:ind w:right="22"/>
              <w:spacing w:after="0"/>
              <w:rPr>
                <w:sz w:val="20"/>
                <w:szCs w:val="20"/>
                <w:color w:val="auto"/>
              </w:rPr>
            </w:pPr>
            <w:r>
              <w:rPr>
                <w:rFonts w:ascii="Verdana" w:cs="Verdana" w:eastAsia="Verdana" w:hAnsi="Verdana"/>
                <w:sz w:val="18"/>
                <w:szCs w:val="18"/>
                <w:color w:val="auto"/>
              </w:rPr>
              <w:t>68,200</w:t>
            </w:r>
          </w:p>
        </w:tc>
        <w:tc>
          <w:tcPr>
            <w:tcW w:w="80" w:type="dxa"/>
            <w:vAlign w:val="bottom"/>
            <w:shd w:val="clear" w:color="auto" w:fill="E0E7ED"/>
          </w:tcPr>
          <w:p>
            <w:pPr>
              <w:spacing w:after="0"/>
              <w:rPr>
                <w:sz w:val="24"/>
                <w:szCs w:val="24"/>
                <w:color w:val="auto"/>
              </w:rPr>
            </w:pPr>
          </w:p>
        </w:tc>
        <w:tc>
          <w:tcPr>
            <w:tcW w:w="200" w:type="dxa"/>
            <w:vAlign w:val="bottom"/>
            <w:tcBorders>
              <w:bottom w:val="single" w:sz="8" w:color="auto"/>
            </w:tcBorders>
            <w:shd w:val="clear" w:color="auto" w:fill="E0E7ED"/>
          </w:tcPr>
          <w:p>
            <w:pPr>
              <w:spacing w:after="0"/>
              <w:rPr>
                <w:sz w:val="24"/>
                <w:szCs w:val="24"/>
                <w:color w:val="auto"/>
              </w:rPr>
            </w:pP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58,552</w:t>
            </w:r>
          </w:p>
        </w:tc>
        <w:tc>
          <w:tcPr>
            <w:tcW w:w="0" w:type="dxa"/>
            <w:vAlign w:val="bottom"/>
          </w:tcPr>
          <w:p>
            <w:pPr>
              <w:spacing w:after="0"/>
              <w:rPr>
                <w:sz w:val="1"/>
                <w:szCs w:val="1"/>
                <w:color w:val="auto"/>
              </w:rPr>
            </w:pPr>
          </w:p>
        </w:tc>
      </w:tr>
      <w:tr>
        <w:trPr>
          <w:trHeight w:val="257"/>
        </w:trPr>
        <w:tc>
          <w:tcPr>
            <w:tcW w:w="6560" w:type="dxa"/>
            <w:vAlign w:val="bottom"/>
          </w:tcPr>
          <w:p>
            <w:pPr>
              <w:ind w:left="20"/>
              <w:spacing w:after="0"/>
              <w:rPr>
                <w:sz w:val="20"/>
                <w:szCs w:val="20"/>
                <w:color w:val="auto"/>
              </w:rPr>
            </w:pPr>
            <w:r>
              <w:rPr>
                <w:rFonts w:ascii="Verdana" w:cs="Verdana" w:eastAsia="Verdana" w:hAnsi="Verdana"/>
                <w:sz w:val="18"/>
                <w:szCs w:val="18"/>
                <w:color w:val="auto"/>
              </w:rPr>
              <w:t>Investments in unconsolidated entities</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40" w:type="dxa"/>
            <w:vAlign w:val="bottom"/>
            <w:tcBorders>
              <w:bottom w:val="single" w:sz="8" w:color="auto"/>
            </w:tcBorders>
          </w:tcPr>
          <w:p>
            <w:pPr>
              <w:jc w:val="right"/>
              <w:ind w:right="22"/>
              <w:spacing w:after="0"/>
              <w:rPr>
                <w:sz w:val="20"/>
                <w:szCs w:val="20"/>
                <w:color w:val="auto"/>
              </w:rPr>
            </w:pPr>
            <w:r>
              <w:rPr>
                <w:rFonts w:ascii="Verdana" w:cs="Verdana" w:eastAsia="Verdana" w:hAnsi="Verdana"/>
                <w:sz w:val="18"/>
                <w:szCs w:val="18"/>
                <w:color w:val="auto"/>
              </w:rPr>
              <w:t>136,364</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127,068</w:t>
            </w:r>
          </w:p>
        </w:tc>
        <w:tc>
          <w:tcPr>
            <w:tcW w:w="0" w:type="dxa"/>
            <w:vAlign w:val="bottom"/>
          </w:tcPr>
          <w:p>
            <w:pPr>
              <w:spacing w:after="0"/>
              <w:rPr>
                <w:sz w:val="1"/>
                <w:szCs w:val="1"/>
                <w:color w:val="auto"/>
              </w:rPr>
            </w:pPr>
          </w:p>
        </w:tc>
      </w:tr>
      <w:tr>
        <w:trPr>
          <w:trHeight w:val="20"/>
        </w:trPr>
        <w:tc>
          <w:tcPr>
            <w:tcW w:w="6560" w:type="dxa"/>
            <w:vAlign w:val="bottom"/>
            <w:tcBorders>
              <w:bottom w:val="single" w:sz="8" w:color="E0E7ED"/>
            </w:tcBorders>
          </w:tcPr>
          <w:p>
            <w:pPr>
              <w:spacing w:after="0" w:line="20" w:lineRule="exact"/>
              <w:rPr>
                <w:sz w:val="1"/>
                <w:szCs w:val="1"/>
                <w:color w:val="auto"/>
              </w:rPr>
            </w:pPr>
          </w:p>
        </w:tc>
        <w:tc>
          <w:tcPr>
            <w:tcW w:w="146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6560" w:type="dxa"/>
            <w:vAlign w:val="bottom"/>
            <w:shd w:val="clear" w:color="auto" w:fill="E0E7ED"/>
          </w:tcPr>
          <w:p>
            <w:pPr>
              <w:spacing w:after="0"/>
              <w:rPr>
                <w:sz w:val="21"/>
                <w:szCs w:val="21"/>
                <w:color w:val="auto"/>
              </w:rPr>
            </w:pPr>
          </w:p>
        </w:tc>
        <w:tc>
          <w:tcPr>
            <w:tcW w:w="14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13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32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560" w:type="dxa"/>
            <w:vAlign w:val="bottom"/>
          </w:tcPr>
          <w:p>
            <w:pPr>
              <w:ind w:left="20"/>
              <w:spacing w:after="0"/>
              <w:rPr>
                <w:sz w:val="20"/>
                <w:szCs w:val="20"/>
                <w:color w:val="auto"/>
              </w:rPr>
            </w:pPr>
            <w:r>
              <w:rPr>
                <w:rFonts w:ascii="Verdana" w:cs="Verdana" w:eastAsia="Verdana" w:hAnsi="Verdana"/>
                <w:sz w:val="18"/>
                <w:szCs w:val="18"/>
                <w:color w:val="auto"/>
              </w:rPr>
              <w:t>Unfunded investment obligations</w:t>
            </w:r>
          </w:p>
        </w:tc>
        <w:tc>
          <w:tcPr>
            <w:tcW w:w="1560" w:type="dxa"/>
            <w:vAlign w:val="bottom"/>
            <w:gridSpan w:val="2"/>
          </w:tcPr>
          <w:p>
            <w:pPr>
              <w:ind w:left="20"/>
              <w:spacing w:after="0"/>
              <w:rPr>
                <w:sz w:val="20"/>
                <w:szCs w:val="20"/>
                <w:color w:val="auto"/>
              </w:rPr>
            </w:pPr>
            <w:r>
              <w:rPr>
                <w:rFonts w:ascii="Verdana" w:cs="Verdana" w:eastAsia="Verdana" w:hAnsi="Verdana"/>
                <w:sz w:val="18"/>
                <w:szCs w:val="18"/>
                <w:color w:val="auto"/>
              </w:rPr>
              <w:t>Other liabilities</w:t>
            </w:r>
          </w:p>
        </w:tc>
        <w:tc>
          <w:tcPr>
            <w:tcW w:w="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40" w:type="dxa"/>
            <w:vAlign w:val="bottom"/>
            <w:tcBorders>
              <w:bottom w:val="single" w:sz="8" w:color="auto"/>
            </w:tcBorders>
          </w:tcPr>
          <w:p>
            <w:pPr>
              <w:jc w:val="right"/>
              <w:ind w:right="22"/>
              <w:spacing w:after="0"/>
              <w:rPr>
                <w:sz w:val="20"/>
                <w:szCs w:val="20"/>
                <w:color w:val="auto"/>
              </w:rPr>
            </w:pPr>
            <w:r>
              <w:rPr>
                <w:rFonts w:ascii="Verdana" w:cs="Verdana" w:eastAsia="Verdana" w:hAnsi="Verdana"/>
                <w:sz w:val="18"/>
                <w:szCs w:val="18"/>
                <w:color w:val="auto"/>
              </w:rPr>
              <w:t>68,200</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58,552</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 xml:space="preserve">Upon adoption of ASU 2023-02 on January 1, 2024, Busey elected to apply the proportional amortization method in accounting for investments in tax-advantaged projects. Estimated income tax credits and other tax benefits related to these investments, net of investment amortization, are included as a component of our estimated annual effective tax rate used for the calculation of income taxes presented on the </w:t>
      </w:r>
      <w:r>
        <w:rPr>
          <w:rFonts w:ascii="Verdana" w:cs="Verdana" w:eastAsia="Verdana" w:hAnsi="Verdana"/>
          <w:sz w:val="18"/>
          <w:szCs w:val="18"/>
          <w:u w:val="single" w:color="auto"/>
          <w:color w:val="0000FF"/>
        </w:rPr>
        <w:t>Consolidated Statements of Income (Unaudited)</w:t>
      </w:r>
      <w:r>
        <w:rPr>
          <w:rFonts w:ascii="Verdana" w:cs="Verdana" w:eastAsia="Verdana" w:hAnsi="Verdana"/>
          <w:sz w:val="18"/>
          <w:szCs w:val="18"/>
          <w:color w:val="auto"/>
        </w:rPr>
        <w:t xml:space="preserve">. Actual amounts of income tax credits and other benefits, along with the investment amortization, are presented in the table below </w:t>
      </w:r>
      <w:r>
        <w:rPr>
          <w:rFonts w:ascii="Verdana" w:cs="Verdana" w:eastAsia="Verdana" w:hAnsi="Verdana"/>
          <w:sz w:val="18"/>
          <w:szCs w:val="18"/>
          <w:i w:val="1"/>
          <w:iCs w:val="1"/>
          <w:color w:val="auto"/>
        </w:rPr>
        <w:t>(dollars</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in thousands)</w:t>
      </w:r>
      <w:r>
        <w:rPr>
          <w:rFonts w:ascii="Verdana" w:cs="Verdana" w:eastAsia="Verdana" w:hAnsi="Verdana"/>
          <w:sz w:val="18"/>
          <w:szCs w:val="18"/>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120" w:type="dxa"/>
            <w:vAlign w:val="bottom"/>
          </w:tcPr>
          <w:p>
            <w:pPr>
              <w:spacing w:after="0"/>
              <w:rPr>
                <w:sz w:val="13"/>
                <w:szCs w:val="13"/>
                <w:color w:val="auto"/>
              </w:rPr>
            </w:pPr>
          </w:p>
        </w:tc>
        <w:tc>
          <w:tcPr>
            <w:tcW w:w="1600" w:type="dxa"/>
            <w:vAlign w:val="bottom"/>
            <w:gridSpan w:val="3"/>
          </w:tcPr>
          <w:p>
            <w:pPr>
              <w:ind w:left="40"/>
              <w:spacing w:after="0"/>
              <w:rPr>
                <w:sz w:val="20"/>
                <w:szCs w:val="20"/>
                <w:color w:val="auto"/>
              </w:rPr>
            </w:pPr>
            <w:r>
              <w:rPr>
                <w:rFonts w:ascii="Verdana" w:cs="Verdana" w:eastAsia="Verdana" w:hAnsi="Verdana"/>
                <w:sz w:val="13"/>
                <w:szCs w:val="13"/>
                <w:b w:val="1"/>
                <w:bCs w:val="1"/>
                <w:color w:val="auto"/>
              </w:rPr>
              <w:t>Three Months Ended</w:t>
            </w:r>
          </w:p>
        </w:tc>
        <w:tc>
          <w:tcPr>
            <w:tcW w:w="1520" w:type="dxa"/>
            <w:vAlign w:val="bottom"/>
            <w:gridSpan w:val="2"/>
          </w:tcPr>
          <w:p>
            <w:pPr>
              <w:ind w:left="80"/>
              <w:spacing w:after="0"/>
              <w:rPr>
                <w:sz w:val="20"/>
                <w:szCs w:val="20"/>
                <w:color w:val="auto"/>
              </w:rPr>
            </w:pPr>
            <w:r>
              <w:rPr>
                <w:rFonts w:ascii="Verdana" w:cs="Verdana" w:eastAsia="Verdana" w:hAnsi="Verdana"/>
                <w:sz w:val="13"/>
                <w:szCs w:val="13"/>
                <w:b w:val="1"/>
                <w:bCs w:val="1"/>
                <w:color w:val="auto"/>
              </w:rPr>
              <w:t>Nine Months Ended</w:t>
            </w:r>
          </w:p>
        </w:tc>
      </w:tr>
      <w:tr>
        <w:trPr>
          <w:trHeight w:val="170"/>
        </w:trPr>
        <w:tc>
          <w:tcPr>
            <w:tcW w:w="8120" w:type="dxa"/>
            <w:vAlign w:val="bottom"/>
          </w:tcPr>
          <w:p>
            <w:pPr>
              <w:spacing w:after="0"/>
              <w:rPr>
                <w:sz w:val="14"/>
                <w:szCs w:val="14"/>
                <w:color w:val="auto"/>
              </w:rPr>
            </w:pPr>
          </w:p>
        </w:tc>
        <w:tc>
          <w:tcPr>
            <w:tcW w:w="1600" w:type="dxa"/>
            <w:vAlign w:val="bottom"/>
            <w:gridSpan w:val="3"/>
          </w:tcPr>
          <w:p>
            <w:pPr>
              <w:ind w:left="40"/>
              <w:spacing w:after="0"/>
              <w:rPr>
                <w:sz w:val="20"/>
                <w:szCs w:val="20"/>
                <w:color w:val="auto"/>
              </w:rPr>
            </w:pPr>
            <w:r>
              <w:rPr>
                <w:rFonts w:ascii="Verdana" w:cs="Verdana" w:eastAsia="Verdana" w:hAnsi="Verdana"/>
                <w:sz w:val="13"/>
                <w:szCs w:val="13"/>
                <w:b w:val="1"/>
                <w:bCs w:val="1"/>
                <w:color w:val="auto"/>
              </w:rPr>
              <w:t>September 30, 2024</w:t>
            </w:r>
          </w:p>
        </w:tc>
        <w:tc>
          <w:tcPr>
            <w:tcW w:w="1520" w:type="dxa"/>
            <w:vAlign w:val="bottom"/>
            <w:gridSpan w:val="2"/>
          </w:tcPr>
          <w:p>
            <w:pPr>
              <w:ind w:left="40"/>
              <w:spacing w:after="0"/>
              <w:rPr>
                <w:sz w:val="20"/>
                <w:szCs w:val="20"/>
                <w:color w:val="auto"/>
              </w:rPr>
            </w:pPr>
            <w:r>
              <w:rPr>
                <w:rFonts w:ascii="Verdana" w:cs="Verdana" w:eastAsia="Verdana" w:hAnsi="Verdana"/>
                <w:sz w:val="13"/>
                <w:szCs w:val="13"/>
                <w:b w:val="1"/>
                <w:bCs w:val="1"/>
                <w:color w:val="auto"/>
                <w:w w:val="98"/>
              </w:rPr>
              <w:t>September 30, 2024</w:t>
            </w:r>
          </w:p>
        </w:tc>
      </w:tr>
      <w:tr>
        <w:trPr>
          <w:trHeight w:val="269"/>
        </w:trPr>
        <w:tc>
          <w:tcPr>
            <w:tcW w:w="812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Income tax credits and other tax benefits</w:t>
            </w:r>
          </w:p>
        </w:tc>
        <w:tc>
          <w:tcPr>
            <w:tcW w:w="520" w:type="dxa"/>
            <w:vAlign w:val="bottom"/>
            <w:tcBorders>
              <w:top w:val="single" w:sz="8" w:color="auto"/>
            </w:tcBorders>
            <w:shd w:val="clear" w:color="auto" w:fill="E0E7ED"/>
          </w:tcPr>
          <w:p>
            <w:pPr>
              <w:ind w:left="20"/>
              <w:spacing w:after="0"/>
              <w:rPr>
                <w:sz w:val="20"/>
                <w:szCs w:val="20"/>
                <w:color w:val="auto"/>
              </w:rPr>
            </w:pPr>
            <w:r>
              <w:rPr>
                <w:rFonts w:ascii="Verdana" w:cs="Verdana" w:eastAsia="Verdana" w:hAnsi="Verdana"/>
                <w:sz w:val="18"/>
                <w:szCs w:val="18"/>
                <w:color w:val="auto"/>
              </w:rPr>
              <w:t>$</w:t>
            </w:r>
          </w:p>
        </w:tc>
        <w:tc>
          <w:tcPr>
            <w:tcW w:w="1000" w:type="dxa"/>
            <w:vAlign w:val="bottom"/>
            <w:tcBorders>
              <w:top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rPr>
              <w:t>4,040</w:t>
            </w:r>
          </w:p>
        </w:tc>
        <w:tc>
          <w:tcPr>
            <w:tcW w:w="80" w:type="dxa"/>
            <w:vAlign w:val="bottom"/>
            <w:tcBorders>
              <w:top w:val="single" w:sz="8" w:color="E0E7ED"/>
            </w:tcBorders>
            <w:shd w:val="clear" w:color="auto" w:fill="E0E7ED"/>
          </w:tcPr>
          <w:p>
            <w:pPr>
              <w:spacing w:after="0"/>
              <w:rPr>
                <w:sz w:val="23"/>
                <w:szCs w:val="23"/>
                <w:color w:val="auto"/>
              </w:rPr>
            </w:pPr>
          </w:p>
        </w:tc>
        <w:tc>
          <w:tcPr>
            <w:tcW w:w="460" w:type="dxa"/>
            <w:vAlign w:val="bottom"/>
            <w:tcBorders>
              <w:top w:val="single" w:sz="8" w:color="auto"/>
            </w:tcBorders>
            <w:shd w:val="clear" w:color="auto" w:fill="E0E7ED"/>
          </w:tcPr>
          <w:p>
            <w:pPr>
              <w:ind w:left="20"/>
              <w:spacing w:after="0"/>
              <w:rPr>
                <w:sz w:val="20"/>
                <w:szCs w:val="20"/>
                <w:color w:val="auto"/>
              </w:rPr>
            </w:pPr>
            <w:r>
              <w:rPr>
                <w:rFonts w:ascii="Verdana" w:cs="Verdana" w:eastAsia="Verdana" w:hAnsi="Verdana"/>
                <w:sz w:val="18"/>
                <w:szCs w:val="18"/>
                <w:color w:val="auto"/>
              </w:rPr>
              <w:t>$</w:t>
            </w:r>
          </w:p>
        </w:tc>
        <w:tc>
          <w:tcPr>
            <w:tcW w:w="106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11,941</w:t>
            </w:r>
          </w:p>
        </w:tc>
      </w:tr>
      <w:tr>
        <w:trPr>
          <w:trHeight w:val="257"/>
        </w:trPr>
        <w:tc>
          <w:tcPr>
            <w:tcW w:w="8120" w:type="dxa"/>
            <w:vAlign w:val="bottom"/>
          </w:tcPr>
          <w:p>
            <w:pPr>
              <w:ind w:left="20"/>
              <w:spacing w:after="0"/>
              <w:rPr>
                <w:sz w:val="20"/>
                <w:szCs w:val="20"/>
                <w:color w:val="auto"/>
              </w:rPr>
            </w:pPr>
            <w:r>
              <w:rPr>
                <w:rFonts w:ascii="Verdana" w:cs="Verdana" w:eastAsia="Verdana" w:hAnsi="Verdana"/>
                <w:sz w:val="18"/>
                <w:szCs w:val="18"/>
                <w:color w:val="auto"/>
              </w:rPr>
              <w:t>Amortization of investments in tax-advantaged projects</w:t>
            </w:r>
          </w:p>
        </w:tc>
        <w:tc>
          <w:tcPr>
            <w:tcW w:w="52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Verdana" w:cs="Verdana" w:eastAsia="Verdana" w:hAnsi="Verdana"/>
                <w:sz w:val="18"/>
                <w:szCs w:val="18"/>
                <w:color w:val="auto"/>
              </w:rPr>
              <w:t>3,575</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Verdana" w:cs="Verdana" w:eastAsia="Verdana" w:hAnsi="Verdana"/>
                <w:sz w:val="18"/>
                <w:szCs w:val="18"/>
                <w:color w:val="auto"/>
              </w:rPr>
              <w:t>10,593</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46" w:name="page47"/>
    <w:bookmarkEnd w:id="46"/>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10. STOCK-BASED COMPENSATION</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Stock Options</w:t>
      </w:r>
    </w:p>
    <w:p>
      <w:pPr>
        <w:spacing w:after="0" w:line="183" w:lineRule="exact"/>
        <w:rPr>
          <w:sz w:val="20"/>
          <w:szCs w:val="20"/>
          <w:color w:val="auto"/>
        </w:rPr>
      </w:pPr>
    </w:p>
    <w:p>
      <w:pPr>
        <w:spacing w:after="0"/>
        <w:rPr>
          <w:sz w:val="20"/>
          <w:szCs w:val="20"/>
          <w:color w:val="auto"/>
        </w:rPr>
      </w:pPr>
      <w:r>
        <w:rPr>
          <w:rFonts w:ascii="Verdana" w:cs="Verdana" w:eastAsia="Verdana" w:hAnsi="Verdana"/>
          <w:sz w:val="18"/>
          <w:szCs w:val="18"/>
          <w:color w:val="auto"/>
        </w:rPr>
        <w:t>Busey has outstanding stock options assumed from acquisitions. A summary of the status of, and changes in, the</w:t>
      </w:r>
    </w:p>
    <w:p>
      <w:pPr>
        <w:spacing w:after="0"/>
        <w:rPr>
          <w:sz w:val="20"/>
          <w:szCs w:val="20"/>
          <w:color w:val="auto"/>
        </w:rPr>
      </w:pPr>
      <w:r>
        <w:rPr>
          <w:rFonts w:ascii="Verdana" w:cs="Verdana" w:eastAsia="Verdana" w:hAnsi="Verdana"/>
          <w:sz w:val="18"/>
          <w:szCs w:val="18"/>
          <w:color w:val="auto"/>
        </w:rPr>
        <w:t>Company's stock option awards for the nine months ended September 30, 2024,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vMerge w:val="restart"/>
          </w:tcPr>
          <w:p>
            <w:pPr>
              <w:jc w:val="center"/>
              <w:ind w:right="340"/>
              <w:spacing w:after="0"/>
              <w:rPr>
                <w:sz w:val="20"/>
                <w:szCs w:val="20"/>
                <w:color w:val="auto"/>
              </w:rPr>
            </w:pPr>
            <w:r>
              <w:rPr>
                <w:rFonts w:ascii="Verdana" w:cs="Verdana" w:eastAsia="Verdana" w:hAnsi="Verdana"/>
                <w:sz w:val="13"/>
                <w:szCs w:val="13"/>
                <w:b w:val="1"/>
                <w:bCs w:val="1"/>
                <w:color w:val="auto"/>
                <w:w w:val="97"/>
              </w:rPr>
              <w:t>Weighted-</w:t>
            </w:r>
          </w:p>
        </w:tc>
        <w:tc>
          <w:tcPr>
            <w:tcW w:w="1480" w:type="dxa"/>
            <w:vAlign w:val="bottom"/>
          </w:tcPr>
          <w:p>
            <w:pPr>
              <w:jc w:val="center"/>
              <w:spacing w:after="0"/>
              <w:rPr>
                <w:sz w:val="20"/>
                <w:szCs w:val="20"/>
                <w:color w:val="auto"/>
              </w:rPr>
            </w:pPr>
            <w:r>
              <w:rPr>
                <w:rFonts w:ascii="Verdana" w:cs="Verdana" w:eastAsia="Verdana" w:hAnsi="Verdana"/>
                <w:sz w:val="13"/>
                <w:szCs w:val="13"/>
                <w:b w:val="1"/>
                <w:bCs w:val="1"/>
                <w:color w:val="auto"/>
                <w:w w:val="97"/>
              </w:rPr>
              <w:t>Weighted-</w:t>
            </w:r>
          </w:p>
        </w:tc>
        <w:tc>
          <w:tcPr>
            <w:tcW w:w="0" w:type="dxa"/>
            <w:vAlign w:val="bottom"/>
          </w:tcPr>
          <w:p>
            <w:pPr>
              <w:spacing w:after="0"/>
              <w:rPr>
                <w:sz w:val="1"/>
                <w:szCs w:val="1"/>
                <w:color w:val="auto"/>
              </w:rPr>
            </w:pPr>
          </w:p>
        </w:tc>
      </w:tr>
      <w:tr>
        <w:trPr>
          <w:trHeight w:val="122"/>
        </w:trPr>
        <w:tc>
          <w:tcPr>
            <w:tcW w:w="6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480" w:type="dxa"/>
            <w:vAlign w:val="bottom"/>
          </w:tcPr>
          <w:p>
            <w:pPr>
              <w:jc w:val="center"/>
              <w:spacing w:after="0" w:line="122" w:lineRule="exact"/>
              <w:rPr>
                <w:sz w:val="20"/>
                <w:szCs w:val="20"/>
                <w:color w:val="auto"/>
              </w:rPr>
            </w:pPr>
            <w:r>
              <w:rPr>
                <w:rFonts w:ascii="Verdana" w:cs="Verdana" w:eastAsia="Verdana" w:hAnsi="Verdana"/>
                <w:sz w:val="13"/>
                <w:szCs w:val="13"/>
                <w:b w:val="1"/>
                <w:bCs w:val="1"/>
                <w:color w:val="auto"/>
                <w:w w:val="96"/>
              </w:rPr>
              <w:t>Average</w:t>
            </w:r>
          </w:p>
        </w:tc>
        <w:tc>
          <w:tcPr>
            <w:tcW w:w="0" w:type="dxa"/>
            <w:vAlign w:val="bottom"/>
          </w:tcPr>
          <w:p>
            <w:pPr>
              <w:spacing w:after="0"/>
              <w:rPr>
                <w:sz w:val="1"/>
                <w:szCs w:val="1"/>
                <w:color w:val="auto"/>
              </w:rPr>
            </w:pPr>
          </w:p>
        </w:tc>
      </w:tr>
      <w:tr>
        <w:trPr>
          <w:trHeight w:val="122"/>
        </w:trPr>
        <w:tc>
          <w:tcPr>
            <w:tcW w:w="6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gridSpan w:val="2"/>
          </w:tcPr>
          <w:p>
            <w:pPr>
              <w:jc w:val="center"/>
              <w:ind w:right="340"/>
              <w:spacing w:after="0" w:line="122" w:lineRule="exact"/>
              <w:rPr>
                <w:sz w:val="20"/>
                <w:szCs w:val="20"/>
                <w:color w:val="auto"/>
              </w:rPr>
            </w:pPr>
            <w:r>
              <w:rPr>
                <w:rFonts w:ascii="Verdana" w:cs="Verdana" w:eastAsia="Verdana" w:hAnsi="Verdana"/>
                <w:sz w:val="13"/>
                <w:szCs w:val="13"/>
                <w:b w:val="1"/>
                <w:bCs w:val="1"/>
                <w:color w:val="auto"/>
                <w:w w:val="96"/>
              </w:rPr>
              <w:t>Average</w:t>
            </w:r>
          </w:p>
        </w:tc>
        <w:tc>
          <w:tcPr>
            <w:tcW w:w="1480" w:type="dxa"/>
            <w:vAlign w:val="bottom"/>
          </w:tcPr>
          <w:p>
            <w:pPr>
              <w:jc w:val="center"/>
              <w:spacing w:after="0" w:line="122" w:lineRule="exact"/>
              <w:rPr>
                <w:sz w:val="20"/>
                <w:szCs w:val="20"/>
                <w:color w:val="auto"/>
              </w:rPr>
            </w:pPr>
            <w:r>
              <w:rPr>
                <w:rFonts w:ascii="Verdana" w:cs="Verdana" w:eastAsia="Verdana" w:hAnsi="Verdana"/>
                <w:sz w:val="13"/>
                <w:szCs w:val="13"/>
                <w:b w:val="1"/>
                <w:bCs w:val="1"/>
                <w:color w:val="auto"/>
                <w:w w:val="97"/>
              </w:rPr>
              <w:t>Remaining</w:t>
            </w:r>
          </w:p>
        </w:tc>
        <w:tc>
          <w:tcPr>
            <w:tcW w:w="0" w:type="dxa"/>
            <w:vAlign w:val="bottom"/>
          </w:tcPr>
          <w:p>
            <w:pPr>
              <w:spacing w:after="0"/>
              <w:rPr>
                <w:sz w:val="1"/>
                <w:szCs w:val="1"/>
                <w:color w:val="auto"/>
              </w:rPr>
            </w:pPr>
          </w:p>
        </w:tc>
      </w:tr>
      <w:tr>
        <w:trPr>
          <w:trHeight w:val="108"/>
        </w:trPr>
        <w:tc>
          <w:tcPr>
            <w:tcW w:w="6480" w:type="dxa"/>
            <w:vAlign w:val="bottom"/>
            <w:vMerge w:val="restart"/>
          </w:tcPr>
          <w:p>
            <w:pPr>
              <w:ind w:left="20"/>
              <w:spacing w:after="0"/>
              <w:rPr>
                <w:sz w:val="20"/>
                <w:szCs w:val="20"/>
                <w:color w:val="auto"/>
              </w:rPr>
            </w:pPr>
            <w:r>
              <w:rPr>
                <w:rFonts w:ascii="Verdana" w:cs="Verdana" w:eastAsia="Verdana" w:hAnsi="Verdana"/>
                <w:sz w:val="13"/>
                <w:szCs w:val="13"/>
                <w:b w:val="1"/>
                <w:bCs w:val="1"/>
                <w:color w:val="auto"/>
              </w:rPr>
              <w:t>Options</w:t>
            </w:r>
          </w:p>
        </w:tc>
        <w:tc>
          <w:tcPr>
            <w:tcW w:w="100" w:type="dxa"/>
            <w:vAlign w:val="bottom"/>
            <w:vMerge w:val="restart"/>
          </w:tcPr>
          <w:p>
            <w:pPr>
              <w:spacing w:after="0"/>
              <w:rPr>
                <w:sz w:val="9"/>
                <w:szCs w:val="9"/>
                <w:color w:val="auto"/>
              </w:rPr>
            </w:pPr>
          </w:p>
        </w:tc>
        <w:tc>
          <w:tcPr>
            <w:tcW w:w="1480" w:type="dxa"/>
            <w:vAlign w:val="bottom"/>
            <w:vMerge w:val="restart"/>
          </w:tcPr>
          <w:p>
            <w:pPr>
              <w:jc w:val="right"/>
              <w:ind w:right="415"/>
              <w:spacing w:after="0"/>
              <w:rPr>
                <w:sz w:val="20"/>
                <w:szCs w:val="20"/>
                <w:color w:val="auto"/>
              </w:rPr>
            </w:pPr>
            <w:r>
              <w:rPr>
                <w:rFonts w:ascii="Verdana" w:cs="Verdana" w:eastAsia="Verdana" w:hAnsi="Verdana"/>
                <w:sz w:val="13"/>
                <w:szCs w:val="13"/>
                <w:b w:val="1"/>
                <w:bCs w:val="1"/>
                <w:color w:val="auto"/>
              </w:rPr>
              <w:t>Shares</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gridSpan w:val="2"/>
          </w:tcPr>
          <w:p>
            <w:pPr>
              <w:jc w:val="center"/>
              <w:ind w:right="360"/>
              <w:spacing w:after="0" w:line="108" w:lineRule="exact"/>
              <w:rPr>
                <w:sz w:val="20"/>
                <w:szCs w:val="20"/>
                <w:color w:val="auto"/>
              </w:rPr>
            </w:pPr>
            <w:r>
              <w:rPr>
                <w:rFonts w:ascii="Verdana" w:cs="Verdana" w:eastAsia="Verdana" w:hAnsi="Verdana"/>
                <w:sz w:val="10"/>
                <w:szCs w:val="10"/>
                <w:b w:val="1"/>
                <w:bCs w:val="1"/>
                <w:color w:val="auto"/>
              </w:rPr>
              <w:t>Exercise</w:t>
            </w:r>
          </w:p>
        </w:tc>
        <w:tc>
          <w:tcPr>
            <w:tcW w:w="1480" w:type="dxa"/>
            <w:vAlign w:val="bottom"/>
          </w:tcPr>
          <w:p>
            <w:pPr>
              <w:jc w:val="center"/>
              <w:spacing w:after="0" w:line="108" w:lineRule="exact"/>
              <w:rPr>
                <w:sz w:val="20"/>
                <w:szCs w:val="20"/>
                <w:color w:val="auto"/>
              </w:rPr>
            </w:pPr>
            <w:r>
              <w:rPr>
                <w:rFonts w:ascii="Verdana" w:cs="Verdana" w:eastAsia="Verdana" w:hAnsi="Verdana"/>
                <w:sz w:val="10"/>
                <w:szCs w:val="10"/>
                <w:b w:val="1"/>
                <w:bCs w:val="1"/>
                <w:color w:val="auto"/>
              </w:rPr>
              <w:t>Contractual</w:t>
            </w:r>
          </w:p>
        </w:tc>
        <w:tc>
          <w:tcPr>
            <w:tcW w:w="0" w:type="dxa"/>
            <w:vAlign w:val="bottom"/>
          </w:tcPr>
          <w:p>
            <w:pPr>
              <w:spacing w:after="0"/>
              <w:rPr>
                <w:sz w:val="1"/>
                <w:szCs w:val="1"/>
                <w:color w:val="auto"/>
              </w:rPr>
            </w:pPr>
          </w:p>
        </w:tc>
      </w:tr>
      <w:tr>
        <w:trPr>
          <w:trHeight w:val="170"/>
        </w:trPr>
        <w:tc>
          <w:tcPr>
            <w:tcW w:w="64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E0E7ED"/>
            </w:tcBorders>
            <w:vMerge w:val="continue"/>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83"/>
              <w:spacing w:after="0"/>
              <w:rPr>
                <w:sz w:val="20"/>
                <w:szCs w:val="20"/>
                <w:color w:val="auto"/>
              </w:rPr>
            </w:pPr>
            <w:r>
              <w:rPr>
                <w:rFonts w:ascii="Verdana" w:cs="Verdana" w:eastAsia="Verdana" w:hAnsi="Verdana"/>
                <w:sz w:val="13"/>
                <w:szCs w:val="13"/>
                <w:b w:val="1"/>
                <w:bCs w:val="1"/>
                <w:color w:val="auto"/>
                <w:w w:val="97"/>
              </w:rPr>
              <w:t>Price</w:t>
            </w:r>
          </w:p>
        </w:tc>
        <w:tc>
          <w:tcPr>
            <w:tcW w:w="100" w:type="dxa"/>
            <w:vAlign w:val="bottom"/>
            <w:tcBorders>
              <w:bottom w:val="single" w:sz="8" w:color="E0E7ED"/>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6"/>
              </w:rPr>
              <w:t>Life</w:t>
            </w:r>
          </w:p>
        </w:tc>
        <w:tc>
          <w:tcPr>
            <w:tcW w:w="0" w:type="dxa"/>
            <w:vAlign w:val="bottom"/>
          </w:tcPr>
          <w:p>
            <w:pPr>
              <w:spacing w:after="0"/>
              <w:rPr>
                <w:sz w:val="1"/>
                <w:szCs w:val="1"/>
                <w:color w:val="auto"/>
              </w:rPr>
            </w:pPr>
          </w:p>
        </w:tc>
      </w:tr>
      <w:tr>
        <w:trPr>
          <w:trHeight w:val="269"/>
        </w:trPr>
        <w:tc>
          <w:tcPr>
            <w:tcW w:w="658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Outstanding at December 31, 2023</w:t>
            </w:r>
          </w:p>
        </w:tc>
        <w:tc>
          <w:tcPr>
            <w:tcW w:w="14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21,266</w:t>
            </w:r>
          </w:p>
        </w:tc>
        <w:tc>
          <w:tcPr>
            <w:tcW w:w="34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8"/>
                <w:szCs w:val="18"/>
                <w:color w:val="auto"/>
              </w:rPr>
              <w:t>$</w:t>
            </w:r>
          </w:p>
        </w:tc>
        <w:tc>
          <w:tcPr>
            <w:tcW w:w="1260" w:type="dxa"/>
            <w:vAlign w:val="bottom"/>
            <w:shd w:val="clear" w:color="auto" w:fill="E0E7ED"/>
          </w:tcPr>
          <w:p>
            <w:pPr>
              <w:jc w:val="right"/>
              <w:ind w:right="3"/>
              <w:spacing w:after="0"/>
              <w:rPr>
                <w:sz w:val="20"/>
                <w:szCs w:val="20"/>
                <w:color w:val="auto"/>
              </w:rPr>
            </w:pPr>
            <w:r>
              <w:rPr>
                <w:rFonts w:ascii="Verdana" w:cs="Verdana" w:eastAsia="Verdana" w:hAnsi="Verdana"/>
                <w:sz w:val="18"/>
                <w:szCs w:val="18"/>
                <w:color w:val="auto"/>
              </w:rPr>
              <w:t>23.53</w:t>
            </w:r>
          </w:p>
        </w:tc>
        <w:tc>
          <w:tcPr>
            <w:tcW w:w="100" w:type="dxa"/>
            <w:vAlign w:val="bottom"/>
            <w:shd w:val="clear" w:color="auto" w:fill="E0E7ED"/>
          </w:tcPr>
          <w:p>
            <w:pPr>
              <w:spacing w:after="0"/>
              <w:rPr>
                <w:sz w:val="23"/>
                <w:szCs w:val="23"/>
                <w:color w:val="auto"/>
              </w:rPr>
            </w:pPr>
          </w:p>
        </w:tc>
        <w:tc>
          <w:tcPr>
            <w:tcW w:w="1480" w:type="dxa"/>
            <w:vAlign w:val="bottom"/>
            <w:shd w:val="clear" w:color="auto" w:fill="E0E7ED"/>
          </w:tcPr>
          <w:p>
            <w:pPr>
              <w:ind w:left="500"/>
              <w:spacing w:after="0"/>
              <w:rPr>
                <w:sz w:val="20"/>
                <w:szCs w:val="20"/>
                <w:color w:val="auto"/>
              </w:rPr>
            </w:pPr>
            <w:r>
              <w:rPr>
                <w:rFonts w:ascii="Verdana" w:cs="Verdana" w:eastAsia="Verdana" w:hAnsi="Verdana"/>
                <w:sz w:val="18"/>
                <w:szCs w:val="18"/>
                <w:color w:val="auto"/>
                <w:w w:val="99"/>
              </w:rPr>
              <w:t>2.88 years</w:t>
            </w:r>
          </w:p>
        </w:tc>
        <w:tc>
          <w:tcPr>
            <w:tcW w:w="0" w:type="dxa"/>
            <w:vAlign w:val="bottom"/>
          </w:tcPr>
          <w:p>
            <w:pPr>
              <w:spacing w:after="0"/>
              <w:rPr>
                <w:sz w:val="1"/>
                <w:szCs w:val="1"/>
                <w:color w:val="auto"/>
              </w:rPr>
            </w:pPr>
          </w:p>
        </w:tc>
      </w:tr>
      <w:tr>
        <w:trPr>
          <w:trHeight w:val="263"/>
        </w:trPr>
        <w:tc>
          <w:tcPr>
            <w:tcW w:w="6580" w:type="dxa"/>
            <w:vAlign w:val="bottom"/>
            <w:gridSpan w:val="2"/>
          </w:tcPr>
          <w:p>
            <w:pPr>
              <w:ind w:left="180"/>
              <w:spacing w:after="0"/>
              <w:rPr>
                <w:sz w:val="20"/>
                <w:szCs w:val="20"/>
                <w:color w:val="auto"/>
              </w:rPr>
            </w:pPr>
            <w:r>
              <w:rPr>
                <w:rFonts w:ascii="Verdana" w:cs="Verdana" w:eastAsia="Verdana" w:hAnsi="Verdana"/>
                <w:sz w:val="18"/>
                <w:szCs w:val="18"/>
                <w:color w:val="auto"/>
              </w:rPr>
              <w:t>Exercised</w:t>
            </w:r>
          </w:p>
        </w:tc>
        <w:tc>
          <w:tcPr>
            <w:tcW w:w="1480" w:type="dxa"/>
            <w:vAlign w:val="bottom"/>
          </w:tcPr>
          <w:p>
            <w:pPr>
              <w:jc w:val="right"/>
              <w:spacing w:after="0"/>
              <w:rPr>
                <w:sz w:val="20"/>
                <w:szCs w:val="20"/>
                <w:color w:val="auto"/>
              </w:rPr>
            </w:pPr>
            <w:r>
              <w:rPr>
                <w:rFonts w:ascii="Verdana" w:cs="Verdana" w:eastAsia="Verdana" w:hAnsi="Verdana"/>
                <w:sz w:val="18"/>
                <w:szCs w:val="18"/>
                <w:color w:val="auto"/>
              </w:rPr>
              <w:t>(440)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3"/>
              <w:spacing w:after="0"/>
              <w:rPr>
                <w:sz w:val="20"/>
                <w:szCs w:val="20"/>
                <w:color w:val="auto"/>
              </w:rPr>
            </w:pPr>
            <w:r>
              <w:rPr>
                <w:rFonts w:ascii="Verdana" w:cs="Verdana" w:eastAsia="Verdana" w:hAnsi="Verdana"/>
                <w:sz w:val="18"/>
                <w:szCs w:val="18"/>
                <w:color w:val="auto"/>
              </w:rPr>
              <w:t>23.53</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580" w:type="dxa"/>
            <w:vAlign w:val="bottom"/>
            <w:gridSpan w:val="2"/>
            <w:shd w:val="clear" w:color="auto" w:fill="E0E7ED"/>
          </w:tcPr>
          <w:p>
            <w:pPr>
              <w:ind w:left="180"/>
              <w:spacing w:after="0"/>
              <w:rPr>
                <w:sz w:val="20"/>
                <w:szCs w:val="20"/>
                <w:color w:val="auto"/>
              </w:rPr>
            </w:pPr>
            <w:r>
              <w:rPr>
                <w:rFonts w:ascii="Verdana" w:cs="Verdana" w:eastAsia="Verdana" w:hAnsi="Verdana"/>
                <w:sz w:val="18"/>
                <w:szCs w:val="18"/>
                <w:color w:val="auto"/>
              </w:rPr>
              <w:t>Forfeited</w:t>
            </w:r>
          </w:p>
        </w:tc>
        <w:tc>
          <w:tcPr>
            <w:tcW w:w="14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(3,520)</w:t>
            </w:r>
          </w:p>
        </w:tc>
        <w:tc>
          <w:tcPr>
            <w:tcW w:w="8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1260" w:type="dxa"/>
            <w:vAlign w:val="bottom"/>
            <w:shd w:val="clear" w:color="auto" w:fill="E0E7ED"/>
          </w:tcPr>
          <w:p>
            <w:pPr>
              <w:jc w:val="right"/>
              <w:ind w:right="3"/>
              <w:spacing w:after="0"/>
              <w:rPr>
                <w:sz w:val="20"/>
                <w:szCs w:val="20"/>
                <w:color w:val="auto"/>
              </w:rPr>
            </w:pPr>
            <w:r>
              <w:rPr>
                <w:rFonts w:ascii="Verdana" w:cs="Verdana" w:eastAsia="Verdana" w:hAnsi="Verdana"/>
                <w:sz w:val="18"/>
                <w:szCs w:val="18"/>
                <w:color w:val="auto"/>
              </w:rPr>
              <w:t>23.53</w:t>
            </w:r>
          </w:p>
        </w:tc>
        <w:tc>
          <w:tcPr>
            <w:tcW w:w="100" w:type="dxa"/>
            <w:vAlign w:val="bottom"/>
            <w:shd w:val="clear" w:color="auto" w:fill="E0E7ED"/>
          </w:tcPr>
          <w:p>
            <w:pPr>
              <w:spacing w:after="0"/>
              <w:rPr>
                <w:sz w:val="23"/>
                <w:szCs w:val="23"/>
                <w:color w:val="auto"/>
              </w:rPr>
            </w:pPr>
          </w:p>
        </w:tc>
        <w:tc>
          <w:tcPr>
            <w:tcW w:w="1480" w:type="dxa"/>
            <w:vAlign w:val="bottom"/>
            <w:shd w:val="clear" w:color="auto" w:fill="E0E7ED"/>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80" w:type="dxa"/>
            <w:vAlign w:val="bottom"/>
            <w:gridSpan w:val="2"/>
          </w:tcPr>
          <w:p>
            <w:pPr>
              <w:ind w:left="20"/>
              <w:spacing w:after="0"/>
              <w:rPr>
                <w:sz w:val="20"/>
                <w:szCs w:val="20"/>
                <w:color w:val="auto"/>
              </w:rPr>
            </w:pPr>
            <w:r>
              <w:rPr>
                <w:rFonts w:ascii="Verdana" w:cs="Verdana" w:eastAsia="Verdana" w:hAnsi="Verdana"/>
                <w:sz w:val="18"/>
                <w:szCs w:val="18"/>
                <w:color w:val="auto"/>
              </w:rPr>
              <w:t>Outstanding at September 30, 2024</w:t>
            </w:r>
          </w:p>
        </w:tc>
        <w:tc>
          <w:tcPr>
            <w:tcW w:w="14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17,306</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ind w:right="3"/>
              <w:spacing w:after="0"/>
              <w:rPr>
                <w:sz w:val="20"/>
                <w:szCs w:val="20"/>
                <w:color w:val="auto"/>
              </w:rPr>
            </w:pPr>
            <w:r>
              <w:rPr>
                <w:rFonts w:ascii="Verdana" w:cs="Verdana" w:eastAsia="Verdana" w:hAnsi="Verdana"/>
                <w:sz w:val="18"/>
                <w:szCs w:val="18"/>
                <w:color w:val="auto"/>
              </w:rPr>
              <w:t>23.53</w:t>
            </w:r>
          </w:p>
        </w:tc>
        <w:tc>
          <w:tcPr>
            <w:tcW w:w="100" w:type="dxa"/>
            <w:vAlign w:val="bottom"/>
          </w:tcPr>
          <w:p>
            <w:pPr>
              <w:spacing w:after="0"/>
              <w:rPr>
                <w:sz w:val="23"/>
                <w:szCs w:val="23"/>
                <w:color w:val="auto"/>
              </w:rPr>
            </w:pPr>
          </w:p>
        </w:tc>
        <w:tc>
          <w:tcPr>
            <w:tcW w:w="1480" w:type="dxa"/>
            <w:vAlign w:val="bottom"/>
          </w:tcPr>
          <w:p>
            <w:pPr>
              <w:ind w:left="500"/>
              <w:spacing w:after="0"/>
              <w:rPr>
                <w:sz w:val="20"/>
                <w:szCs w:val="20"/>
                <w:color w:val="auto"/>
              </w:rPr>
            </w:pPr>
            <w:r>
              <w:rPr>
                <w:rFonts w:ascii="Verdana" w:cs="Verdana" w:eastAsia="Verdana" w:hAnsi="Verdana"/>
                <w:sz w:val="18"/>
                <w:szCs w:val="18"/>
                <w:color w:val="auto"/>
                <w:w w:val="99"/>
              </w:rPr>
              <w:t>2.13 years</w:t>
            </w:r>
          </w:p>
        </w:tc>
        <w:tc>
          <w:tcPr>
            <w:tcW w:w="0" w:type="dxa"/>
            <w:vAlign w:val="bottom"/>
          </w:tcPr>
          <w:p>
            <w:pPr>
              <w:spacing w:after="0"/>
              <w:rPr>
                <w:sz w:val="1"/>
                <w:szCs w:val="1"/>
                <w:color w:val="auto"/>
              </w:rPr>
            </w:pPr>
          </w:p>
        </w:tc>
      </w:tr>
      <w:tr>
        <w:trPr>
          <w:trHeight w:val="20"/>
        </w:trPr>
        <w:tc>
          <w:tcPr>
            <w:tcW w:w="648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60" w:type="dxa"/>
            <w:vAlign w:val="bottom"/>
            <w:tcBorders>
              <w:bottom w:val="single" w:sz="8" w:color="E0E7ED"/>
            </w:tcBorders>
          </w:tcPr>
          <w:p>
            <w:pPr>
              <w:spacing w:after="0" w:line="20" w:lineRule="exact"/>
              <w:rPr>
                <w:sz w:val="1"/>
                <w:szCs w:val="1"/>
                <w:color w:val="auto"/>
              </w:rPr>
            </w:pPr>
          </w:p>
        </w:tc>
        <w:tc>
          <w:tcPr>
            <w:tcW w:w="126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480" w:type="dxa"/>
            <w:vAlign w:val="bottom"/>
            <w:tcBorders>
              <w:bottom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148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26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148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580" w:type="dxa"/>
            <w:vAlign w:val="bottom"/>
            <w:gridSpan w:val="2"/>
          </w:tcPr>
          <w:p>
            <w:pPr>
              <w:ind w:left="20"/>
              <w:spacing w:after="0"/>
              <w:rPr>
                <w:sz w:val="20"/>
                <w:szCs w:val="20"/>
                <w:color w:val="auto"/>
              </w:rPr>
            </w:pPr>
            <w:r>
              <w:rPr>
                <w:rFonts w:ascii="Verdana" w:cs="Verdana" w:eastAsia="Verdana" w:hAnsi="Verdana"/>
                <w:sz w:val="18"/>
                <w:szCs w:val="18"/>
                <w:color w:val="auto"/>
              </w:rPr>
              <w:t>Exercisable at September 30, 2024</w:t>
            </w:r>
          </w:p>
        </w:tc>
        <w:tc>
          <w:tcPr>
            <w:tcW w:w="1480" w:type="dxa"/>
            <w:vAlign w:val="bottom"/>
          </w:tcPr>
          <w:p>
            <w:pPr>
              <w:jc w:val="right"/>
              <w:spacing w:after="0"/>
              <w:rPr>
                <w:sz w:val="20"/>
                <w:szCs w:val="20"/>
                <w:color w:val="auto"/>
              </w:rPr>
            </w:pPr>
            <w:r>
              <w:rPr>
                <w:rFonts w:ascii="Verdana" w:cs="Verdana" w:eastAsia="Verdana" w:hAnsi="Verdana"/>
                <w:sz w:val="18"/>
                <w:szCs w:val="18"/>
                <w:color w:val="auto"/>
              </w:rPr>
              <w:t>17,306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3"/>
              <w:spacing w:after="0"/>
              <w:rPr>
                <w:sz w:val="20"/>
                <w:szCs w:val="20"/>
                <w:color w:val="auto"/>
              </w:rPr>
            </w:pPr>
            <w:r>
              <w:rPr>
                <w:rFonts w:ascii="Verdana" w:cs="Verdana" w:eastAsia="Verdana" w:hAnsi="Verdana"/>
                <w:sz w:val="18"/>
                <w:szCs w:val="18"/>
                <w:color w:val="auto"/>
              </w:rPr>
              <w:t>23.53</w:t>
            </w:r>
          </w:p>
        </w:tc>
        <w:tc>
          <w:tcPr>
            <w:tcW w:w="100" w:type="dxa"/>
            <w:vAlign w:val="bottom"/>
          </w:tcPr>
          <w:p>
            <w:pPr>
              <w:spacing w:after="0"/>
              <w:rPr>
                <w:sz w:val="22"/>
                <w:szCs w:val="22"/>
                <w:color w:val="auto"/>
              </w:rPr>
            </w:pPr>
          </w:p>
        </w:tc>
        <w:tc>
          <w:tcPr>
            <w:tcW w:w="1480" w:type="dxa"/>
            <w:vAlign w:val="bottom"/>
          </w:tcPr>
          <w:p>
            <w:pPr>
              <w:ind w:left="500"/>
              <w:spacing w:after="0"/>
              <w:rPr>
                <w:sz w:val="20"/>
                <w:szCs w:val="20"/>
                <w:color w:val="auto"/>
              </w:rPr>
            </w:pPr>
            <w:r>
              <w:rPr>
                <w:rFonts w:ascii="Verdana" w:cs="Verdana" w:eastAsia="Verdana" w:hAnsi="Verdana"/>
                <w:sz w:val="18"/>
                <w:szCs w:val="18"/>
                <w:color w:val="auto"/>
                <w:w w:val="99"/>
              </w:rPr>
              <w:t>2.13 years</w:t>
            </w: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2020 Equity Plan</w:t>
      </w:r>
    </w:p>
    <w:p>
      <w:pPr>
        <w:spacing w:after="0" w:line="173" w:lineRule="exact"/>
        <w:rPr>
          <w:sz w:val="20"/>
          <w:szCs w:val="20"/>
          <w:color w:val="auto"/>
        </w:rPr>
      </w:pPr>
    </w:p>
    <w:p>
      <w:pPr>
        <w:jc w:val="both"/>
        <w:spacing w:after="0" w:line="239" w:lineRule="auto"/>
        <w:rPr>
          <w:rFonts w:ascii="Verdana" w:cs="Verdana" w:eastAsia="Verdana" w:hAnsi="Verdana"/>
          <w:sz w:val="18"/>
          <w:szCs w:val="18"/>
          <w:color w:val="0000FF"/>
        </w:rPr>
      </w:pPr>
      <w:r>
        <w:rPr>
          <w:rFonts w:ascii="Verdana" w:cs="Verdana" w:eastAsia="Verdana" w:hAnsi="Verdana"/>
          <w:sz w:val="18"/>
          <w:szCs w:val="18"/>
          <w:color w:val="auto"/>
        </w:rPr>
        <w:t xml:space="preserve">The 2020 Equity Plan was originally approved by stockholders at the 2020 Annual Meeting of Stockholders. A description of </w:t>
      </w:r>
      <w:hyperlink r:id="rId60">
        <w:r>
          <w:rPr>
            <w:rFonts w:ascii="Verdana" w:cs="Verdana" w:eastAsia="Verdana" w:hAnsi="Verdana"/>
            <w:sz w:val="18"/>
            <w:szCs w:val="18"/>
            <w:color w:val="auto"/>
          </w:rPr>
          <w:t xml:space="preserve">the 2020 Equity Plan, as originally approved, can be found in </w:t>
        </w:r>
        <w:r>
          <w:rPr>
            <w:rFonts w:ascii="Verdana" w:cs="Verdana" w:eastAsia="Verdana" w:hAnsi="Verdana"/>
            <w:sz w:val="18"/>
            <w:szCs w:val="18"/>
            <w:u w:val="single" w:color="auto"/>
            <w:color w:val="0000FF"/>
          </w:rPr>
          <w:t>Appendix A</w:t>
        </w:r>
        <w:r>
          <w:rPr>
            <w:rFonts w:ascii="Verdana" w:cs="Verdana" w:eastAsia="Verdana" w:hAnsi="Verdana"/>
            <w:sz w:val="18"/>
            <w:szCs w:val="18"/>
            <w:color w:val="auto"/>
          </w:rPr>
          <w:t xml:space="preserve"> within </w:t>
        </w:r>
        <w:r>
          <w:rPr>
            <w:rFonts w:ascii="Verdana" w:cs="Verdana" w:eastAsia="Verdana" w:hAnsi="Verdana"/>
            <w:sz w:val="18"/>
            <w:szCs w:val="18"/>
            <w:u w:val="single" w:color="auto"/>
            <w:color w:val="0000FF"/>
          </w:rPr>
          <w:t>Busey’s Proxy Statement for the 2020</w:t>
        </w:r>
      </w:hyperlink>
      <w:r>
        <w:rPr>
          <w:rFonts w:ascii="Verdana" w:cs="Verdana" w:eastAsia="Verdana" w:hAnsi="Verdana"/>
          <w:sz w:val="18"/>
          <w:szCs w:val="18"/>
          <w:color w:val="auto"/>
        </w:rPr>
        <w:t xml:space="preserve"> </w:t>
      </w:r>
      <w:hyperlink r:id="rId60">
        <w:r>
          <w:rPr>
            <w:rFonts w:ascii="Verdana" w:cs="Verdana" w:eastAsia="Verdana" w:hAnsi="Verdana"/>
            <w:sz w:val="18"/>
            <w:szCs w:val="18"/>
            <w:u w:val="single" w:color="auto"/>
            <w:color w:val="0000FF"/>
          </w:rPr>
          <w:t>Annual Meeting of Stockholders filed on April 9, 2020</w:t>
        </w:r>
        <w:r>
          <w:rPr>
            <w:rFonts w:ascii="Verdana" w:cs="Verdana" w:eastAsia="Verdana" w:hAnsi="Verdana"/>
            <w:sz w:val="18"/>
            <w:szCs w:val="18"/>
            <w:color w:val="000000"/>
          </w:rPr>
          <w:t>. An amendment and restatement of the 2020 Equity Plan was</w:t>
        </w:r>
      </w:hyperlink>
      <w:r>
        <w:rPr>
          <w:rFonts w:ascii="Verdana" w:cs="Verdana" w:eastAsia="Verdana" w:hAnsi="Verdana"/>
          <w:sz w:val="18"/>
          <w:szCs w:val="18"/>
          <w:color w:val="0000FF"/>
        </w:rPr>
        <w:t xml:space="preserve"> </w:t>
      </w:r>
      <w:r>
        <w:rPr>
          <w:rFonts w:ascii="Verdana" w:cs="Verdana" w:eastAsia="Verdana" w:hAnsi="Verdana"/>
          <w:sz w:val="18"/>
          <w:szCs w:val="18"/>
          <w:color w:val="000000"/>
        </w:rPr>
        <w:t xml:space="preserve">approved by stockholders at the 2023 Annual Meeting of Stockholders. Terms of the amended and restated 2020 Equity Plan are substantially identical to those of the originally approved 2020 Equity Plan, other than a 1,350,000 increase in the </w:t>
      </w:r>
      <w:hyperlink r:id="rId61">
        <w:r>
          <w:rPr>
            <w:rFonts w:ascii="Verdana" w:cs="Verdana" w:eastAsia="Verdana" w:hAnsi="Verdana"/>
            <w:sz w:val="18"/>
            <w:szCs w:val="18"/>
            <w:color w:val="000000"/>
          </w:rPr>
          <w:t xml:space="preserve">number of shares authorized for issuance under the plan. More information can be found in </w:t>
        </w:r>
        <w:r>
          <w:rPr>
            <w:rFonts w:ascii="Verdana" w:cs="Verdana" w:eastAsia="Verdana" w:hAnsi="Verdana"/>
            <w:sz w:val="18"/>
            <w:szCs w:val="18"/>
            <w:u w:val="single" w:color="auto"/>
            <w:color w:val="0000FF"/>
          </w:rPr>
          <w:t>Appendix A</w:t>
        </w:r>
        <w:r>
          <w:rPr>
            <w:rFonts w:ascii="Verdana" w:cs="Verdana" w:eastAsia="Verdana" w:hAnsi="Verdana"/>
            <w:sz w:val="18"/>
            <w:szCs w:val="18"/>
            <w:color w:val="000000"/>
          </w:rPr>
          <w:t xml:space="preserve"> within </w:t>
        </w:r>
        <w:r>
          <w:rPr>
            <w:rFonts w:ascii="Verdana" w:cs="Verdana" w:eastAsia="Verdana" w:hAnsi="Verdana"/>
            <w:sz w:val="18"/>
            <w:szCs w:val="18"/>
            <w:u w:val="single" w:color="auto"/>
            <w:color w:val="0000FF"/>
          </w:rPr>
          <w:t>Busey’s</w:t>
        </w:r>
      </w:hyperlink>
      <w:r>
        <w:rPr>
          <w:rFonts w:ascii="Verdana" w:cs="Verdana" w:eastAsia="Verdana" w:hAnsi="Verdana"/>
          <w:sz w:val="18"/>
          <w:szCs w:val="18"/>
          <w:color w:val="000000"/>
        </w:rPr>
        <w:t xml:space="preserve"> </w:t>
      </w:r>
      <w:hyperlink r:id="rId61">
        <w:r>
          <w:rPr>
            <w:rFonts w:ascii="Verdana" w:cs="Verdana" w:eastAsia="Verdana" w:hAnsi="Verdana"/>
            <w:sz w:val="18"/>
            <w:szCs w:val="18"/>
            <w:u w:val="single" w:color="auto"/>
            <w:color w:val="0000FF"/>
          </w:rPr>
          <w:t>Proxy Statement for the 2023 Annual Meeting of Stockholders filed on April 14, 2023</w:t>
        </w:r>
        <w:r>
          <w:rPr>
            <w:rFonts w:ascii="Verdana" w:cs="Verdana" w:eastAsia="Verdana" w:hAnsi="Verdana"/>
            <w:sz w:val="18"/>
            <w:szCs w:val="18"/>
            <w:color w:val="000000"/>
          </w:rPr>
          <w:t>.</w:t>
        </w:r>
      </w:hyperlink>
    </w:p>
    <w:p>
      <w:pPr>
        <w:spacing w:after="0" w:line="163" w:lineRule="exact"/>
        <w:rPr>
          <w:rFonts w:ascii="Verdana" w:cs="Verdana" w:eastAsia="Verdana" w:hAnsi="Verdana"/>
          <w:sz w:val="18"/>
          <w:szCs w:val="18"/>
          <w:color w:val="0000FF"/>
        </w:rPr>
      </w:pPr>
    </w:p>
    <w:p>
      <w:pPr>
        <w:jc w:val="both"/>
        <w:spacing w:after="0" w:line="245" w:lineRule="auto"/>
        <w:rPr>
          <w:sz w:val="20"/>
          <w:szCs w:val="20"/>
          <w:color w:val="auto"/>
        </w:rPr>
      </w:pPr>
      <w:r>
        <w:rPr>
          <w:rFonts w:ascii="Verdana" w:cs="Verdana" w:eastAsia="Verdana" w:hAnsi="Verdana"/>
          <w:sz w:val="18"/>
          <w:szCs w:val="18"/>
          <w:color w:val="auto"/>
        </w:rPr>
        <w:t>Busey has granted RSU, PSU, and DSU awards under the terms of the 2020 Equity Plan. Upon vesting and delivery, shares are expected, though not required, to be issued from treasury stock. There were 1,311,251 shares available for issuance under the 2020 Equity Plan as of September 30, 2024.</w:t>
      </w:r>
    </w:p>
    <w:p>
      <w:pPr>
        <w:spacing w:after="0" w:line="167" w:lineRule="exact"/>
        <w:rPr>
          <w:rFonts w:ascii="Verdana" w:cs="Verdana" w:eastAsia="Verdana" w:hAnsi="Verdana"/>
          <w:sz w:val="18"/>
          <w:szCs w:val="18"/>
          <w:color w:val="0000FF"/>
        </w:rPr>
      </w:pPr>
    </w:p>
    <w:p>
      <w:pPr>
        <w:jc w:val="both"/>
        <w:spacing w:after="0" w:line="245" w:lineRule="auto"/>
        <w:rPr>
          <w:sz w:val="20"/>
          <w:szCs w:val="20"/>
          <w:color w:val="auto"/>
        </w:rPr>
      </w:pPr>
      <w:r>
        <w:rPr>
          <w:rFonts w:ascii="Verdana" w:cs="Verdana" w:eastAsia="Verdana" w:hAnsi="Verdana"/>
          <w:sz w:val="18"/>
          <w:szCs w:val="18"/>
          <w:color w:val="auto"/>
        </w:rPr>
        <w:t>A description of RSU, PSU, and DSU awards granted in 2024 under the terms of the 2020 Equity Plan is provided below. Further information related to awards granted in prior years has been presented in the Annual Reports previously filed with the SEC corresponding to the year of each award grant.</w:t>
      </w:r>
    </w:p>
    <w:p>
      <w:pPr>
        <w:spacing w:after="0" w:line="154" w:lineRule="exact"/>
        <w:rPr>
          <w:rFonts w:ascii="Verdana" w:cs="Verdana" w:eastAsia="Verdana" w:hAnsi="Verdana"/>
          <w:sz w:val="18"/>
          <w:szCs w:val="18"/>
          <w:color w:val="0000FF"/>
        </w:rPr>
      </w:pPr>
    </w:p>
    <w:p>
      <w:pPr>
        <w:spacing w:after="0"/>
        <w:rPr>
          <w:sz w:val="20"/>
          <w:szCs w:val="20"/>
          <w:color w:val="auto"/>
        </w:rPr>
      </w:pPr>
      <w:r>
        <w:rPr>
          <w:rFonts w:ascii="Verdana" w:cs="Verdana" w:eastAsia="Verdana" w:hAnsi="Verdana"/>
          <w:sz w:val="18"/>
          <w:szCs w:val="18"/>
          <w:u w:val="single" w:color="auto"/>
          <w:color w:val="auto"/>
        </w:rPr>
        <w:t>RSU Awards</w:t>
      </w:r>
    </w:p>
    <w:p>
      <w:pPr>
        <w:spacing w:after="0" w:line="173" w:lineRule="exact"/>
        <w:rPr>
          <w:rFonts w:ascii="Verdana" w:cs="Verdana" w:eastAsia="Verdana" w:hAnsi="Verdana"/>
          <w:sz w:val="18"/>
          <w:szCs w:val="18"/>
          <w:color w:val="0000FF"/>
        </w:rPr>
      </w:pPr>
    </w:p>
    <w:p>
      <w:pPr>
        <w:jc w:val="both"/>
        <w:spacing w:after="0"/>
        <w:rPr>
          <w:sz w:val="20"/>
          <w:szCs w:val="20"/>
          <w:color w:val="auto"/>
        </w:rPr>
      </w:pPr>
      <w:r>
        <w:rPr>
          <w:rFonts w:ascii="Verdana" w:cs="Verdana" w:eastAsia="Verdana" w:hAnsi="Verdana"/>
          <w:sz w:val="18"/>
          <w:szCs w:val="18"/>
          <w:color w:val="auto"/>
        </w:rPr>
        <w:t>Busey grants RSU awards to members of management periodically throughout the year. RSU awards are stock-based awards for which vesting is conditional upon meeting established service criteria. Each RSU is equivalent to one share of Busey’s common stock. Busey’s RSUs have requisite service periods ranging from one year to five years, and are subject to accelerated vesting upon eligible retirement from Busey. Recipients earn quarterly dividend equivalents on their respective RSUs, which entitle the recipients to additional units. Therefore, dividends earned each quarter compound based upon the updated unit balances.</w:t>
      </w:r>
    </w:p>
    <w:p>
      <w:pPr>
        <w:spacing w:after="0" w:line="172" w:lineRule="exact"/>
        <w:rPr>
          <w:rFonts w:ascii="Verdana" w:cs="Verdana" w:eastAsia="Verdana" w:hAnsi="Verdana"/>
          <w:sz w:val="18"/>
          <w:szCs w:val="18"/>
          <w:color w:val="0000FF"/>
        </w:rPr>
      </w:pPr>
    </w:p>
    <w:p>
      <w:pPr>
        <w:jc w:val="both"/>
        <w:spacing w:after="0" w:line="241" w:lineRule="auto"/>
        <w:rPr>
          <w:sz w:val="20"/>
          <w:szCs w:val="20"/>
          <w:color w:val="auto"/>
        </w:rPr>
      </w:pPr>
      <w:r>
        <w:rPr>
          <w:rFonts w:ascii="Verdana" w:cs="Verdana" w:eastAsia="Verdana" w:hAnsi="Verdana"/>
          <w:sz w:val="18"/>
          <w:szCs w:val="18"/>
          <w:color w:val="auto"/>
        </w:rPr>
        <w:t>On March 20, 2024, under the terms of the 2020 Equity Plan, Busey granted 189,179 RSUs to members of management. The grant date fair value of the award was $4.4 million, which will be recognized as compensation expense over the requisite service period ranging from one year to five years. The terms of these awards included an accelerated vesting provision upon eligible retirement from Busey, after a one-year minimum requisite service period. Subsequent to the requisite service period, the awards will become 100% vested.</w:t>
      </w:r>
    </w:p>
    <w:p>
      <w:pPr>
        <w:spacing w:after="0" w:line="200" w:lineRule="exact"/>
        <w:rPr>
          <w:rFonts w:ascii="Verdana" w:cs="Verdana" w:eastAsia="Verdana" w:hAnsi="Verdana"/>
          <w:sz w:val="18"/>
          <w:szCs w:val="18"/>
          <w:color w:val="0000FF"/>
        </w:rPr>
      </w:pPr>
    </w:p>
    <w:p>
      <w:pPr>
        <w:spacing w:after="0" w:line="376" w:lineRule="exact"/>
        <w:rPr>
          <w:rFonts w:ascii="Verdana" w:cs="Verdana" w:eastAsia="Verdana" w:hAnsi="Verdana"/>
          <w:sz w:val="18"/>
          <w:szCs w:val="18"/>
          <w:color w:val="0000FF"/>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47</w:t>
      </w:r>
    </w:p>
    <w:p>
      <w:pPr>
        <w:spacing w:after="0" w:line="20" w:lineRule="exact"/>
        <w:rPr>
          <w:rFonts w:ascii="Verdana" w:cs="Verdana" w:eastAsia="Verdana" w:hAnsi="Verdana"/>
          <w:sz w:val="18"/>
          <w:szCs w:val="18"/>
          <w:color w:val="0000FF"/>
        </w:rPr>
      </w:pPr>
      <w:r>
        <w:rPr>
          <w:rFonts w:ascii="Verdana" w:cs="Verdana" w:eastAsia="Verdana" w:hAnsi="Verdana"/>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47" w:name="page48"/>
    <w:bookmarkEnd w:id="47"/>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On May 22, 2024, under the terms of the 2020 Equity Plan, Busey granted 12,864 RSUs to members of management. The grant date fair value of the award was $0.3 million, which will be recognized as compensation expense over the requisite service period of three years. The terms of these awards included an accelerated vesting provision upon eligible retirement from Busey, after a one-year minimum requisite service period. Subsequent to the requisite service period, the awards will become 100% vested.</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color w:val="auto"/>
        </w:rPr>
        <w:t>A summary of changes in Busey’s RSU awards for the nine months ended September 30, 2024,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62"/>
              <w:spacing w:after="0"/>
              <w:rPr>
                <w:sz w:val="20"/>
                <w:szCs w:val="20"/>
                <w:color w:val="auto"/>
              </w:rPr>
            </w:pPr>
            <w:r>
              <w:rPr>
                <w:rFonts w:ascii="Verdana" w:cs="Verdana" w:eastAsia="Verdana" w:hAnsi="Verdana"/>
                <w:sz w:val="13"/>
                <w:szCs w:val="13"/>
                <w:b w:val="1"/>
                <w:bCs w:val="1"/>
                <w:color w:val="auto"/>
                <w:w w:val="97"/>
              </w:rPr>
              <w:t>Weighted-</w:t>
            </w:r>
          </w:p>
        </w:tc>
        <w:tc>
          <w:tcPr>
            <w:tcW w:w="0" w:type="dxa"/>
            <w:vAlign w:val="bottom"/>
          </w:tcPr>
          <w:p>
            <w:pPr>
              <w:spacing w:after="0"/>
              <w:rPr>
                <w:sz w:val="1"/>
                <w:szCs w:val="1"/>
                <w:color w:val="auto"/>
              </w:rPr>
            </w:pPr>
          </w:p>
        </w:tc>
      </w:tr>
      <w:tr>
        <w:trPr>
          <w:trHeight w:val="121"/>
        </w:trPr>
        <w:tc>
          <w:tcPr>
            <w:tcW w:w="8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jc w:val="center"/>
              <w:ind w:right="162"/>
              <w:spacing w:after="0" w:line="122" w:lineRule="exact"/>
              <w:rPr>
                <w:sz w:val="20"/>
                <w:szCs w:val="20"/>
                <w:color w:val="auto"/>
              </w:rPr>
            </w:pPr>
            <w:r>
              <w:rPr>
                <w:rFonts w:ascii="Verdana" w:cs="Verdana" w:eastAsia="Verdana" w:hAnsi="Verdana"/>
                <w:sz w:val="13"/>
                <w:szCs w:val="13"/>
                <w:b w:val="1"/>
                <w:bCs w:val="1"/>
                <w:color w:val="auto"/>
                <w:w w:val="96"/>
              </w:rPr>
              <w:t>Average</w:t>
            </w:r>
          </w:p>
        </w:tc>
        <w:tc>
          <w:tcPr>
            <w:tcW w:w="0" w:type="dxa"/>
            <w:vAlign w:val="bottom"/>
          </w:tcPr>
          <w:p>
            <w:pPr>
              <w:spacing w:after="0"/>
              <w:rPr>
                <w:sz w:val="1"/>
                <w:szCs w:val="1"/>
                <w:color w:val="auto"/>
              </w:rPr>
            </w:pPr>
          </w:p>
        </w:tc>
      </w:tr>
      <w:tr>
        <w:trPr>
          <w:trHeight w:val="108"/>
        </w:trPr>
        <w:tc>
          <w:tcPr>
            <w:tcW w:w="8060" w:type="dxa"/>
            <w:vAlign w:val="bottom"/>
            <w:vMerge w:val="restart"/>
          </w:tcPr>
          <w:p>
            <w:pPr>
              <w:ind w:left="20"/>
              <w:spacing w:after="0"/>
              <w:rPr>
                <w:sz w:val="20"/>
                <w:szCs w:val="20"/>
                <w:color w:val="auto"/>
              </w:rPr>
            </w:pPr>
            <w:r>
              <w:rPr>
                <w:rFonts w:ascii="Verdana" w:cs="Verdana" w:eastAsia="Verdana" w:hAnsi="Verdana"/>
                <w:sz w:val="13"/>
                <w:szCs w:val="13"/>
                <w:b w:val="1"/>
                <w:bCs w:val="1"/>
                <w:color w:val="auto"/>
              </w:rPr>
              <w:t>RSU Awards</w:t>
            </w:r>
          </w:p>
        </w:tc>
        <w:tc>
          <w:tcPr>
            <w:tcW w:w="80" w:type="dxa"/>
            <w:vAlign w:val="bottom"/>
            <w:vMerge w:val="restart"/>
          </w:tcPr>
          <w:p>
            <w:pPr>
              <w:spacing w:after="0"/>
              <w:rPr>
                <w:sz w:val="9"/>
                <w:szCs w:val="9"/>
                <w:color w:val="auto"/>
              </w:rPr>
            </w:pPr>
          </w:p>
        </w:tc>
        <w:tc>
          <w:tcPr>
            <w:tcW w:w="1500" w:type="dxa"/>
            <w:vAlign w:val="bottom"/>
            <w:vMerge w:val="restart"/>
          </w:tcPr>
          <w:p>
            <w:pPr>
              <w:jc w:val="right"/>
              <w:ind w:right="414"/>
              <w:spacing w:after="0"/>
              <w:rPr>
                <w:sz w:val="20"/>
                <w:szCs w:val="20"/>
                <w:color w:val="auto"/>
              </w:rPr>
            </w:pPr>
            <w:r>
              <w:rPr>
                <w:rFonts w:ascii="Verdana" w:cs="Verdana" w:eastAsia="Verdana" w:hAnsi="Verdana"/>
                <w:sz w:val="13"/>
                <w:szCs w:val="13"/>
                <w:b w:val="1"/>
                <w:bCs w:val="1"/>
                <w:color w:val="auto"/>
              </w:rPr>
              <w:t>Shares</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jc w:val="center"/>
              <w:ind w:right="182"/>
              <w:spacing w:after="0" w:line="108" w:lineRule="exact"/>
              <w:rPr>
                <w:sz w:val="20"/>
                <w:szCs w:val="20"/>
                <w:color w:val="auto"/>
              </w:rPr>
            </w:pPr>
            <w:r>
              <w:rPr>
                <w:rFonts w:ascii="Verdana" w:cs="Verdana" w:eastAsia="Verdana" w:hAnsi="Verdana"/>
                <w:sz w:val="10"/>
                <w:szCs w:val="10"/>
                <w:b w:val="1"/>
                <w:bCs w:val="1"/>
                <w:color w:val="auto"/>
              </w:rPr>
              <w:t>Grant Date</w:t>
            </w:r>
          </w:p>
        </w:tc>
        <w:tc>
          <w:tcPr>
            <w:tcW w:w="0" w:type="dxa"/>
            <w:vAlign w:val="bottom"/>
          </w:tcPr>
          <w:p>
            <w:pPr>
              <w:spacing w:after="0"/>
              <w:rPr>
                <w:sz w:val="1"/>
                <w:szCs w:val="1"/>
                <w:color w:val="auto"/>
              </w:rPr>
            </w:pPr>
          </w:p>
        </w:tc>
      </w:tr>
      <w:tr>
        <w:trPr>
          <w:trHeight w:val="170"/>
        </w:trPr>
        <w:tc>
          <w:tcPr>
            <w:tcW w:w="80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E0E7ED"/>
            </w:tcBorders>
            <w:vMerge w:val="continue"/>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82"/>
              <w:spacing w:after="0"/>
              <w:rPr>
                <w:sz w:val="20"/>
                <w:szCs w:val="20"/>
                <w:color w:val="auto"/>
              </w:rPr>
            </w:pPr>
            <w:r>
              <w:rPr>
                <w:rFonts w:ascii="Verdana" w:cs="Verdana" w:eastAsia="Verdana" w:hAnsi="Verdana"/>
                <w:sz w:val="13"/>
                <w:szCs w:val="13"/>
                <w:b w:val="1"/>
                <w:bCs w:val="1"/>
                <w:color w:val="auto"/>
                <w:w w:val="97"/>
              </w:rPr>
              <w:t>Fair Value</w:t>
            </w:r>
          </w:p>
        </w:tc>
        <w:tc>
          <w:tcPr>
            <w:tcW w:w="0" w:type="dxa"/>
            <w:vAlign w:val="bottom"/>
          </w:tcPr>
          <w:p>
            <w:pPr>
              <w:spacing w:after="0"/>
              <w:rPr>
                <w:sz w:val="1"/>
                <w:szCs w:val="1"/>
                <w:color w:val="auto"/>
              </w:rPr>
            </w:pPr>
          </w:p>
        </w:tc>
      </w:tr>
      <w:tr>
        <w:trPr>
          <w:trHeight w:val="269"/>
        </w:trPr>
        <w:tc>
          <w:tcPr>
            <w:tcW w:w="814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Nonvested at December 31, 2023</w:t>
            </w:r>
          </w:p>
        </w:tc>
        <w:tc>
          <w:tcPr>
            <w:tcW w:w="15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1,041,444</w:t>
            </w:r>
          </w:p>
        </w:tc>
        <w:tc>
          <w:tcPr>
            <w:tcW w:w="34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8"/>
                <w:szCs w:val="18"/>
                <w:color w:val="auto"/>
              </w:rPr>
              <w:t>$</w:t>
            </w:r>
          </w:p>
        </w:tc>
        <w:tc>
          <w:tcPr>
            <w:tcW w:w="1260" w:type="dxa"/>
            <w:vAlign w:val="bottom"/>
            <w:shd w:val="clear" w:color="auto" w:fill="E0E7ED"/>
          </w:tcPr>
          <w:p>
            <w:pPr>
              <w:jc w:val="right"/>
              <w:ind w:right="22"/>
              <w:spacing w:after="0"/>
              <w:rPr>
                <w:sz w:val="20"/>
                <w:szCs w:val="20"/>
                <w:color w:val="auto"/>
              </w:rPr>
            </w:pPr>
            <w:r>
              <w:rPr>
                <w:rFonts w:ascii="Verdana" w:cs="Verdana" w:eastAsia="Verdana" w:hAnsi="Verdana"/>
                <w:sz w:val="18"/>
                <w:szCs w:val="18"/>
                <w:color w:val="auto"/>
              </w:rPr>
              <w:t>22.05</w:t>
            </w:r>
          </w:p>
        </w:tc>
        <w:tc>
          <w:tcPr>
            <w:tcW w:w="0" w:type="dxa"/>
            <w:vAlign w:val="bottom"/>
          </w:tcPr>
          <w:p>
            <w:pPr>
              <w:spacing w:after="0"/>
              <w:rPr>
                <w:sz w:val="1"/>
                <w:szCs w:val="1"/>
                <w:color w:val="auto"/>
              </w:rPr>
            </w:pPr>
          </w:p>
        </w:tc>
      </w:tr>
      <w:tr>
        <w:trPr>
          <w:trHeight w:val="263"/>
        </w:trPr>
        <w:tc>
          <w:tcPr>
            <w:tcW w:w="8140" w:type="dxa"/>
            <w:vAlign w:val="bottom"/>
            <w:gridSpan w:val="2"/>
          </w:tcPr>
          <w:p>
            <w:pPr>
              <w:ind w:left="180"/>
              <w:spacing w:after="0"/>
              <w:rPr>
                <w:sz w:val="20"/>
                <w:szCs w:val="20"/>
                <w:color w:val="auto"/>
              </w:rPr>
            </w:pPr>
            <w:r>
              <w:rPr>
                <w:rFonts w:ascii="Verdana" w:cs="Verdana" w:eastAsia="Verdana" w:hAnsi="Verdana"/>
                <w:sz w:val="18"/>
                <w:szCs w:val="18"/>
                <w:color w:val="auto"/>
              </w:rPr>
              <w:t>Granted</w:t>
            </w:r>
          </w:p>
        </w:tc>
        <w:tc>
          <w:tcPr>
            <w:tcW w:w="1500" w:type="dxa"/>
            <w:vAlign w:val="bottom"/>
          </w:tcPr>
          <w:p>
            <w:pPr>
              <w:jc w:val="right"/>
              <w:spacing w:after="0"/>
              <w:rPr>
                <w:sz w:val="20"/>
                <w:szCs w:val="20"/>
                <w:color w:val="auto"/>
              </w:rPr>
            </w:pPr>
            <w:r>
              <w:rPr>
                <w:rFonts w:ascii="Verdana" w:cs="Verdana" w:eastAsia="Verdana" w:hAnsi="Verdana"/>
                <w:sz w:val="18"/>
                <w:szCs w:val="18"/>
                <w:color w:val="auto"/>
              </w:rPr>
              <w:t>202,043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Verdana" w:cs="Verdana" w:eastAsia="Verdana" w:hAnsi="Verdana"/>
                <w:sz w:val="18"/>
                <w:szCs w:val="18"/>
                <w:color w:val="auto"/>
              </w:rPr>
              <w:t>23.35</w:t>
            </w:r>
          </w:p>
        </w:tc>
        <w:tc>
          <w:tcPr>
            <w:tcW w:w="0" w:type="dxa"/>
            <w:vAlign w:val="bottom"/>
          </w:tcPr>
          <w:p>
            <w:pPr>
              <w:spacing w:after="0"/>
              <w:rPr>
                <w:sz w:val="1"/>
                <w:szCs w:val="1"/>
                <w:color w:val="auto"/>
              </w:rPr>
            </w:pPr>
          </w:p>
        </w:tc>
      </w:tr>
      <w:tr>
        <w:trPr>
          <w:trHeight w:val="277"/>
        </w:trPr>
        <w:tc>
          <w:tcPr>
            <w:tcW w:w="8140" w:type="dxa"/>
            <w:vAlign w:val="bottom"/>
            <w:gridSpan w:val="2"/>
            <w:shd w:val="clear" w:color="auto" w:fill="E0E7ED"/>
          </w:tcPr>
          <w:p>
            <w:pPr>
              <w:ind w:left="180"/>
              <w:spacing w:after="0"/>
              <w:rPr>
                <w:sz w:val="20"/>
                <w:szCs w:val="20"/>
                <w:color w:val="auto"/>
              </w:rPr>
            </w:pPr>
            <w:r>
              <w:rPr>
                <w:rFonts w:ascii="Verdana" w:cs="Verdana" w:eastAsia="Verdana" w:hAnsi="Verdana"/>
                <w:sz w:val="18"/>
                <w:szCs w:val="18"/>
                <w:color w:val="auto"/>
              </w:rPr>
              <w:t>Dividend equivalents earned</w:t>
            </w:r>
          </w:p>
        </w:tc>
        <w:tc>
          <w:tcPr>
            <w:tcW w:w="15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32,239</w:t>
            </w:r>
          </w:p>
        </w:tc>
        <w:tc>
          <w:tcPr>
            <w:tcW w:w="8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22"/>
              <w:spacing w:after="0"/>
              <w:rPr>
                <w:sz w:val="20"/>
                <w:szCs w:val="20"/>
                <w:color w:val="auto"/>
              </w:rPr>
            </w:pPr>
            <w:r>
              <w:rPr>
                <w:rFonts w:ascii="Verdana" w:cs="Verdana" w:eastAsia="Verdana" w:hAnsi="Verdana"/>
                <w:sz w:val="18"/>
                <w:szCs w:val="18"/>
                <w:color w:val="auto"/>
              </w:rPr>
              <w:t>24.92</w:t>
            </w:r>
          </w:p>
        </w:tc>
        <w:tc>
          <w:tcPr>
            <w:tcW w:w="0" w:type="dxa"/>
            <w:vAlign w:val="bottom"/>
          </w:tcPr>
          <w:p>
            <w:pPr>
              <w:spacing w:after="0"/>
              <w:rPr>
                <w:sz w:val="1"/>
                <w:szCs w:val="1"/>
                <w:color w:val="auto"/>
              </w:rPr>
            </w:pPr>
          </w:p>
        </w:tc>
      </w:tr>
      <w:tr>
        <w:trPr>
          <w:trHeight w:val="263"/>
        </w:trPr>
        <w:tc>
          <w:tcPr>
            <w:tcW w:w="8140" w:type="dxa"/>
            <w:vAlign w:val="bottom"/>
            <w:gridSpan w:val="2"/>
          </w:tcPr>
          <w:p>
            <w:pPr>
              <w:ind w:left="180"/>
              <w:spacing w:after="0"/>
              <w:rPr>
                <w:sz w:val="20"/>
                <w:szCs w:val="20"/>
                <w:color w:val="auto"/>
              </w:rPr>
            </w:pPr>
            <w:r>
              <w:rPr>
                <w:rFonts w:ascii="Verdana" w:cs="Verdana" w:eastAsia="Verdana" w:hAnsi="Verdana"/>
                <w:sz w:val="18"/>
                <w:szCs w:val="18"/>
                <w:color w:val="auto"/>
              </w:rPr>
              <w:t>Vested</w:t>
            </w:r>
          </w:p>
        </w:tc>
        <w:tc>
          <w:tcPr>
            <w:tcW w:w="1500" w:type="dxa"/>
            <w:vAlign w:val="bottom"/>
          </w:tcPr>
          <w:p>
            <w:pPr>
              <w:jc w:val="right"/>
              <w:spacing w:after="0"/>
              <w:rPr>
                <w:sz w:val="20"/>
                <w:szCs w:val="20"/>
                <w:color w:val="auto"/>
              </w:rPr>
            </w:pPr>
            <w:r>
              <w:rPr>
                <w:rFonts w:ascii="Verdana" w:cs="Verdana" w:eastAsia="Verdana" w:hAnsi="Verdana"/>
                <w:sz w:val="18"/>
                <w:szCs w:val="18"/>
                <w:color w:val="auto"/>
              </w:rPr>
              <w:t>(172,822)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Verdana" w:cs="Verdana" w:eastAsia="Verdana" w:hAnsi="Verdana"/>
                <w:sz w:val="18"/>
                <w:szCs w:val="18"/>
                <w:color w:val="auto"/>
              </w:rPr>
              <w:t>25.72</w:t>
            </w:r>
          </w:p>
        </w:tc>
        <w:tc>
          <w:tcPr>
            <w:tcW w:w="0" w:type="dxa"/>
            <w:vAlign w:val="bottom"/>
          </w:tcPr>
          <w:p>
            <w:pPr>
              <w:spacing w:after="0"/>
              <w:rPr>
                <w:sz w:val="1"/>
                <w:szCs w:val="1"/>
                <w:color w:val="auto"/>
              </w:rPr>
            </w:pPr>
          </w:p>
        </w:tc>
      </w:tr>
      <w:tr>
        <w:trPr>
          <w:trHeight w:val="270"/>
        </w:trPr>
        <w:tc>
          <w:tcPr>
            <w:tcW w:w="8140" w:type="dxa"/>
            <w:vAlign w:val="bottom"/>
            <w:gridSpan w:val="2"/>
            <w:shd w:val="clear" w:color="auto" w:fill="E0E7ED"/>
          </w:tcPr>
          <w:p>
            <w:pPr>
              <w:ind w:left="180"/>
              <w:spacing w:after="0"/>
              <w:rPr>
                <w:sz w:val="20"/>
                <w:szCs w:val="20"/>
                <w:color w:val="auto"/>
              </w:rPr>
            </w:pPr>
            <w:r>
              <w:rPr>
                <w:rFonts w:ascii="Verdana" w:cs="Verdana" w:eastAsia="Verdana" w:hAnsi="Verdana"/>
                <w:sz w:val="18"/>
                <w:szCs w:val="18"/>
                <w:color w:val="auto"/>
              </w:rPr>
              <w:t>Forfeited</w:t>
            </w:r>
          </w:p>
        </w:tc>
        <w:tc>
          <w:tcPr>
            <w:tcW w:w="15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(13,692)</w:t>
            </w:r>
          </w:p>
        </w:tc>
        <w:tc>
          <w:tcPr>
            <w:tcW w:w="8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1260" w:type="dxa"/>
            <w:vAlign w:val="bottom"/>
            <w:shd w:val="clear" w:color="auto" w:fill="E0E7ED"/>
          </w:tcPr>
          <w:p>
            <w:pPr>
              <w:jc w:val="right"/>
              <w:ind w:right="22"/>
              <w:spacing w:after="0"/>
              <w:rPr>
                <w:sz w:val="20"/>
                <w:szCs w:val="20"/>
                <w:color w:val="auto"/>
              </w:rPr>
            </w:pPr>
            <w:r>
              <w:rPr>
                <w:rFonts w:ascii="Verdana" w:cs="Verdana" w:eastAsia="Verdana" w:hAnsi="Verdana"/>
                <w:sz w:val="18"/>
                <w:szCs w:val="18"/>
                <w:color w:val="auto"/>
              </w:rPr>
              <w:t>23.28</w:t>
            </w:r>
          </w:p>
        </w:tc>
        <w:tc>
          <w:tcPr>
            <w:tcW w:w="0" w:type="dxa"/>
            <w:vAlign w:val="bottom"/>
          </w:tcPr>
          <w:p>
            <w:pPr>
              <w:spacing w:after="0"/>
              <w:rPr>
                <w:sz w:val="1"/>
                <w:szCs w:val="1"/>
                <w:color w:val="auto"/>
              </w:rPr>
            </w:pPr>
          </w:p>
        </w:tc>
      </w:tr>
      <w:tr>
        <w:trPr>
          <w:trHeight w:val="270"/>
        </w:trPr>
        <w:tc>
          <w:tcPr>
            <w:tcW w:w="8140" w:type="dxa"/>
            <w:vAlign w:val="bottom"/>
            <w:gridSpan w:val="2"/>
          </w:tcPr>
          <w:p>
            <w:pPr>
              <w:ind w:left="20"/>
              <w:spacing w:after="0"/>
              <w:rPr>
                <w:sz w:val="20"/>
                <w:szCs w:val="20"/>
                <w:color w:val="auto"/>
              </w:rPr>
            </w:pPr>
            <w:r>
              <w:rPr>
                <w:rFonts w:ascii="Verdana" w:cs="Verdana" w:eastAsia="Verdana" w:hAnsi="Verdana"/>
                <w:sz w:val="18"/>
                <w:szCs w:val="18"/>
                <w:color w:val="auto"/>
              </w:rPr>
              <w:t>Nonvested at September 30, 2024</w:t>
            </w:r>
          </w:p>
        </w:tc>
        <w:tc>
          <w:tcPr>
            <w:tcW w:w="15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1,089,212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ind w:right="22"/>
              <w:spacing w:after="0"/>
              <w:rPr>
                <w:sz w:val="20"/>
                <w:szCs w:val="20"/>
                <w:color w:val="auto"/>
              </w:rPr>
            </w:pPr>
            <w:r>
              <w:rPr>
                <w:rFonts w:ascii="Verdana" w:cs="Verdana" w:eastAsia="Verdana" w:hAnsi="Verdana"/>
                <w:sz w:val="18"/>
                <w:szCs w:val="18"/>
                <w:color w:val="auto"/>
              </w:rPr>
              <w:t>21.77</w:t>
            </w:r>
          </w:p>
        </w:tc>
        <w:tc>
          <w:tcPr>
            <w:tcW w:w="0" w:type="dxa"/>
            <w:vAlign w:val="bottom"/>
          </w:tcPr>
          <w:p>
            <w:pPr>
              <w:spacing w:after="0"/>
              <w:rPr>
                <w:sz w:val="1"/>
                <w:szCs w:val="1"/>
                <w:color w:val="auto"/>
              </w:rPr>
            </w:pPr>
          </w:p>
        </w:tc>
      </w:tr>
      <w:tr>
        <w:trPr>
          <w:trHeight w:val="21"/>
        </w:trPr>
        <w:tc>
          <w:tcPr>
            <w:tcW w:w="8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PSU Awards</w:t>
      </w:r>
    </w:p>
    <w:p>
      <w:pPr>
        <w:spacing w:after="0" w:line="173"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Busey grants PSU awards to members of management periodically throughout the year. PSU awards are stock-based awards for which vesting is conditional upon meeting established performance criteria. Each PSU is equivalent to one share of Busey’s common stock. The number of PSUs that ultimately vest will be determined based on the extent to which market or other performance goals are achieved. Busey’s PSUs are subject to accelerated service-based vesting conditions upon eligible retirement from Busey. After performance determination, dividend equivalents are compounded based upon the updated PSU balances at each dividend date during the performance period.</w:t>
      </w:r>
    </w:p>
    <w:p>
      <w:pPr>
        <w:spacing w:after="0" w:line="159"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On March 20, 2024, under the terms of the 2020 Equity Plan, Busey granted a target of 94,604 PSUs with a maximum award of 151,366 units. The actual number of units issued at the vesting date could range from 0% to 160% of the initial grant, depending on attaining a market-based total stockholder return performance goal. The grant date fair value of the award was $2.0 million, which will be recognized in compensation expense over the performance period ending December 31, 2026.</w:t>
      </w:r>
    </w:p>
    <w:p>
      <w:pPr>
        <w:spacing w:after="0" w:line="171"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On March 20, 2024, under the terms of the 2020 Equity Plan, Busey granted a target of 94,604 PSUs with a maximum award of 151,366 units. The actual number of units issued at the vesting date could range from 0% to 160% of the initial grant, depending on attaining an adjusted return on average tangible common equity performance goal. The grant date fair value of the award was $2.2 million, which will be recognized in compensation expense over the performance period ending December 31, 2026. The actual amount of compensation expense recognized for these awards may vary, subject to achievement of the performance goal.</w:t>
      </w: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48" w:name="page49"/>
    <w:bookmarkEnd w:id="48"/>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color w:val="auto"/>
        </w:rPr>
        <w:t>A summary of changes in Busey’s PSU awards for the nine months ended September 30, 2024,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61"/>
              <w:spacing w:after="0"/>
              <w:rPr>
                <w:sz w:val="20"/>
                <w:szCs w:val="20"/>
                <w:color w:val="auto"/>
              </w:rPr>
            </w:pPr>
            <w:r>
              <w:rPr>
                <w:rFonts w:ascii="Verdana" w:cs="Verdana" w:eastAsia="Verdana" w:hAnsi="Verdana"/>
                <w:sz w:val="13"/>
                <w:szCs w:val="13"/>
                <w:b w:val="1"/>
                <w:bCs w:val="1"/>
                <w:color w:val="auto"/>
                <w:w w:val="97"/>
              </w:rPr>
              <w:t>Weighted-</w:t>
            </w:r>
          </w:p>
        </w:tc>
        <w:tc>
          <w:tcPr>
            <w:tcW w:w="0" w:type="dxa"/>
            <w:vAlign w:val="bottom"/>
          </w:tcPr>
          <w:p>
            <w:pPr>
              <w:spacing w:after="0"/>
              <w:rPr>
                <w:sz w:val="1"/>
                <w:szCs w:val="1"/>
                <w:color w:val="auto"/>
              </w:rPr>
            </w:pPr>
          </w:p>
        </w:tc>
      </w:tr>
      <w:tr>
        <w:trPr>
          <w:trHeight w:val="122"/>
        </w:trPr>
        <w:tc>
          <w:tcPr>
            <w:tcW w:w="8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jc w:val="center"/>
              <w:ind w:right="161"/>
              <w:spacing w:after="0" w:line="122" w:lineRule="exact"/>
              <w:rPr>
                <w:sz w:val="20"/>
                <w:szCs w:val="20"/>
                <w:color w:val="auto"/>
              </w:rPr>
            </w:pPr>
            <w:r>
              <w:rPr>
                <w:rFonts w:ascii="Verdana" w:cs="Verdana" w:eastAsia="Verdana" w:hAnsi="Verdana"/>
                <w:sz w:val="13"/>
                <w:szCs w:val="13"/>
                <w:b w:val="1"/>
                <w:bCs w:val="1"/>
                <w:color w:val="auto"/>
                <w:w w:val="96"/>
              </w:rPr>
              <w:t>Average</w:t>
            </w:r>
          </w:p>
        </w:tc>
        <w:tc>
          <w:tcPr>
            <w:tcW w:w="0" w:type="dxa"/>
            <w:vAlign w:val="bottom"/>
          </w:tcPr>
          <w:p>
            <w:pPr>
              <w:spacing w:after="0"/>
              <w:rPr>
                <w:sz w:val="1"/>
                <w:szCs w:val="1"/>
                <w:color w:val="auto"/>
              </w:rPr>
            </w:pPr>
          </w:p>
        </w:tc>
      </w:tr>
      <w:tr>
        <w:trPr>
          <w:trHeight w:val="122"/>
        </w:trPr>
        <w:tc>
          <w:tcPr>
            <w:tcW w:w="8060" w:type="dxa"/>
            <w:vAlign w:val="bottom"/>
            <w:vMerge w:val="restart"/>
          </w:tcPr>
          <w:p>
            <w:pPr>
              <w:ind w:left="20"/>
              <w:spacing w:after="0"/>
              <w:rPr>
                <w:sz w:val="20"/>
                <w:szCs w:val="20"/>
                <w:color w:val="auto"/>
              </w:rPr>
            </w:pPr>
            <w:r>
              <w:rPr>
                <w:rFonts w:ascii="Verdana" w:cs="Verdana" w:eastAsia="Verdana" w:hAnsi="Verdana"/>
                <w:sz w:val="13"/>
                <w:szCs w:val="13"/>
                <w:b w:val="1"/>
                <w:bCs w:val="1"/>
                <w:color w:val="auto"/>
              </w:rPr>
              <w:t>PSU Awards</w:t>
            </w:r>
          </w:p>
        </w:tc>
        <w:tc>
          <w:tcPr>
            <w:tcW w:w="80" w:type="dxa"/>
            <w:vAlign w:val="bottom"/>
            <w:vMerge w:val="restart"/>
          </w:tcPr>
          <w:p>
            <w:pPr>
              <w:spacing w:after="0"/>
              <w:rPr>
                <w:sz w:val="10"/>
                <w:szCs w:val="10"/>
                <w:color w:val="auto"/>
              </w:rPr>
            </w:pPr>
          </w:p>
        </w:tc>
        <w:tc>
          <w:tcPr>
            <w:tcW w:w="1500" w:type="dxa"/>
            <w:vAlign w:val="bottom"/>
            <w:vMerge w:val="restart"/>
          </w:tcPr>
          <w:p>
            <w:pPr>
              <w:jc w:val="right"/>
              <w:ind w:right="394"/>
              <w:spacing w:after="0"/>
              <w:rPr>
                <w:sz w:val="20"/>
                <w:szCs w:val="20"/>
                <w:color w:val="auto"/>
              </w:rPr>
            </w:pPr>
            <w:r>
              <w:rPr>
                <w:rFonts w:ascii="Verdana" w:cs="Verdana" w:eastAsia="Verdana" w:hAnsi="Verdana"/>
                <w:sz w:val="13"/>
                <w:szCs w:val="13"/>
                <w:b w:val="1"/>
                <w:bCs w:val="1"/>
                <w:color w:val="auto"/>
              </w:rPr>
              <w:t>Shares</w:t>
            </w:r>
            <w:r>
              <w:rPr>
                <w:rFonts w:ascii="Verdana" w:cs="Verdana" w:eastAsia="Verdana" w:hAnsi="Verdana"/>
                <w:sz w:val="16"/>
                <w:szCs w:val="16"/>
                <w:b w:val="1"/>
                <w:bCs w:val="1"/>
                <w:color w:val="auto"/>
                <w:vertAlign w:val="superscript"/>
              </w:rPr>
              <w:t>1</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jc w:val="center"/>
              <w:ind w:right="181"/>
              <w:spacing w:after="0" w:line="122" w:lineRule="exact"/>
              <w:rPr>
                <w:sz w:val="20"/>
                <w:szCs w:val="20"/>
                <w:color w:val="auto"/>
              </w:rPr>
            </w:pPr>
            <w:r>
              <w:rPr>
                <w:rFonts w:ascii="Verdana" w:cs="Verdana" w:eastAsia="Verdana" w:hAnsi="Verdana"/>
                <w:sz w:val="13"/>
                <w:szCs w:val="13"/>
                <w:b w:val="1"/>
                <w:bCs w:val="1"/>
                <w:color w:val="auto"/>
                <w:w w:val="95"/>
              </w:rPr>
              <w:t>Grant Date</w:t>
            </w:r>
          </w:p>
        </w:tc>
        <w:tc>
          <w:tcPr>
            <w:tcW w:w="0" w:type="dxa"/>
            <w:vAlign w:val="bottom"/>
          </w:tcPr>
          <w:p>
            <w:pPr>
              <w:spacing w:after="0"/>
              <w:rPr>
                <w:sz w:val="1"/>
                <w:szCs w:val="1"/>
                <w:color w:val="auto"/>
              </w:rPr>
            </w:pPr>
          </w:p>
        </w:tc>
      </w:tr>
      <w:tr>
        <w:trPr>
          <w:trHeight w:val="162"/>
        </w:trPr>
        <w:tc>
          <w:tcPr>
            <w:tcW w:w="80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E0E7ED"/>
            </w:tcBorders>
            <w:vMerge w:val="continue"/>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81"/>
              <w:spacing w:after="0"/>
              <w:rPr>
                <w:sz w:val="20"/>
                <w:szCs w:val="20"/>
                <w:color w:val="auto"/>
              </w:rPr>
            </w:pPr>
            <w:r>
              <w:rPr>
                <w:rFonts w:ascii="Verdana" w:cs="Verdana" w:eastAsia="Verdana" w:hAnsi="Verdana"/>
                <w:sz w:val="13"/>
                <w:szCs w:val="13"/>
                <w:b w:val="1"/>
                <w:bCs w:val="1"/>
                <w:color w:val="auto"/>
                <w:w w:val="97"/>
              </w:rPr>
              <w:t>Fair Value</w:t>
            </w:r>
          </w:p>
        </w:tc>
        <w:tc>
          <w:tcPr>
            <w:tcW w:w="0" w:type="dxa"/>
            <w:vAlign w:val="bottom"/>
          </w:tcPr>
          <w:p>
            <w:pPr>
              <w:spacing w:after="0"/>
              <w:rPr>
                <w:sz w:val="1"/>
                <w:szCs w:val="1"/>
                <w:color w:val="auto"/>
              </w:rPr>
            </w:pPr>
          </w:p>
        </w:tc>
      </w:tr>
      <w:tr>
        <w:trPr>
          <w:trHeight w:val="263"/>
        </w:trPr>
        <w:tc>
          <w:tcPr>
            <w:tcW w:w="814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Nonvested at December 31, 2023</w:t>
            </w:r>
          </w:p>
        </w:tc>
        <w:tc>
          <w:tcPr>
            <w:tcW w:w="150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341,700</w:t>
            </w:r>
          </w:p>
        </w:tc>
        <w:tc>
          <w:tcPr>
            <w:tcW w:w="34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8"/>
                <w:szCs w:val="18"/>
                <w:color w:val="auto"/>
              </w:rPr>
              <w:t>$</w:t>
            </w:r>
          </w:p>
        </w:tc>
        <w:tc>
          <w:tcPr>
            <w:tcW w:w="126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22.67</w:t>
            </w:r>
          </w:p>
        </w:tc>
        <w:tc>
          <w:tcPr>
            <w:tcW w:w="0" w:type="dxa"/>
            <w:vAlign w:val="bottom"/>
          </w:tcPr>
          <w:p>
            <w:pPr>
              <w:spacing w:after="0"/>
              <w:rPr>
                <w:sz w:val="1"/>
                <w:szCs w:val="1"/>
                <w:color w:val="auto"/>
              </w:rPr>
            </w:pPr>
          </w:p>
        </w:tc>
      </w:tr>
      <w:tr>
        <w:trPr>
          <w:trHeight w:val="263"/>
        </w:trPr>
        <w:tc>
          <w:tcPr>
            <w:tcW w:w="8140" w:type="dxa"/>
            <w:vAlign w:val="bottom"/>
            <w:gridSpan w:val="2"/>
          </w:tcPr>
          <w:p>
            <w:pPr>
              <w:ind w:left="180"/>
              <w:spacing w:after="0"/>
              <w:rPr>
                <w:sz w:val="20"/>
                <w:szCs w:val="20"/>
                <w:color w:val="auto"/>
              </w:rPr>
            </w:pPr>
            <w:r>
              <w:rPr>
                <w:rFonts w:ascii="Verdana" w:cs="Verdana" w:eastAsia="Verdana" w:hAnsi="Verdana"/>
                <w:sz w:val="18"/>
                <w:szCs w:val="18"/>
                <w:color w:val="auto"/>
              </w:rPr>
              <w:t>Granted</w:t>
            </w:r>
          </w:p>
        </w:tc>
        <w:tc>
          <w:tcPr>
            <w:tcW w:w="1500" w:type="dxa"/>
            <w:vAlign w:val="bottom"/>
          </w:tcPr>
          <w:p>
            <w:pPr>
              <w:jc w:val="right"/>
              <w:ind w:right="14"/>
              <w:spacing w:after="0"/>
              <w:rPr>
                <w:sz w:val="20"/>
                <w:szCs w:val="20"/>
                <w:color w:val="auto"/>
              </w:rPr>
            </w:pPr>
            <w:r>
              <w:rPr>
                <w:rFonts w:ascii="Verdana" w:cs="Verdana" w:eastAsia="Verdana" w:hAnsi="Verdana"/>
                <w:sz w:val="18"/>
                <w:szCs w:val="18"/>
                <w:color w:val="auto"/>
              </w:rPr>
              <w:t>189,208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Verdana" w:cs="Verdana" w:eastAsia="Verdana" w:hAnsi="Verdana"/>
                <w:sz w:val="18"/>
                <w:szCs w:val="18"/>
                <w:color w:val="auto"/>
              </w:rPr>
              <w:t>22.32</w:t>
            </w:r>
          </w:p>
        </w:tc>
        <w:tc>
          <w:tcPr>
            <w:tcW w:w="0" w:type="dxa"/>
            <w:vAlign w:val="bottom"/>
          </w:tcPr>
          <w:p>
            <w:pPr>
              <w:spacing w:after="0"/>
              <w:rPr>
                <w:sz w:val="1"/>
                <w:szCs w:val="1"/>
                <w:color w:val="auto"/>
              </w:rPr>
            </w:pPr>
          </w:p>
        </w:tc>
      </w:tr>
      <w:tr>
        <w:trPr>
          <w:trHeight w:val="277"/>
        </w:trPr>
        <w:tc>
          <w:tcPr>
            <w:tcW w:w="8140" w:type="dxa"/>
            <w:vAlign w:val="bottom"/>
            <w:gridSpan w:val="2"/>
            <w:shd w:val="clear" w:color="auto" w:fill="E0E7ED"/>
          </w:tcPr>
          <w:p>
            <w:pPr>
              <w:ind w:left="180"/>
              <w:spacing w:after="0"/>
              <w:rPr>
                <w:sz w:val="20"/>
                <w:szCs w:val="20"/>
                <w:color w:val="auto"/>
              </w:rPr>
            </w:pPr>
            <w:r>
              <w:rPr>
                <w:rFonts w:ascii="Verdana" w:cs="Verdana" w:eastAsia="Verdana" w:hAnsi="Verdana"/>
                <w:sz w:val="18"/>
                <w:szCs w:val="18"/>
                <w:color w:val="auto"/>
              </w:rPr>
              <w:t>Dividend equivalents earned</w:t>
            </w:r>
            <w:r>
              <w:rPr>
                <w:rFonts w:ascii="Verdana" w:cs="Verdana" w:eastAsia="Verdana" w:hAnsi="Verdana"/>
                <w:sz w:val="11"/>
                <w:szCs w:val="11"/>
                <w:color w:val="auto"/>
              </w:rPr>
              <w:t>2</w:t>
            </w:r>
          </w:p>
        </w:tc>
        <w:tc>
          <w:tcPr>
            <w:tcW w:w="150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4,264</w:t>
            </w:r>
          </w:p>
        </w:tc>
        <w:tc>
          <w:tcPr>
            <w:tcW w:w="8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22.95</w:t>
            </w:r>
          </w:p>
        </w:tc>
        <w:tc>
          <w:tcPr>
            <w:tcW w:w="0" w:type="dxa"/>
            <w:vAlign w:val="bottom"/>
          </w:tcPr>
          <w:p>
            <w:pPr>
              <w:spacing w:after="0"/>
              <w:rPr>
                <w:sz w:val="1"/>
                <w:szCs w:val="1"/>
                <w:color w:val="auto"/>
              </w:rPr>
            </w:pPr>
          </w:p>
        </w:tc>
      </w:tr>
      <w:tr>
        <w:trPr>
          <w:trHeight w:val="263"/>
        </w:trPr>
        <w:tc>
          <w:tcPr>
            <w:tcW w:w="8140" w:type="dxa"/>
            <w:vAlign w:val="bottom"/>
            <w:gridSpan w:val="2"/>
          </w:tcPr>
          <w:p>
            <w:pPr>
              <w:ind w:left="180"/>
              <w:spacing w:after="0"/>
              <w:rPr>
                <w:sz w:val="20"/>
                <w:szCs w:val="20"/>
                <w:color w:val="auto"/>
              </w:rPr>
            </w:pPr>
            <w:r>
              <w:rPr>
                <w:rFonts w:ascii="Verdana" w:cs="Verdana" w:eastAsia="Verdana" w:hAnsi="Verdana"/>
                <w:sz w:val="18"/>
                <w:szCs w:val="18"/>
                <w:color w:val="auto"/>
              </w:rPr>
              <w:t>Vested</w:t>
            </w:r>
            <w:r>
              <w:rPr>
                <w:rFonts w:ascii="Verdana" w:cs="Verdana" w:eastAsia="Verdana" w:hAnsi="Verdana"/>
                <w:sz w:val="11"/>
                <w:szCs w:val="11"/>
                <w:color w:val="auto"/>
              </w:rPr>
              <w:t>2</w:t>
            </w:r>
          </w:p>
        </w:tc>
        <w:tc>
          <w:tcPr>
            <w:tcW w:w="1500" w:type="dxa"/>
            <w:vAlign w:val="bottom"/>
          </w:tcPr>
          <w:p>
            <w:pPr>
              <w:jc w:val="right"/>
              <w:spacing w:after="0"/>
              <w:rPr>
                <w:sz w:val="20"/>
                <w:szCs w:val="20"/>
                <w:color w:val="auto"/>
              </w:rPr>
            </w:pPr>
            <w:r>
              <w:rPr>
                <w:rFonts w:ascii="Verdana" w:cs="Verdana" w:eastAsia="Verdana" w:hAnsi="Verdana"/>
                <w:sz w:val="18"/>
                <w:szCs w:val="18"/>
                <w:color w:val="auto"/>
              </w:rPr>
              <w:t>(4,264)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Verdana" w:cs="Verdana" w:eastAsia="Verdana" w:hAnsi="Verdana"/>
                <w:sz w:val="18"/>
                <w:szCs w:val="18"/>
                <w:color w:val="auto"/>
              </w:rPr>
              <w:t>22.95</w:t>
            </w:r>
          </w:p>
        </w:tc>
        <w:tc>
          <w:tcPr>
            <w:tcW w:w="0" w:type="dxa"/>
            <w:vAlign w:val="bottom"/>
          </w:tcPr>
          <w:p>
            <w:pPr>
              <w:spacing w:after="0"/>
              <w:rPr>
                <w:sz w:val="1"/>
                <w:szCs w:val="1"/>
                <w:color w:val="auto"/>
              </w:rPr>
            </w:pPr>
          </w:p>
        </w:tc>
      </w:tr>
      <w:tr>
        <w:trPr>
          <w:trHeight w:val="270"/>
        </w:trPr>
        <w:tc>
          <w:tcPr>
            <w:tcW w:w="8140" w:type="dxa"/>
            <w:vAlign w:val="bottom"/>
            <w:gridSpan w:val="2"/>
            <w:shd w:val="clear" w:color="auto" w:fill="E0E7ED"/>
          </w:tcPr>
          <w:p>
            <w:pPr>
              <w:ind w:left="180"/>
              <w:spacing w:after="0"/>
              <w:rPr>
                <w:sz w:val="20"/>
                <w:szCs w:val="20"/>
                <w:color w:val="auto"/>
              </w:rPr>
            </w:pPr>
            <w:r>
              <w:rPr>
                <w:rFonts w:ascii="Verdana" w:cs="Verdana" w:eastAsia="Verdana" w:hAnsi="Verdana"/>
                <w:sz w:val="18"/>
                <w:szCs w:val="18"/>
                <w:color w:val="auto"/>
              </w:rPr>
              <w:t>Forfeited</w:t>
            </w:r>
          </w:p>
        </w:tc>
        <w:tc>
          <w:tcPr>
            <w:tcW w:w="15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(6,306)</w:t>
            </w:r>
          </w:p>
        </w:tc>
        <w:tc>
          <w:tcPr>
            <w:tcW w:w="8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126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22.43</w:t>
            </w:r>
          </w:p>
        </w:tc>
        <w:tc>
          <w:tcPr>
            <w:tcW w:w="0" w:type="dxa"/>
            <w:vAlign w:val="bottom"/>
          </w:tcPr>
          <w:p>
            <w:pPr>
              <w:spacing w:after="0"/>
              <w:rPr>
                <w:sz w:val="1"/>
                <w:szCs w:val="1"/>
                <w:color w:val="auto"/>
              </w:rPr>
            </w:pPr>
          </w:p>
        </w:tc>
      </w:tr>
      <w:tr>
        <w:trPr>
          <w:trHeight w:val="270"/>
        </w:trPr>
        <w:tc>
          <w:tcPr>
            <w:tcW w:w="8140" w:type="dxa"/>
            <w:vAlign w:val="bottom"/>
            <w:gridSpan w:val="2"/>
          </w:tcPr>
          <w:p>
            <w:pPr>
              <w:ind w:left="20"/>
              <w:spacing w:after="0"/>
              <w:rPr>
                <w:sz w:val="20"/>
                <w:szCs w:val="20"/>
                <w:color w:val="auto"/>
              </w:rPr>
            </w:pPr>
            <w:r>
              <w:rPr>
                <w:rFonts w:ascii="Verdana" w:cs="Verdana" w:eastAsia="Verdana" w:hAnsi="Verdana"/>
                <w:sz w:val="18"/>
                <w:szCs w:val="18"/>
                <w:color w:val="auto"/>
              </w:rPr>
              <w:t>Nonvested at September 30, 2024</w:t>
            </w:r>
          </w:p>
        </w:tc>
        <w:tc>
          <w:tcPr>
            <w:tcW w:w="1500" w:type="dxa"/>
            <w:vAlign w:val="bottom"/>
            <w:tcBorders>
              <w:bottom w:val="single" w:sz="8" w:color="auto"/>
            </w:tcBorders>
          </w:tcPr>
          <w:p>
            <w:pPr>
              <w:jc w:val="right"/>
              <w:ind w:right="14"/>
              <w:spacing w:after="0"/>
              <w:rPr>
                <w:sz w:val="20"/>
                <w:szCs w:val="20"/>
                <w:color w:val="auto"/>
              </w:rPr>
            </w:pPr>
            <w:r>
              <w:rPr>
                <w:rFonts w:ascii="Verdana" w:cs="Verdana" w:eastAsia="Verdana" w:hAnsi="Verdana"/>
                <w:sz w:val="18"/>
                <w:szCs w:val="18"/>
                <w:color w:val="auto"/>
              </w:rPr>
              <w:t>524,602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ind w:right="21"/>
              <w:spacing w:after="0"/>
              <w:rPr>
                <w:sz w:val="20"/>
                <w:szCs w:val="20"/>
                <w:color w:val="auto"/>
              </w:rPr>
            </w:pPr>
            <w:r>
              <w:rPr>
                <w:rFonts w:ascii="Verdana" w:cs="Verdana" w:eastAsia="Verdana" w:hAnsi="Verdana"/>
                <w:sz w:val="18"/>
                <w:szCs w:val="18"/>
                <w:color w:val="auto"/>
              </w:rPr>
              <w:t>22.54</w:t>
            </w:r>
          </w:p>
        </w:tc>
        <w:tc>
          <w:tcPr>
            <w:tcW w:w="0" w:type="dxa"/>
            <w:vAlign w:val="bottom"/>
          </w:tcPr>
          <w:p>
            <w:pPr>
              <w:spacing w:after="0"/>
              <w:rPr>
                <w:sz w:val="1"/>
                <w:szCs w:val="1"/>
                <w:color w:val="auto"/>
              </w:rPr>
            </w:pPr>
          </w:p>
        </w:tc>
      </w:tr>
      <w:tr>
        <w:trPr>
          <w:trHeight w:val="21"/>
        </w:trPr>
        <w:tc>
          <w:tcPr>
            <w:tcW w:w="8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line="225" w:lineRule="auto"/>
        <w:tabs>
          <w:tab w:leader="none" w:pos="480" w:val="left"/>
        </w:tabs>
        <w:numPr>
          <w:ilvl w:val="0"/>
          <w:numId w:val="16"/>
        </w:numPr>
        <w:rPr>
          <w:rFonts w:ascii="Verdana" w:cs="Verdana" w:eastAsia="Verdana" w:hAnsi="Verdana"/>
          <w:sz w:val="13"/>
          <w:szCs w:val="13"/>
          <w:color w:val="auto"/>
        </w:rPr>
      </w:pPr>
      <w:r>
        <w:rPr>
          <w:rFonts w:ascii="Verdana" w:cs="Verdana" w:eastAsia="Verdana" w:hAnsi="Verdana"/>
          <w:sz w:val="13"/>
          <w:szCs w:val="13"/>
          <w:color w:val="auto"/>
        </w:rPr>
        <w:t>Shares for PSU awards represent target shares at the grant date.</w:t>
      </w:r>
    </w:p>
    <w:p>
      <w:pPr>
        <w:ind w:left="500" w:hanging="330"/>
        <w:spacing w:after="0" w:line="256" w:lineRule="auto"/>
        <w:tabs>
          <w:tab w:leader="none" w:pos="491" w:val="left"/>
        </w:tabs>
        <w:numPr>
          <w:ilvl w:val="0"/>
          <w:numId w:val="16"/>
        </w:numPr>
        <w:rPr>
          <w:rFonts w:ascii="Verdana" w:cs="Verdana" w:eastAsia="Verdana" w:hAnsi="Verdana"/>
          <w:sz w:val="13"/>
          <w:szCs w:val="13"/>
          <w:color w:val="auto"/>
        </w:rPr>
      </w:pPr>
      <w:r>
        <w:rPr>
          <w:rFonts w:ascii="Verdana" w:cs="Verdana" w:eastAsia="Verdana" w:hAnsi="Verdana"/>
          <w:sz w:val="13"/>
          <w:szCs w:val="13"/>
          <w:color w:val="auto"/>
        </w:rPr>
        <w:t>PSUs granted in 2021 vested on December 31, 2023, with performance determination and settlement activity in the first quarter of 2024. Final performance was determined to be at 50% of target.</w:t>
      </w:r>
    </w:p>
    <w:p>
      <w:pPr>
        <w:spacing w:after="0" w:line="149"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DSU Awards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Busey grants DSU awards to its directors and advisory directors. DSU awards are stock-based awards with a deferred settlement date. Each DSU is equivalent to one share of Busey’s common stock. DSUs vest over a one-year period following the grant date. Under the 2020 Equity Plan, DSUs are generally subject to the same terms as RSUs, except that following vesting of DSUs, settlement occurs within 30 days following the earlier of separation from the board or a change in control of the Company. Recipients earn quarterly dividend equivalents on their respective DSUs, which entitle the recipients to additional units. Therefore, dividends earned each quarter compound based upon the updated unit balances. After vesting and prior to delivery, DSUs will continue to earn dividend equivalents.</w:t>
      </w:r>
    </w:p>
    <w:p>
      <w:pPr>
        <w:spacing w:after="0" w:line="176"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On March 20, 2024, under the terms of the 2020 Equity Plan, Busey granted 35,847 DSUs to directors and advisory directors. The grant date fair value of the award totaled $0.8 million and will be recognized as compensation expense over the requisite service period of one year. Subsequent to the requisite service period, the awards will become 100% vested.</w:t>
      </w:r>
    </w:p>
    <w:p>
      <w:pPr>
        <w:spacing w:after="0" w:line="154" w:lineRule="exact"/>
        <w:rPr>
          <w:sz w:val="20"/>
          <w:szCs w:val="20"/>
          <w:color w:val="auto"/>
        </w:rPr>
      </w:pPr>
    </w:p>
    <w:p>
      <w:pPr>
        <w:spacing w:after="0"/>
        <w:rPr>
          <w:sz w:val="20"/>
          <w:szCs w:val="20"/>
          <w:color w:val="auto"/>
        </w:rPr>
      </w:pPr>
      <w:r>
        <w:rPr>
          <w:rFonts w:ascii="Verdana" w:cs="Verdana" w:eastAsia="Verdana" w:hAnsi="Verdana"/>
          <w:sz w:val="18"/>
          <w:szCs w:val="18"/>
          <w:color w:val="auto"/>
        </w:rPr>
        <w:t>A summary of changes in Busey’s DSU awards for the nine months ended September 30, 2024,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60"/>
              <w:spacing w:after="0"/>
              <w:rPr>
                <w:sz w:val="20"/>
                <w:szCs w:val="20"/>
                <w:color w:val="auto"/>
              </w:rPr>
            </w:pPr>
            <w:r>
              <w:rPr>
                <w:rFonts w:ascii="Verdana" w:cs="Verdana" w:eastAsia="Verdana" w:hAnsi="Verdana"/>
                <w:sz w:val="13"/>
                <w:szCs w:val="13"/>
                <w:b w:val="1"/>
                <w:bCs w:val="1"/>
                <w:color w:val="auto"/>
                <w:w w:val="97"/>
              </w:rPr>
              <w:t>Weighted-</w:t>
            </w:r>
          </w:p>
        </w:tc>
        <w:tc>
          <w:tcPr>
            <w:tcW w:w="0" w:type="dxa"/>
            <w:vAlign w:val="bottom"/>
          </w:tcPr>
          <w:p>
            <w:pPr>
              <w:spacing w:after="0"/>
              <w:rPr>
                <w:sz w:val="1"/>
                <w:szCs w:val="1"/>
                <w:color w:val="auto"/>
              </w:rPr>
            </w:pPr>
          </w:p>
        </w:tc>
      </w:tr>
      <w:tr>
        <w:trPr>
          <w:trHeight w:val="121"/>
        </w:trPr>
        <w:tc>
          <w:tcPr>
            <w:tcW w:w="8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jc w:val="center"/>
              <w:ind w:right="160"/>
              <w:spacing w:after="0" w:line="122" w:lineRule="exact"/>
              <w:rPr>
                <w:sz w:val="20"/>
                <w:szCs w:val="20"/>
                <w:color w:val="auto"/>
              </w:rPr>
            </w:pPr>
            <w:r>
              <w:rPr>
                <w:rFonts w:ascii="Verdana" w:cs="Verdana" w:eastAsia="Verdana" w:hAnsi="Verdana"/>
                <w:sz w:val="13"/>
                <w:szCs w:val="13"/>
                <w:b w:val="1"/>
                <w:bCs w:val="1"/>
                <w:color w:val="auto"/>
                <w:w w:val="96"/>
              </w:rPr>
              <w:t>Average</w:t>
            </w:r>
          </w:p>
        </w:tc>
        <w:tc>
          <w:tcPr>
            <w:tcW w:w="0" w:type="dxa"/>
            <w:vAlign w:val="bottom"/>
          </w:tcPr>
          <w:p>
            <w:pPr>
              <w:spacing w:after="0"/>
              <w:rPr>
                <w:sz w:val="1"/>
                <w:szCs w:val="1"/>
                <w:color w:val="auto"/>
              </w:rPr>
            </w:pPr>
          </w:p>
        </w:tc>
      </w:tr>
      <w:tr>
        <w:trPr>
          <w:trHeight w:val="122"/>
        </w:trPr>
        <w:tc>
          <w:tcPr>
            <w:tcW w:w="8060" w:type="dxa"/>
            <w:vAlign w:val="bottom"/>
            <w:vMerge w:val="restart"/>
          </w:tcPr>
          <w:p>
            <w:pPr>
              <w:ind w:left="20"/>
              <w:spacing w:after="0"/>
              <w:rPr>
                <w:sz w:val="20"/>
                <w:szCs w:val="20"/>
                <w:color w:val="auto"/>
              </w:rPr>
            </w:pPr>
            <w:r>
              <w:rPr>
                <w:rFonts w:ascii="Verdana" w:cs="Verdana" w:eastAsia="Verdana" w:hAnsi="Verdana"/>
                <w:sz w:val="13"/>
                <w:szCs w:val="13"/>
                <w:b w:val="1"/>
                <w:bCs w:val="1"/>
                <w:color w:val="auto"/>
              </w:rPr>
              <w:t>DSU Awards</w:t>
            </w:r>
          </w:p>
        </w:tc>
        <w:tc>
          <w:tcPr>
            <w:tcW w:w="80" w:type="dxa"/>
            <w:vAlign w:val="bottom"/>
            <w:vMerge w:val="restart"/>
          </w:tcPr>
          <w:p>
            <w:pPr>
              <w:spacing w:after="0"/>
              <w:rPr>
                <w:sz w:val="10"/>
                <w:szCs w:val="10"/>
                <w:color w:val="auto"/>
              </w:rPr>
            </w:pPr>
          </w:p>
        </w:tc>
        <w:tc>
          <w:tcPr>
            <w:tcW w:w="1500" w:type="dxa"/>
            <w:vAlign w:val="bottom"/>
            <w:vMerge w:val="restart"/>
          </w:tcPr>
          <w:p>
            <w:pPr>
              <w:jc w:val="right"/>
              <w:ind w:right="413"/>
              <w:spacing w:after="0"/>
              <w:rPr>
                <w:sz w:val="20"/>
                <w:szCs w:val="20"/>
                <w:color w:val="auto"/>
              </w:rPr>
            </w:pPr>
            <w:r>
              <w:rPr>
                <w:rFonts w:ascii="Verdana" w:cs="Verdana" w:eastAsia="Verdana" w:hAnsi="Verdana"/>
                <w:sz w:val="13"/>
                <w:szCs w:val="13"/>
                <w:b w:val="1"/>
                <w:bCs w:val="1"/>
                <w:color w:val="auto"/>
              </w:rPr>
              <w:t>Shares</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jc w:val="center"/>
              <w:ind w:right="180"/>
              <w:spacing w:after="0" w:line="122" w:lineRule="exact"/>
              <w:rPr>
                <w:sz w:val="20"/>
                <w:szCs w:val="20"/>
                <w:color w:val="auto"/>
              </w:rPr>
            </w:pPr>
            <w:r>
              <w:rPr>
                <w:rFonts w:ascii="Verdana" w:cs="Verdana" w:eastAsia="Verdana" w:hAnsi="Verdana"/>
                <w:sz w:val="13"/>
                <w:szCs w:val="13"/>
                <w:b w:val="1"/>
                <w:bCs w:val="1"/>
                <w:color w:val="auto"/>
                <w:w w:val="95"/>
              </w:rPr>
              <w:t>Grant Date</w:t>
            </w:r>
          </w:p>
        </w:tc>
        <w:tc>
          <w:tcPr>
            <w:tcW w:w="0" w:type="dxa"/>
            <w:vAlign w:val="bottom"/>
          </w:tcPr>
          <w:p>
            <w:pPr>
              <w:spacing w:after="0"/>
              <w:rPr>
                <w:sz w:val="1"/>
                <w:szCs w:val="1"/>
                <w:color w:val="auto"/>
              </w:rPr>
            </w:pPr>
          </w:p>
        </w:tc>
      </w:tr>
      <w:tr>
        <w:trPr>
          <w:trHeight w:val="162"/>
        </w:trPr>
        <w:tc>
          <w:tcPr>
            <w:tcW w:w="80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E0E7ED"/>
            </w:tcBorders>
            <w:vMerge w:val="continue"/>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80"/>
              <w:spacing w:after="0"/>
              <w:rPr>
                <w:sz w:val="20"/>
                <w:szCs w:val="20"/>
                <w:color w:val="auto"/>
              </w:rPr>
            </w:pPr>
            <w:r>
              <w:rPr>
                <w:rFonts w:ascii="Verdana" w:cs="Verdana" w:eastAsia="Verdana" w:hAnsi="Verdana"/>
                <w:sz w:val="13"/>
                <w:szCs w:val="13"/>
                <w:b w:val="1"/>
                <w:bCs w:val="1"/>
                <w:color w:val="auto"/>
                <w:w w:val="97"/>
              </w:rPr>
              <w:t>Fair Value</w:t>
            </w:r>
          </w:p>
        </w:tc>
        <w:tc>
          <w:tcPr>
            <w:tcW w:w="0" w:type="dxa"/>
            <w:vAlign w:val="bottom"/>
          </w:tcPr>
          <w:p>
            <w:pPr>
              <w:spacing w:after="0"/>
              <w:rPr>
                <w:sz w:val="1"/>
                <w:szCs w:val="1"/>
                <w:color w:val="auto"/>
              </w:rPr>
            </w:pPr>
          </w:p>
        </w:tc>
      </w:tr>
      <w:tr>
        <w:trPr>
          <w:trHeight w:val="263"/>
        </w:trPr>
        <w:tc>
          <w:tcPr>
            <w:tcW w:w="814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Nonvested at December 31, 2023</w:t>
            </w:r>
          </w:p>
        </w:tc>
        <w:tc>
          <w:tcPr>
            <w:tcW w:w="15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43,026</w:t>
            </w:r>
          </w:p>
        </w:tc>
        <w:tc>
          <w:tcPr>
            <w:tcW w:w="34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8"/>
                <w:szCs w:val="18"/>
                <w:color w:val="auto"/>
              </w:rPr>
              <w:t>$</w:t>
            </w:r>
          </w:p>
        </w:tc>
        <w:tc>
          <w:tcPr>
            <w:tcW w:w="1260" w:type="dxa"/>
            <w:vAlign w:val="bottom"/>
            <w:shd w:val="clear" w:color="auto" w:fill="E0E7ED"/>
          </w:tcPr>
          <w:p>
            <w:pPr>
              <w:jc w:val="right"/>
              <w:ind w:right="20"/>
              <w:spacing w:after="0"/>
              <w:rPr>
                <w:sz w:val="20"/>
                <w:szCs w:val="20"/>
                <w:color w:val="auto"/>
              </w:rPr>
            </w:pPr>
            <w:r>
              <w:rPr>
                <w:rFonts w:ascii="Verdana" w:cs="Verdana" w:eastAsia="Verdana" w:hAnsi="Verdana"/>
                <w:sz w:val="18"/>
                <w:szCs w:val="18"/>
                <w:color w:val="auto"/>
              </w:rPr>
              <w:t>20.41</w:t>
            </w:r>
          </w:p>
        </w:tc>
        <w:tc>
          <w:tcPr>
            <w:tcW w:w="0" w:type="dxa"/>
            <w:vAlign w:val="bottom"/>
          </w:tcPr>
          <w:p>
            <w:pPr>
              <w:spacing w:after="0"/>
              <w:rPr>
                <w:sz w:val="1"/>
                <w:szCs w:val="1"/>
                <w:color w:val="auto"/>
              </w:rPr>
            </w:pPr>
          </w:p>
        </w:tc>
      </w:tr>
      <w:tr>
        <w:trPr>
          <w:trHeight w:val="263"/>
        </w:trPr>
        <w:tc>
          <w:tcPr>
            <w:tcW w:w="8140" w:type="dxa"/>
            <w:vAlign w:val="bottom"/>
            <w:gridSpan w:val="2"/>
          </w:tcPr>
          <w:p>
            <w:pPr>
              <w:ind w:left="180"/>
              <w:spacing w:after="0"/>
              <w:rPr>
                <w:sz w:val="20"/>
                <w:szCs w:val="20"/>
                <w:color w:val="auto"/>
              </w:rPr>
            </w:pPr>
            <w:r>
              <w:rPr>
                <w:rFonts w:ascii="Verdana" w:cs="Verdana" w:eastAsia="Verdana" w:hAnsi="Verdana"/>
                <w:sz w:val="18"/>
                <w:szCs w:val="18"/>
                <w:color w:val="auto"/>
              </w:rPr>
              <w:t>Granted</w:t>
            </w:r>
          </w:p>
        </w:tc>
        <w:tc>
          <w:tcPr>
            <w:tcW w:w="1500" w:type="dxa"/>
            <w:vAlign w:val="bottom"/>
          </w:tcPr>
          <w:p>
            <w:pPr>
              <w:jc w:val="right"/>
              <w:ind w:right="13"/>
              <w:spacing w:after="0"/>
              <w:rPr>
                <w:sz w:val="20"/>
                <w:szCs w:val="20"/>
                <w:color w:val="auto"/>
              </w:rPr>
            </w:pPr>
            <w:r>
              <w:rPr>
                <w:rFonts w:ascii="Verdana" w:cs="Verdana" w:eastAsia="Verdana" w:hAnsi="Verdana"/>
                <w:sz w:val="18"/>
                <w:szCs w:val="18"/>
                <w:color w:val="auto"/>
              </w:rPr>
              <w:t>35,847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Verdana" w:cs="Verdana" w:eastAsia="Verdana" w:hAnsi="Verdana"/>
                <w:sz w:val="18"/>
                <w:szCs w:val="18"/>
                <w:color w:val="auto"/>
              </w:rPr>
              <w:t>23.35</w:t>
            </w:r>
          </w:p>
        </w:tc>
        <w:tc>
          <w:tcPr>
            <w:tcW w:w="0" w:type="dxa"/>
            <w:vAlign w:val="bottom"/>
          </w:tcPr>
          <w:p>
            <w:pPr>
              <w:spacing w:after="0"/>
              <w:rPr>
                <w:sz w:val="1"/>
                <w:szCs w:val="1"/>
                <w:color w:val="auto"/>
              </w:rPr>
            </w:pPr>
          </w:p>
        </w:tc>
      </w:tr>
      <w:tr>
        <w:trPr>
          <w:trHeight w:val="277"/>
        </w:trPr>
        <w:tc>
          <w:tcPr>
            <w:tcW w:w="8140" w:type="dxa"/>
            <w:vAlign w:val="bottom"/>
            <w:gridSpan w:val="2"/>
            <w:shd w:val="clear" w:color="auto" w:fill="E0E7ED"/>
          </w:tcPr>
          <w:p>
            <w:pPr>
              <w:ind w:left="180"/>
              <w:spacing w:after="0"/>
              <w:rPr>
                <w:sz w:val="20"/>
                <w:szCs w:val="20"/>
                <w:color w:val="auto"/>
              </w:rPr>
            </w:pPr>
            <w:r>
              <w:rPr>
                <w:rFonts w:ascii="Verdana" w:cs="Verdana" w:eastAsia="Verdana" w:hAnsi="Verdana"/>
                <w:sz w:val="18"/>
                <w:szCs w:val="18"/>
                <w:color w:val="auto"/>
              </w:rPr>
              <w:t>Dividend equivalents earned</w:t>
            </w:r>
          </w:p>
        </w:tc>
        <w:tc>
          <w:tcPr>
            <w:tcW w:w="15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6,032</w:t>
            </w:r>
          </w:p>
        </w:tc>
        <w:tc>
          <w:tcPr>
            <w:tcW w:w="8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20"/>
              <w:spacing w:after="0"/>
              <w:rPr>
                <w:sz w:val="20"/>
                <w:szCs w:val="20"/>
                <w:color w:val="auto"/>
              </w:rPr>
            </w:pPr>
            <w:r>
              <w:rPr>
                <w:rFonts w:ascii="Verdana" w:cs="Verdana" w:eastAsia="Verdana" w:hAnsi="Verdana"/>
                <w:sz w:val="18"/>
                <w:szCs w:val="18"/>
                <w:color w:val="auto"/>
              </w:rPr>
              <w:t>25.02</w:t>
            </w:r>
          </w:p>
        </w:tc>
        <w:tc>
          <w:tcPr>
            <w:tcW w:w="0" w:type="dxa"/>
            <w:vAlign w:val="bottom"/>
          </w:tcPr>
          <w:p>
            <w:pPr>
              <w:spacing w:after="0"/>
              <w:rPr>
                <w:sz w:val="1"/>
                <w:szCs w:val="1"/>
                <w:color w:val="auto"/>
              </w:rPr>
            </w:pPr>
          </w:p>
        </w:tc>
      </w:tr>
      <w:tr>
        <w:trPr>
          <w:trHeight w:val="263"/>
        </w:trPr>
        <w:tc>
          <w:tcPr>
            <w:tcW w:w="8140" w:type="dxa"/>
            <w:vAlign w:val="bottom"/>
            <w:gridSpan w:val="2"/>
          </w:tcPr>
          <w:p>
            <w:pPr>
              <w:ind w:left="180"/>
              <w:spacing w:after="0"/>
              <w:rPr>
                <w:sz w:val="20"/>
                <w:szCs w:val="20"/>
                <w:color w:val="auto"/>
              </w:rPr>
            </w:pPr>
            <w:r>
              <w:rPr>
                <w:rFonts w:ascii="Verdana" w:cs="Verdana" w:eastAsia="Verdana" w:hAnsi="Verdana"/>
                <w:sz w:val="18"/>
                <w:szCs w:val="18"/>
                <w:color w:val="auto"/>
              </w:rPr>
              <w:t>Vested</w:t>
            </w:r>
          </w:p>
        </w:tc>
        <w:tc>
          <w:tcPr>
            <w:tcW w:w="1500" w:type="dxa"/>
            <w:vAlign w:val="bottom"/>
          </w:tcPr>
          <w:p>
            <w:pPr>
              <w:jc w:val="right"/>
              <w:spacing w:after="0"/>
              <w:rPr>
                <w:sz w:val="20"/>
                <w:szCs w:val="20"/>
                <w:color w:val="auto"/>
              </w:rPr>
            </w:pPr>
            <w:r>
              <w:rPr>
                <w:rFonts w:ascii="Verdana" w:cs="Verdana" w:eastAsia="Verdana" w:hAnsi="Verdana"/>
                <w:sz w:val="18"/>
                <w:szCs w:val="18"/>
                <w:color w:val="auto"/>
              </w:rPr>
              <w:t>(47,351)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Verdana" w:cs="Verdana" w:eastAsia="Verdana" w:hAnsi="Verdana"/>
                <w:sz w:val="18"/>
                <w:szCs w:val="18"/>
                <w:color w:val="auto"/>
              </w:rPr>
              <w:t>20.92</w:t>
            </w:r>
          </w:p>
        </w:tc>
        <w:tc>
          <w:tcPr>
            <w:tcW w:w="0" w:type="dxa"/>
            <w:vAlign w:val="bottom"/>
          </w:tcPr>
          <w:p>
            <w:pPr>
              <w:spacing w:after="0"/>
              <w:rPr>
                <w:sz w:val="1"/>
                <w:szCs w:val="1"/>
                <w:color w:val="auto"/>
              </w:rPr>
            </w:pPr>
          </w:p>
        </w:tc>
      </w:tr>
      <w:tr>
        <w:trPr>
          <w:trHeight w:val="270"/>
        </w:trPr>
        <w:tc>
          <w:tcPr>
            <w:tcW w:w="8140" w:type="dxa"/>
            <w:vAlign w:val="bottom"/>
            <w:gridSpan w:val="2"/>
            <w:shd w:val="clear" w:color="auto" w:fill="E0E7ED"/>
          </w:tcPr>
          <w:p>
            <w:pPr>
              <w:ind w:left="180"/>
              <w:spacing w:after="0"/>
              <w:rPr>
                <w:sz w:val="20"/>
                <w:szCs w:val="20"/>
                <w:color w:val="auto"/>
              </w:rPr>
            </w:pPr>
            <w:r>
              <w:rPr>
                <w:rFonts w:ascii="Verdana" w:cs="Verdana" w:eastAsia="Verdana" w:hAnsi="Verdana"/>
                <w:sz w:val="18"/>
                <w:szCs w:val="18"/>
                <w:color w:val="auto"/>
              </w:rPr>
              <w:t>Forfeited</w:t>
            </w:r>
          </w:p>
        </w:tc>
        <w:tc>
          <w:tcPr>
            <w:tcW w:w="15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(1,025)</w:t>
            </w:r>
          </w:p>
        </w:tc>
        <w:tc>
          <w:tcPr>
            <w:tcW w:w="8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1260" w:type="dxa"/>
            <w:vAlign w:val="bottom"/>
            <w:shd w:val="clear" w:color="auto" w:fill="E0E7ED"/>
          </w:tcPr>
          <w:p>
            <w:pPr>
              <w:jc w:val="right"/>
              <w:ind w:right="20"/>
              <w:spacing w:after="0"/>
              <w:rPr>
                <w:sz w:val="20"/>
                <w:szCs w:val="20"/>
                <w:color w:val="auto"/>
              </w:rPr>
            </w:pPr>
            <w:r>
              <w:rPr>
                <w:rFonts w:ascii="Verdana" w:cs="Verdana" w:eastAsia="Verdana" w:hAnsi="Verdana"/>
                <w:sz w:val="18"/>
                <w:szCs w:val="18"/>
                <w:color w:val="auto"/>
              </w:rPr>
              <w:t>20.44</w:t>
            </w:r>
          </w:p>
        </w:tc>
        <w:tc>
          <w:tcPr>
            <w:tcW w:w="0" w:type="dxa"/>
            <w:vAlign w:val="bottom"/>
          </w:tcPr>
          <w:p>
            <w:pPr>
              <w:spacing w:after="0"/>
              <w:rPr>
                <w:sz w:val="1"/>
                <w:szCs w:val="1"/>
                <w:color w:val="auto"/>
              </w:rPr>
            </w:pPr>
          </w:p>
        </w:tc>
      </w:tr>
      <w:tr>
        <w:trPr>
          <w:trHeight w:val="270"/>
        </w:trPr>
        <w:tc>
          <w:tcPr>
            <w:tcW w:w="8140" w:type="dxa"/>
            <w:vAlign w:val="bottom"/>
            <w:gridSpan w:val="2"/>
          </w:tcPr>
          <w:p>
            <w:pPr>
              <w:ind w:left="20"/>
              <w:spacing w:after="0"/>
              <w:rPr>
                <w:sz w:val="20"/>
                <w:szCs w:val="20"/>
                <w:color w:val="auto"/>
              </w:rPr>
            </w:pPr>
            <w:r>
              <w:rPr>
                <w:rFonts w:ascii="Verdana" w:cs="Verdana" w:eastAsia="Verdana" w:hAnsi="Verdana"/>
                <w:sz w:val="18"/>
                <w:szCs w:val="18"/>
                <w:color w:val="auto"/>
              </w:rPr>
              <w:t>Nonvested at September 30, 2024</w:t>
            </w:r>
          </w:p>
        </w:tc>
        <w:tc>
          <w:tcPr>
            <w:tcW w:w="150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36,529</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Verdana" w:cs="Verdana" w:eastAsia="Verdana" w:hAnsi="Verdana"/>
                <w:sz w:val="18"/>
                <w:szCs w:val="18"/>
                <w:color w:val="auto"/>
              </w:rPr>
              <w:t>23.39</w:t>
            </w:r>
          </w:p>
        </w:tc>
        <w:tc>
          <w:tcPr>
            <w:tcW w:w="0" w:type="dxa"/>
            <w:vAlign w:val="bottom"/>
          </w:tcPr>
          <w:p>
            <w:pPr>
              <w:spacing w:after="0"/>
              <w:rPr>
                <w:sz w:val="1"/>
                <w:szCs w:val="1"/>
                <w:color w:val="auto"/>
              </w:rPr>
            </w:pPr>
          </w:p>
        </w:tc>
      </w:tr>
      <w:tr>
        <w:trPr>
          <w:trHeight w:val="20"/>
        </w:trPr>
        <w:tc>
          <w:tcPr>
            <w:tcW w:w="806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60" w:type="dxa"/>
            <w:vAlign w:val="bottom"/>
            <w:tcBorders>
              <w:bottom w:val="single" w:sz="8" w:color="E0E7ED"/>
            </w:tcBorders>
          </w:tcPr>
          <w:p>
            <w:pPr>
              <w:spacing w:after="0" w:line="20" w:lineRule="exact"/>
              <w:rPr>
                <w:sz w:val="1"/>
                <w:szCs w:val="1"/>
                <w:color w:val="auto"/>
              </w:rPr>
            </w:pPr>
          </w:p>
        </w:tc>
        <w:tc>
          <w:tcPr>
            <w:tcW w:w="1260" w:type="dxa"/>
            <w:vAlign w:val="bottom"/>
            <w:tcBorders>
              <w:bottom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6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50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26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140" w:type="dxa"/>
            <w:vAlign w:val="bottom"/>
            <w:gridSpan w:val="2"/>
          </w:tcPr>
          <w:p>
            <w:pPr>
              <w:ind w:left="20"/>
              <w:spacing w:after="0"/>
              <w:rPr>
                <w:sz w:val="20"/>
                <w:szCs w:val="20"/>
                <w:color w:val="auto"/>
              </w:rPr>
            </w:pPr>
            <w:r>
              <w:rPr>
                <w:rFonts w:ascii="Verdana" w:cs="Verdana" w:eastAsia="Verdana" w:hAnsi="Verdana"/>
                <w:sz w:val="18"/>
                <w:szCs w:val="18"/>
                <w:color w:val="auto"/>
              </w:rPr>
              <w:t>Vested and outstanding at September 30, 2024</w:t>
            </w:r>
          </w:p>
        </w:tc>
        <w:tc>
          <w:tcPr>
            <w:tcW w:w="1500" w:type="dxa"/>
            <w:vAlign w:val="bottom"/>
          </w:tcPr>
          <w:p>
            <w:pPr>
              <w:jc w:val="right"/>
              <w:ind w:right="13"/>
              <w:spacing w:after="0"/>
              <w:rPr>
                <w:sz w:val="20"/>
                <w:szCs w:val="20"/>
                <w:color w:val="auto"/>
              </w:rPr>
            </w:pPr>
            <w:r>
              <w:rPr>
                <w:rFonts w:ascii="Verdana" w:cs="Verdana" w:eastAsia="Verdana" w:hAnsi="Verdana"/>
                <w:sz w:val="18"/>
                <w:szCs w:val="18"/>
                <w:color w:val="auto"/>
              </w:rPr>
              <w:t>183,124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Verdana" w:cs="Verdana" w:eastAsia="Verdana" w:hAnsi="Verdana"/>
                <w:sz w:val="18"/>
                <w:szCs w:val="18"/>
                <w:color w:val="auto"/>
              </w:rPr>
              <w:t>22.84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49" w:name="page50"/>
    <w:bookmarkEnd w:id="49"/>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Employee Stock Purchase Plan</w:t>
      </w:r>
    </w:p>
    <w:p>
      <w:pPr>
        <w:spacing w:after="0" w:line="173" w:lineRule="exact"/>
        <w:rPr>
          <w:sz w:val="20"/>
          <w:szCs w:val="20"/>
          <w:color w:val="auto"/>
        </w:rPr>
      </w:pPr>
    </w:p>
    <w:p>
      <w:pPr>
        <w:jc w:val="both"/>
        <w:spacing w:after="0"/>
        <w:rPr>
          <w:rFonts w:ascii="Verdana" w:cs="Verdana" w:eastAsia="Verdana" w:hAnsi="Verdana"/>
          <w:sz w:val="18"/>
          <w:szCs w:val="18"/>
          <w:color w:val="auto"/>
        </w:rPr>
      </w:pPr>
      <w:r>
        <w:rPr>
          <w:rFonts w:ascii="Verdana" w:cs="Verdana" w:eastAsia="Verdana" w:hAnsi="Verdana"/>
          <w:sz w:val="18"/>
          <w:szCs w:val="18"/>
          <w:color w:val="auto"/>
        </w:rPr>
        <w:t xml:space="preserve">The First Busey Corporation ESPP was approved at Busey’s 2021 Annual Meeting of Stockholders and details can be found in </w:t>
      </w:r>
      <w:hyperlink r:id="rId65">
        <w:r>
          <w:rPr>
            <w:rFonts w:ascii="Verdana" w:cs="Verdana" w:eastAsia="Verdana" w:hAnsi="Verdana"/>
            <w:sz w:val="18"/>
            <w:szCs w:val="18"/>
            <w:u w:val="single" w:color="auto"/>
            <w:color w:val="0000FF"/>
          </w:rPr>
          <w:t>Appendix A</w:t>
        </w:r>
        <w:r>
          <w:rPr>
            <w:rFonts w:ascii="Verdana" w:cs="Verdana" w:eastAsia="Verdana" w:hAnsi="Verdana"/>
            <w:sz w:val="18"/>
            <w:szCs w:val="18"/>
            <w:u w:val="single" w:color="auto"/>
            <w:color w:val="auto"/>
          </w:rPr>
          <w:t xml:space="preserve"> </w:t>
        </w:r>
      </w:hyperlink>
      <w:r>
        <w:rPr>
          <w:rFonts w:ascii="Verdana" w:cs="Verdana" w:eastAsia="Verdana" w:hAnsi="Verdana"/>
          <w:sz w:val="18"/>
          <w:szCs w:val="18"/>
          <w:color w:val="auto"/>
        </w:rPr>
        <w:t xml:space="preserve">within </w:t>
      </w:r>
      <w:hyperlink r:id="rId66">
        <w:r>
          <w:rPr>
            <w:rFonts w:ascii="Verdana" w:cs="Verdana" w:eastAsia="Verdana" w:hAnsi="Verdana"/>
            <w:sz w:val="18"/>
            <w:szCs w:val="18"/>
            <w:u w:val="single" w:color="auto"/>
            <w:color w:val="0000FF"/>
          </w:rPr>
          <w:t>Busey’s Definitive Proxy Statement filed with the SEC on April 8, 2021</w:t>
        </w:r>
      </w:hyperlink>
      <w:r>
        <w:rPr>
          <w:rFonts w:ascii="Verdana" w:cs="Verdana" w:eastAsia="Verdana" w:hAnsi="Verdana"/>
          <w:sz w:val="18"/>
          <w:szCs w:val="18"/>
          <w:color w:val="auto"/>
        </w:rPr>
        <w:t>. The purpose of the ESPP is to provide a means through which our employees may acquire a proprietary interest in Busey by purchasing shares of our common stock at a 15% discount through voluntary payroll deductions, to assist us in retaining the services of our employees and securing and retaining the services of new employees, and to provide incentives for our employees to exert maximum efforts toward our success.</w:t>
      </w:r>
    </w:p>
    <w:p>
      <w:pPr>
        <w:spacing w:after="0" w:line="172"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The ESPP initially reserved for issuance and purchase an aggregate of 600,000 shares of Busey’s common stock. The first offering under the ESPP began on July 1, 2021. There were 406,700 shares available for issuance under the ESPP as of September 30, 2024.</w:t>
      </w:r>
    </w:p>
    <w:p>
      <w:pPr>
        <w:spacing w:after="0" w:line="154"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Stock-based Compensation Expense</w:t>
      </w:r>
    </w:p>
    <w:p>
      <w:pPr>
        <w:spacing w:after="0" w:line="213"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Busey did not record any stock option compensation expense for the three or nine months ended September 30, 2024, or 2023. Busey did not have any unrecognized stock option compensation expense as of September 30, 2024.</w:t>
      </w:r>
    </w:p>
    <w:p>
      <w:pPr>
        <w:spacing w:after="0" w:line="144"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Busey recognized compensation expense related to non-vested RSU, PSU, and DSU awards, as well as the ESPP, as summarized in the table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gridSpan w:val="5"/>
          </w:tcPr>
          <w:p>
            <w:pPr>
              <w:ind w:left="60"/>
              <w:spacing w:after="0"/>
              <w:rPr>
                <w:sz w:val="20"/>
                <w:szCs w:val="20"/>
                <w:color w:val="auto"/>
              </w:rPr>
            </w:pPr>
            <w:r>
              <w:rPr>
                <w:rFonts w:ascii="Verdana" w:cs="Verdana" w:eastAsia="Verdana" w:hAnsi="Verdana"/>
                <w:sz w:val="13"/>
                <w:szCs w:val="13"/>
                <w:b w:val="1"/>
                <w:bCs w:val="1"/>
                <w:color w:val="auto"/>
              </w:rPr>
              <w:t>Three Months Ended September 30,</w:t>
            </w:r>
          </w:p>
        </w:tc>
        <w:tc>
          <w:tcPr>
            <w:tcW w:w="220" w:type="dxa"/>
            <w:vAlign w:val="bottom"/>
          </w:tcPr>
          <w:p>
            <w:pPr>
              <w:spacing w:after="0"/>
              <w:rPr>
                <w:sz w:val="15"/>
                <w:szCs w:val="15"/>
                <w:color w:val="auto"/>
              </w:rPr>
            </w:pPr>
          </w:p>
        </w:tc>
        <w:tc>
          <w:tcPr>
            <w:tcW w:w="2840" w:type="dxa"/>
            <w:vAlign w:val="bottom"/>
            <w:gridSpan w:val="4"/>
          </w:tcPr>
          <w:p>
            <w:pPr>
              <w:jc w:val="right"/>
              <w:ind w:right="235"/>
              <w:spacing w:after="0"/>
              <w:rPr>
                <w:sz w:val="20"/>
                <w:szCs w:val="20"/>
                <w:color w:val="auto"/>
              </w:rPr>
            </w:pPr>
            <w:r>
              <w:rPr>
                <w:rFonts w:ascii="Verdana" w:cs="Verdana" w:eastAsia="Verdana" w:hAnsi="Verdana"/>
                <w:sz w:val="13"/>
                <w:szCs w:val="13"/>
                <w:b w:val="1"/>
                <w:bCs w:val="1"/>
                <w:color w:val="auto"/>
                <w:w w:val="99"/>
              </w:rPr>
              <w:t>Nine Months Ended September 30,</w:t>
            </w:r>
          </w:p>
        </w:tc>
        <w:tc>
          <w:tcPr>
            <w:tcW w:w="0" w:type="dxa"/>
            <w:vAlign w:val="bottom"/>
          </w:tcPr>
          <w:p>
            <w:pPr>
              <w:spacing w:after="0"/>
              <w:rPr>
                <w:sz w:val="1"/>
                <w:szCs w:val="1"/>
                <w:color w:val="auto"/>
              </w:rPr>
            </w:pPr>
          </w:p>
        </w:tc>
      </w:tr>
      <w:tr>
        <w:trPr>
          <w:trHeight w:val="170"/>
        </w:trPr>
        <w:tc>
          <w:tcPr>
            <w:tcW w:w="3360" w:type="dxa"/>
            <w:vAlign w:val="bottom"/>
          </w:tcPr>
          <w:p>
            <w:pPr>
              <w:spacing w:after="0"/>
              <w:rPr>
                <w:sz w:val="14"/>
                <w:szCs w:val="14"/>
                <w:color w:val="auto"/>
              </w:rPr>
            </w:pPr>
          </w:p>
        </w:tc>
        <w:tc>
          <w:tcPr>
            <w:tcW w:w="1660" w:type="dxa"/>
            <w:vAlign w:val="bottom"/>
            <w:gridSpan w:val="2"/>
          </w:tcPr>
          <w:p>
            <w:pPr>
              <w:ind w:left="480"/>
              <w:spacing w:after="0"/>
              <w:rPr>
                <w:sz w:val="20"/>
                <w:szCs w:val="20"/>
                <w:color w:val="auto"/>
              </w:rPr>
            </w:pPr>
            <w:r>
              <w:rPr>
                <w:rFonts w:ascii="Verdana" w:cs="Verdana" w:eastAsia="Verdana" w:hAnsi="Verdana"/>
                <w:sz w:val="13"/>
                <w:szCs w:val="13"/>
                <w:b w:val="1"/>
                <w:bCs w:val="1"/>
                <w:color w:val="auto"/>
              </w:rPr>
              <w:t>Location</w:t>
            </w:r>
          </w:p>
        </w:tc>
        <w:tc>
          <w:tcPr>
            <w:tcW w:w="2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478"/>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75"/>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478"/>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75"/>
              <w:spacing w:after="0"/>
              <w:rPr>
                <w:sz w:val="20"/>
                <w:szCs w:val="20"/>
                <w:color w:val="auto"/>
              </w:rPr>
            </w:pPr>
            <w:r>
              <w:rPr>
                <w:rFonts w:ascii="Verdana" w:cs="Verdana" w:eastAsia="Verdana" w:hAnsi="Verdana"/>
                <w:sz w:val="13"/>
                <w:szCs w:val="13"/>
                <w:b w:val="1"/>
                <w:bCs w:val="1"/>
                <w:color w:val="auto"/>
              </w:rPr>
              <w:t>2023</w:t>
            </w:r>
          </w:p>
        </w:tc>
        <w:tc>
          <w:tcPr>
            <w:tcW w:w="0" w:type="dxa"/>
            <w:vAlign w:val="bottom"/>
          </w:tcPr>
          <w:p>
            <w:pPr>
              <w:spacing w:after="0"/>
              <w:rPr>
                <w:sz w:val="1"/>
                <w:szCs w:val="1"/>
                <w:color w:val="auto"/>
              </w:rPr>
            </w:pPr>
          </w:p>
        </w:tc>
      </w:tr>
      <w:tr>
        <w:trPr>
          <w:trHeight w:val="223"/>
        </w:trPr>
        <w:tc>
          <w:tcPr>
            <w:tcW w:w="33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Stock-based compensation</w:t>
            </w:r>
          </w:p>
        </w:tc>
        <w:tc>
          <w:tcPr>
            <w:tcW w:w="156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00" w:type="dxa"/>
            <w:vAlign w:val="bottom"/>
            <w:tcBorders>
              <w:top w:val="single" w:sz="8" w:color="auto"/>
            </w:tcBorders>
            <w:shd w:val="clear" w:color="auto" w:fill="E0E7ED"/>
          </w:tcPr>
          <w:p>
            <w:pPr>
              <w:spacing w:after="0"/>
              <w:rPr>
                <w:sz w:val="19"/>
                <w:szCs w:val="19"/>
                <w:color w:val="auto"/>
              </w:rPr>
            </w:pPr>
          </w:p>
        </w:tc>
        <w:tc>
          <w:tcPr>
            <w:tcW w:w="12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340" w:type="dxa"/>
            <w:vAlign w:val="bottom"/>
            <w:tcBorders>
              <w:top w:val="single" w:sz="8" w:color="auto"/>
            </w:tcBorders>
            <w:shd w:val="clear" w:color="auto" w:fill="E0E7ED"/>
          </w:tcPr>
          <w:p>
            <w:pPr>
              <w:spacing w:after="0"/>
              <w:rPr>
                <w:sz w:val="19"/>
                <w:szCs w:val="19"/>
                <w:color w:val="auto"/>
              </w:rPr>
            </w:pPr>
          </w:p>
        </w:tc>
        <w:tc>
          <w:tcPr>
            <w:tcW w:w="114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26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340" w:type="dxa"/>
            <w:vAlign w:val="bottom"/>
            <w:tcBorders>
              <w:top w:val="single" w:sz="8" w:color="auto"/>
            </w:tcBorders>
            <w:shd w:val="clear" w:color="auto" w:fill="E0E7ED"/>
          </w:tcPr>
          <w:p>
            <w:pPr>
              <w:spacing w:after="0"/>
              <w:rPr>
                <w:sz w:val="19"/>
                <w:szCs w:val="19"/>
                <w:color w:val="auto"/>
              </w:rPr>
            </w:pPr>
          </w:p>
        </w:tc>
        <w:tc>
          <w:tcPr>
            <w:tcW w:w="114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expense</w:t>
            </w:r>
          </w:p>
        </w:tc>
        <w:tc>
          <w:tcPr>
            <w:tcW w:w="15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360" w:type="dxa"/>
            <w:vAlign w:val="bottom"/>
          </w:tcPr>
          <w:p>
            <w:pPr>
              <w:ind w:left="180"/>
              <w:spacing w:after="0"/>
              <w:rPr>
                <w:sz w:val="20"/>
                <w:szCs w:val="20"/>
                <w:color w:val="auto"/>
              </w:rPr>
            </w:pPr>
            <w:r>
              <w:rPr>
                <w:rFonts w:ascii="Verdana" w:cs="Verdana" w:eastAsia="Verdana" w:hAnsi="Verdana"/>
                <w:sz w:val="18"/>
                <w:szCs w:val="18"/>
                <w:color w:val="auto"/>
              </w:rPr>
              <w:t>RSU awards</w:t>
            </w:r>
          </w:p>
        </w:tc>
        <w:tc>
          <w:tcPr>
            <w:tcW w:w="1660" w:type="dxa"/>
            <w:vAlign w:val="bottom"/>
            <w:gridSpan w:val="2"/>
          </w:tcPr>
          <w:p>
            <w:pPr>
              <w:ind w:left="20"/>
              <w:spacing w:after="0"/>
              <w:rPr>
                <w:sz w:val="20"/>
                <w:szCs w:val="20"/>
                <w:color w:val="auto"/>
              </w:rPr>
            </w:pPr>
            <w:r>
              <w:rPr>
                <w:rFonts w:ascii="Verdana" w:cs="Verdana" w:eastAsia="Verdana" w:hAnsi="Verdana"/>
                <w:sz w:val="18"/>
                <w:szCs w:val="18"/>
                <w:color w:val="auto"/>
              </w:rPr>
              <w:t>Salaries, wages,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660" w:type="dxa"/>
            <w:vAlign w:val="bottom"/>
            <w:gridSpan w:val="2"/>
          </w:tcPr>
          <w:p>
            <w:pPr>
              <w:ind w:left="20"/>
              <w:spacing w:after="0" w:line="216" w:lineRule="exact"/>
              <w:rPr>
                <w:sz w:val="20"/>
                <w:szCs w:val="20"/>
                <w:color w:val="auto"/>
              </w:rPr>
            </w:pPr>
            <w:r>
              <w:rPr>
                <w:rFonts w:ascii="Verdana" w:cs="Verdana" w:eastAsia="Verdana" w:hAnsi="Verdana"/>
                <w:sz w:val="18"/>
                <w:szCs w:val="18"/>
                <w:color w:val="auto"/>
              </w:rPr>
              <w:t>and employee</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360" w:type="dxa"/>
            <w:vAlign w:val="bottom"/>
          </w:tcPr>
          <w:p>
            <w:pPr>
              <w:spacing w:after="0"/>
              <w:rPr>
                <w:sz w:val="21"/>
                <w:szCs w:val="21"/>
                <w:color w:val="auto"/>
              </w:rPr>
            </w:pPr>
          </w:p>
        </w:tc>
        <w:tc>
          <w:tcPr>
            <w:tcW w:w="1660" w:type="dxa"/>
            <w:vAlign w:val="bottom"/>
            <w:gridSpan w:val="2"/>
          </w:tcPr>
          <w:p>
            <w:pPr>
              <w:ind w:left="20"/>
              <w:spacing w:after="0"/>
              <w:rPr>
                <w:sz w:val="20"/>
                <w:szCs w:val="20"/>
                <w:color w:val="auto"/>
              </w:rPr>
            </w:pPr>
            <w:r>
              <w:rPr>
                <w:rFonts w:ascii="Verdana" w:cs="Verdana" w:eastAsia="Verdana" w:hAnsi="Verdana"/>
                <w:sz w:val="18"/>
                <w:szCs w:val="18"/>
                <w:color w:val="auto"/>
              </w:rPr>
              <w:t>benefits</w:t>
            </w:r>
          </w:p>
        </w:tc>
        <w:tc>
          <w:tcPr>
            <w:tcW w:w="20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1,057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140" w:type="dxa"/>
            <w:vAlign w:val="bottom"/>
          </w:tcPr>
          <w:p>
            <w:pPr>
              <w:jc w:val="right"/>
              <w:spacing w:after="0"/>
              <w:rPr>
                <w:sz w:val="20"/>
                <w:szCs w:val="20"/>
                <w:color w:val="auto"/>
              </w:rPr>
            </w:pPr>
            <w:r>
              <w:rPr>
                <w:rFonts w:ascii="Verdana" w:cs="Verdana" w:eastAsia="Verdana" w:hAnsi="Verdana"/>
                <w:sz w:val="18"/>
                <w:szCs w:val="18"/>
                <w:color w:val="auto"/>
              </w:rPr>
              <w:t>1,177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260" w:type="dxa"/>
            <w:vAlign w:val="bottom"/>
          </w:tcPr>
          <w:p>
            <w:pPr>
              <w:jc w:val="right"/>
              <w:spacing w:after="0"/>
              <w:rPr>
                <w:sz w:val="20"/>
                <w:szCs w:val="20"/>
                <w:color w:val="auto"/>
              </w:rPr>
            </w:pPr>
            <w:r>
              <w:rPr>
                <w:rFonts w:ascii="Verdana" w:cs="Verdana" w:eastAsia="Verdana" w:hAnsi="Verdana"/>
                <w:sz w:val="18"/>
                <w:szCs w:val="18"/>
                <w:color w:val="auto"/>
              </w:rPr>
              <w:t>3,012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140" w:type="dxa"/>
            <w:vAlign w:val="bottom"/>
          </w:tcPr>
          <w:p>
            <w:pPr>
              <w:jc w:val="right"/>
              <w:ind w:right="15"/>
              <w:spacing w:after="0"/>
              <w:rPr>
                <w:sz w:val="20"/>
                <w:szCs w:val="20"/>
                <w:color w:val="auto"/>
              </w:rPr>
            </w:pPr>
            <w:r>
              <w:rPr>
                <w:rFonts w:ascii="Verdana" w:cs="Verdana" w:eastAsia="Verdana" w:hAnsi="Verdana"/>
                <w:sz w:val="18"/>
                <w:szCs w:val="18"/>
                <w:color w:val="auto"/>
              </w:rPr>
              <w:t>3,428</w:t>
            </w:r>
          </w:p>
        </w:tc>
        <w:tc>
          <w:tcPr>
            <w:tcW w:w="0" w:type="dxa"/>
            <w:vAlign w:val="bottom"/>
          </w:tcPr>
          <w:p>
            <w:pPr>
              <w:spacing w:after="0"/>
              <w:rPr>
                <w:sz w:val="1"/>
                <w:szCs w:val="1"/>
                <w:color w:val="auto"/>
              </w:rPr>
            </w:pPr>
          </w:p>
        </w:tc>
      </w:tr>
      <w:tr>
        <w:trPr>
          <w:trHeight w:val="244"/>
        </w:trPr>
        <w:tc>
          <w:tcPr>
            <w:tcW w:w="3360" w:type="dxa"/>
            <w:vAlign w:val="bottom"/>
            <w:shd w:val="clear" w:color="auto" w:fill="E0E7ED"/>
          </w:tcPr>
          <w:p>
            <w:pPr>
              <w:ind w:left="180"/>
              <w:spacing w:after="0" w:line="244" w:lineRule="exact"/>
              <w:rPr>
                <w:sz w:val="20"/>
                <w:szCs w:val="20"/>
                <w:color w:val="auto"/>
              </w:rPr>
            </w:pPr>
            <w:r>
              <w:rPr>
                <w:rFonts w:ascii="Verdana" w:cs="Verdana" w:eastAsia="Verdana" w:hAnsi="Verdana"/>
                <w:sz w:val="18"/>
                <w:szCs w:val="18"/>
                <w:color w:val="auto"/>
              </w:rPr>
              <w:t>PSU awards</w:t>
            </w:r>
            <w:r>
              <w:rPr>
                <w:rFonts w:ascii="Verdana" w:cs="Verdana" w:eastAsia="Verdana" w:hAnsi="Verdana"/>
                <w:sz w:val="23"/>
                <w:szCs w:val="23"/>
                <w:color w:val="auto"/>
                <w:vertAlign w:val="superscript"/>
              </w:rPr>
              <w:t>1</w:t>
            </w:r>
          </w:p>
        </w:tc>
        <w:tc>
          <w:tcPr>
            <w:tcW w:w="16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Salaries, wages,</w:t>
            </w:r>
          </w:p>
        </w:tc>
        <w:tc>
          <w:tcPr>
            <w:tcW w:w="20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E0E7ED"/>
          </w:tcPr>
          <w:p>
            <w:pPr>
              <w:spacing w:after="0"/>
              <w:rPr>
                <w:sz w:val="18"/>
                <w:szCs w:val="18"/>
                <w:color w:val="auto"/>
              </w:rPr>
            </w:pPr>
          </w:p>
        </w:tc>
        <w:tc>
          <w:tcPr>
            <w:tcW w:w="1660" w:type="dxa"/>
            <w:vAlign w:val="bottom"/>
            <w:gridSpan w:val="2"/>
            <w:shd w:val="clear" w:color="auto" w:fill="E0E7ED"/>
          </w:tcPr>
          <w:p>
            <w:pPr>
              <w:ind w:left="20"/>
              <w:spacing w:after="0" w:line="216" w:lineRule="exact"/>
              <w:rPr>
                <w:sz w:val="20"/>
                <w:szCs w:val="20"/>
                <w:color w:val="auto"/>
              </w:rPr>
            </w:pPr>
            <w:r>
              <w:rPr>
                <w:rFonts w:ascii="Verdana" w:cs="Verdana" w:eastAsia="Verdana" w:hAnsi="Verdana"/>
                <w:sz w:val="18"/>
                <w:szCs w:val="18"/>
                <w:color w:val="auto"/>
              </w:rPr>
              <w:t>and employee</w:t>
            </w:r>
          </w:p>
        </w:tc>
        <w:tc>
          <w:tcPr>
            <w:tcW w:w="200" w:type="dxa"/>
            <w:vAlign w:val="bottom"/>
            <w:shd w:val="clear" w:color="auto" w:fill="E0E7ED"/>
          </w:tcPr>
          <w:p>
            <w:pPr>
              <w:spacing w:after="0"/>
              <w:rPr>
                <w:sz w:val="18"/>
                <w:szCs w:val="18"/>
                <w:color w:val="auto"/>
              </w:rPr>
            </w:pPr>
          </w:p>
        </w:tc>
        <w:tc>
          <w:tcPr>
            <w:tcW w:w="128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14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20" w:type="dxa"/>
            <w:vAlign w:val="bottom"/>
            <w:shd w:val="clear" w:color="auto" w:fill="E0E7ED"/>
          </w:tcPr>
          <w:p>
            <w:pPr>
              <w:spacing w:after="0"/>
              <w:rPr>
                <w:sz w:val="18"/>
                <w:szCs w:val="18"/>
                <w:color w:val="auto"/>
              </w:rPr>
            </w:pPr>
          </w:p>
        </w:tc>
        <w:tc>
          <w:tcPr>
            <w:tcW w:w="126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140" w:type="dxa"/>
            <w:vAlign w:val="bottom"/>
            <w:shd w:val="clear" w:color="auto" w:fill="E0E7ED"/>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360" w:type="dxa"/>
            <w:vAlign w:val="bottom"/>
            <w:shd w:val="clear" w:color="auto" w:fill="E0E7ED"/>
          </w:tcPr>
          <w:p>
            <w:pPr>
              <w:spacing w:after="0"/>
              <w:rPr>
                <w:sz w:val="21"/>
                <w:szCs w:val="21"/>
                <w:color w:val="auto"/>
              </w:rPr>
            </w:pPr>
          </w:p>
        </w:tc>
        <w:tc>
          <w:tcPr>
            <w:tcW w:w="16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benefits</w:t>
            </w:r>
          </w:p>
        </w:tc>
        <w:tc>
          <w:tcPr>
            <w:tcW w:w="200" w:type="dxa"/>
            <w:vAlign w:val="bottom"/>
            <w:shd w:val="clear" w:color="auto" w:fill="E0E7ED"/>
          </w:tcPr>
          <w:p>
            <w:pPr>
              <w:spacing w:after="0"/>
              <w:rPr>
                <w:sz w:val="21"/>
                <w:szCs w:val="21"/>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976</w:t>
            </w: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1,180</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2,037</w:t>
            </w: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2,724</w:t>
            </w:r>
          </w:p>
        </w:tc>
        <w:tc>
          <w:tcPr>
            <w:tcW w:w="0" w:type="dxa"/>
            <w:vAlign w:val="bottom"/>
          </w:tcPr>
          <w:p>
            <w:pPr>
              <w:spacing w:after="0"/>
              <w:rPr>
                <w:sz w:val="1"/>
                <w:szCs w:val="1"/>
                <w:color w:val="auto"/>
              </w:rPr>
            </w:pPr>
          </w:p>
        </w:tc>
      </w:tr>
      <w:tr>
        <w:trPr>
          <w:trHeight w:val="263"/>
        </w:trPr>
        <w:tc>
          <w:tcPr>
            <w:tcW w:w="3360" w:type="dxa"/>
            <w:vAlign w:val="bottom"/>
          </w:tcPr>
          <w:p>
            <w:pPr>
              <w:ind w:left="180"/>
              <w:spacing w:after="0"/>
              <w:rPr>
                <w:sz w:val="20"/>
                <w:szCs w:val="20"/>
                <w:color w:val="auto"/>
              </w:rPr>
            </w:pPr>
            <w:r>
              <w:rPr>
                <w:rFonts w:ascii="Verdana" w:cs="Verdana" w:eastAsia="Verdana" w:hAnsi="Verdana"/>
                <w:sz w:val="18"/>
                <w:szCs w:val="18"/>
                <w:color w:val="auto"/>
              </w:rPr>
              <w:t>DSU awards</w:t>
            </w:r>
          </w:p>
        </w:tc>
        <w:tc>
          <w:tcPr>
            <w:tcW w:w="1660" w:type="dxa"/>
            <w:vAlign w:val="bottom"/>
            <w:gridSpan w:val="2"/>
          </w:tcPr>
          <w:p>
            <w:pPr>
              <w:ind w:left="20"/>
              <w:spacing w:after="0"/>
              <w:rPr>
                <w:sz w:val="20"/>
                <w:szCs w:val="20"/>
                <w:color w:val="auto"/>
              </w:rPr>
            </w:pPr>
            <w:r>
              <w:rPr>
                <w:rFonts w:ascii="Verdana" w:cs="Verdana" w:eastAsia="Verdana" w:hAnsi="Verdana"/>
                <w:sz w:val="18"/>
                <w:szCs w:val="18"/>
                <w:color w:val="auto"/>
              </w:rPr>
              <w:t>Other expense</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211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213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615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620</w:t>
            </w:r>
          </w:p>
        </w:tc>
        <w:tc>
          <w:tcPr>
            <w:tcW w:w="0" w:type="dxa"/>
            <w:vAlign w:val="bottom"/>
          </w:tcPr>
          <w:p>
            <w:pPr>
              <w:spacing w:after="0"/>
              <w:rPr>
                <w:sz w:val="1"/>
                <w:szCs w:val="1"/>
                <w:color w:val="auto"/>
              </w:rPr>
            </w:pPr>
          </w:p>
        </w:tc>
      </w:tr>
      <w:tr>
        <w:trPr>
          <w:trHeight w:val="244"/>
        </w:trPr>
        <w:tc>
          <w:tcPr>
            <w:tcW w:w="33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ESPP</w:t>
            </w:r>
          </w:p>
        </w:tc>
        <w:tc>
          <w:tcPr>
            <w:tcW w:w="16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Salaries, wages,</w:t>
            </w:r>
          </w:p>
        </w:tc>
        <w:tc>
          <w:tcPr>
            <w:tcW w:w="20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E0E7ED"/>
          </w:tcPr>
          <w:p>
            <w:pPr>
              <w:spacing w:after="0"/>
              <w:rPr>
                <w:sz w:val="18"/>
                <w:szCs w:val="18"/>
                <w:color w:val="auto"/>
              </w:rPr>
            </w:pPr>
          </w:p>
        </w:tc>
        <w:tc>
          <w:tcPr>
            <w:tcW w:w="1660" w:type="dxa"/>
            <w:vAlign w:val="bottom"/>
            <w:gridSpan w:val="2"/>
            <w:shd w:val="clear" w:color="auto" w:fill="E0E7ED"/>
          </w:tcPr>
          <w:p>
            <w:pPr>
              <w:ind w:left="20"/>
              <w:spacing w:after="0" w:line="216" w:lineRule="exact"/>
              <w:rPr>
                <w:sz w:val="20"/>
                <w:szCs w:val="20"/>
                <w:color w:val="auto"/>
              </w:rPr>
            </w:pPr>
            <w:r>
              <w:rPr>
                <w:rFonts w:ascii="Verdana" w:cs="Verdana" w:eastAsia="Verdana" w:hAnsi="Verdana"/>
                <w:sz w:val="18"/>
                <w:szCs w:val="18"/>
                <w:color w:val="auto"/>
              </w:rPr>
              <w:t>and employee</w:t>
            </w:r>
          </w:p>
        </w:tc>
        <w:tc>
          <w:tcPr>
            <w:tcW w:w="200" w:type="dxa"/>
            <w:vAlign w:val="bottom"/>
            <w:shd w:val="clear" w:color="auto" w:fill="E0E7ED"/>
          </w:tcPr>
          <w:p>
            <w:pPr>
              <w:spacing w:after="0"/>
              <w:rPr>
                <w:sz w:val="18"/>
                <w:szCs w:val="18"/>
                <w:color w:val="auto"/>
              </w:rPr>
            </w:pPr>
          </w:p>
        </w:tc>
        <w:tc>
          <w:tcPr>
            <w:tcW w:w="128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14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20" w:type="dxa"/>
            <w:vAlign w:val="bottom"/>
            <w:shd w:val="clear" w:color="auto" w:fill="E0E7ED"/>
          </w:tcPr>
          <w:p>
            <w:pPr>
              <w:spacing w:after="0"/>
              <w:rPr>
                <w:sz w:val="18"/>
                <w:szCs w:val="18"/>
                <w:color w:val="auto"/>
              </w:rPr>
            </w:pPr>
          </w:p>
        </w:tc>
        <w:tc>
          <w:tcPr>
            <w:tcW w:w="126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140" w:type="dxa"/>
            <w:vAlign w:val="bottom"/>
            <w:shd w:val="clear" w:color="auto" w:fill="E0E7ED"/>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360" w:type="dxa"/>
            <w:vAlign w:val="bottom"/>
            <w:shd w:val="clear" w:color="auto" w:fill="E0E7ED"/>
          </w:tcPr>
          <w:p>
            <w:pPr>
              <w:spacing w:after="0"/>
              <w:rPr>
                <w:sz w:val="21"/>
                <w:szCs w:val="21"/>
                <w:color w:val="auto"/>
              </w:rPr>
            </w:pPr>
          </w:p>
        </w:tc>
        <w:tc>
          <w:tcPr>
            <w:tcW w:w="16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benefits</w:t>
            </w:r>
          </w:p>
        </w:tc>
        <w:tc>
          <w:tcPr>
            <w:tcW w:w="200" w:type="dxa"/>
            <w:vAlign w:val="bottom"/>
            <w:tcBorders>
              <w:bottom w:val="single" w:sz="8" w:color="auto"/>
            </w:tcBorders>
            <w:shd w:val="clear" w:color="auto" w:fill="E0E7ED"/>
          </w:tcPr>
          <w:p>
            <w:pPr>
              <w:spacing w:after="0"/>
              <w:rPr>
                <w:sz w:val="21"/>
                <w:szCs w:val="21"/>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47</w:t>
            </w:r>
          </w:p>
        </w:tc>
        <w:tc>
          <w:tcPr>
            <w:tcW w:w="100" w:type="dxa"/>
            <w:vAlign w:val="bottom"/>
            <w:shd w:val="clear" w:color="auto" w:fill="E0E7ED"/>
          </w:tcPr>
          <w:p>
            <w:pPr>
              <w:spacing w:after="0"/>
              <w:rPr>
                <w:sz w:val="21"/>
                <w:szCs w:val="21"/>
                <w:color w:val="auto"/>
              </w:rPr>
            </w:pPr>
          </w:p>
        </w:tc>
        <w:tc>
          <w:tcPr>
            <w:tcW w:w="340" w:type="dxa"/>
            <w:vAlign w:val="bottom"/>
            <w:tcBorders>
              <w:bottom w:val="single" w:sz="8" w:color="auto"/>
            </w:tcBorders>
            <w:shd w:val="clear" w:color="auto" w:fill="E0E7ED"/>
          </w:tcPr>
          <w:p>
            <w:pPr>
              <w:spacing w:after="0"/>
              <w:rPr>
                <w:sz w:val="21"/>
                <w:szCs w:val="21"/>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33</w:t>
            </w:r>
          </w:p>
        </w:tc>
        <w:tc>
          <w:tcPr>
            <w:tcW w:w="100" w:type="dxa"/>
            <w:vAlign w:val="bottom"/>
            <w:shd w:val="clear" w:color="auto" w:fill="E0E7ED"/>
          </w:tcPr>
          <w:p>
            <w:pPr>
              <w:spacing w:after="0"/>
              <w:rPr>
                <w:sz w:val="21"/>
                <w:szCs w:val="21"/>
                <w:color w:val="auto"/>
              </w:rPr>
            </w:pPr>
          </w:p>
        </w:tc>
        <w:tc>
          <w:tcPr>
            <w:tcW w:w="220" w:type="dxa"/>
            <w:vAlign w:val="bottom"/>
            <w:tcBorders>
              <w:bottom w:val="single" w:sz="8" w:color="auto"/>
            </w:tcBorders>
            <w:shd w:val="clear" w:color="auto" w:fill="E0E7ED"/>
          </w:tcPr>
          <w:p>
            <w:pPr>
              <w:spacing w:after="0"/>
              <w:rPr>
                <w:sz w:val="21"/>
                <w:szCs w:val="21"/>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164</w:t>
            </w:r>
          </w:p>
        </w:tc>
        <w:tc>
          <w:tcPr>
            <w:tcW w:w="100" w:type="dxa"/>
            <w:vAlign w:val="bottom"/>
            <w:shd w:val="clear" w:color="auto" w:fill="E0E7ED"/>
          </w:tcPr>
          <w:p>
            <w:pPr>
              <w:spacing w:after="0"/>
              <w:rPr>
                <w:sz w:val="21"/>
                <w:szCs w:val="21"/>
                <w:color w:val="auto"/>
              </w:rPr>
            </w:pPr>
          </w:p>
        </w:tc>
        <w:tc>
          <w:tcPr>
            <w:tcW w:w="340" w:type="dxa"/>
            <w:vAlign w:val="bottom"/>
            <w:tcBorders>
              <w:bottom w:val="single" w:sz="8" w:color="auto"/>
            </w:tcBorders>
            <w:shd w:val="clear" w:color="auto" w:fill="E0E7ED"/>
          </w:tcPr>
          <w:p>
            <w:pPr>
              <w:spacing w:after="0"/>
              <w:rPr>
                <w:sz w:val="21"/>
                <w:szCs w:val="21"/>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156</w:t>
            </w:r>
          </w:p>
        </w:tc>
        <w:tc>
          <w:tcPr>
            <w:tcW w:w="0" w:type="dxa"/>
            <w:vAlign w:val="bottom"/>
          </w:tcPr>
          <w:p>
            <w:pPr>
              <w:spacing w:after="0"/>
              <w:rPr>
                <w:sz w:val="1"/>
                <w:szCs w:val="1"/>
                <w:color w:val="auto"/>
              </w:rPr>
            </w:pPr>
          </w:p>
        </w:tc>
      </w:tr>
      <w:tr>
        <w:trPr>
          <w:trHeight w:val="218"/>
        </w:trPr>
        <w:tc>
          <w:tcPr>
            <w:tcW w:w="3360" w:type="dxa"/>
            <w:vAlign w:val="bottom"/>
          </w:tcPr>
          <w:p>
            <w:pPr>
              <w:ind w:left="20"/>
              <w:spacing w:after="0" w:line="217" w:lineRule="exact"/>
              <w:rPr>
                <w:sz w:val="20"/>
                <w:szCs w:val="20"/>
                <w:color w:val="auto"/>
              </w:rPr>
            </w:pPr>
            <w:r>
              <w:rPr>
                <w:rFonts w:ascii="Verdana" w:cs="Verdana" w:eastAsia="Verdana" w:hAnsi="Verdana"/>
                <w:sz w:val="18"/>
                <w:szCs w:val="18"/>
                <w:color w:val="auto"/>
              </w:rPr>
              <w:t>Total stock-based compensation</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Verdana" w:cs="Verdana" w:eastAsia="Verdana" w:hAnsi="Verdana"/>
                <w:sz w:val="18"/>
                <w:szCs w:val="18"/>
                <w:color w:val="auto"/>
                <w:w w:val="86"/>
              </w:rPr>
              <w:t>$</w:t>
            </w:r>
          </w:p>
        </w:tc>
        <w:tc>
          <w:tcPr>
            <w:tcW w:w="1280" w:type="dxa"/>
            <w:vAlign w:val="bottom"/>
            <w:vMerge w:val="restart"/>
          </w:tcPr>
          <w:p>
            <w:pPr>
              <w:jc w:val="right"/>
              <w:spacing w:after="0"/>
              <w:rPr>
                <w:sz w:val="20"/>
                <w:szCs w:val="20"/>
                <w:color w:val="auto"/>
              </w:rPr>
            </w:pPr>
            <w:r>
              <w:rPr>
                <w:rFonts w:ascii="Verdana" w:cs="Verdana" w:eastAsia="Verdana" w:hAnsi="Verdana"/>
                <w:sz w:val="18"/>
                <w:szCs w:val="18"/>
                <w:color w:val="auto"/>
              </w:rPr>
              <w:t>2,291</w:t>
            </w:r>
          </w:p>
        </w:tc>
        <w:tc>
          <w:tcPr>
            <w:tcW w:w="100" w:type="dxa"/>
            <w:vAlign w:val="bottom"/>
          </w:tcPr>
          <w:p>
            <w:pPr>
              <w:spacing w:after="0"/>
              <w:rPr>
                <w:sz w:val="18"/>
                <w:szCs w:val="18"/>
                <w:color w:val="auto"/>
              </w:rPr>
            </w:pPr>
          </w:p>
        </w:tc>
        <w:tc>
          <w:tcPr>
            <w:tcW w:w="340" w:type="dxa"/>
            <w:vAlign w:val="bottom"/>
            <w:vMerge w:val="restart"/>
          </w:tcPr>
          <w:p>
            <w:pPr>
              <w:jc w:val="right"/>
              <w:ind w:right="130"/>
              <w:spacing w:after="0"/>
              <w:rPr>
                <w:sz w:val="20"/>
                <w:szCs w:val="20"/>
                <w:color w:val="auto"/>
              </w:rPr>
            </w:pPr>
            <w:r>
              <w:rPr>
                <w:rFonts w:ascii="Verdana" w:cs="Verdana" w:eastAsia="Verdana" w:hAnsi="Verdana"/>
                <w:sz w:val="18"/>
                <w:szCs w:val="18"/>
                <w:color w:val="auto"/>
                <w:w w:val="86"/>
              </w:rPr>
              <w:t>$</w:t>
            </w:r>
          </w:p>
        </w:tc>
        <w:tc>
          <w:tcPr>
            <w:tcW w:w="1140" w:type="dxa"/>
            <w:vAlign w:val="bottom"/>
            <w:vMerge w:val="restart"/>
          </w:tcPr>
          <w:p>
            <w:pPr>
              <w:jc w:val="right"/>
              <w:spacing w:after="0"/>
              <w:rPr>
                <w:sz w:val="20"/>
                <w:szCs w:val="20"/>
                <w:color w:val="auto"/>
              </w:rPr>
            </w:pPr>
            <w:r>
              <w:rPr>
                <w:rFonts w:ascii="Verdana" w:cs="Verdana" w:eastAsia="Verdana" w:hAnsi="Verdana"/>
                <w:sz w:val="18"/>
                <w:szCs w:val="18"/>
                <w:color w:val="auto"/>
              </w:rPr>
              <w:t>2,603</w:t>
            </w:r>
          </w:p>
        </w:tc>
        <w:tc>
          <w:tcPr>
            <w:tcW w:w="100" w:type="dxa"/>
            <w:vAlign w:val="bottom"/>
          </w:tcPr>
          <w:p>
            <w:pPr>
              <w:spacing w:after="0"/>
              <w:rPr>
                <w:sz w:val="18"/>
                <w:szCs w:val="18"/>
                <w:color w:val="auto"/>
              </w:rPr>
            </w:pPr>
          </w:p>
        </w:tc>
        <w:tc>
          <w:tcPr>
            <w:tcW w:w="220" w:type="dxa"/>
            <w:vAlign w:val="bottom"/>
            <w:vMerge w:val="restart"/>
          </w:tcPr>
          <w:p>
            <w:pPr>
              <w:jc w:val="right"/>
              <w:ind w:right="10"/>
              <w:spacing w:after="0"/>
              <w:rPr>
                <w:sz w:val="20"/>
                <w:szCs w:val="20"/>
                <w:color w:val="auto"/>
              </w:rPr>
            </w:pPr>
            <w:r>
              <w:rPr>
                <w:rFonts w:ascii="Verdana" w:cs="Verdana" w:eastAsia="Verdana" w:hAnsi="Verdana"/>
                <w:sz w:val="18"/>
                <w:szCs w:val="18"/>
                <w:color w:val="auto"/>
                <w:w w:val="86"/>
              </w:rPr>
              <w:t>$</w:t>
            </w:r>
          </w:p>
        </w:tc>
        <w:tc>
          <w:tcPr>
            <w:tcW w:w="1260" w:type="dxa"/>
            <w:vAlign w:val="bottom"/>
            <w:vMerge w:val="restart"/>
          </w:tcPr>
          <w:p>
            <w:pPr>
              <w:jc w:val="right"/>
              <w:spacing w:after="0"/>
              <w:rPr>
                <w:sz w:val="20"/>
                <w:szCs w:val="20"/>
                <w:color w:val="auto"/>
              </w:rPr>
            </w:pPr>
            <w:r>
              <w:rPr>
                <w:rFonts w:ascii="Verdana" w:cs="Verdana" w:eastAsia="Verdana" w:hAnsi="Verdana"/>
                <w:sz w:val="18"/>
                <w:szCs w:val="18"/>
                <w:color w:val="auto"/>
              </w:rPr>
              <w:t>5,828</w:t>
            </w:r>
          </w:p>
        </w:tc>
        <w:tc>
          <w:tcPr>
            <w:tcW w:w="100" w:type="dxa"/>
            <w:vAlign w:val="bottom"/>
          </w:tcPr>
          <w:p>
            <w:pPr>
              <w:spacing w:after="0"/>
              <w:rPr>
                <w:sz w:val="18"/>
                <w:szCs w:val="18"/>
                <w:color w:val="auto"/>
              </w:rPr>
            </w:pPr>
          </w:p>
        </w:tc>
        <w:tc>
          <w:tcPr>
            <w:tcW w:w="340" w:type="dxa"/>
            <w:vAlign w:val="bottom"/>
            <w:vMerge w:val="restart"/>
          </w:tcPr>
          <w:p>
            <w:pPr>
              <w:jc w:val="right"/>
              <w:ind w:right="130"/>
              <w:spacing w:after="0"/>
              <w:rPr>
                <w:sz w:val="20"/>
                <w:szCs w:val="20"/>
                <w:color w:val="auto"/>
              </w:rPr>
            </w:pPr>
            <w:r>
              <w:rPr>
                <w:rFonts w:ascii="Verdana" w:cs="Verdana" w:eastAsia="Verdana" w:hAnsi="Verdana"/>
                <w:sz w:val="18"/>
                <w:szCs w:val="18"/>
                <w:color w:val="auto"/>
                <w:w w:val="86"/>
              </w:rPr>
              <w:t>$</w:t>
            </w:r>
          </w:p>
        </w:tc>
        <w:tc>
          <w:tcPr>
            <w:tcW w:w="1140" w:type="dxa"/>
            <w:vAlign w:val="bottom"/>
            <w:vMerge w:val="restart"/>
          </w:tcPr>
          <w:p>
            <w:pPr>
              <w:jc w:val="right"/>
              <w:ind w:right="15"/>
              <w:spacing w:after="0"/>
              <w:rPr>
                <w:sz w:val="20"/>
                <w:szCs w:val="20"/>
                <w:color w:val="auto"/>
              </w:rPr>
            </w:pPr>
            <w:r>
              <w:rPr>
                <w:rFonts w:ascii="Verdana" w:cs="Verdana" w:eastAsia="Verdana" w:hAnsi="Verdana"/>
                <w:sz w:val="18"/>
                <w:szCs w:val="18"/>
                <w:color w:val="auto"/>
              </w:rPr>
              <w:t>6,928</w:t>
            </w:r>
          </w:p>
        </w:tc>
        <w:tc>
          <w:tcPr>
            <w:tcW w:w="0" w:type="dxa"/>
            <w:vAlign w:val="bottom"/>
          </w:tcPr>
          <w:p>
            <w:pPr>
              <w:spacing w:after="0"/>
              <w:rPr>
                <w:sz w:val="1"/>
                <w:szCs w:val="1"/>
                <w:color w:val="auto"/>
              </w:rPr>
            </w:pPr>
          </w:p>
        </w:tc>
      </w:tr>
      <w:tr>
        <w:trPr>
          <w:trHeight w:val="226"/>
        </w:trPr>
        <w:tc>
          <w:tcPr>
            <w:tcW w:w="3360" w:type="dxa"/>
            <w:vAlign w:val="bottom"/>
          </w:tcPr>
          <w:p>
            <w:pPr>
              <w:ind w:left="20"/>
              <w:spacing w:after="0"/>
              <w:rPr>
                <w:sz w:val="20"/>
                <w:szCs w:val="20"/>
                <w:color w:val="auto"/>
              </w:rPr>
            </w:pPr>
            <w:r>
              <w:rPr>
                <w:rFonts w:ascii="Verdana" w:cs="Verdana" w:eastAsia="Verdana" w:hAnsi="Verdana"/>
                <w:sz w:val="18"/>
                <w:szCs w:val="18"/>
                <w:color w:val="auto"/>
              </w:rPr>
              <w:t>expense</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spacing w:after="0" w:line="4" w:lineRule="exact"/>
        <w:rPr>
          <w:sz w:val="20"/>
          <w:szCs w:val="20"/>
          <w:color w:val="auto"/>
        </w:rPr>
      </w:pPr>
    </w:p>
    <w:p>
      <w:pPr>
        <w:jc w:val="both"/>
        <w:ind w:left="500" w:hanging="330"/>
        <w:spacing w:after="0" w:line="233" w:lineRule="auto"/>
        <w:tabs>
          <w:tab w:leader="none" w:pos="491" w:val="left"/>
        </w:tabs>
        <w:numPr>
          <w:ilvl w:val="0"/>
          <w:numId w:val="17"/>
        </w:numPr>
        <w:rPr>
          <w:rFonts w:ascii="Verdana" w:cs="Verdana" w:eastAsia="Verdana" w:hAnsi="Verdana"/>
          <w:sz w:val="13"/>
          <w:szCs w:val="13"/>
          <w:color w:val="auto"/>
        </w:rPr>
      </w:pPr>
      <w:r>
        <w:rPr>
          <w:rFonts w:ascii="Verdana" w:cs="Verdana" w:eastAsia="Verdana" w:hAnsi="Verdana"/>
          <w:sz w:val="13"/>
          <w:szCs w:val="13"/>
          <w:color w:val="auto"/>
        </w:rPr>
        <w:t>Expense for PSU awards with a market-based total stockholder return performance goal represents amounts based on target shares at the grant date. Expense for PSU awards with return on average tangible common equity and compounded annual revenue growth rate performance goals represents amounts based on target shares at the grant date, adjusted for performance expectations as of the date indicated.</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50" w:name="page51"/>
    <w:bookmarkEnd w:id="50"/>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 xml:space="preserve">Unamortized compensation expense related to nonvested RSU, PSU, and DSU awards is summarized in the table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5"/>
                <w:szCs w:val="15"/>
                <w:color w:val="auto"/>
              </w:rPr>
            </w:pPr>
          </w:p>
        </w:tc>
      </w:tr>
      <w:tr>
        <w:trPr>
          <w:trHeight w:val="122"/>
        </w:trPr>
        <w:tc>
          <w:tcPr>
            <w:tcW w:w="8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gridSpan w:val="2"/>
          </w:tcPr>
          <w:p>
            <w:pPr>
              <w:ind w:left="60"/>
              <w:spacing w:after="0" w:line="122" w:lineRule="exact"/>
              <w:rPr>
                <w:sz w:val="20"/>
                <w:szCs w:val="20"/>
                <w:color w:val="auto"/>
              </w:rPr>
            </w:pPr>
            <w:r>
              <w:rPr>
                <w:rFonts w:ascii="Verdana" w:cs="Verdana" w:eastAsia="Verdana" w:hAnsi="Verdana"/>
                <w:sz w:val="13"/>
                <w:szCs w:val="13"/>
                <w:b w:val="1"/>
                <w:bCs w:val="1"/>
                <w:color w:val="auto"/>
              </w:rPr>
              <w:t>September 30,</w:t>
            </w:r>
          </w:p>
        </w:tc>
        <w:tc>
          <w:tcPr>
            <w:tcW w:w="200" w:type="dxa"/>
            <w:vAlign w:val="bottom"/>
          </w:tcPr>
          <w:p>
            <w:pPr>
              <w:spacing w:after="0"/>
              <w:rPr>
                <w:sz w:val="10"/>
                <w:szCs w:val="10"/>
                <w:color w:val="auto"/>
              </w:rPr>
            </w:pPr>
          </w:p>
        </w:tc>
        <w:tc>
          <w:tcPr>
            <w:tcW w:w="1320" w:type="dxa"/>
            <w:vAlign w:val="bottom"/>
          </w:tcPr>
          <w:p>
            <w:pPr>
              <w:jc w:val="right"/>
              <w:ind w:right="178"/>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812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00"/>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98"/>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Unamortized stock-based compensation</w:t>
            </w:r>
          </w:p>
        </w:tc>
        <w:tc>
          <w:tcPr>
            <w:tcW w:w="180" w:type="dxa"/>
            <w:vAlign w:val="bottom"/>
            <w:shd w:val="clear" w:color="auto" w:fill="E0E7ED"/>
          </w:tcPr>
          <w:p>
            <w:pPr>
              <w:spacing w:after="0"/>
              <w:rPr>
                <w:sz w:val="22"/>
                <w:szCs w:val="22"/>
                <w:color w:val="auto"/>
              </w:rPr>
            </w:pPr>
          </w:p>
        </w:tc>
        <w:tc>
          <w:tcPr>
            <w:tcW w:w="13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RSU awards</w:t>
            </w:r>
          </w:p>
        </w:tc>
        <w:tc>
          <w:tcPr>
            <w:tcW w:w="18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40" w:type="dxa"/>
            <w:vAlign w:val="bottom"/>
          </w:tcPr>
          <w:p>
            <w:pPr>
              <w:jc w:val="right"/>
              <w:ind w:right="20"/>
              <w:spacing w:after="0"/>
              <w:rPr>
                <w:sz w:val="20"/>
                <w:szCs w:val="20"/>
                <w:color w:val="auto"/>
              </w:rPr>
            </w:pPr>
            <w:r>
              <w:rPr>
                <w:rFonts w:ascii="Verdana" w:cs="Verdana" w:eastAsia="Verdana" w:hAnsi="Verdana"/>
                <w:sz w:val="18"/>
                <w:szCs w:val="18"/>
                <w:color w:val="auto"/>
              </w:rPr>
              <w:t>8,267</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ind w:right="18"/>
              <w:spacing w:after="0"/>
              <w:rPr>
                <w:sz w:val="20"/>
                <w:szCs w:val="20"/>
                <w:color w:val="auto"/>
              </w:rPr>
            </w:pPr>
            <w:r>
              <w:rPr>
                <w:rFonts w:ascii="Verdana" w:cs="Verdana" w:eastAsia="Verdana" w:hAnsi="Verdana"/>
                <w:sz w:val="18"/>
                <w:szCs w:val="18"/>
                <w:color w:val="auto"/>
              </w:rPr>
              <w:t>6,842</w:t>
            </w: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PSU awards</w:t>
            </w:r>
            <w:r>
              <w:rPr>
                <w:rFonts w:ascii="Verdana" w:cs="Verdana" w:eastAsia="Verdana" w:hAnsi="Verdana"/>
                <w:sz w:val="11"/>
                <w:szCs w:val="11"/>
                <w:color w:val="auto"/>
              </w:rPr>
              <w:t>1</w:t>
            </w:r>
          </w:p>
        </w:tc>
        <w:tc>
          <w:tcPr>
            <w:tcW w:w="180" w:type="dxa"/>
            <w:vAlign w:val="bottom"/>
            <w:shd w:val="clear" w:color="auto" w:fill="E0E7ED"/>
          </w:tcPr>
          <w:p>
            <w:pPr>
              <w:spacing w:after="0"/>
              <w:rPr>
                <w:sz w:val="24"/>
                <w:szCs w:val="24"/>
                <w:color w:val="auto"/>
              </w:rPr>
            </w:pPr>
          </w:p>
        </w:tc>
        <w:tc>
          <w:tcPr>
            <w:tcW w:w="1340" w:type="dxa"/>
            <w:vAlign w:val="bottom"/>
            <w:shd w:val="clear" w:color="auto" w:fill="E0E7ED"/>
          </w:tcPr>
          <w:p>
            <w:pPr>
              <w:jc w:val="right"/>
              <w:ind w:right="20"/>
              <w:spacing w:after="0"/>
              <w:rPr>
                <w:sz w:val="20"/>
                <w:szCs w:val="20"/>
                <w:color w:val="auto"/>
              </w:rPr>
            </w:pPr>
            <w:r>
              <w:rPr>
                <w:rFonts w:ascii="Verdana" w:cs="Verdana" w:eastAsia="Verdana" w:hAnsi="Verdana"/>
                <w:sz w:val="18"/>
                <w:szCs w:val="18"/>
                <w:color w:val="auto"/>
              </w:rPr>
              <w:t>4,068</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8"/>
              <w:spacing w:after="0"/>
              <w:rPr>
                <w:sz w:val="20"/>
                <w:szCs w:val="20"/>
                <w:color w:val="auto"/>
              </w:rPr>
            </w:pPr>
            <w:r>
              <w:rPr>
                <w:rFonts w:ascii="Verdana" w:cs="Verdana" w:eastAsia="Verdana" w:hAnsi="Verdana"/>
                <w:sz w:val="18"/>
                <w:szCs w:val="18"/>
                <w:color w:val="auto"/>
              </w:rPr>
              <w:t>3,607</w:t>
            </w:r>
          </w:p>
        </w:tc>
      </w:tr>
      <w:tr>
        <w:trPr>
          <w:trHeight w:val="264"/>
        </w:trPr>
        <w:tc>
          <w:tcPr>
            <w:tcW w:w="81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DSU awards</w:t>
            </w: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0"/>
              <w:spacing w:after="0"/>
              <w:rPr>
                <w:sz w:val="20"/>
                <w:szCs w:val="20"/>
                <w:color w:val="auto"/>
              </w:rPr>
            </w:pPr>
            <w:r>
              <w:rPr>
                <w:rFonts w:ascii="Verdana" w:cs="Verdana" w:eastAsia="Verdana" w:hAnsi="Verdana"/>
                <w:sz w:val="18"/>
                <w:szCs w:val="18"/>
                <w:color w:val="auto"/>
              </w:rPr>
              <w:t>392</w:t>
            </w:r>
          </w:p>
        </w:tc>
        <w:tc>
          <w:tcPr>
            <w:tcW w:w="8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190</w:t>
            </w:r>
          </w:p>
        </w:tc>
      </w:tr>
      <w:tr>
        <w:trPr>
          <w:trHeight w:val="295"/>
        </w:trPr>
        <w:tc>
          <w:tcPr>
            <w:tcW w:w="81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unamortized stock-based compensation</w:t>
            </w:r>
          </w:p>
        </w:tc>
        <w:tc>
          <w:tcPr>
            <w:tcW w:w="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40" w:type="dxa"/>
            <w:vAlign w:val="bottom"/>
            <w:tcBorders>
              <w:bottom w:val="single" w:sz="8" w:color="auto"/>
            </w:tcBorders>
            <w:shd w:val="clear" w:color="auto" w:fill="E0E7ED"/>
          </w:tcPr>
          <w:p>
            <w:pPr>
              <w:jc w:val="right"/>
              <w:ind w:right="20"/>
              <w:spacing w:after="0"/>
              <w:rPr>
                <w:sz w:val="20"/>
                <w:szCs w:val="20"/>
                <w:color w:val="auto"/>
              </w:rPr>
            </w:pPr>
            <w:r>
              <w:rPr>
                <w:rFonts w:ascii="Verdana" w:cs="Verdana" w:eastAsia="Verdana" w:hAnsi="Verdana"/>
                <w:sz w:val="18"/>
                <w:szCs w:val="18"/>
                <w:color w:val="auto"/>
              </w:rPr>
              <w:t>12,727</w:t>
            </w:r>
          </w:p>
        </w:tc>
        <w:tc>
          <w:tcPr>
            <w:tcW w:w="80" w:type="dxa"/>
            <w:vAlign w:val="bottom"/>
            <w:tcBorders>
              <w:bottom w:val="single" w:sz="8" w:color="E0E7ED"/>
            </w:tcBorders>
            <w:shd w:val="clear" w:color="auto" w:fill="E0E7ED"/>
          </w:tcPr>
          <w:p>
            <w:pPr>
              <w:spacing w:after="0"/>
              <w:rPr>
                <w:sz w:val="24"/>
                <w:szCs w:val="24"/>
                <w:color w:val="auto"/>
              </w:rPr>
            </w:pPr>
          </w:p>
        </w:tc>
        <w:tc>
          <w:tcPr>
            <w:tcW w:w="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10,639</w:t>
            </w:r>
          </w:p>
        </w:tc>
      </w:tr>
      <w:tr>
        <w:trPr>
          <w:trHeight w:val="20"/>
        </w:trPr>
        <w:tc>
          <w:tcPr>
            <w:tcW w:w="812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13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320" w:type="dxa"/>
            <w:vAlign w:val="bottom"/>
            <w:tcBorders>
              <w:top w:val="single" w:sz="8" w:color="E0E7ED"/>
              <w:bottom w:val="single" w:sz="8" w:color="auto"/>
            </w:tcBorders>
          </w:tcPr>
          <w:p>
            <w:pPr>
              <w:spacing w:after="0" w:line="20" w:lineRule="exact"/>
              <w:rPr>
                <w:sz w:val="1"/>
                <w:szCs w:val="1"/>
                <w:color w:val="auto"/>
              </w:rPr>
            </w:pPr>
          </w:p>
        </w:tc>
      </w:tr>
      <w:tr>
        <w:trPr>
          <w:trHeight w:val="217"/>
        </w:trPr>
        <w:tc>
          <w:tcPr>
            <w:tcW w:w="8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70"/>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Weighted average period over which expense is to be recognized</w:t>
            </w:r>
          </w:p>
        </w:tc>
        <w:tc>
          <w:tcPr>
            <w:tcW w:w="180" w:type="dxa"/>
            <w:vAlign w:val="bottom"/>
            <w:shd w:val="clear" w:color="auto" w:fill="E0E7ED"/>
          </w:tcPr>
          <w:p>
            <w:pPr>
              <w:spacing w:after="0"/>
              <w:rPr>
                <w:sz w:val="23"/>
                <w:szCs w:val="23"/>
                <w:color w:val="auto"/>
              </w:rPr>
            </w:pPr>
          </w:p>
        </w:tc>
        <w:tc>
          <w:tcPr>
            <w:tcW w:w="1420" w:type="dxa"/>
            <w:vAlign w:val="bottom"/>
            <w:gridSpan w:val="2"/>
            <w:shd w:val="clear" w:color="auto" w:fill="E0E7ED"/>
          </w:tcPr>
          <w:p>
            <w:pPr>
              <w:ind w:left="460"/>
              <w:spacing w:after="0"/>
              <w:rPr>
                <w:sz w:val="20"/>
                <w:szCs w:val="20"/>
                <w:color w:val="auto"/>
              </w:rPr>
            </w:pPr>
            <w:r>
              <w:rPr>
                <w:rFonts w:ascii="Verdana" w:cs="Verdana" w:eastAsia="Verdana" w:hAnsi="Verdana"/>
                <w:sz w:val="18"/>
                <w:szCs w:val="18"/>
                <w:color w:val="auto"/>
              </w:rPr>
              <w:t>2.5 years</w:t>
            </w:r>
          </w:p>
        </w:tc>
        <w:tc>
          <w:tcPr>
            <w:tcW w:w="200" w:type="dxa"/>
            <w:vAlign w:val="bottom"/>
            <w:shd w:val="clear" w:color="auto" w:fill="E0E7ED"/>
          </w:tcPr>
          <w:p>
            <w:pPr>
              <w:spacing w:after="0"/>
              <w:rPr>
                <w:sz w:val="23"/>
                <w:szCs w:val="23"/>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2.4 years</w:t>
            </w:r>
          </w:p>
        </w:tc>
      </w:tr>
      <w:tr>
        <w:trPr>
          <w:trHeight w:val="238"/>
        </w:trPr>
        <w:tc>
          <w:tcPr>
            <w:tcW w:w="8120" w:type="dxa"/>
            <w:vAlign w:val="bottom"/>
          </w:tcPr>
          <w:p>
            <w:pPr>
              <w:spacing w:after="0"/>
              <w:rPr>
                <w:sz w:val="20"/>
                <w:szCs w:val="20"/>
                <w:color w:val="auto"/>
              </w:rPr>
            </w:pPr>
            <w:r>
              <w:rPr>
                <w:rFonts w:ascii="Verdana" w:cs="Verdana" w:eastAsia="Verdana" w:hAnsi="Verdana"/>
                <w:sz w:val="13"/>
                <w:szCs w:val="13"/>
                <w:color w:val="auto"/>
              </w:rPr>
              <w:t>___________________________________________</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r>
    </w:tbl>
    <w:p>
      <w:pPr>
        <w:jc w:val="both"/>
        <w:ind w:left="500" w:hanging="330"/>
        <w:spacing w:after="0"/>
        <w:tabs>
          <w:tab w:leader="none" w:pos="491" w:val="left"/>
        </w:tabs>
        <w:numPr>
          <w:ilvl w:val="0"/>
          <w:numId w:val="18"/>
        </w:numPr>
        <w:rPr>
          <w:rFonts w:ascii="Verdana" w:cs="Verdana" w:eastAsia="Verdana" w:hAnsi="Verdana"/>
          <w:sz w:val="13"/>
          <w:szCs w:val="13"/>
          <w:color w:val="auto"/>
        </w:rPr>
      </w:pPr>
      <w:r>
        <w:rPr>
          <w:rFonts w:ascii="Verdana" w:cs="Verdana" w:eastAsia="Verdana" w:hAnsi="Verdana"/>
          <w:sz w:val="13"/>
          <w:szCs w:val="13"/>
          <w:color w:val="auto"/>
        </w:rPr>
        <w:t>Unamortized expense for PSU awards with a market-based total stockholder return performance goal represents amounts based on target shares at grant date. Unamortized expense for PSU awards with return on average tangible common equity and compounded annual revenue growth rate performance goals represents amounts based on target shares at grant date, adjusted for performance expectations as of the date indicated.</w:t>
      </w:r>
    </w:p>
    <w:p>
      <w:pPr>
        <w:spacing w:after="0" w:line="160" w:lineRule="exact"/>
        <w:rPr>
          <w:sz w:val="20"/>
          <w:szCs w:val="20"/>
          <w:color w:val="auto"/>
        </w:rPr>
      </w:pPr>
    </w:p>
    <w:p>
      <w:pPr>
        <w:ind w:right="3880"/>
        <w:spacing w:after="0" w:line="436" w:lineRule="auto"/>
        <w:rPr>
          <w:sz w:val="20"/>
          <w:szCs w:val="20"/>
          <w:color w:val="auto"/>
        </w:rPr>
      </w:pPr>
      <w:r>
        <w:rPr>
          <w:rFonts w:ascii="Verdana" w:cs="Verdana" w:eastAsia="Verdana" w:hAnsi="Verdana"/>
          <w:sz w:val="18"/>
          <w:szCs w:val="18"/>
          <w:b w:val="1"/>
          <w:bCs w:val="1"/>
          <w:color w:val="auto"/>
        </w:rPr>
        <w:t xml:space="preserve">NOTE 11. OUTSTANDING COMMITMENTS AND CONTINGENT LIABILITIES </w:t>
      </w:r>
      <w:r>
        <w:rPr>
          <w:rFonts w:ascii="Verdana" w:cs="Verdana" w:eastAsia="Verdana" w:hAnsi="Verdana"/>
          <w:sz w:val="18"/>
          <w:szCs w:val="18"/>
          <w:b w:val="1"/>
          <w:bCs w:val="1"/>
          <w:i w:val="1"/>
          <w:iCs w:val="1"/>
          <w:color w:val="auto"/>
        </w:rPr>
        <w:t>Legal Matters</w:t>
      </w:r>
    </w:p>
    <w:p>
      <w:pPr>
        <w:spacing w:after="0" w:line="2"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Busey is a party to legal actions which arise in the normal course of its business activities. Legal and administrative proceedings are subject to inherent uncertainties, and while unfavorable outcomes could occur, Busey does not believe at this time that any potential liabilities relating to pending or potential legal matters are likely to have a material impact on Busey's results of operations or financial position.</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Credit Commitments and Contingencies</w:t>
      </w:r>
    </w:p>
    <w:p>
      <w:pPr>
        <w:spacing w:after="0" w:line="173"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 xml:space="preserve">A summary of the contractual amount of Busey’s exposure to off-balance-sheet risk relating to the Company’s commitments to extend credit and standby letters of credit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5"/>
                <w:szCs w:val="15"/>
                <w:color w:val="auto"/>
              </w:rPr>
            </w:pPr>
          </w:p>
        </w:tc>
      </w:tr>
      <w:tr>
        <w:trPr>
          <w:trHeight w:val="121"/>
        </w:trPr>
        <w:tc>
          <w:tcPr>
            <w:tcW w:w="8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gridSpan w:val="2"/>
          </w:tcPr>
          <w:p>
            <w:pPr>
              <w:ind w:left="60"/>
              <w:spacing w:after="0" w:line="122" w:lineRule="exact"/>
              <w:rPr>
                <w:sz w:val="20"/>
                <w:szCs w:val="20"/>
                <w:color w:val="auto"/>
              </w:rPr>
            </w:pPr>
            <w:r>
              <w:rPr>
                <w:rFonts w:ascii="Verdana" w:cs="Verdana" w:eastAsia="Verdana" w:hAnsi="Verdana"/>
                <w:sz w:val="13"/>
                <w:szCs w:val="13"/>
                <w:b w:val="1"/>
                <w:bCs w:val="1"/>
                <w:color w:val="auto"/>
              </w:rPr>
              <w:t>September 30,</w:t>
            </w:r>
          </w:p>
        </w:tc>
        <w:tc>
          <w:tcPr>
            <w:tcW w:w="200" w:type="dxa"/>
            <w:vAlign w:val="bottom"/>
          </w:tcPr>
          <w:p>
            <w:pPr>
              <w:spacing w:after="0"/>
              <w:rPr>
                <w:sz w:val="10"/>
                <w:szCs w:val="10"/>
                <w:color w:val="auto"/>
              </w:rPr>
            </w:pPr>
          </w:p>
        </w:tc>
        <w:tc>
          <w:tcPr>
            <w:tcW w:w="1320" w:type="dxa"/>
            <w:vAlign w:val="bottom"/>
          </w:tcPr>
          <w:p>
            <w:pPr>
              <w:jc w:val="right"/>
              <w:ind w:right="181"/>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812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04"/>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01"/>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Financial instruments whose contract amounts represent credit risk</w:t>
            </w:r>
          </w:p>
        </w:tc>
        <w:tc>
          <w:tcPr>
            <w:tcW w:w="180" w:type="dxa"/>
            <w:vAlign w:val="bottom"/>
            <w:shd w:val="clear" w:color="auto" w:fill="E0E7ED"/>
          </w:tcPr>
          <w:p>
            <w:pPr>
              <w:spacing w:after="0"/>
              <w:rPr>
                <w:sz w:val="22"/>
                <w:szCs w:val="22"/>
                <w:color w:val="auto"/>
              </w:rPr>
            </w:pPr>
          </w:p>
        </w:tc>
        <w:tc>
          <w:tcPr>
            <w:tcW w:w="13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Commitments to extend credit</w:t>
            </w:r>
          </w:p>
        </w:tc>
        <w:tc>
          <w:tcPr>
            <w:tcW w:w="18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40" w:type="dxa"/>
            <w:vAlign w:val="bottom"/>
          </w:tcPr>
          <w:p>
            <w:pPr>
              <w:jc w:val="right"/>
              <w:ind w:right="24"/>
              <w:spacing w:after="0"/>
              <w:rPr>
                <w:sz w:val="20"/>
                <w:szCs w:val="20"/>
                <w:color w:val="auto"/>
              </w:rPr>
            </w:pPr>
            <w:r>
              <w:rPr>
                <w:rFonts w:ascii="Verdana" w:cs="Verdana" w:eastAsia="Verdana" w:hAnsi="Verdana"/>
                <w:sz w:val="18"/>
                <w:szCs w:val="18"/>
                <w:color w:val="auto"/>
              </w:rPr>
              <w:t>2,503,727</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ind w:right="1"/>
              <w:spacing w:after="0"/>
              <w:rPr>
                <w:sz w:val="20"/>
                <w:szCs w:val="20"/>
                <w:color w:val="auto"/>
              </w:rPr>
            </w:pPr>
            <w:r>
              <w:rPr>
                <w:rFonts w:ascii="Verdana" w:cs="Verdana" w:eastAsia="Verdana" w:hAnsi="Verdana"/>
                <w:sz w:val="18"/>
                <w:szCs w:val="18"/>
                <w:color w:val="auto"/>
              </w:rPr>
              <w:t>2,132,500</w:t>
            </w:r>
          </w:p>
        </w:tc>
      </w:tr>
      <w:tr>
        <w:trPr>
          <w:trHeight w:val="270"/>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Standby letters of credit</w:t>
            </w:r>
          </w:p>
        </w:tc>
        <w:tc>
          <w:tcPr>
            <w:tcW w:w="180" w:type="dxa"/>
            <w:vAlign w:val="bottom"/>
            <w:tcBorders>
              <w:bottom w:val="single" w:sz="8" w:color="auto"/>
            </w:tcBorders>
            <w:shd w:val="clear" w:color="auto" w:fill="E0E7ED"/>
          </w:tcPr>
          <w:p>
            <w:pPr>
              <w:spacing w:after="0"/>
              <w:rPr>
                <w:sz w:val="23"/>
                <w:szCs w:val="23"/>
                <w:color w:val="auto"/>
              </w:rPr>
            </w:pPr>
          </w:p>
        </w:tc>
        <w:tc>
          <w:tcPr>
            <w:tcW w:w="1340" w:type="dxa"/>
            <w:vAlign w:val="bottom"/>
            <w:tcBorders>
              <w:bottom w:val="single" w:sz="8" w:color="auto"/>
            </w:tcBorders>
            <w:shd w:val="clear" w:color="auto" w:fill="E0E7ED"/>
          </w:tcPr>
          <w:p>
            <w:pPr>
              <w:jc w:val="right"/>
              <w:ind w:right="24"/>
              <w:spacing w:after="0"/>
              <w:rPr>
                <w:sz w:val="20"/>
                <w:szCs w:val="20"/>
                <w:color w:val="auto"/>
              </w:rPr>
            </w:pPr>
            <w:r>
              <w:rPr>
                <w:rFonts w:ascii="Verdana" w:cs="Verdana" w:eastAsia="Verdana" w:hAnsi="Verdana"/>
                <w:sz w:val="18"/>
                <w:szCs w:val="18"/>
                <w:color w:val="auto"/>
              </w:rPr>
              <w:t>36,612</w:t>
            </w:r>
          </w:p>
        </w:tc>
        <w:tc>
          <w:tcPr>
            <w:tcW w:w="80" w:type="dxa"/>
            <w:vAlign w:val="bottom"/>
            <w:shd w:val="clear" w:color="auto" w:fill="E0E7ED"/>
          </w:tcPr>
          <w:p>
            <w:pPr>
              <w:spacing w:after="0"/>
              <w:rPr>
                <w:sz w:val="23"/>
                <w:szCs w:val="23"/>
                <w:color w:val="auto"/>
              </w:rPr>
            </w:pPr>
          </w:p>
        </w:tc>
        <w:tc>
          <w:tcPr>
            <w:tcW w:w="200" w:type="dxa"/>
            <w:vAlign w:val="bottom"/>
            <w:tcBorders>
              <w:bottom w:val="single" w:sz="8" w:color="auto"/>
            </w:tcBorders>
            <w:shd w:val="clear" w:color="auto" w:fill="E0E7ED"/>
          </w:tcPr>
          <w:p>
            <w:pPr>
              <w:spacing w:after="0"/>
              <w:rPr>
                <w:sz w:val="23"/>
                <w:szCs w:val="23"/>
                <w:color w:val="auto"/>
              </w:rPr>
            </w:pPr>
          </w:p>
        </w:tc>
        <w:tc>
          <w:tcPr>
            <w:tcW w:w="1320" w:type="dxa"/>
            <w:vAlign w:val="bottom"/>
            <w:tcBorders>
              <w:bottom w:val="single" w:sz="8" w:color="auto"/>
            </w:tcBorders>
            <w:shd w:val="clear" w:color="auto" w:fill="E0E7ED"/>
          </w:tcPr>
          <w:p>
            <w:pPr>
              <w:jc w:val="right"/>
              <w:ind w:right="1"/>
              <w:spacing w:after="0"/>
              <w:rPr>
                <w:sz w:val="20"/>
                <w:szCs w:val="20"/>
                <w:color w:val="auto"/>
              </w:rPr>
            </w:pPr>
            <w:r>
              <w:rPr>
                <w:rFonts w:ascii="Verdana" w:cs="Verdana" w:eastAsia="Verdana" w:hAnsi="Verdana"/>
                <w:sz w:val="18"/>
                <w:szCs w:val="18"/>
                <w:color w:val="auto"/>
              </w:rPr>
              <w:t>43,996</w:t>
            </w:r>
          </w:p>
        </w:tc>
      </w:tr>
      <w:tr>
        <w:trPr>
          <w:trHeight w:val="270"/>
        </w:trPr>
        <w:tc>
          <w:tcPr>
            <w:tcW w:w="8120" w:type="dxa"/>
            <w:vAlign w:val="bottom"/>
          </w:tcPr>
          <w:p>
            <w:pPr>
              <w:ind w:left="20"/>
              <w:spacing w:after="0"/>
              <w:rPr>
                <w:sz w:val="20"/>
                <w:szCs w:val="20"/>
                <w:color w:val="auto"/>
              </w:rPr>
            </w:pPr>
            <w:r>
              <w:rPr>
                <w:rFonts w:ascii="Verdana" w:cs="Verdana" w:eastAsia="Verdana" w:hAnsi="Verdana"/>
                <w:sz w:val="18"/>
                <w:szCs w:val="18"/>
                <w:color w:val="auto"/>
              </w:rPr>
              <w:t>Total commitments</w:t>
            </w:r>
          </w:p>
        </w:tc>
        <w:tc>
          <w:tcPr>
            <w:tcW w:w="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40" w:type="dxa"/>
            <w:vAlign w:val="bottom"/>
            <w:tcBorders>
              <w:bottom w:val="single" w:sz="8" w:color="auto"/>
            </w:tcBorders>
          </w:tcPr>
          <w:p>
            <w:pPr>
              <w:jc w:val="right"/>
              <w:ind w:right="24"/>
              <w:spacing w:after="0"/>
              <w:rPr>
                <w:sz w:val="20"/>
                <w:szCs w:val="20"/>
                <w:color w:val="auto"/>
              </w:rPr>
            </w:pPr>
            <w:r>
              <w:rPr>
                <w:rFonts w:ascii="Verdana" w:cs="Verdana" w:eastAsia="Verdana" w:hAnsi="Verdana"/>
                <w:sz w:val="18"/>
                <w:szCs w:val="18"/>
                <w:color w:val="auto"/>
              </w:rPr>
              <w:t>2,540,339</w:t>
            </w:r>
          </w:p>
        </w:tc>
        <w:tc>
          <w:tcPr>
            <w:tcW w:w="8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tcPr>
          <w:p>
            <w:pPr>
              <w:jc w:val="right"/>
              <w:ind w:right="1"/>
              <w:spacing w:after="0"/>
              <w:rPr>
                <w:sz w:val="20"/>
                <w:szCs w:val="20"/>
                <w:color w:val="auto"/>
              </w:rPr>
            </w:pPr>
            <w:r>
              <w:rPr>
                <w:rFonts w:ascii="Verdana" w:cs="Verdana" w:eastAsia="Verdana" w:hAnsi="Verdana"/>
                <w:sz w:val="18"/>
                <w:szCs w:val="18"/>
                <w:color w:val="auto"/>
              </w:rPr>
              <w:t>2,176,496</w:t>
            </w: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51" w:name="page52"/>
    <w:bookmarkEnd w:id="51"/>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Franchise Tax Matter</w:t>
      </w:r>
    </w:p>
    <w:p>
      <w:pPr>
        <w:spacing w:after="0" w:line="173"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In 2021, Busey received an inquiry from the Illinois Secretary of State (“ISOS”), pursuant to which the ISOS asked for additional information regarding certain of our franchise tax filings and the calculation of amounts due thereunder. The franchise tax is established by the Illinois Business Corporation Act (“BCA”) 805 ILCS 5/1 et seq., and is a tax imposed on foreign and domestic corporations for the privilege of conducting business in Illinois. Busey has been cooperating with the inquiry and has agreed to prepare additional BCA forms requested by the ISOS, with a full reservation of rights by Busey, including seeking judicial relief, if necessary, with respect to any potential dispute regarding Busey’s preparation of the BCA forms and the calculation of the franchise taxes due. Where a loss is believed to be reasonably possible, but not probable, or the loss cannot be reasonably estimated, as is the case with this matter, no accrual is required. It is reasonably possible that this matter could require us to pay additional taxes, including potential penalties and interest, or make other expenditures or accrue liabilities in amounts that could not be reasonably estimated as of September 30, 2024. If the likelihood of potential liabilities elevates, requiring an accrual, the potential future liabilities could be material in the period(s) in which they are recorded.</w:t>
      </w:r>
    </w:p>
    <w:p>
      <w:pPr>
        <w:spacing w:after="0" w:line="16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12. DERIVATIVE FINANCIAL INSTRUMENTS</w:t>
      </w:r>
    </w:p>
    <w:p>
      <w:pPr>
        <w:spacing w:after="0" w:line="186"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Busey utilizes interest rate swap agreements as part of its asset liability management strategy to help manage its interest rate risk position. Additionally, Busey enters into derivative financial instruments, including interest rate lock commitments issued to residential loan customers for loans that will be held for sale; forward sales commitments to sell residential mortgage loans to investors; and interest rate swaps, risk participation agreements, and foreign currency exchange contracts with customers and other third parties. See “</w:t>
      </w:r>
      <w:r>
        <w:rPr>
          <w:rFonts w:ascii="Verdana" w:cs="Verdana" w:eastAsia="Verdana" w:hAnsi="Verdana"/>
          <w:sz w:val="18"/>
          <w:szCs w:val="18"/>
          <w:i w:val="1"/>
          <w:iCs w:val="1"/>
          <w:u w:val="single" w:color="auto"/>
          <w:color w:val="0000FF"/>
        </w:rPr>
        <w:t>Note 13: Fair Value Measurements</w:t>
      </w:r>
      <w:r>
        <w:rPr>
          <w:rFonts w:ascii="Verdana" w:cs="Verdana" w:eastAsia="Verdana" w:hAnsi="Verdana"/>
          <w:sz w:val="18"/>
          <w:szCs w:val="18"/>
          <w:color w:val="auto"/>
        </w:rPr>
        <w:t>” for further discussion of the fair value measurement of such derivatives.</w:t>
      </w:r>
    </w:p>
    <w:p>
      <w:pPr>
        <w:spacing w:after="0" w:line="159"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To secure its obligations under derivative contracts, Busey pledged cash and held collateral as follows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5"/>
                <w:szCs w:val="15"/>
                <w:color w:val="auto"/>
              </w:rPr>
            </w:pPr>
          </w:p>
        </w:tc>
      </w:tr>
      <w:tr>
        <w:trPr>
          <w:trHeight w:val="121"/>
        </w:trPr>
        <w:tc>
          <w:tcPr>
            <w:tcW w:w="8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gridSpan w:val="2"/>
          </w:tcPr>
          <w:p>
            <w:pPr>
              <w:ind w:left="60"/>
              <w:spacing w:after="0" w:line="122" w:lineRule="exact"/>
              <w:rPr>
                <w:sz w:val="20"/>
                <w:szCs w:val="20"/>
                <w:color w:val="auto"/>
              </w:rPr>
            </w:pPr>
            <w:r>
              <w:rPr>
                <w:rFonts w:ascii="Verdana" w:cs="Verdana" w:eastAsia="Verdana" w:hAnsi="Verdana"/>
                <w:sz w:val="13"/>
                <w:szCs w:val="13"/>
                <w:b w:val="1"/>
                <w:bCs w:val="1"/>
                <w:color w:val="auto"/>
              </w:rPr>
              <w:t>September 30,</w:t>
            </w:r>
          </w:p>
        </w:tc>
        <w:tc>
          <w:tcPr>
            <w:tcW w:w="200" w:type="dxa"/>
            <w:vAlign w:val="bottom"/>
          </w:tcPr>
          <w:p>
            <w:pPr>
              <w:spacing w:after="0"/>
              <w:rPr>
                <w:sz w:val="10"/>
                <w:szCs w:val="10"/>
                <w:color w:val="auto"/>
              </w:rPr>
            </w:pPr>
          </w:p>
        </w:tc>
        <w:tc>
          <w:tcPr>
            <w:tcW w:w="1320" w:type="dxa"/>
            <w:vAlign w:val="bottom"/>
          </w:tcPr>
          <w:p>
            <w:pPr>
              <w:jc w:val="right"/>
              <w:ind w:right="184"/>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812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06"/>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04"/>
              <w:spacing w:after="0"/>
              <w:rPr>
                <w:sz w:val="20"/>
                <w:szCs w:val="20"/>
                <w:color w:val="auto"/>
              </w:rPr>
            </w:pPr>
            <w:r>
              <w:rPr>
                <w:rFonts w:ascii="Verdana" w:cs="Verdana" w:eastAsia="Verdana" w:hAnsi="Verdana"/>
                <w:sz w:val="13"/>
                <w:szCs w:val="13"/>
                <w:b w:val="1"/>
                <w:bCs w:val="1"/>
                <w:color w:val="auto"/>
              </w:rPr>
              <w:t>2023</w:t>
            </w:r>
          </w:p>
        </w:tc>
      </w:tr>
      <w:tr>
        <w:trPr>
          <w:trHeight w:val="269"/>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Cash pledged to secure obligations under derivative contracts</w:t>
            </w:r>
          </w:p>
        </w:tc>
        <w:tc>
          <w:tcPr>
            <w:tcW w:w="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40" w:type="dxa"/>
            <w:vAlign w:val="bottom"/>
            <w:shd w:val="clear" w:color="auto" w:fill="E0E7ED"/>
          </w:tcPr>
          <w:p>
            <w:pPr>
              <w:jc w:val="right"/>
              <w:ind w:right="26"/>
              <w:spacing w:after="0"/>
              <w:rPr>
                <w:sz w:val="20"/>
                <w:szCs w:val="20"/>
                <w:color w:val="auto"/>
              </w:rPr>
            </w:pPr>
            <w:r>
              <w:rPr>
                <w:rFonts w:ascii="Verdana" w:cs="Verdana" w:eastAsia="Verdana" w:hAnsi="Verdana"/>
                <w:sz w:val="18"/>
                <w:szCs w:val="18"/>
                <w:color w:val="auto"/>
              </w:rPr>
              <w:t>17,270</w:t>
            </w:r>
          </w:p>
        </w:tc>
        <w:tc>
          <w:tcPr>
            <w:tcW w:w="80" w:type="dxa"/>
            <w:vAlign w:val="bottom"/>
            <w:shd w:val="clear" w:color="auto" w:fill="E0E7ED"/>
          </w:tcPr>
          <w:p>
            <w:pPr>
              <w:spacing w:after="0"/>
              <w:rPr>
                <w:sz w:val="23"/>
                <w:szCs w:val="23"/>
                <w:color w:val="auto"/>
              </w:rPr>
            </w:pPr>
          </w:p>
        </w:tc>
        <w:tc>
          <w:tcPr>
            <w:tcW w:w="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shd w:val="clear" w:color="auto" w:fill="E0E7ED"/>
          </w:tcPr>
          <w:p>
            <w:pPr>
              <w:jc w:val="right"/>
              <w:ind w:right="4"/>
              <w:spacing w:after="0"/>
              <w:rPr>
                <w:sz w:val="20"/>
                <w:szCs w:val="20"/>
                <w:color w:val="auto"/>
              </w:rPr>
            </w:pPr>
            <w:r>
              <w:rPr>
                <w:rFonts w:ascii="Verdana" w:cs="Verdana" w:eastAsia="Verdana" w:hAnsi="Verdana"/>
                <w:sz w:val="18"/>
                <w:szCs w:val="18"/>
                <w:color w:val="auto"/>
              </w:rPr>
              <w:t>34,210</w:t>
            </w:r>
          </w:p>
        </w:tc>
      </w:tr>
      <w:tr>
        <w:trPr>
          <w:trHeight w:val="257"/>
        </w:trPr>
        <w:tc>
          <w:tcPr>
            <w:tcW w:w="8120" w:type="dxa"/>
            <w:vAlign w:val="bottom"/>
          </w:tcPr>
          <w:p>
            <w:pPr>
              <w:ind w:left="20"/>
              <w:spacing w:after="0"/>
              <w:rPr>
                <w:sz w:val="20"/>
                <w:szCs w:val="20"/>
                <w:color w:val="auto"/>
              </w:rPr>
            </w:pPr>
            <w:r>
              <w:rPr>
                <w:rFonts w:ascii="Verdana" w:cs="Verdana" w:eastAsia="Verdana" w:hAnsi="Verdana"/>
                <w:sz w:val="18"/>
                <w:szCs w:val="18"/>
                <w:color w:val="auto"/>
              </w:rPr>
              <w:t>Collateral held to secure obligations under derivative contracts</w:t>
            </w:r>
          </w:p>
        </w:tc>
        <w:tc>
          <w:tcPr>
            <w:tcW w:w="180" w:type="dxa"/>
            <w:vAlign w:val="bottom"/>
          </w:tcPr>
          <w:p>
            <w:pPr>
              <w:spacing w:after="0"/>
              <w:rPr>
                <w:sz w:val="22"/>
                <w:szCs w:val="22"/>
                <w:color w:val="auto"/>
              </w:rPr>
            </w:pPr>
          </w:p>
        </w:tc>
        <w:tc>
          <w:tcPr>
            <w:tcW w:w="1340" w:type="dxa"/>
            <w:vAlign w:val="bottom"/>
          </w:tcPr>
          <w:p>
            <w:pPr>
              <w:jc w:val="right"/>
              <w:ind w:right="26"/>
              <w:spacing w:after="0"/>
              <w:rPr>
                <w:sz w:val="20"/>
                <w:szCs w:val="20"/>
                <w:color w:val="auto"/>
              </w:rPr>
            </w:pPr>
            <w:r>
              <w:rPr>
                <w:rFonts w:ascii="Verdana" w:cs="Verdana" w:eastAsia="Verdana" w:hAnsi="Verdana"/>
                <w:sz w:val="18"/>
                <w:szCs w:val="18"/>
                <w:color w:val="auto"/>
              </w:rPr>
              <w:t>9,380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ind w:right="4"/>
              <w:spacing w:after="0"/>
              <w:rPr>
                <w:sz w:val="20"/>
                <w:szCs w:val="20"/>
                <w:color w:val="auto"/>
              </w:rPr>
            </w:pPr>
            <w:r>
              <w:rPr>
                <w:rFonts w:ascii="Verdana" w:cs="Verdana" w:eastAsia="Verdana" w:hAnsi="Verdana"/>
                <w:sz w:val="18"/>
                <w:szCs w:val="18"/>
                <w:color w:val="auto"/>
              </w:rPr>
              <w:t>19,280</w:t>
            </w:r>
          </w:p>
        </w:tc>
      </w:tr>
    </w:tbl>
    <w:p>
      <w:pPr>
        <w:spacing w:after="0" w:line="278"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Derivative Instruments Designated as Hedges</w:t>
      </w:r>
    </w:p>
    <w:p>
      <w:pPr>
        <w:spacing w:after="0" w:line="186"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Busey entered into derivative instruments designated as cash flow hedges. For a derivative instrument that is designated and qualifies as a cash flow hedge, the change in fair value of the derivative instrument is reported as a component of OCI and reclassified into earnings in the same period or periods during which the hedged transaction affects earnings. Changes in fair value of components excluded from the assessment of effectiveness are recognized in current earnings.</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52" w:name="page53"/>
    <w:bookmarkEnd w:id="52"/>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Interest Rate Swaps Designated as Cash Flow Hedges</w:t>
      </w:r>
    </w:p>
    <w:p>
      <w:pPr>
        <w:spacing w:after="0" w:line="173"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Interest rate swaps with notional amounts totaling $400.0 million as of September 30, 2024, and $350.0 million as of December 31, 2023, were designated as cash flow hedges. Busey entered into one $300.0 million receive-fixed, pay-floating interest rate swap to reduce Busey’s asset sensitivity (Prime Loan Swap). Duration was added to our loan portfolio by fixing a portion of floating prime-based loans. Interest rates had risen above their historical lows allowing Busey to lock in a portion of its loan portfolio to reduce asset sensitivity while creating a more stable margin in a volatile rate market. These hedges were determined to be highly effective during the period, and Busey expects its hedges to remain highly effective during the remaining terms of the swaps. Further, in 2024 Busey entered into one $100.0 million one year forward-starting SOFR-based receive-fixed pay-floating interest rate swap, with an effective date of March 5, 2025, to reduce Busey’s asset sensitivity (SOFR Loan Swap). During the three months ended September 30, 2024, one interest rate swap to hedge the risks of variability in cash flows for future interest payments attributable to changes in the 3-month CME Term SOFR benchmark interest rate on Busey’s junior subordinated debt owed to unconsolidated trusts (Debt Swap) matured. Changes in the fair value of these interest rate swaps were recorded net of tax in OCI.</w:t>
      </w:r>
    </w:p>
    <w:p>
      <w:pPr>
        <w:spacing w:after="0" w:line="178"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A summary of the interest-rate swaps designated as cash flow hedges is presented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10"/>
              <w:spacing w:after="0"/>
              <w:rPr>
                <w:sz w:val="20"/>
                <w:szCs w:val="20"/>
                <w:color w:val="auto"/>
              </w:rPr>
            </w:pPr>
            <w:r>
              <w:rPr>
                <w:rFonts w:ascii="Verdana" w:cs="Verdana" w:eastAsia="Verdana" w:hAnsi="Verdana"/>
                <w:sz w:val="13"/>
                <w:szCs w:val="13"/>
                <w:b w:val="1"/>
                <w:bCs w:val="1"/>
                <w:color w:val="auto"/>
              </w:rPr>
              <w:t>As of</w:t>
            </w:r>
          </w:p>
        </w:tc>
        <w:tc>
          <w:tcPr>
            <w:tcW w:w="1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200" w:type="dxa"/>
            <w:vAlign w:val="bottom"/>
          </w:tcPr>
          <w:p>
            <w:pPr>
              <w:spacing w:after="0"/>
              <w:rPr>
                <w:sz w:val="10"/>
                <w:szCs w:val="10"/>
                <w:color w:val="auto"/>
              </w:rPr>
            </w:pPr>
          </w:p>
        </w:tc>
        <w:tc>
          <w:tcPr>
            <w:tcW w:w="1600" w:type="dxa"/>
            <w:vAlign w:val="bottom"/>
            <w:gridSpan w:val="2"/>
            <w:vMerge w:val="restart"/>
          </w:tcPr>
          <w:p>
            <w:pPr>
              <w:ind w:left="440"/>
              <w:spacing w:after="0"/>
              <w:rPr>
                <w:sz w:val="20"/>
                <w:szCs w:val="20"/>
                <w:color w:val="auto"/>
              </w:rPr>
            </w:pPr>
            <w:r>
              <w:rPr>
                <w:rFonts w:ascii="Verdana" w:cs="Verdana" w:eastAsia="Verdana" w:hAnsi="Verdana"/>
                <w:sz w:val="13"/>
                <w:szCs w:val="13"/>
                <w:b w:val="1"/>
                <w:bCs w:val="1"/>
                <w:color w:val="auto"/>
              </w:rPr>
              <w:t>Location</w:t>
            </w:r>
          </w:p>
        </w:tc>
        <w:tc>
          <w:tcPr>
            <w:tcW w:w="220" w:type="dxa"/>
            <w:vAlign w:val="bottom"/>
          </w:tcPr>
          <w:p>
            <w:pPr>
              <w:spacing w:after="0"/>
              <w:rPr>
                <w:sz w:val="10"/>
                <w:szCs w:val="10"/>
                <w:color w:val="auto"/>
              </w:rPr>
            </w:pPr>
          </w:p>
        </w:tc>
        <w:tc>
          <w:tcPr>
            <w:tcW w:w="1540" w:type="dxa"/>
            <w:vAlign w:val="bottom"/>
            <w:gridSpan w:val="2"/>
          </w:tcPr>
          <w:p>
            <w:pPr>
              <w:ind w:left="100"/>
              <w:spacing w:after="0" w:line="122" w:lineRule="exact"/>
              <w:rPr>
                <w:sz w:val="20"/>
                <w:szCs w:val="20"/>
                <w:color w:val="auto"/>
              </w:rPr>
            </w:pPr>
            <w:r>
              <w:rPr>
                <w:rFonts w:ascii="Verdana" w:cs="Verdana" w:eastAsia="Verdana" w:hAnsi="Verdana"/>
                <w:sz w:val="13"/>
                <w:szCs w:val="13"/>
                <w:b w:val="1"/>
                <w:bCs w:val="1"/>
                <w:color w:val="auto"/>
              </w:rPr>
              <w:t>September 30,</w:t>
            </w:r>
          </w:p>
        </w:tc>
        <w:tc>
          <w:tcPr>
            <w:tcW w:w="240" w:type="dxa"/>
            <w:vAlign w:val="bottom"/>
          </w:tcPr>
          <w:p>
            <w:pPr>
              <w:spacing w:after="0"/>
              <w:rPr>
                <w:sz w:val="10"/>
                <w:szCs w:val="10"/>
                <w:color w:val="auto"/>
              </w:rPr>
            </w:pPr>
          </w:p>
        </w:tc>
        <w:tc>
          <w:tcPr>
            <w:tcW w:w="1440" w:type="dxa"/>
            <w:vAlign w:val="bottom"/>
          </w:tcPr>
          <w:p>
            <w:pPr>
              <w:jc w:val="right"/>
              <w:ind w:right="253"/>
              <w:spacing w:after="0" w:line="122" w:lineRule="exact"/>
              <w:rPr>
                <w:sz w:val="20"/>
                <w:szCs w:val="20"/>
                <w:color w:val="auto"/>
              </w:rPr>
            </w:pPr>
            <w:r>
              <w:rPr>
                <w:rFonts w:ascii="Verdana" w:cs="Verdana" w:eastAsia="Verdana" w:hAnsi="Verdana"/>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620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ind w:left="420"/>
              <w:spacing w:after="0"/>
              <w:rPr>
                <w:sz w:val="20"/>
                <w:szCs w:val="20"/>
                <w:color w:val="auto"/>
              </w:rPr>
            </w:pPr>
            <w:r>
              <w:rPr>
                <w:rFonts w:ascii="Verdana" w:cs="Verdana" w:eastAsia="Verdana" w:hAnsi="Verdana"/>
                <w:sz w:val="13"/>
                <w:szCs w:val="13"/>
                <w:b w:val="1"/>
                <w:bCs w:val="1"/>
                <w:color w:val="auto"/>
              </w:rPr>
              <w:t>2023</w:t>
            </w:r>
          </w:p>
        </w:tc>
        <w:tc>
          <w:tcPr>
            <w:tcW w:w="0" w:type="dxa"/>
            <w:vAlign w:val="bottom"/>
          </w:tcPr>
          <w:p>
            <w:pPr>
              <w:spacing w:after="0"/>
              <w:rPr>
                <w:sz w:val="1"/>
                <w:szCs w:val="1"/>
                <w:color w:val="auto"/>
              </w:rPr>
            </w:pPr>
          </w:p>
        </w:tc>
      </w:tr>
      <w:tr>
        <w:trPr>
          <w:trHeight w:val="255"/>
        </w:trPr>
        <w:tc>
          <w:tcPr>
            <w:tcW w:w="620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Swap</w:t>
            </w:r>
          </w:p>
        </w:tc>
        <w:tc>
          <w:tcPr>
            <w:tcW w:w="150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4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44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200" w:type="dxa"/>
            <w:vAlign w:val="bottom"/>
          </w:tcPr>
          <w:p>
            <w:pPr>
              <w:ind w:left="180"/>
              <w:spacing w:after="0"/>
              <w:rPr>
                <w:sz w:val="20"/>
                <w:szCs w:val="20"/>
                <w:color w:val="auto"/>
              </w:rPr>
            </w:pPr>
            <w:r>
              <w:rPr>
                <w:rFonts w:ascii="Verdana" w:cs="Verdana" w:eastAsia="Verdana" w:hAnsi="Verdana"/>
                <w:sz w:val="18"/>
                <w:szCs w:val="18"/>
                <w:color w:val="auto"/>
              </w:rPr>
              <w:t>Notional amount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gridSpan w:val="2"/>
          </w:tcPr>
          <w:p>
            <w:pPr>
              <w:jc w:val="right"/>
              <w:ind w:right="360"/>
              <w:spacing w:after="0"/>
              <w:rPr>
                <w:sz w:val="20"/>
                <w:szCs w:val="20"/>
                <w:color w:val="auto"/>
              </w:rPr>
            </w:pPr>
            <w:r>
              <w:rPr>
                <w:rFonts w:ascii="Verdana" w:cs="Verdana" w:eastAsia="Verdana" w:hAnsi="Verdana"/>
                <w:sz w:val="18"/>
                <w:szCs w:val="18"/>
                <w:color w:val="auto"/>
              </w:rPr>
              <w:t>—</w:t>
            </w: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440" w:type="dxa"/>
            <w:vAlign w:val="bottom"/>
          </w:tcPr>
          <w:p>
            <w:pPr>
              <w:jc w:val="right"/>
              <w:ind w:right="193"/>
              <w:spacing w:after="0"/>
              <w:rPr>
                <w:sz w:val="20"/>
                <w:szCs w:val="20"/>
                <w:color w:val="auto"/>
              </w:rPr>
            </w:pPr>
            <w:r>
              <w:rPr>
                <w:rFonts w:ascii="Verdana" w:cs="Verdana" w:eastAsia="Verdana" w:hAnsi="Verdana"/>
                <w:sz w:val="18"/>
                <w:szCs w:val="18"/>
                <w:color w:val="auto"/>
              </w:rPr>
              <w:t>50,000</w:t>
            </w:r>
          </w:p>
        </w:tc>
        <w:tc>
          <w:tcPr>
            <w:tcW w:w="0" w:type="dxa"/>
            <w:vAlign w:val="bottom"/>
          </w:tcPr>
          <w:p>
            <w:pPr>
              <w:spacing w:after="0"/>
              <w:rPr>
                <w:sz w:val="1"/>
                <w:szCs w:val="1"/>
                <w:color w:val="auto"/>
              </w:rPr>
            </w:pPr>
          </w:p>
        </w:tc>
      </w:tr>
      <w:tr>
        <w:trPr>
          <w:trHeight w:val="277"/>
        </w:trPr>
        <w:tc>
          <w:tcPr>
            <w:tcW w:w="62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Weighted average rate: pay-fixed</w:t>
            </w:r>
          </w:p>
        </w:tc>
        <w:tc>
          <w:tcPr>
            <w:tcW w:w="15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540" w:type="dxa"/>
            <w:vAlign w:val="bottom"/>
            <w:gridSpan w:val="2"/>
            <w:shd w:val="clear" w:color="auto" w:fill="E0E7ED"/>
          </w:tcPr>
          <w:p>
            <w:pPr>
              <w:jc w:val="right"/>
              <w:ind w:right="360"/>
              <w:spacing w:after="0"/>
              <w:rPr>
                <w:sz w:val="20"/>
                <w:szCs w:val="20"/>
                <w:color w:val="auto"/>
              </w:rPr>
            </w:pPr>
            <w:r>
              <w:rPr>
                <w:rFonts w:ascii="Verdana" w:cs="Verdana" w:eastAsia="Verdana" w:hAnsi="Verdana"/>
                <w:sz w:val="18"/>
                <w:szCs w:val="18"/>
                <w:color w:val="auto"/>
              </w:rPr>
              <w:t>—</w:t>
            </w: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1.79 %</w:t>
            </w:r>
          </w:p>
        </w:tc>
        <w:tc>
          <w:tcPr>
            <w:tcW w:w="0" w:type="dxa"/>
            <w:vAlign w:val="bottom"/>
          </w:tcPr>
          <w:p>
            <w:pPr>
              <w:spacing w:after="0"/>
              <w:rPr>
                <w:sz w:val="1"/>
                <w:szCs w:val="1"/>
                <w:color w:val="auto"/>
              </w:rPr>
            </w:pPr>
          </w:p>
        </w:tc>
      </w:tr>
      <w:tr>
        <w:trPr>
          <w:trHeight w:val="238"/>
        </w:trPr>
        <w:tc>
          <w:tcPr>
            <w:tcW w:w="6200" w:type="dxa"/>
            <w:vAlign w:val="bottom"/>
          </w:tcPr>
          <w:p>
            <w:pPr>
              <w:ind w:left="180"/>
              <w:spacing w:after="0"/>
              <w:rPr>
                <w:sz w:val="20"/>
                <w:szCs w:val="20"/>
                <w:color w:val="auto"/>
              </w:rPr>
            </w:pPr>
            <w:r>
              <w:rPr>
                <w:rFonts w:ascii="Verdana" w:cs="Verdana" w:eastAsia="Verdana" w:hAnsi="Verdana"/>
                <w:sz w:val="18"/>
                <w:szCs w:val="18"/>
                <w:color w:val="auto"/>
              </w:rPr>
              <w:t>Weighted average variable 3-month Fallback Rate (SOFR) receive</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200" w:type="dxa"/>
            <w:vAlign w:val="bottom"/>
          </w:tcPr>
          <w:p>
            <w:pPr>
              <w:ind w:left="180"/>
              <w:spacing w:after="0"/>
              <w:rPr>
                <w:sz w:val="20"/>
                <w:szCs w:val="20"/>
                <w:color w:val="auto"/>
              </w:rPr>
            </w:pPr>
            <w:r>
              <w:rPr>
                <w:rFonts w:ascii="Verdana" w:cs="Verdana" w:eastAsia="Verdana" w:hAnsi="Verdana"/>
                <w:sz w:val="18"/>
                <w:szCs w:val="18"/>
                <w:color w:val="auto"/>
              </w:rPr>
              <w:t>rates</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gridSpan w:val="2"/>
          </w:tcPr>
          <w:p>
            <w:pPr>
              <w:jc w:val="right"/>
              <w:ind w:right="360"/>
              <w:spacing w:after="0"/>
              <w:rPr>
                <w:sz w:val="20"/>
                <w:szCs w:val="20"/>
                <w:color w:val="auto"/>
              </w:rPr>
            </w:pPr>
            <w:r>
              <w:rPr>
                <w:rFonts w:ascii="Verdana" w:cs="Verdana" w:eastAsia="Verdana" w:hAnsi="Verdana"/>
                <w:sz w:val="18"/>
                <w:szCs w:val="18"/>
                <w:color w:val="auto"/>
              </w:rPr>
              <w:t>—</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Verdana" w:cs="Verdana" w:eastAsia="Verdana" w:hAnsi="Verdana"/>
                <w:sz w:val="18"/>
                <w:szCs w:val="18"/>
                <w:color w:val="auto"/>
              </w:rPr>
              <w:t>5.61 %</w:t>
            </w:r>
          </w:p>
        </w:tc>
        <w:tc>
          <w:tcPr>
            <w:tcW w:w="0" w:type="dxa"/>
            <w:vAlign w:val="bottom"/>
          </w:tcPr>
          <w:p>
            <w:pPr>
              <w:spacing w:after="0"/>
              <w:rPr>
                <w:sz w:val="1"/>
                <w:szCs w:val="1"/>
                <w:color w:val="auto"/>
              </w:rPr>
            </w:pPr>
          </w:p>
        </w:tc>
      </w:tr>
      <w:tr>
        <w:trPr>
          <w:trHeight w:val="277"/>
        </w:trPr>
        <w:tc>
          <w:tcPr>
            <w:tcW w:w="62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Weighted average maturity</w:t>
            </w:r>
          </w:p>
        </w:tc>
        <w:tc>
          <w:tcPr>
            <w:tcW w:w="15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540" w:type="dxa"/>
            <w:vAlign w:val="bottom"/>
            <w:gridSpan w:val="2"/>
            <w:shd w:val="clear" w:color="auto" w:fill="E0E7ED"/>
          </w:tcPr>
          <w:p>
            <w:pPr>
              <w:jc w:val="right"/>
              <w:ind w:right="360"/>
              <w:spacing w:after="0"/>
              <w:rPr>
                <w:sz w:val="20"/>
                <w:szCs w:val="20"/>
                <w:color w:val="auto"/>
              </w:rPr>
            </w:pPr>
            <w:r>
              <w:rPr>
                <w:rFonts w:ascii="Verdana" w:cs="Verdana" w:eastAsia="Verdana" w:hAnsi="Verdana"/>
                <w:sz w:val="18"/>
                <w:szCs w:val="18"/>
                <w:color w:val="auto"/>
              </w:rPr>
              <w:t>—</w:t>
            </w: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0.71 years</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Prime Loan Swap</w:t>
            </w:r>
          </w:p>
        </w:tc>
        <w:tc>
          <w:tcPr>
            <w:tcW w:w="15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20" w:type="dxa"/>
            <w:vAlign w:val="bottom"/>
            <w:shd w:val="clear" w:color="auto" w:fill="E0E7ED"/>
          </w:tcPr>
          <w:p>
            <w:pPr>
              <w:spacing w:after="0"/>
              <w:rPr>
                <w:sz w:val="23"/>
                <w:szCs w:val="23"/>
                <w:color w:val="auto"/>
              </w:rPr>
            </w:pPr>
          </w:p>
        </w:tc>
        <w:tc>
          <w:tcPr>
            <w:tcW w:w="146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440" w:type="dxa"/>
            <w:vAlign w:val="bottom"/>
            <w:shd w:val="clear" w:color="auto" w:fill="E0E7ED"/>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200" w:type="dxa"/>
            <w:vAlign w:val="bottom"/>
          </w:tcPr>
          <w:p>
            <w:pPr>
              <w:ind w:left="180"/>
              <w:spacing w:after="0"/>
              <w:rPr>
                <w:sz w:val="20"/>
                <w:szCs w:val="20"/>
                <w:color w:val="auto"/>
              </w:rPr>
            </w:pPr>
            <w:r>
              <w:rPr>
                <w:rFonts w:ascii="Verdana" w:cs="Verdana" w:eastAsia="Verdana" w:hAnsi="Verdana"/>
                <w:sz w:val="18"/>
                <w:szCs w:val="18"/>
                <w:color w:val="auto"/>
              </w:rPr>
              <w:t>Notional amount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460" w:type="dxa"/>
            <w:vAlign w:val="bottom"/>
          </w:tcPr>
          <w:p>
            <w:pPr>
              <w:jc w:val="right"/>
              <w:ind w:right="195"/>
              <w:spacing w:after="0"/>
              <w:rPr>
                <w:sz w:val="20"/>
                <w:szCs w:val="20"/>
                <w:color w:val="auto"/>
              </w:rPr>
            </w:pPr>
            <w:r>
              <w:rPr>
                <w:rFonts w:ascii="Verdana" w:cs="Verdana" w:eastAsia="Verdana" w:hAnsi="Verdana"/>
                <w:sz w:val="18"/>
                <w:szCs w:val="18"/>
                <w:color w:val="auto"/>
              </w:rPr>
              <w:t>300,000</w:t>
            </w:r>
          </w:p>
        </w:tc>
        <w:tc>
          <w:tcPr>
            <w:tcW w:w="8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440" w:type="dxa"/>
            <w:vAlign w:val="bottom"/>
          </w:tcPr>
          <w:p>
            <w:pPr>
              <w:jc w:val="right"/>
              <w:ind w:right="193"/>
              <w:spacing w:after="0"/>
              <w:rPr>
                <w:sz w:val="20"/>
                <w:szCs w:val="20"/>
                <w:color w:val="auto"/>
              </w:rPr>
            </w:pPr>
            <w:r>
              <w:rPr>
                <w:rFonts w:ascii="Verdana" w:cs="Verdana" w:eastAsia="Verdana" w:hAnsi="Verdana"/>
                <w:sz w:val="18"/>
                <w:szCs w:val="18"/>
                <w:color w:val="auto"/>
              </w:rPr>
              <w:t>300,000</w:t>
            </w:r>
          </w:p>
        </w:tc>
        <w:tc>
          <w:tcPr>
            <w:tcW w:w="0" w:type="dxa"/>
            <w:vAlign w:val="bottom"/>
          </w:tcPr>
          <w:p>
            <w:pPr>
              <w:spacing w:after="0"/>
              <w:rPr>
                <w:sz w:val="1"/>
                <w:szCs w:val="1"/>
                <w:color w:val="auto"/>
              </w:rPr>
            </w:pPr>
          </w:p>
        </w:tc>
      </w:tr>
      <w:tr>
        <w:trPr>
          <w:trHeight w:val="277"/>
        </w:trPr>
        <w:tc>
          <w:tcPr>
            <w:tcW w:w="62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Weighted average rate: receive-fixed</w:t>
            </w:r>
          </w:p>
        </w:tc>
        <w:tc>
          <w:tcPr>
            <w:tcW w:w="15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4.81 %</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4.81 %</w:t>
            </w:r>
          </w:p>
        </w:tc>
        <w:tc>
          <w:tcPr>
            <w:tcW w:w="0" w:type="dxa"/>
            <w:vAlign w:val="bottom"/>
          </w:tcPr>
          <w:p>
            <w:pPr>
              <w:spacing w:after="0"/>
              <w:rPr>
                <w:sz w:val="1"/>
                <w:szCs w:val="1"/>
                <w:color w:val="auto"/>
              </w:rPr>
            </w:pPr>
          </w:p>
        </w:tc>
      </w:tr>
      <w:tr>
        <w:trPr>
          <w:trHeight w:val="263"/>
        </w:trPr>
        <w:tc>
          <w:tcPr>
            <w:tcW w:w="6200" w:type="dxa"/>
            <w:vAlign w:val="bottom"/>
          </w:tcPr>
          <w:p>
            <w:pPr>
              <w:ind w:left="180"/>
              <w:spacing w:after="0"/>
              <w:rPr>
                <w:sz w:val="20"/>
                <w:szCs w:val="20"/>
                <w:color w:val="auto"/>
              </w:rPr>
            </w:pPr>
            <w:r>
              <w:rPr>
                <w:rFonts w:ascii="Verdana" w:cs="Verdana" w:eastAsia="Verdana" w:hAnsi="Verdana"/>
                <w:sz w:val="18"/>
                <w:szCs w:val="18"/>
                <w:color w:val="auto"/>
              </w:rPr>
              <w:t>Weighted average variable Prime pay rates</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Verdana" w:cs="Verdana" w:eastAsia="Verdana" w:hAnsi="Verdana"/>
                <w:sz w:val="18"/>
                <w:szCs w:val="18"/>
                <w:color w:val="auto"/>
              </w:rPr>
              <w:t>8.25 %</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Verdana" w:cs="Verdana" w:eastAsia="Verdana" w:hAnsi="Verdana"/>
                <w:sz w:val="18"/>
                <w:szCs w:val="18"/>
                <w:color w:val="auto"/>
              </w:rPr>
              <w:t>8.50 %</w:t>
            </w:r>
          </w:p>
        </w:tc>
        <w:tc>
          <w:tcPr>
            <w:tcW w:w="0" w:type="dxa"/>
            <w:vAlign w:val="bottom"/>
          </w:tcPr>
          <w:p>
            <w:pPr>
              <w:spacing w:after="0"/>
              <w:rPr>
                <w:sz w:val="1"/>
                <w:szCs w:val="1"/>
                <w:color w:val="auto"/>
              </w:rPr>
            </w:pPr>
          </w:p>
        </w:tc>
      </w:tr>
      <w:tr>
        <w:trPr>
          <w:trHeight w:val="277"/>
        </w:trPr>
        <w:tc>
          <w:tcPr>
            <w:tcW w:w="62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Weighted average maturity</w:t>
            </w:r>
          </w:p>
        </w:tc>
        <w:tc>
          <w:tcPr>
            <w:tcW w:w="15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540" w:type="dxa"/>
            <w:vAlign w:val="bottom"/>
            <w:gridSpan w:val="2"/>
            <w:shd w:val="clear" w:color="auto" w:fill="E0E7ED"/>
          </w:tcPr>
          <w:p>
            <w:pPr>
              <w:ind w:left="480"/>
              <w:spacing w:after="0"/>
              <w:rPr>
                <w:sz w:val="20"/>
                <w:szCs w:val="20"/>
                <w:color w:val="auto"/>
              </w:rPr>
            </w:pPr>
            <w:r>
              <w:rPr>
                <w:rFonts w:ascii="Verdana" w:cs="Verdana" w:eastAsia="Verdana" w:hAnsi="Verdana"/>
                <w:sz w:val="18"/>
                <w:szCs w:val="18"/>
                <w:color w:val="auto"/>
              </w:rPr>
              <w:t>4.35 years</w:t>
            </w: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5.10 years</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SOFR Loan Swap</w:t>
            </w:r>
          </w:p>
        </w:tc>
        <w:tc>
          <w:tcPr>
            <w:tcW w:w="15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20" w:type="dxa"/>
            <w:vAlign w:val="bottom"/>
            <w:shd w:val="clear" w:color="auto" w:fill="E0E7ED"/>
          </w:tcPr>
          <w:p>
            <w:pPr>
              <w:spacing w:after="0"/>
              <w:rPr>
                <w:sz w:val="23"/>
                <w:szCs w:val="23"/>
                <w:color w:val="auto"/>
              </w:rPr>
            </w:pPr>
          </w:p>
        </w:tc>
        <w:tc>
          <w:tcPr>
            <w:tcW w:w="146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440" w:type="dxa"/>
            <w:vAlign w:val="bottom"/>
            <w:shd w:val="clear" w:color="auto" w:fill="E0E7ED"/>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200" w:type="dxa"/>
            <w:vAlign w:val="bottom"/>
          </w:tcPr>
          <w:p>
            <w:pPr>
              <w:ind w:left="180"/>
              <w:spacing w:after="0"/>
              <w:rPr>
                <w:sz w:val="20"/>
                <w:szCs w:val="20"/>
                <w:color w:val="auto"/>
              </w:rPr>
            </w:pPr>
            <w:r>
              <w:rPr>
                <w:rFonts w:ascii="Verdana" w:cs="Verdana" w:eastAsia="Verdana" w:hAnsi="Verdana"/>
                <w:sz w:val="18"/>
                <w:szCs w:val="18"/>
                <w:color w:val="auto"/>
              </w:rPr>
              <w:t>Notional amount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460" w:type="dxa"/>
            <w:vAlign w:val="bottom"/>
          </w:tcPr>
          <w:p>
            <w:pPr>
              <w:jc w:val="right"/>
              <w:ind w:right="195"/>
              <w:spacing w:after="0"/>
              <w:rPr>
                <w:sz w:val="20"/>
                <w:szCs w:val="20"/>
                <w:color w:val="auto"/>
              </w:rPr>
            </w:pPr>
            <w:r>
              <w:rPr>
                <w:rFonts w:ascii="Verdana" w:cs="Verdana" w:eastAsia="Verdana" w:hAnsi="Verdana"/>
                <w:sz w:val="18"/>
                <w:szCs w:val="18"/>
                <w:color w:val="auto"/>
              </w:rPr>
              <w:t>100,000</w:t>
            </w:r>
          </w:p>
        </w:tc>
        <w:tc>
          <w:tcPr>
            <w:tcW w:w="8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440" w:type="dxa"/>
            <w:vAlign w:val="bottom"/>
          </w:tcPr>
          <w:p>
            <w:pPr>
              <w:jc w:val="right"/>
              <w:ind w:right="193"/>
              <w:spacing w:after="0"/>
              <w:rPr>
                <w:sz w:val="20"/>
                <w:szCs w:val="20"/>
                <w:color w:val="auto"/>
              </w:rPr>
            </w:pPr>
            <w:r>
              <w:rPr>
                <w:rFonts w:ascii="Verdana" w:cs="Verdana" w:eastAsia="Verdana" w:hAnsi="Verdana"/>
                <w:sz w:val="18"/>
                <w:szCs w:val="18"/>
                <w:color w:val="auto"/>
              </w:rPr>
              <w:t>—</w:t>
            </w:r>
          </w:p>
        </w:tc>
        <w:tc>
          <w:tcPr>
            <w:tcW w:w="0" w:type="dxa"/>
            <w:vAlign w:val="bottom"/>
          </w:tcPr>
          <w:p>
            <w:pPr>
              <w:spacing w:after="0"/>
              <w:rPr>
                <w:sz w:val="1"/>
                <w:szCs w:val="1"/>
                <w:color w:val="auto"/>
              </w:rPr>
            </w:pPr>
          </w:p>
        </w:tc>
      </w:tr>
      <w:tr>
        <w:trPr>
          <w:trHeight w:val="277"/>
        </w:trPr>
        <w:tc>
          <w:tcPr>
            <w:tcW w:w="62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Weighted average rate: receive-fixed</w:t>
            </w:r>
          </w:p>
        </w:tc>
        <w:tc>
          <w:tcPr>
            <w:tcW w:w="15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3.72 %</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w:t>
            </w:r>
          </w:p>
        </w:tc>
        <w:tc>
          <w:tcPr>
            <w:tcW w:w="0" w:type="dxa"/>
            <w:vAlign w:val="bottom"/>
          </w:tcPr>
          <w:p>
            <w:pPr>
              <w:spacing w:after="0"/>
              <w:rPr>
                <w:sz w:val="1"/>
                <w:szCs w:val="1"/>
                <w:color w:val="auto"/>
              </w:rPr>
            </w:pPr>
          </w:p>
        </w:tc>
      </w:tr>
      <w:tr>
        <w:trPr>
          <w:trHeight w:val="263"/>
        </w:trPr>
        <w:tc>
          <w:tcPr>
            <w:tcW w:w="6200" w:type="dxa"/>
            <w:vAlign w:val="bottom"/>
          </w:tcPr>
          <w:p>
            <w:pPr>
              <w:ind w:left="180"/>
              <w:spacing w:after="0"/>
              <w:rPr>
                <w:sz w:val="20"/>
                <w:szCs w:val="20"/>
                <w:color w:val="auto"/>
              </w:rPr>
            </w:pPr>
            <w:r>
              <w:rPr>
                <w:rFonts w:ascii="Verdana" w:cs="Verdana" w:eastAsia="Verdana" w:hAnsi="Verdana"/>
                <w:sz w:val="18"/>
                <w:szCs w:val="18"/>
                <w:color w:val="auto"/>
              </w:rPr>
              <w:t>Weighted average maturity</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gridSpan w:val="2"/>
          </w:tcPr>
          <w:p>
            <w:pPr>
              <w:ind w:left="480"/>
              <w:spacing w:after="0"/>
              <w:rPr>
                <w:sz w:val="20"/>
                <w:szCs w:val="20"/>
                <w:color w:val="auto"/>
              </w:rPr>
            </w:pPr>
            <w:r>
              <w:rPr>
                <w:rFonts w:ascii="Verdana" w:cs="Verdana" w:eastAsia="Verdana" w:hAnsi="Verdana"/>
                <w:sz w:val="18"/>
                <w:szCs w:val="18"/>
                <w:color w:val="auto"/>
              </w:rPr>
              <w:t>4.43 years</w:t>
            </w:r>
          </w:p>
        </w:tc>
        <w:tc>
          <w:tcPr>
            <w:tcW w:w="240" w:type="dxa"/>
            <w:vAlign w:val="bottom"/>
          </w:tcPr>
          <w:p>
            <w:pPr>
              <w:spacing w:after="0"/>
              <w:rPr>
                <w:sz w:val="22"/>
                <w:szCs w:val="22"/>
                <w:color w:val="auto"/>
              </w:rPr>
            </w:pPr>
          </w:p>
        </w:tc>
        <w:tc>
          <w:tcPr>
            <w:tcW w:w="1440" w:type="dxa"/>
            <w:vAlign w:val="bottom"/>
          </w:tcPr>
          <w:p>
            <w:pPr>
              <w:jc w:val="right"/>
              <w:ind w:right="193"/>
              <w:spacing w:after="0"/>
              <w:rPr>
                <w:sz w:val="20"/>
                <w:szCs w:val="20"/>
                <w:color w:val="auto"/>
              </w:rPr>
            </w:pPr>
            <w:r>
              <w:rPr>
                <w:rFonts w:ascii="Verdana" w:cs="Verdana" w:eastAsia="Verdana" w:hAnsi="Verdana"/>
                <w:sz w:val="18"/>
                <w:szCs w:val="18"/>
                <w:color w:val="auto"/>
              </w:rPr>
              <w:t>—</w:t>
            </w:r>
          </w:p>
        </w:tc>
        <w:tc>
          <w:tcPr>
            <w:tcW w:w="0" w:type="dxa"/>
            <w:vAlign w:val="bottom"/>
          </w:tcPr>
          <w:p>
            <w:pPr>
              <w:spacing w:after="0"/>
              <w:rPr>
                <w:sz w:val="1"/>
                <w:szCs w:val="1"/>
                <w:color w:val="auto"/>
              </w:rPr>
            </w:pPr>
          </w:p>
        </w:tc>
      </w:tr>
      <w:tr>
        <w:trPr>
          <w:trHeight w:val="277"/>
        </w:trPr>
        <w:tc>
          <w:tcPr>
            <w:tcW w:w="6200" w:type="dxa"/>
            <w:vAlign w:val="bottom"/>
            <w:shd w:val="clear" w:color="auto" w:fill="E0E7ED"/>
          </w:tcPr>
          <w:p>
            <w:pPr>
              <w:spacing w:after="0"/>
              <w:rPr>
                <w:sz w:val="24"/>
                <w:szCs w:val="24"/>
                <w:color w:val="auto"/>
              </w:rPr>
            </w:pPr>
          </w:p>
        </w:tc>
        <w:tc>
          <w:tcPr>
            <w:tcW w:w="15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6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200" w:type="dxa"/>
            <w:vAlign w:val="bottom"/>
          </w:tcPr>
          <w:p>
            <w:pPr>
              <w:ind w:left="20"/>
              <w:spacing w:after="0"/>
              <w:rPr>
                <w:sz w:val="20"/>
                <w:szCs w:val="20"/>
                <w:color w:val="auto"/>
              </w:rPr>
            </w:pPr>
            <w:r>
              <w:rPr>
                <w:rFonts w:ascii="Verdana" w:cs="Verdana" w:eastAsia="Verdana" w:hAnsi="Verdana"/>
                <w:sz w:val="18"/>
                <w:szCs w:val="18"/>
                <w:b w:val="1"/>
                <w:bCs w:val="1"/>
                <w:color w:val="auto"/>
              </w:rPr>
              <w:t>Gross aggregate fair value of the swaps</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2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Gross aggregate fair value of swap assets</w:t>
            </w:r>
          </w:p>
        </w:tc>
        <w:tc>
          <w:tcPr>
            <w:tcW w:w="1600" w:type="dxa"/>
            <w:vAlign w:val="bottom"/>
            <w:gridSpan w:val="2"/>
            <w:shd w:val="clear" w:color="auto" w:fill="E0E7ED"/>
          </w:tcPr>
          <w:p>
            <w:pPr>
              <w:spacing w:after="0"/>
              <w:rPr>
                <w:sz w:val="20"/>
                <w:szCs w:val="20"/>
                <w:color w:val="auto"/>
              </w:rPr>
            </w:pPr>
            <w:r>
              <w:rPr>
                <w:rFonts w:ascii="Verdana" w:cs="Verdana" w:eastAsia="Verdana" w:hAnsi="Verdana"/>
                <w:sz w:val="18"/>
                <w:szCs w:val="18"/>
                <w:color w:val="auto"/>
              </w:rPr>
              <w:t>Other assets</w:t>
            </w: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46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2,332</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44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1,293</w:t>
            </w:r>
          </w:p>
        </w:tc>
        <w:tc>
          <w:tcPr>
            <w:tcW w:w="0" w:type="dxa"/>
            <w:vAlign w:val="bottom"/>
          </w:tcPr>
          <w:p>
            <w:pPr>
              <w:spacing w:after="0"/>
              <w:rPr>
                <w:sz w:val="1"/>
                <w:szCs w:val="1"/>
                <w:color w:val="auto"/>
              </w:rPr>
            </w:pPr>
          </w:p>
        </w:tc>
      </w:tr>
      <w:tr>
        <w:trPr>
          <w:trHeight w:val="263"/>
        </w:trPr>
        <w:tc>
          <w:tcPr>
            <w:tcW w:w="6200" w:type="dxa"/>
            <w:vAlign w:val="bottom"/>
          </w:tcPr>
          <w:p>
            <w:pPr>
              <w:ind w:left="180"/>
              <w:spacing w:after="0"/>
              <w:rPr>
                <w:sz w:val="20"/>
                <w:szCs w:val="20"/>
                <w:color w:val="auto"/>
              </w:rPr>
            </w:pPr>
            <w:r>
              <w:rPr>
                <w:rFonts w:ascii="Verdana" w:cs="Verdana" w:eastAsia="Verdana" w:hAnsi="Verdana"/>
                <w:sz w:val="18"/>
                <w:szCs w:val="18"/>
                <w:color w:val="auto"/>
              </w:rPr>
              <w:t>Gross aggregate fair value of swap liabilities</w:t>
            </w:r>
          </w:p>
        </w:tc>
        <w:tc>
          <w:tcPr>
            <w:tcW w:w="1600" w:type="dxa"/>
            <w:vAlign w:val="bottom"/>
            <w:gridSpan w:val="2"/>
          </w:tcPr>
          <w:p>
            <w:pPr>
              <w:spacing w:after="0"/>
              <w:rPr>
                <w:sz w:val="20"/>
                <w:szCs w:val="20"/>
                <w:color w:val="auto"/>
              </w:rPr>
            </w:pPr>
            <w:r>
              <w:rPr>
                <w:rFonts w:ascii="Verdana" w:cs="Verdana" w:eastAsia="Verdana" w:hAnsi="Verdana"/>
                <w:sz w:val="18"/>
                <w:szCs w:val="18"/>
                <w:color w:val="auto"/>
              </w:rPr>
              <w:t>Other liabilities</w:t>
            </w:r>
          </w:p>
        </w:tc>
        <w:tc>
          <w:tcPr>
            <w:tcW w:w="220" w:type="dxa"/>
            <w:vAlign w:val="bottom"/>
          </w:tcPr>
          <w:p>
            <w:pPr>
              <w:spacing w:after="0"/>
              <w:rPr>
                <w:sz w:val="22"/>
                <w:szCs w:val="22"/>
                <w:color w:val="auto"/>
              </w:rPr>
            </w:pPr>
          </w:p>
        </w:tc>
        <w:tc>
          <w:tcPr>
            <w:tcW w:w="1460" w:type="dxa"/>
            <w:vAlign w:val="bottom"/>
          </w:tcPr>
          <w:p>
            <w:pPr>
              <w:jc w:val="right"/>
              <w:ind w:right="195"/>
              <w:spacing w:after="0"/>
              <w:rPr>
                <w:sz w:val="20"/>
                <w:szCs w:val="20"/>
                <w:color w:val="auto"/>
              </w:rPr>
            </w:pPr>
            <w:r>
              <w:rPr>
                <w:rFonts w:ascii="Verdana" w:cs="Verdana" w:eastAsia="Verdana" w:hAnsi="Verdana"/>
                <w:sz w:val="18"/>
                <w:szCs w:val="18"/>
                <w:color w:val="auto"/>
              </w:rPr>
              <w:t>19,176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193"/>
              <w:spacing w:after="0"/>
              <w:rPr>
                <w:sz w:val="20"/>
                <w:szCs w:val="20"/>
                <w:color w:val="auto"/>
              </w:rPr>
            </w:pPr>
            <w:r>
              <w:rPr>
                <w:rFonts w:ascii="Verdana" w:cs="Verdana" w:eastAsia="Verdana" w:hAnsi="Verdana"/>
                <w:sz w:val="18"/>
                <w:szCs w:val="18"/>
                <w:color w:val="auto"/>
              </w:rPr>
              <w:t>25,411</w:t>
            </w:r>
          </w:p>
        </w:tc>
        <w:tc>
          <w:tcPr>
            <w:tcW w:w="0" w:type="dxa"/>
            <w:vAlign w:val="bottom"/>
          </w:tcPr>
          <w:p>
            <w:pPr>
              <w:spacing w:after="0"/>
              <w:rPr>
                <w:sz w:val="1"/>
                <w:szCs w:val="1"/>
                <w:color w:val="auto"/>
              </w:rPr>
            </w:pPr>
          </w:p>
        </w:tc>
      </w:tr>
      <w:tr>
        <w:trPr>
          <w:trHeight w:val="277"/>
        </w:trPr>
        <w:tc>
          <w:tcPr>
            <w:tcW w:w="6200" w:type="dxa"/>
            <w:vAlign w:val="bottom"/>
            <w:shd w:val="clear" w:color="auto" w:fill="E0E7ED"/>
          </w:tcPr>
          <w:p>
            <w:pPr>
              <w:spacing w:after="0"/>
              <w:rPr>
                <w:sz w:val="24"/>
                <w:szCs w:val="24"/>
                <w:color w:val="auto"/>
              </w:rPr>
            </w:pPr>
          </w:p>
        </w:tc>
        <w:tc>
          <w:tcPr>
            <w:tcW w:w="15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6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200" w:type="dxa"/>
            <w:vAlign w:val="bottom"/>
          </w:tcPr>
          <w:p>
            <w:pPr>
              <w:ind w:left="20"/>
              <w:spacing w:after="0"/>
              <w:rPr>
                <w:sz w:val="20"/>
                <w:szCs w:val="20"/>
                <w:color w:val="auto"/>
              </w:rPr>
            </w:pPr>
            <w:r>
              <w:rPr>
                <w:rFonts w:ascii="Verdana" w:cs="Verdana" w:eastAsia="Verdana" w:hAnsi="Verdana"/>
                <w:sz w:val="18"/>
                <w:szCs w:val="18"/>
                <w:b w:val="1"/>
                <w:bCs w:val="1"/>
                <w:color w:val="auto"/>
              </w:rPr>
              <w:t>Balances carried in AOCI</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2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Unrealized gains (losses) on cash flow hedges, net of tax</w:t>
            </w:r>
          </w:p>
        </w:tc>
        <w:tc>
          <w:tcPr>
            <w:tcW w:w="1600" w:type="dxa"/>
            <w:vAlign w:val="bottom"/>
            <w:gridSpan w:val="2"/>
            <w:shd w:val="clear" w:color="auto" w:fill="E0E7ED"/>
          </w:tcPr>
          <w:p>
            <w:pPr>
              <w:spacing w:after="0"/>
              <w:rPr>
                <w:sz w:val="20"/>
                <w:szCs w:val="20"/>
                <w:color w:val="auto"/>
              </w:rPr>
            </w:pPr>
            <w:r>
              <w:rPr>
                <w:rFonts w:ascii="Verdana" w:cs="Verdana" w:eastAsia="Verdana" w:hAnsi="Verdana"/>
                <w:sz w:val="18"/>
                <w:szCs w:val="18"/>
                <w:color w:val="auto"/>
              </w:rPr>
              <w:t>AOCI</w:t>
            </w: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460" w:type="dxa"/>
            <w:vAlign w:val="bottom"/>
            <w:shd w:val="clear" w:color="auto" w:fill="E0E7ED"/>
          </w:tcPr>
          <w:p>
            <w:pPr>
              <w:ind w:left="440"/>
              <w:spacing w:after="0"/>
              <w:rPr>
                <w:sz w:val="20"/>
                <w:szCs w:val="20"/>
                <w:color w:val="auto"/>
              </w:rPr>
            </w:pPr>
            <w:r>
              <w:rPr>
                <w:rFonts w:ascii="Verdana" w:cs="Verdana" w:eastAsia="Verdana" w:hAnsi="Verdana"/>
                <w:sz w:val="18"/>
                <w:szCs w:val="18"/>
                <w:color w:val="auto"/>
              </w:rPr>
              <w:t>(11,487)</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440" w:type="dxa"/>
            <w:vAlign w:val="bottom"/>
            <w:shd w:val="clear" w:color="auto" w:fill="E0E7ED"/>
          </w:tcPr>
          <w:p>
            <w:pPr>
              <w:ind w:left="420"/>
              <w:spacing w:after="0"/>
              <w:rPr>
                <w:sz w:val="20"/>
                <w:szCs w:val="20"/>
                <w:color w:val="auto"/>
              </w:rPr>
            </w:pPr>
            <w:r>
              <w:rPr>
                <w:rFonts w:ascii="Verdana" w:cs="Verdana" w:eastAsia="Verdana" w:hAnsi="Verdana"/>
                <w:sz w:val="18"/>
                <w:szCs w:val="18"/>
                <w:color w:val="auto"/>
              </w:rPr>
              <w:t>(16,694)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53" w:name="page54"/>
    <w:bookmarkEnd w:id="53"/>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 xml:space="preserve">Busey expects to reclassify unrealized gains and losses from OCI to interest income and interest expense as shown in the following table, during the next 12 months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 Amounts actually recognized could differ from these expectations due to changes in interest rates, hedge de-designations, and the addition of other hedges subsequent to September 30, 2024.</w:t>
      </w:r>
    </w:p>
    <w:p>
      <w:pPr>
        <w:spacing w:after="0" w:line="148" w:lineRule="exact"/>
        <w:rPr>
          <w:sz w:val="20"/>
          <w:szCs w:val="20"/>
          <w:color w:val="auto"/>
        </w:rPr>
      </w:pPr>
    </w:p>
    <w:p>
      <w:pPr>
        <w:jc w:val="center"/>
        <w:ind w:left="9660"/>
        <w:spacing w:after="0"/>
        <w:rPr>
          <w:sz w:val="20"/>
          <w:szCs w:val="20"/>
          <w:color w:val="auto"/>
        </w:rPr>
      </w:pPr>
      <w:r>
        <w:rPr>
          <w:rFonts w:ascii="Verdana" w:cs="Verdana" w:eastAsia="Verdana" w:hAnsi="Verdana"/>
          <w:sz w:val="13"/>
          <w:szCs w:val="13"/>
          <w:b w:val="1"/>
          <w:bCs w:val="1"/>
          <w:color w:val="auto"/>
        </w:rPr>
        <w:t>As of</w:t>
      </w:r>
    </w:p>
    <w:p>
      <w:pPr>
        <w:jc w:val="center"/>
        <w:ind w:left="9700"/>
        <w:spacing w:after="0"/>
        <w:rPr>
          <w:sz w:val="20"/>
          <w:szCs w:val="20"/>
          <w:color w:val="auto"/>
        </w:rPr>
      </w:pPr>
      <w:r>
        <w:rPr>
          <w:rFonts w:ascii="Verdana" w:cs="Verdana" w:eastAsia="Verdana" w:hAnsi="Verdana"/>
          <w:sz w:val="13"/>
          <w:szCs w:val="13"/>
          <w:b w:val="1"/>
          <w:bCs w:val="1"/>
          <w:color w:val="auto"/>
        </w:rPr>
        <w:t>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8" w:lineRule="exact"/>
        <w:rPr>
          <w:sz w:val="20"/>
          <w:szCs w:val="20"/>
          <w:color w:val="auto"/>
        </w:rPr>
      </w:pPr>
    </w:p>
    <w:p>
      <w:pPr>
        <w:ind w:left="20"/>
        <w:spacing w:after="0"/>
        <w:tabs>
          <w:tab w:leader="none" w:pos="9720" w:val="left"/>
          <w:tab w:leader="none" w:pos="10680" w:val="left"/>
        </w:tabs>
        <w:rPr>
          <w:sz w:val="20"/>
          <w:szCs w:val="20"/>
          <w:color w:val="auto"/>
        </w:rPr>
      </w:pPr>
      <w:r>
        <w:rPr>
          <w:rFonts w:ascii="Verdana" w:cs="Verdana" w:eastAsia="Verdana" w:hAnsi="Verdana"/>
          <w:sz w:val="18"/>
          <w:szCs w:val="18"/>
          <w:color w:val="auto"/>
        </w:rPr>
        <w:t>Unrealized losses expected to be reclassified from OCI to interest income</w:t>
      </w:r>
      <w:r>
        <w:rPr>
          <w:sz w:val="20"/>
          <w:szCs w:val="20"/>
          <w:color w:val="auto"/>
        </w:rPr>
        <w:tab/>
      </w:r>
      <w:r>
        <w:rPr>
          <w:rFonts w:ascii="Verdana" w:cs="Verdana" w:eastAsia="Verdana" w:hAnsi="Verdana"/>
          <w:sz w:val="18"/>
          <w:szCs w:val="18"/>
          <w:color w:val="auto"/>
        </w:rPr>
        <w:t>$</w:t>
      </w:r>
      <w:r>
        <w:rPr>
          <w:sz w:val="20"/>
          <w:szCs w:val="20"/>
          <w:color w:val="auto"/>
        </w:rPr>
        <w:tab/>
      </w:r>
      <w:r>
        <w:rPr>
          <w:rFonts w:ascii="Verdana" w:cs="Verdana" w:eastAsia="Verdana" w:hAnsi="Verdana"/>
          <w:sz w:val="18"/>
          <w:szCs w:val="18"/>
          <w:color w:val="auto"/>
        </w:rPr>
        <w:t>(859)</w:t>
      </w:r>
    </w:p>
    <w:p>
      <w:pPr>
        <w:spacing w:after="0" w:line="294"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Interest income and interest expense recorded on these swap transactions is presented in the following table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60" w:type="dxa"/>
            <w:vAlign w:val="bottom"/>
            <w:gridSpan w:val="5"/>
          </w:tcPr>
          <w:p>
            <w:pPr>
              <w:ind w:left="60"/>
              <w:spacing w:after="0"/>
              <w:rPr>
                <w:sz w:val="20"/>
                <w:szCs w:val="20"/>
                <w:color w:val="auto"/>
              </w:rPr>
            </w:pPr>
            <w:r>
              <w:rPr>
                <w:rFonts w:ascii="Verdana" w:cs="Verdana" w:eastAsia="Verdana" w:hAnsi="Verdana"/>
                <w:sz w:val="13"/>
                <w:szCs w:val="13"/>
                <w:b w:val="1"/>
                <w:bCs w:val="1"/>
                <w:color w:val="auto"/>
              </w:rPr>
              <w:t>Three Months Ended September 30,</w:t>
            </w:r>
          </w:p>
        </w:tc>
        <w:tc>
          <w:tcPr>
            <w:tcW w:w="240" w:type="dxa"/>
            <w:vAlign w:val="bottom"/>
          </w:tcPr>
          <w:p>
            <w:pPr>
              <w:spacing w:after="0"/>
              <w:rPr>
                <w:sz w:val="15"/>
                <w:szCs w:val="15"/>
                <w:color w:val="auto"/>
              </w:rPr>
            </w:pPr>
          </w:p>
        </w:tc>
        <w:tc>
          <w:tcPr>
            <w:tcW w:w="2860" w:type="dxa"/>
            <w:vAlign w:val="bottom"/>
            <w:gridSpan w:val="4"/>
          </w:tcPr>
          <w:p>
            <w:pPr>
              <w:jc w:val="right"/>
              <w:ind w:right="237"/>
              <w:spacing w:after="0"/>
              <w:rPr>
                <w:sz w:val="20"/>
                <w:szCs w:val="20"/>
                <w:color w:val="auto"/>
              </w:rPr>
            </w:pPr>
            <w:r>
              <w:rPr>
                <w:rFonts w:ascii="Verdana" w:cs="Verdana" w:eastAsia="Verdana" w:hAnsi="Verdana"/>
                <w:sz w:val="13"/>
                <w:szCs w:val="13"/>
                <w:b w:val="1"/>
                <w:bCs w:val="1"/>
                <w:color w:val="auto"/>
                <w:w w:val="99"/>
              </w:rPr>
              <w:t>Nine Months Ended September 30,</w:t>
            </w:r>
          </w:p>
        </w:tc>
        <w:tc>
          <w:tcPr>
            <w:tcW w:w="0" w:type="dxa"/>
            <w:vAlign w:val="bottom"/>
          </w:tcPr>
          <w:p>
            <w:pPr>
              <w:spacing w:after="0"/>
              <w:rPr>
                <w:sz w:val="1"/>
                <w:szCs w:val="1"/>
                <w:color w:val="auto"/>
              </w:rPr>
            </w:pPr>
          </w:p>
        </w:tc>
      </w:tr>
      <w:tr>
        <w:trPr>
          <w:trHeight w:val="170"/>
        </w:trPr>
        <w:tc>
          <w:tcPr>
            <w:tcW w:w="4960" w:type="dxa"/>
            <w:vAlign w:val="bottom"/>
            <w:tcBorders>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481"/>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E0E7ED"/>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481"/>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2023</w:t>
            </w:r>
          </w:p>
        </w:tc>
        <w:tc>
          <w:tcPr>
            <w:tcW w:w="0" w:type="dxa"/>
            <w:vAlign w:val="bottom"/>
          </w:tcPr>
          <w:p>
            <w:pPr>
              <w:spacing w:after="0"/>
              <w:rPr>
                <w:sz w:val="1"/>
                <w:szCs w:val="1"/>
                <w:color w:val="auto"/>
              </w:rPr>
            </w:pPr>
          </w:p>
        </w:tc>
      </w:tr>
      <w:tr>
        <w:trPr>
          <w:trHeight w:val="255"/>
        </w:trPr>
        <w:tc>
          <w:tcPr>
            <w:tcW w:w="49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Interest on swap transactions</w:t>
            </w:r>
          </w:p>
        </w:tc>
        <w:tc>
          <w:tcPr>
            <w:tcW w:w="220" w:type="dxa"/>
            <w:vAlign w:val="bottom"/>
            <w:shd w:val="clear" w:color="auto" w:fill="E0E7ED"/>
          </w:tcPr>
          <w:p>
            <w:pPr>
              <w:spacing w:after="0"/>
              <w:rPr>
                <w:sz w:val="22"/>
                <w:szCs w:val="22"/>
                <w:color w:val="auto"/>
              </w:rPr>
            </w:pPr>
          </w:p>
        </w:tc>
        <w:tc>
          <w:tcPr>
            <w:tcW w:w="12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40" w:type="dxa"/>
            <w:vAlign w:val="bottom"/>
            <w:shd w:val="clear" w:color="auto" w:fill="E0E7ED"/>
          </w:tcPr>
          <w:p>
            <w:pPr>
              <w:spacing w:after="0"/>
              <w:rPr>
                <w:sz w:val="22"/>
                <w:szCs w:val="22"/>
                <w:color w:val="auto"/>
              </w:rPr>
            </w:pPr>
          </w:p>
        </w:tc>
        <w:tc>
          <w:tcPr>
            <w:tcW w:w="116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40" w:type="dxa"/>
            <w:vAlign w:val="bottom"/>
            <w:shd w:val="clear" w:color="auto" w:fill="E0E7ED"/>
          </w:tcPr>
          <w:p>
            <w:pPr>
              <w:spacing w:after="0"/>
              <w:rPr>
                <w:sz w:val="22"/>
                <w:szCs w:val="22"/>
                <w:color w:val="auto"/>
              </w:rPr>
            </w:pPr>
          </w:p>
        </w:tc>
        <w:tc>
          <w:tcPr>
            <w:tcW w:w="12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1140" w:type="dxa"/>
            <w:vAlign w:val="bottom"/>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4960" w:type="dxa"/>
            <w:vAlign w:val="bottom"/>
          </w:tcPr>
          <w:p>
            <w:pPr>
              <w:ind w:left="180"/>
              <w:spacing w:after="0"/>
              <w:rPr>
                <w:sz w:val="20"/>
                <w:szCs w:val="20"/>
                <w:color w:val="auto"/>
              </w:rPr>
            </w:pPr>
            <w:r>
              <w:rPr>
                <w:rFonts w:ascii="Verdana" w:cs="Verdana" w:eastAsia="Verdana" w:hAnsi="Verdana"/>
                <w:sz w:val="18"/>
                <w:szCs w:val="18"/>
                <w:color w:val="auto"/>
              </w:rPr>
              <w:t>Increase (decrease) in interest income on swap</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960" w:type="dxa"/>
            <w:vAlign w:val="bottom"/>
          </w:tcPr>
          <w:p>
            <w:pPr>
              <w:ind w:left="180"/>
              <w:spacing w:after="0"/>
              <w:rPr>
                <w:sz w:val="20"/>
                <w:szCs w:val="20"/>
                <w:color w:val="auto"/>
              </w:rPr>
            </w:pPr>
            <w:r>
              <w:rPr>
                <w:rFonts w:ascii="Verdana" w:cs="Verdana" w:eastAsia="Verdana" w:hAnsi="Verdana"/>
                <w:sz w:val="18"/>
                <w:szCs w:val="18"/>
                <w:color w:val="auto"/>
              </w:rPr>
              <w:t>transactions</w:t>
            </w: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(2,776)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tcPr>
          <w:p>
            <w:pPr>
              <w:jc w:val="right"/>
              <w:spacing w:after="0"/>
              <w:rPr>
                <w:sz w:val="20"/>
                <w:szCs w:val="20"/>
                <w:color w:val="auto"/>
              </w:rPr>
            </w:pPr>
            <w:r>
              <w:rPr>
                <w:rFonts w:ascii="Verdana" w:cs="Verdana" w:eastAsia="Verdana" w:hAnsi="Verdana"/>
                <w:sz w:val="18"/>
                <w:szCs w:val="18"/>
                <w:color w:val="auto"/>
              </w:rPr>
              <w:t>(2,771)</w:t>
            </w:r>
          </w:p>
        </w:tc>
        <w:tc>
          <w:tcPr>
            <w:tcW w:w="8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tcPr>
          <w:p>
            <w:pPr>
              <w:jc w:val="center"/>
              <w:ind w:left="461"/>
              <w:spacing w:after="0"/>
              <w:rPr>
                <w:sz w:val="20"/>
                <w:szCs w:val="20"/>
                <w:color w:val="auto"/>
              </w:rPr>
            </w:pPr>
            <w:r>
              <w:rPr>
                <w:rFonts w:ascii="Verdana" w:cs="Verdana" w:eastAsia="Verdana" w:hAnsi="Verdana"/>
                <w:sz w:val="18"/>
                <w:szCs w:val="18"/>
                <w:color w:val="auto"/>
                <w:w w:val="98"/>
              </w:rPr>
              <w:t>(8,366)</w:t>
            </w:r>
          </w:p>
        </w:tc>
        <w:tc>
          <w:tcPr>
            <w:tcW w:w="100" w:type="dxa"/>
            <w:vAlign w:val="bottom"/>
          </w:tcPr>
          <w:p>
            <w:pPr>
              <w:spacing w:after="0"/>
              <w:rPr>
                <w:sz w:val="21"/>
                <w:szCs w:val="21"/>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Pr>
          <w:p>
            <w:pPr>
              <w:jc w:val="center"/>
              <w:ind w:left="317"/>
              <w:spacing w:after="0"/>
              <w:rPr>
                <w:sz w:val="20"/>
                <w:szCs w:val="20"/>
                <w:color w:val="auto"/>
              </w:rPr>
            </w:pPr>
            <w:r>
              <w:rPr>
                <w:rFonts w:ascii="Verdana" w:cs="Verdana" w:eastAsia="Verdana" w:hAnsi="Verdana"/>
                <w:sz w:val="18"/>
                <w:szCs w:val="18"/>
                <w:color w:val="auto"/>
              </w:rPr>
              <w:t>(7,500)</w:t>
            </w:r>
          </w:p>
        </w:tc>
        <w:tc>
          <w:tcPr>
            <w:tcW w:w="0" w:type="dxa"/>
            <w:vAlign w:val="bottom"/>
          </w:tcPr>
          <w:p>
            <w:pPr>
              <w:spacing w:after="0"/>
              <w:rPr>
                <w:sz w:val="1"/>
                <w:szCs w:val="1"/>
                <w:color w:val="auto"/>
              </w:rPr>
            </w:pPr>
          </w:p>
        </w:tc>
      </w:tr>
      <w:tr>
        <w:trPr>
          <w:trHeight w:val="244"/>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(Increase) decrease in interest expense on swap</w:t>
            </w:r>
          </w:p>
        </w:tc>
        <w:tc>
          <w:tcPr>
            <w:tcW w:w="22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transactions</w:t>
            </w:r>
          </w:p>
        </w:tc>
        <w:tc>
          <w:tcPr>
            <w:tcW w:w="220" w:type="dxa"/>
            <w:vAlign w:val="bottom"/>
            <w:tcBorders>
              <w:bottom w:val="single" w:sz="8" w:color="auto"/>
            </w:tcBorders>
            <w:shd w:val="clear" w:color="auto" w:fill="E0E7ED"/>
          </w:tcPr>
          <w:p>
            <w:pPr>
              <w:spacing w:after="0"/>
              <w:rPr>
                <w:sz w:val="21"/>
                <w:szCs w:val="21"/>
                <w:color w:val="auto"/>
              </w:rPr>
            </w:pPr>
          </w:p>
        </w:tc>
        <w:tc>
          <w:tcPr>
            <w:tcW w:w="1280" w:type="dxa"/>
            <w:vAlign w:val="bottom"/>
            <w:tcBorders>
              <w:bottom w:val="single" w:sz="8" w:color="auto"/>
            </w:tcBorders>
            <w:shd w:val="clear" w:color="auto" w:fill="E0E7ED"/>
          </w:tcPr>
          <w:p>
            <w:pPr>
              <w:jc w:val="right"/>
              <w:ind w:right="1"/>
              <w:spacing w:after="0"/>
              <w:rPr>
                <w:sz w:val="20"/>
                <w:szCs w:val="20"/>
                <w:color w:val="auto"/>
              </w:rPr>
            </w:pPr>
            <w:r>
              <w:rPr>
                <w:rFonts w:ascii="Verdana" w:cs="Verdana" w:eastAsia="Verdana" w:hAnsi="Verdana"/>
                <w:sz w:val="18"/>
                <w:szCs w:val="18"/>
                <w:color w:val="auto"/>
              </w:rPr>
              <w:t>412</w:t>
            </w:r>
          </w:p>
        </w:tc>
        <w:tc>
          <w:tcPr>
            <w:tcW w:w="100" w:type="dxa"/>
            <w:vAlign w:val="bottom"/>
            <w:shd w:val="clear" w:color="auto" w:fill="E0E7ED"/>
          </w:tcPr>
          <w:p>
            <w:pPr>
              <w:spacing w:after="0"/>
              <w:rPr>
                <w:sz w:val="21"/>
                <w:szCs w:val="21"/>
                <w:color w:val="auto"/>
              </w:rPr>
            </w:pPr>
          </w:p>
        </w:tc>
        <w:tc>
          <w:tcPr>
            <w:tcW w:w="340" w:type="dxa"/>
            <w:vAlign w:val="bottom"/>
            <w:tcBorders>
              <w:bottom w:val="single" w:sz="8" w:color="auto"/>
            </w:tcBorders>
            <w:shd w:val="clear" w:color="auto" w:fill="E0E7ED"/>
          </w:tcPr>
          <w:p>
            <w:pPr>
              <w:spacing w:after="0"/>
              <w:rPr>
                <w:sz w:val="21"/>
                <w:szCs w:val="21"/>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8"/>
                <w:szCs w:val="18"/>
                <w:color w:val="auto"/>
              </w:rPr>
              <w:t>481</w:t>
            </w:r>
          </w:p>
        </w:tc>
        <w:tc>
          <w:tcPr>
            <w:tcW w:w="80" w:type="dxa"/>
            <w:vAlign w:val="bottom"/>
            <w:shd w:val="clear" w:color="auto" w:fill="E0E7ED"/>
          </w:tcPr>
          <w:p>
            <w:pPr>
              <w:spacing w:after="0"/>
              <w:rPr>
                <w:sz w:val="21"/>
                <w:szCs w:val="21"/>
                <w:color w:val="auto"/>
              </w:rPr>
            </w:pPr>
          </w:p>
        </w:tc>
        <w:tc>
          <w:tcPr>
            <w:tcW w:w="240" w:type="dxa"/>
            <w:vAlign w:val="bottom"/>
            <w:tcBorders>
              <w:bottom w:val="single" w:sz="8" w:color="auto"/>
            </w:tcBorders>
            <w:shd w:val="clear" w:color="auto" w:fill="E0E7ED"/>
          </w:tcPr>
          <w:p>
            <w:pPr>
              <w:spacing w:after="0"/>
              <w:rPr>
                <w:sz w:val="21"/>
                <w:szCs w:val="21"/>
                <w:color w:val="auto"/>
              </w:rPr>
            </w:pPr>
          </w:p>
        </w:tc>
        <w:tc>
          <w:tcPr>
            <w:tcW w:w="1260" w:type="dxa"/>
            <w:vAlign w:val="bottom"/>
            <w:tcBorders>
              <w:bottom w:val="single" w:sz="8" w:color="auto"/>
            </w:tcBorders>
            <w:shd w:val="clear" w:color="auto" w:fill="E0E7ED"/>
          </w:tcPr>
          <w:p>
            <w:pPr>
              <w:jc w:val="center"/>
              <w:ind w:left="501"/>
              <w:spacing w:after="0"/>
              <w:rPr>
                <w:sz w:val="20"/>
                <w:szCs w:val="20"/>
                <w:color w:val="auto"/>
              </w:rPr>
            </w:pPr>
            <w:r>
              <w:rPr>
                <w:rFonts w:ascii="Verdana" w:cs="Verdana" w:eastAsia="Verdana" w:hAnsi="Verdana"/>
                <w:sz w:val="18"/>
                <w:szCs w:val="18"/>
                <w:color w:val="auto"/>
                <w:w w:val="99"/>
              </w:rPr>
              <w:t>1,378</w:t>
            </w:r>
          </w:p>
        </w:tc>
        <w:tc>
          <w:tcPr>
            <w:tcW w:w="100" w:type="dxa"/>
            <w:vAlign w:val="bottom"/>
            <w:shd w:val="clear" w:color="auto" w:fill="E0E7ED"/>
          </w:tcPr>
          <w:p>
            <w:pPr>
              <w:spacing w:after="0"/>
              <w:rPr>
                <w:sz w:val="21"/>
                <w:szCs w:val="21"/>
                <w:color w:val="auto"/>
              </w:rPr>
            </w:pPr>
          </w:p>
        </w:tc>
        <w:tc>
          <w:tcPr>
            <w:tcW w:w="360" w:type="dxa"/>
            <w:vAlign w:val="bottom"/>
            <w:tcBorders>
              <w:bottom w:val="single" w:sz="8" w:color="auto"/>
            </w:tcBorders>
            <w:shd w:val="clear" w:color="auto" w:fill="E0E7ED"/>
          </w:tcPr>
          <w:p>
            <w:pPr>
              <w:spacing w:after="0"/>
              <w:rPr>
                <w:sz w:val="21"/>
                <w:szCs w:val="21"/>
                <w:color w:val="auto"/>
              </w:rPr>
            </w:pPr>
          </w:p>
        </w:tc>
        <w:tc>
          <w:tcPr>
            <w:tcW w:w="1140" w:type="dxa"/>
            <w:vAlign w:val="bottom"/>
            <w:tcBorders>
              <w:bottom w:val="single" w:sz="8" w:color="auto"/>
            </w:tcBorders>
            <w:shd w:val="clear" w:color="auto" w:fill="E0E7ED"/>
          </w:tcPr>
          <w:p>
            <w:pPr>
              <w:jc w:val="center"/>
              <w:ind w:left="337"/>
              <w:spacing w:after="0"/>
              <w:rPr>
                <w:sz w:val="20"/>
                <w:szCs w:val="20"/>
                <w:color w:val="auto"/>
              </w:rPr>
            </w:pPr>
            <w:r>
              <w:rPr>
                <w:rFonts w:ascii="Verdana" w:cs="Verdana" w:eastAsia="Verdana" w:hAnsi="Verdana"/>
                <w:sz w:val="18"/>
                <w:szCs w:val="18"/>
                <w:color w:val="auto"/>
                <w:w w:val="99"/>
              </w:rPr>
              <w:t>1,268</w:t>
            </w:r>
          </w:p>
        </w:tc>
        <w:tc>
          <w:tcPr>
            <w:tcW w:w="0" w:type="dxa"/>
            <w:vAlign w:val="bottom"/>
          </w:tcPr>
          <w:p>
            <w:pPr>
              <w:spacing w:after="0"/>
              <w:rPr>
                <w:sz w:val="1"/>
                <w:szCs w:val="1"/>
                <w:color w:val="auto"/>
              </w:rPr>
            </w:pPr>
          </w:p>
        </w:tc>
      </w:tr>
      <w:tr>
        <w:trPr>
          <w:trHeight w:val="218"/>
        </w:trPr>
        <w:tc>
          <w:tcPr>
            <w:tcW w:w="4960" w:type="dxa"/>
            <w:vAlign w:val="bottom"/>
          </w:tcPr>
          <w:p>
            <w:pPr>
              <w:ind w:left="20"/>
              <w:spacing w:after="0" w:line="217" w:lineRule="exact"/>
              <w:rPr>
                <w:sz w:val="20"/>
                <w:szCs w:val="20"/>
                <w:color w:val="auto"/>
              </w:rPr>
            </w:pPr>
            <w:r>
              <w:rPr>
                <w:rFonts w:ascii="Verdana" w:cs="Verdana" w:eastAsia="Verdana" w:hAnsi="Verdana"/>
                <w:sz w:val="18"/>
                <w:szCs w:val="18"/>
                <w:color w:val="auto"/>
              </w:rPr>
              <w:t>Net increase (decrease) in net interest income on</w:t>
            </w:r>
          </w:p>
        </w:tc>
        <w:tc>
          <w:tcPr>
            <w:tcW w:w="220" w:type="dxa"/>
            <w:vAlign w:val="bottom"/>
            <w:vMerge w:val="restart"/>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vMerge w:val="restart"/>
          </w:tcPr>
          <w:p>
            <w:pPr>
              <w:jc w:val="right"/>
              <w:spacing w:after="0"/>
              <w:rPr>
                <w:sz w:val="20"/>
                <w:szCs w:val="20"/>
                <w:color w:val="auto"/>
              </w:rPr>
            </w:pPr>
            <w:r>
              <w:rPr>
                <w:rFonts w:ascii="Verdana" w:cs="Verdana" w:eastAsia="Verdana" w:hAnsi="Verdana"/>
                <w:sz w:val="18"/>
                <w:szCs w:val="18"/>
                <w:color w:val="auto"/>
              </w:rPr>
              <w:t>(2,364)</w:t>
            </w:r>
          </w:p>
        </w:tc>
        <w:tc>
          <w:tcPr>
            <w:tcW w:w="100" w:type="dxa"/>
            <w:vAlign w:val="bottom"/>
          </w:tcPr>
          <w:p>
            <w:pPr>
              <w:spacing w:after="0"/>
              <w:rPr>
                <w:sz w:val="18"/>
                <w:szCs w:val="18"/>
                <w:color w:val="auto"/>
              </w:rPr>
            </w:pPr>
          </w:p>
        </w:tc>
        <w:tc>
          <w:tcPr>
            <w:tcW w:w="340" w:type="dxa"/>
            <w:vAlign w:val="bottom"/>
            <w:vMerge w:val="restart"/>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vMerge w:val="restart"/>
          </w:tcPr>
          <w:p>
            <w:pPr>
              <w:jc w:val="right"/>
              <w:spacing w:after="0"/>
              <w:rPr>
                <w:sz w:val="20"/>
                <w:szCs w:val="20"/>
                <w:color w:val="auto"/>
              </w:rPr>
            </w:pPr>
            <w:r>
              <w:rPr>
                <w:rFonts w:ascii="Verdana" w:cs="Verdana" w:eastAsia="Verdana" w:hAnsi="Verdana"/>
                <w:sz w:val="18"/>
                <w:szCs w:val="18"/>
                <w:color w:val="auto"/>
              </w:rPr>
              <w:t>(2,290)</w:t>
            </w:r>
          </w:p>
        </w:tc>
        <w:tc>
          <w:tcPr>
            <w:tcW w:w="80" w:type="dxa"/>
            <w:vAlign w:val="bottom"/>
          </w:tcPr>
          <w:p>
            <w:pPr>
              <w:spacing w:after="0"/>
              <w:rPr>
                <w:sz w:val="18"/>
                <w:szCs w:val="18"/>
                <w:color w:val="auto"/>
              </w:rPr>
            </w:pPr>
          </w:p>
        </w:tc>
        <w:tc>
          <w:tcPr>
            <w:tcW w:w="240" w:type="dxa"/>
            <w:vAlign w:val="bottom"/>
            <w:vMerge w:val="restart"/>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vMerge w:val="restart"/>
          </w:tcPr>
          <w:p>
            <w:pPr>
              <w:jc w:val="center"/>
              <w:ind w:left="461"/>
              <w:spacing w:after="0"/>
              <w:rPr>
                <w:sz w:val="20"/>
                <w:szCs w:val="20"/>
                <w:color w:val="auto"/>
              </w:rPr>
            </w:pPr>
            <w:r>
              <w:rPr>
                <w:rFonts w:ascii="Verdana" w:cs="Verdana" w:eastAsia="Verdana" w:hAnsi="Verdana"/>
                <w:sz w:val="18"/>
                <w:szCs w:val="18"/>
                <w:color w:val="auto"/>
                <w:w w:val="98"/>
              </w:rPr>
              <w:t>(6,988)</w:t>
            </w:r>
          </w:p>
        </w:tc>
        <w:tc>
          <w:tcPr>
            <w:tcW w:w="100" w:type="dxa"/>
            <w:vAlign w:val="bottom"/>
          </w:tcPr>
          <w:p>
            <w:pPr>
              <w:spacing w:after="0"/>
              <w:rPr>
                <w:sz w:val="18"/>
                <w:szCs w:val="18"/>
                <w:color w:val="auto"/>
              </w:rPr>
            </w:pPr>
          </w:p>
        </w:tc>
        <w:tc>
          <w:tcPr>
            <w:tcW w:w="360" w:type="dxa"/>
            <w:vAlign w:val="bottom"/>
            <w:vMerge w:val="restart"/>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vMerge w:val="restart"/>
          </w:tcPr>
          <w:p>
            <w:pPr>
              <w:jc w:val="center"/>
              <w:ind w:left="317"/>
              <w:spacing w:after="0"/>
              <w:rPr>
                <w:sz w:val="20"/>
                <w:szCs w:val="20"/>
                <w:color w:val="auto"/>
              </w:rPr>
            </w:pPr>
            <w:r>
              <w:rPr>
                <w:rFonts w:ascii="Verdana" w:cs="Verdana" w:eastAsia="Verdana" w:hAnsi="Verdana"/>
                <w:sz w:val="18"/>
                <w:szCs w:val="18"/>
                <w:color w:val="auto"/>
              </w:rPr>
              <w:t>(6,232)</w:t>
            </w:r>
          </w:p>
        </w:tc>
        <w:tc>
          <w:tcPr>
            <w:tcW w:w="0" w:type="dxa"/>
            <w:vAlign w:val="bottom"/>
          </w:tcPr>
          <w:p>
            <w:pPr>
              <w:spacing w:after="0"/>
              <w:rPr>
                <w:sz w:val="1"/>
                <w:szCs w:val="1"/>
                <w:color w:val="auto"/>
              </w:rPr>
            </w:pPr>
          </w:p>
        </w:tc>
      </w:tr>
      <w:tr>
        <w:trPr>
          <w:trHeight w:val="226"/>
        </w:trPr>
        <w:tc>
          <w:tcPr>
            <w:tcW w:w="4960" w:type="dxa"/>
            <w:vAlign w:val="bottom"/>
          </w:tcPr>
          <w:p>
            <w:pPr>
              <w:ind w:left="20"/>
              <w:spacing w:after="0"/>
              <w:rPr>
                <w:sz w:val="20"/>
                <w:szCs w:val="20"/>
                <w:color w:val="auto"/>
              </w:rPr>
            </w:pPr>
            <w:r>
              <w:rPr>
                <w:rFonts w:ascii="Verdana" w:cs="Verdana" w:eastAsia="Verdana" w:hAnsi="Verdana"/>
                <w:sz w:val="18"/>
                <w:szCs w:val="18"/>
                <w:color w:val="auto"/>
              </w:rPr>
              <w:t>swap transactions</w:t>
            </w:r>
          </w:p>
        </w:tc>
        <w:tc>
          <w:tcPr>
            <w:tcW w:w="22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Net gains (losses) relating to cash flow derivative instruments that were recorded in OCI on the </w:t>
      </w:r>
      <w:r>
        <w:rPr>
          <w:rFonts w:ascii="Verdana" w:cs="Verdana" w:eastAsia="Verdana" w:hAnsi="Verdana"/>
          <w:sz w:val="18"/>
          <w:szCs w:val="18"/>
          <w:u w:val="single" w:color="auto"/>
          <w:color w:val="0000FF"/>
        </w:rPr>
        <w:t>Consolidated Statements</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0000FF"/>
        </w:rPr>
        <w:t>of Income (Unaudited)</w:t>
      </w:r>
      <w:r>
        <w:rPr>
          <w:rFonts w:ascii="Verdana" w:cs="Verdana" w:eastAsia="Verdana" w:hAnsi="Verdana"/>
          <w:sz w:val="18"/>
          <w:szCs w:val="18"/>
          <w:color w:val="0000FF"/>
        </w:rPr>
        <w:t xml:space="preserve"> </w:t>
      </w:r>
      <w:r>
        <w:rPr>
          <w:rFonts w:ascii="Verdana" w:cs="Verdana" w:eastAsia="Verdana" w:hAnsi="Verdana"/>
          <w:sz w:val="18"/>
          <w:szCs w:val="18"/>
          <w:color w:val="000000"/>
        </w:rPr>
        <w:t>are presented in the table below</w:t>
      </w:r>
      <w:r>
        <w:rPr>
          <w:rFonts w:ascii="Verdana" w:cs="Verdana" w:eastAsia="Verdana" w:hAnsi="Verdana"/>
          <w:sz w:val="18"/>
          <w:szCs w:val="18"/>
          <w:color w:val="0000FF"/>
        </w:rPr>
        <w:t xml:space="preserve"> </w:t>
      </w:r>
      <w:r>
        <w:rPr>
          <w:rFonts w:ascii="Verdana" w:cs="Verdana" w:eastAsia="Verdana" w:hAnsi="Verdana"/>
          <w:sz w:val="18"/>
          <w:szCs w:val="18"/>
          <w:i w:val="1"/>
          <w:iCs w:val="1"/>
          <w:color w:val="000000"/>
        </w:rPr>
        <w:t>(dollars in thousands)</w:t>
      </w:r>
      <w:r>
        <w:rPr>
          <w:rFonts w:ascii="Verdana" w:cs="Verdana" w:eastAsia="Verdana" w:hAnsi="Verdana"/>
          <w:sz w:val="18"/>
          <w:szCs w:val="18"/>
          <w:color w:val="000000"/>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gridSpan w:val="5"/>
          </w:tcPr>
          <w:p>
            <w:pPr>
              <w:ind w:left="80"/>
              <w:spacing w:after="0"/>
              <w:rPr>
                <w:sz w:val="20"/>
                <w:szCs w:val="20"/>
                <w:color w:val="auto"/>
              </w:rPr>
            </w:pPr>
            <w:r>
              <w:rPr>
                <w:rFonts w:ascii="Verdana" w:cs="Verdana" w:eastAsia="Verdana" w:hAnsi="Verdana"/>
                <w:sz w:val="13"/>
                <w:szCs w:val="13"/>
                <w:b w:val="1"/>
                <w:bCs w:val="1"/>
                <w:color w:val="auto"/>
              </w:rPr>
              <w:t>Three Months Ended September 30,</w:t>
            </w:r>
          </w:p>
        </w:tc>
        <w:tc>
          <w:tcPr>
            <w:tcW w:w="240" w:type="dxa"/>
            <w:vAlign w:val="bottom"/>
          </w:tcPr>
          <w:p>
            <w:pPr>
              <w:spacing w:after="0"/>
              <w:rPr>
                <w:sz w:val="15"/>
                <w:szCs w:val="15"/>
                <w:color w:val="auto"/>
              </w:rPr>
            </w:pPr>
          </w:p>
        </w:tc>
        <w:tc>
          <w:tcPr>
            <w:tcW w:w="2860" w:type="dxa"/>
            <w:vAlign w:val="bottom"/>
            <w:gridSpan w:val="4"/>
          </w:tcPr>
          <w:p>
            <w:pPr>
              <w:jc w:val="right"/>
              <w:ind w:right="235"/>
              <w:spacing w:after="0"/>
              <w:rPr>
                <w:sz w:val="20"/>
                <w:szCs w:val="20"/>
                <w:color w:val="auto"/>
              </w:rPr>
            </w:pPr>
            <w:r>
              <w:rPr>
                <w:rFonts w:ascii="Verdana" w:cs="Verdana" w:eastAsia="Verdana" w:hAnsi="Verdana"/>
                <w:sz w:val="13"/>
                <w:szCs w:val="13"/>
                <w:b w:val="1"/>
                <w:bCs w:val="1"/>
                <w:color w:val="auto"/>
                <w:w w:val="99"/>
              </w:rPr>
              <w:t>Nine Months Ended September 30,</w:t>
            </w:r>
          </w:p>
        </w:tc>
        <w:tc>
          <w:tcPr>
            <w:tcW w:w="0" w:type="dxa"/>
            <w:vAlign w:val="bottom"/>
          </w:tcPr>
          <w:p>
            <w:pPr>
              <w:spacing w:after="0"/>
              <w:rPr>
                <w:sz w:val="1"/>
                <w:szCs w:val="1"/>
                <w:color w:val="auto"/>
              </w:rPr>
            </w:pPr>
          </w:p>
        </w:tc>
      </w:tr>
      <w:tr>
        <w:trPr>
          <w:trHeight w:val="170"/>
        </w:trPr>
        <w:tc>
          <w:tcPr>
            <w:tcW w:w="498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479"/>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95"/>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E0E7ED"/>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479"/>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Verdana" w:cs="Verdana" w:eastAsia="Verdana" w:hAnsi="Verdana"/>
                <w:sz w:val="13"/>
                <w:szCs w:val="13"/>
                <w:b w:val="1"/>
                <w:bCs w:val="1"/>
                <w:color w:val="auto"/>
              </w:rPr>
              <w:t>2023</w:t>
            </w:r>
          </w:p>
        </w:tc>
        <w:tc>
          <w:tcPr>
            <w:tcW w:w="0" w:type="dxa"/>
            <w:vAlign w:val="bottom"/>
          </w:tcPr>
          <w:p>
            <w:pPr>
              <w:spacing w:after="0"/>
              <w:rPr>
                <w:sz w:val="1"/>
                <w:szCs w:val="1"/>
                <w:color w:val="auto"/>
              </w:rPr>
            </w:pPr>
          </w:p>
        </w:tc>
      </w:tr>
      <w:tr>
        <w:trPr>
          <w:trHeight w:val="255"/>
        </w:trPr>
        <w:tc>
          <w:tcPr>
            <w:tcW w:w="49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Unrealized gains (losses) on cash flow hedges</w:t>
            </w:r>
          </w:p>
        </w:tc>
        <w:tc>
          <w:tcPr>
            <w:tcW w:w="200" w:type="dxa"/>
            <w:vAlign w:val="bottom"/>
            <w:shd w:val="clear" w:color="auto" w:fill="E0E7ED"/>
          </w:tcPr>
          <w:p>
            <w:pPr>
              <w:spacing w:after="0"/>
              <w:rPr>
                <w:sz w:val="22"/>
                <w:szCs w:val="22"/>
                <w:color w:val="auto"/>
              </w:rPr>
            </w:pPr>
          </w:p>
        </w:tc>
        <w:tc>
          <w:tcPr>
            <w:tcW w:w="12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40" w:type="dxa"/>
            <w:vAlign w:val="bottom"/>
            <w:shd w:val="clear" w:color="auto" w:fill="E0E7ED"/>
          </w:tcPr>
          <w:p>
            <w:pPr>
              <w:spacing w:after="0"/>
              <w:rPr>
                <w:sz w:val="22"/>
                <w:szCs w:val="22"/>
                <w:color w:val="auto"/>
              </w:rPr>
            </w:pPr>
          </w:p>
        </w:tc>
        <w:tc>
          <w:tcPr>
            <w:tcW w:w="116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40" w:type="dxa"/>
            <w:vAlign w:val="bottom"/>
            <w:shd w:val="clear" w:color="auto" w:fill="E0E7ED"/>
          </w:tcPr>
          <w:p>
            <w:pPr>
              <w:spacing w:after="0"/>
              <w:rPr>
                <w:sz w:val="22"/>
                <w:szCs w:val="22"/>
                <w:color w:val="auto"/>
              </w:rPr>
            </w:pPr>
          </w:p>
        </w:tc>
        <w:tc>
          <w:tcPr>
            <w:tcW w:w="12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1140" w:type="dxa"/>
            <w:vAlign w:val="bottom"/>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Net gain (loss) recognized in OCI, net of tax</w:t>
            </w:r>
          </w:p>
        </w:tc>
        <w:tc>
          <w:tcPr>
            <w:tcW w:w="20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7,439</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tcPr>
          <w:p>
            <w:pPr>
              <w:jc w:val="right"/>
              <w:spacing w:after="0"/>
              <w:rPr>
                <w:sz w:val="20"/>
                <w:szCs w:val="20"/>
                <w:color w:val="auto"/>
              </w:rPr>
            </w:pPr>
            <w:r>
              <w:rPr>
                <w:rFonts w:ascii="Verdana" w:cs="Verdana" w:eastAsia="Verdana" w:hAnsi="Verdana"/>
                <w:sz w:val="18"/>
                <w:szCs w:val="18"/>
                <w:color w:val="auto"/>
              </w:rPr>
              <w:t>(5,577)</w:t>
            </w:r>
          </w:p>
        </w:tc>
        <w:tc>
          <w:tcPr>
            <w:tcW w:w="8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spacing w:after="0"/>
              <w:rPr>
                <w:sz w:val="20"/>
                <w:szCs w:val="20"/>
                <w:color w:val="auto"/>
              </w:rPr>
            </w:pPr>
            <w:r>
              <w:rPr>
                <w:rFonts w:ascii="Verdana" w:cs="Verdana" w:eastAsia="Verdana" w:hAnsi="Verdana"/>
                <w:sz w:val="18"/>
                <w:szCs w:val="18"/>
                <w:color w:val="auto"/>
              </w:rPr>
              <w:t>211</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Pr>
          <w:p>
            <w:pPr>
              <w:jc w:val="right"/>
              <w:spacing w:after="0"/>
              <w:rPr>
                <w:sz w:val="20"/>
                <w:szCs w:val="20"/>
                <w:color w:val="auto"/>
              </w:rPr>
            </w:pPr>
            <w:r>
              <w:rPr>
                <w:rFonts w:ascii="Verdana" w:cs="Verdana" w:eastAsia="Verdana" w:hAnsi="Verdana"/>
                <w:sz w:val="18"/>
                <w:szCs w:val="18"/>
                <w:color w:val="auto"/>
              </w:rPr>
              <w:t>(8,563)</w:t>
            </w:r>
          </w:p>
        </w:tc>
        <w:tc>
          <w:tcPr>
            <w:tcW w:w="0" w:type="dxa"/>
            <w:vAlign w:val="bottom"/>
          </w:tcPr>
          <w:p>
            <w:pPr>
              <w:spacing w:after="0"/>
              <w:rPr>
                <w:sz w:val="1"/>
                <w:szCs w:val="1"/>
                <w:color w:val="auto"/>
              </w:rPr>
            </w:pPr>
          </w:p>
        </w:tc>
      </w:tr>
      <w:tr>
        <w:trPr>
          <w:trHeight w:val="244"/>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(Gain) loss reclassified from OCI to interest income,</w:t>
            </w:r>
          </w:p>
        </w:tc>
        <w:tc>
          <w:tcPr>
            <w:tcW w:w="20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net of tax</w:t>
            </w:r>
          </w:p>
        </w:tc>
        <w:tc>
          <w:tcPr>
            <w:tcW w:w="200" w:type="dxa"/>
            <w:vAlign w:val="bottom"/>
            <w:shd w:val="clear" w:color="auto" w:fill="E0E7ED"/>
          </w:tcPr>
          <w:p>
            <w:pPr>
              <w:spacing w:after="0"/>
              <w:rPr>
                <w:sz w:val="21"/>
                <w:szCs w:val="21"/>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1,984</w:t>
            </w: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6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1,982</w:t>
            </w: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5,981</w:t>
            </w: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1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5,362</w:t>
            </w:r>
          </w:p>
        </w:tc>
        <w:tc>
          <w:tcPr>
            <w:tcW w:w="0" w:type="dxa"/>
            <w:vAlign w:val="bottom"/>
          </w:tcPr>
          <w:p>
            <w:pPr>
              <w:spacing w:after="0"/>
              <w:rPr>
                <w:sz w:val="1"/>
                <w:szCs w:val="1"/>
                <w:color w:val="auto"/>
              </w:rPr>
            </w:pPr>
          </w:p>
        </w:tc>
      </w:tr>
      <w:tr>
        <w:trPr>
          <w:trHeight w:val="238"/>
        </w:trPr>
        <w:tc>
          <w:tcPr>
            <w:tcW w:w="4980" w:type="dxa"/>
            <w:vAlign w:val="bottom"/>
          </w:tcPr>
          <w:p>
            <w:pPr>
              <w:ind w:left="180"/>
              <w:spacing w:after="0"/>
              <w:rPr>
                <w:sz w:val="20"/>
                <w:szCs w:val="20"/>
                <w:color w:val="auto"/>
              </w:rPr>
            </w:pPr>
            <w:r>
              <w:rPr>
                <w:rFonts w:ascii="Verdana" w:cs="Verdana" w:eastAsia="Verdana" w:hAnsi="Verdana"/>
                <w:sz w:val="18"/>
                <w:szCs w:val="18"/>
                <w:color w:val="auto"/>
              </w:rPr>
              <w:t>(Gain) loss reclassified from OCI to interest</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98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expense, net of tax</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(294)</w:t>
            </w:r>
          </w:p>
        </w:tc>
        <w:tc>
          <w:tcPr>
            <w:tcW w:w="100" w:type="dxa"/>
            <w:vAlign w:val="bottom"/>
            <w:tcBorders>
              <w:bottom w:val="single" w:sz="8" w:color="E0E7ED"/>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(344)</w:t>
            </w:r>
          </w:p>
        </w:tc>
        <w:tc>
          <w:tcPr>
            <w:tcW w:w="80" w:type="dxa"/>
            <w:vAlign w:val="bottom"/>
            <w:tcBorders>
              <w:bottom w:val="single" w:sz="8" w:color="E0E7ED"/>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(985)</w:t>
            </w:r>
          </w:p>
        </w:tc>
        <w:tc>
          <w:tcPr>
            <w:tcW w:w="100" w:type="dxa"/>
            <w:vAlign w:val="bottom"/>
            <w:tcBorders>
              <w:bottom w:val="single" w:sz="8" w:color="E0E7ED"/>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(906)</w:t>
            </w:r>
          </w:p>
        </w:tc>
        <w:tc>
          <w:tcPr>
            <w:tcW w:w="0" w:type="dxa"/>
            <w:vAlign w:val="bottom"/>
          </w:tcPr>
          <w:p>
            <w:pPr>
              <w:spacing w:after="0"/>
              <w:rPr>
                <w:sz w:val="1"/>
                <w:szCs w:val="1"/>
                <w:color w:val="auto"/>
              </w:rPr>
            </w:pPr>
          </w:p>
        </w:tc>
      </w:tr>
      <w:tr>
        <w:trPr>
          <w:trHeight w:val="224"/>
        </w:trPr>
        <w:tc>
          <w:tcPr>
            <w:tcW w:w="49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Net change in unrealized gains (losses) on cash flow</w:t>
            </w:r>
          </w:p>
        </w:tc>
        <w:tc>
          <w:tcPr>
            <w:tcW w:w="20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28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9,129</w:t>
            </w:r>
          </w:p>
        </w:tc>
        <w:tc>
          <w:tcPr>
            <w:tcW w:w="100" w:type="dxa"/>
            <w:vAlign w:val="bottom"/>
            <w:shd w:val="clear" w:color="auto" w:fill="E0E7ED"/>
          </w:tcPr>
          <w:p>
            <w:pPr>
              <w:spacing w:after="0"/>
              <w:rPr>
                <w:sz w:val="19"/>
                <w:szCs w:val="19"/>
                <w:color w:val="auto"/>
              </w:rPr>
            </w:pPr>
          </w:p>
        </w:tc>
        <w:tc>
          <w:tcPr>
            <w:tcW w:w="340" w:type="dxa"/>
            <w:vAlign w:val="bottom"/>
            <w:vMerge w:val="restart"/>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(3,939)</w:t>
            </w:r>
          </w:p>
        </w:tc>
        <w:tc>
          <w:tcPr>
            <w:tcW w:w="80" w:type="dxa"/>
            <w:vAlign w:val="bottom"/>
            <w:shd w:val="clear" w:color="auto" w:fill="E0E7ED"/>
          </w:tcPr>
          <w:p>
            <w:pPr>
              <w:spacing w:after="0"/>
              <w:rPr>
                <w:sz w:val="19"/>
                <w:szCs w:val="19"/>
                <w:color w:val="auto"/>
              </w:rPr>
            </w:pPr>
          </w:p>
        </w:tc>
        <w:tc>
          <w:tcPr>
            <w:tcW w:w="240" w:type="dxa"/>
            <w:vAlign w:val="bottom"/>
            <w:vMerge w:val="restart"/>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5,207</w:t>
            </w:r>
          </w:p>
        </w:tc>
        <w:tc>
          <w:tcPr>
            <w:tcW w:w="100" w:type="dxa"/>
            <w:vAlign w:val="bottom"/>
            <w:shd w:val="clear" w:color="auto" w:fill="E0E7ED"/>
          </w:tcPr>
          <w:p>
            <w:pPr>
              <w:spacing w:after="0"/>
              <w:rPr>
                <w:sz w:val="19"/>
                <w:szCs w:val="19"/>
                <w:color w:val="auto"/>
              </w:rPr>
            </w:pPr>
          </w:p>
        </w:tc>
        <w:tc>
          <w:tcPr>
            <w:tcW w:w="360" w:type="dxa"/>
            <w:vAlign w:val="bottom"/>
            <w:vMerge w:val="restart"/>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(4,107)</w:t>
            </w:r>
          </w:p>
        </w:tc>
        <w:tc>
          <w:tcPr>
            <w:tcW w:w="0" w:type="dxa"/>
            <w:vAlign w:val="bottom"/>
          </w:tcPr>
          <w:p>
            <w:pPr>
              <w:spacing w:after="0"/>
              <w:rPr>
                <w:sz w:val="1"/>
                <w:szCs w:val="1"/>
                <w:color w:val="auto"/>
              </w:rPr>
            </w:pPr>
          </w:p>
        </w:tc>
      </w:tr>
      <w:tr>
        <w:trPr>
          <w:trHeight w:val="241"/>
        </w:trPr>
        <w:tc>
          <w:tcPr>
            <w:tcW w:w="498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hedges, net of tax</w:t>
            </w:r>
          </w:p>
        </w:tc>
        <w:tc>
          <w:tcPr>
            <w:tcW w:w="200" w:type="dxa"/>
            <w:vAlign w:val="bottom"/>
            <w:tcBorders>
              <w:bottom w:val="single" w:sz="8" w:color="auto"/>
            </w:tcBorders>
            <w:vMerge w:val="continue"/>
            <w:shd w:val="clear" w:color="auto" w:fill="E0E7ED"/>
          </w:tcPr>
          <w:p>
            <w:pPr>
              <w:spacing w:after="0"/>
              <w:rPr>
                <w:sz w:val="20"/>
                <w:szCs w:val="20"/>
                <w:color w:val="auto"/>
              </w:rPr>
            </w:pPr>
          </w:p>
        </w:tc>
        <w:tc>
          <w:tcPr>
            <w:tcW w:w="1280" w:type="dxa"/>
            <w:vAlign w:val="bottom"/>
            <w:tcBorders>
              <w:bottom w:val="single" w:sz="8" w:color="auto"/>
            </w:tcBorders>
            <w:vMerge w:val="continue"/>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340" w:type="dxa"/>
            <w:vAlign w:val="bottom"/>
            <w:tcBorders>
              <w:bottom w:val="single" w:sz="8" w:color="auto"/>
            </w:tcBorders>
            <w:vMerge w:val="continue"/>
            <w:shd w:val="clear" w:color="auto" w:fill="E0E7ED"/>
          </w:tcPr>
          <w:p>
            <w:pPr>
              <w:spacing w:after="0"/>
              <w:rPr>
                <w:sz w:val="20"/>
                <w:szCs w:val="20"/>
                <w:color w:val="auto"/>
              </w:rPr>
            </w:pPr>
          </w:p>
        </w:tc>
        <w:tc>
          <w:tcPr>
            <w:tcW w:w="116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240" w:type="dxa"/>
            <w:vAlign w:val="bottom"/>
            <w:tcBorders>
              <w:bottom w:val="single" w:sz="8" w:color="auto"/>
            </w:tcBorders>
            <w:vMerge w:val="continue"/>
            <w:shd w:val="clear" w:color="auto" w:fill="E0E7ED"/>
          </w:tcPr>
          <w:p>
            <w:pPr>
              <w:spacing w:after="0"/>
              <w:rPr>
                <w:sz w:val="20"/>
                <w:szCs w:val="20"/>
                <w:color w:val="auto"/>
              </w:rPr>
            </w:pPr>
          </w:p>
        </w:tc>
        <w:tc>
          <w:tcPr>
            <w:tcW w:w="1260" w:type="dxa"/>
            <w:vAlign w:val="bottom"/>
            <w:tcBorders>
              <w:bottom w:val="single" w:sz="8" w:color="auto"/>
            </w:tcBorders>
            <w:vMerge w:val="continue"/>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360" w:type="dxa"/>
            <w:vAlign w:val="bottom"/>
            <w:tcBorders>
              <w:bottom w:val="single" w:sz="8" w:color="auto"/>
            </w:tcBorders>
            <w:vMerge w:val="continue"/>
            <w:shd w:val="clear" w:color="auto" w:fill="E0E7ED"/>
          </w:tcPr>
          <w:p>
            <w:pPr>
              <w:spacing w:after="0"/>
              <w:rPr>
                <w:sz w:val="20"/>
                <w:szCs w:val="20"/>
                <w:color w:val="auto"/>
              </w:rPr>
            </w:pPr>
          </w:p>
        </w:tc>
        <w:tc>
          <w:tcPr>
            <w:tcW w:w="1140" w:type="dxa"/>
            <w:vAlign w:val="bottom"/>
            <w:tcBorders>
              <w:bottom w:val="single" w:sz="8" w:color="auto"/>
            </w:tcBorders>
            <w:vMerge w:val="continue"/>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2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54" w:name="page55"/>
    <w:bookmarkEnd w:id="54"/>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Derivative Instruments Not Designated as Hedges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Interest Rate Swaps Not Designated as Hedges</w:t>
      </w:r>
    </w:p>
    <w:p>
      <w:pPr>
        <w:spacing w:after="0" w:line="186"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Busey may offer derivative contracts to its customers in connection with their risk management needs. Busey manages the risk associated with these contracts by entering into equal and offsetting derivative agreements with third-party dealers. These contracts supported variable rate, commercial loan relationships totaling $711.2 million as of September 30, 2024, and $663.1 million as of December 31, 2023. These derivatives generally worked together as an economic interest rate hedge, but Busey did not designate them for hedge accounting treatment. Consequently, changes in fair value of the corresponding derivative financial asset or liability were recorded as either a charge or credit to current earnings during the period in which the changes occurred.</w:t>
      </w:r>
    </w:p>
    <w:p>
      <w:pPr>
        <w:spacing w:after="0" w:line="16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Amounts and fair values of derivative assets and derivative liabilities related to customer interest rate swaps recorded on the </w:t>
      </w:r>
      <w:r>
        <w:rPr>
          <w:rFonts w:ascii="Verdana" w:cs="Verdana" w:eastAsia="Verdana" w:hAnsi="Verdana"/>
          <w:sz w:val="18"/>
          <w:szCs w:val="18"/>
          <w:u w:val="single" w:color="auto"/>
          <w:color w:val="0000FF"/>
        </w:rPr>
        <w:t>Consolidated Balance Sheets (Unaudited)</w:t>
      </w:r>
      <w:r>
        <w:rPr>
          <w:rFonts w:ascii="Verdana" w:cs="Verdana" w:eastAsia="Verdana" w:hAnsi="Verdana"/>
          <w:sz w:val="18"/>
          <w:szCs w:val="18"/>
          <w:color w:val="auto"/>
        </w:rPr>
        <w:t xml:space="preserve">, are summarized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40" w:type="dxa"/>
            <w:vAlign w:val="bottom"/>
            <w:gridSpan w:val="5"/>
          </w:tcPr>
          <w:p>
            <w:pPr>
              <w:ind w:left="400"/>
              <w:spacing w:after="0"/>
              <w:rPr>
                <w:sz w:val="20"/>
                <w:szCs w:val="20"/>
                <w:color w:val="auto"/>
              </w:rPr>
            </w:pPr>
            <w:r>
              <w:rPr>
                <w:rFonts w:ascii="Verdana" w:cs="Verdana" w:eastAsia="Verdana" w:hAnsi="Verdana"/>
                <w:sz w:val="13"/>
                <w:szCs w:val="13"/>
                <w:b w:val="1"/>
                <w:bCs w:val="1"/>
                <w:color w:val="auto"/>
              </w:rPr>
              <w:t>As of September 30, 2024</w:t>
            </w:r>
          </w:p>
        </w:tc>
        <w:tc>
          <w:tcPr>
            <w:tcW w:w="320" w:type="dxa"/>
            <w:vAlign w:val="bottom"/>
          </w:tcPr>
          <w:p>
            <w:pPr>
              <w:spacing w:after="0"/>
              <w:rPr>
                <w:sz w:val="15"/>
                <w:szCs w:val="15"/>
                <w:color w:val="auto"/>
              </w:rPr>
            </w:pPr>
          </w:p>
        </w:tc>
        <w:tc>
          <w:tcPr>
            <w:tcW w:w="2960" w:type="dxa"/>
            <w:vAlign w:val="bottom"/>
            <w:gridSpan w:val="4"/>
          </w:tcPr>
          <w:p>
            <w:pPr>
              <w:ind w:left="420"/>
              <w:spacing w:after="0"/>
              <w:rPr>
                <w:sz w:val="20"/>
                <w:szCs w:val="20"/>
                <w:color w:val="auto"/>
              </w:rPr>
            </w:pPr>
            <w:r>
              <w:rPr>
                <w:rFonts w:ascii="Verdana" w:cs="Verdana" w:eastAsia="Verdana" w:hAnsi="Verdana"/>
                <w:sz w:val="13"/>
                <w:szCs w:val="13"/>
                <w:b w:val="1"/>
                <w:bCs w:val="1"/>
                <w:color w:val="auto"/>
              </w:rPr>
              <w:t>As of December 31, 2023</w:t>
            </w:r>
          </w:p>
        </w:tc>
        <w:tc>
          <w:tcPr>
            <w:tcW w:w="0" w:type="dxa"/>
            <w:vAlign w:val="bottom"/>
          </w:tcPr>
          <w:p>
            <w:pPr>
              <w:spacing w:after="0"/>
              <w:rPr>
                <w:sz w:val="1"/>
                <w:szCs w:val="1"/>
                <w:color w:val="auto"/>
              </w:rPr>
            </w:pPr>
          </w:p>
        </w:tc>
      </w:tr>
      <w:tr>
        <w:trPr>
          <w:trHeight w:val="122"/>
        </w:trPr>
        <w:tc>
          <w:tcPr>
            <w:tcW w:w="2960" w:type="dxa"/>
            <w:vAlign w:val="bottom"/>
          </w:tcPr>
          <w:p>
            <w:pPr>
              <w:spacing w:after="0"/>
              <w:rPr>
                <w:sz w:val="10"/>
                <w:szCs w:val="10"/>
                <w:color w:val="auto"/>
              </w:rPr>
            </w:pPr>
          </w:p>
        </w:tc>
        <w:tc>
          <w:tcPr>
            <w:tcW w:w="1640" w:type="dxa"/>
            <w:vAlign w:val="bottom"/>
            <w:gridSpan w:val="2"/>
            <w:vMerge w:val="restart"/>
          </w:tcPr>
          <w:p>
            <w:pPr>
              <w:ind w:left="460"/>
              <w:spacing w:after="0"/>
              <w:rPr>
                <w:sz w:val="20"/>
                <w:szCs w:val="20"/>
                <w:color w:val="auto"/>
              </w:rPr>
            </w:pPr>
            <w:r>
              <w:rPr>
                <w:rFonts w:ascii="Verdana" w:cs="Verdana" w:eastAsia="Verdana" w:hAnsi="Verdana"/>
                <w:sz w:val="13"/>
                <w:szCs w:val="13"/>
                <w:b w:val="1"/>
                <w:bCs w:val="1"/>
                <w:color w:val="auto"/>
              </w:rPr>
              <w:t>Location</w:t>
            </w:r>
          </w:p>
        </w:tc>
        <w:tc>
          <w:tcPr>
            <w:tcW w:w="32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ind w:left="180"/>
              <w:spacing w:after="0" w:line="122" w:lineRule="exact"/>
              <w:rPr>
                <w:sz w:val="20"/>
                <w:szCs w:val="20"/>
                <w:color w:val="auto"/>
              </w:rPr>
            </w:pPr>
            <w:r>
              <w:rPr>
                <w:rFonts w:ascii="Verdana" w:cs="Verdana" w:eastAsia="Verdana" w:hAnsi="Verdana"/>
                <w:sz w:val="13"/>
                <w:szCs w:val="13"/>
                <w:b w:val="1"/>
                <w:bCs w:val="1"/>
                <w:color w:val="auto"/>
              </w:rPr>
              <w:t>Notional</w:t>
            </w:r>
          </w:p>
        </w:tc>
        <w:tc>
          <w:tcPr>
            <w:tcW w:w="3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center"/>
              <w:ind w:right="257"/>
              <w:spacing w:after="0" w:line="122" w:lineRule="exact"/>
              <w:rPr>
                <w:sz w:val="20"/>
                <w:szCs w:val="20"/>
                <w:color w:val="auto"/>
              </w:rPr>
            </w:pPr>
            <w:r>
              <w:rPr>
                <w:rFonts w:ascii="Verdana" w:cs="Verdana" w:eastAsia="Verdana" w:hAnsi="Verdana"/>
                <w:sz w:val="13"/>
                <w:szCs w:val="13"/>
                <w:b w:val="1"/>
                <w:bCs w:val="1"/>
                <w:color w:val="auto"/>
                <w:w w:val="99"/>
              </w:rPr>
              <w:t>Fair</w:t>
            </w:r>
          </w:p>
        </w:tc>
        <w:tc>
          <w:tcPr>
            <w:tcW w:w="10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ind w:left="180"/>
              <w:spacing w:after="0" w:line="122" w:lineRule="exact"/>
              <w:rPr>
                <w:sz w:val="20"/>
                <w:szCs w:val="20"/>
                <w:color w:val="auto"/>
              </w:rPr>
            </w:pPr>
            <w:r>
              <w:rPr>
                <w:rFonts w:ascii="Verdana" w:cs="Verdana" w:eastAsia="Verdana" w:hAnsi="Verdana"/>
                <w:sz w:val="13"/>
                <w:szCs w:val="13"/>
                <w:b w:val="1"/>
                <w:bCs w:val="1"/>
                <w:color w:val="auto"/>
              </w:rPr>
              <w:t>Notional</w:t>
            </w:r>
          </w:p>
        </w:tc>
        <w:tc>
          <w:tcPr>
            <w:tcW w:w="3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right"/>
              <w:ind w:right="577"/>
              <w:spacing w:after="0" w:line="122" w:lineRule="exact"/>
              <w:rPr>
                <w:sz w:val="20"/>
                <w:szCs w:val="20"/>
                <w:color w:val="auto"/>
              </w:rPr>
            </w:pPr>
            <w:r>
              <w:rPr>
                <w:rFonts w:ascii="Verdana" w:cs="Verdana" w:eastAsia="Verdana" w:hAnsi="Verdana"/>
                <w:sz w:val="13"/>
                <w:szCs w:val="13"/>
                <w:b w:val="1"/>
                <w:bCs w:val="1"/>
                <w:color w:val="auto"/>
              </w:rPr>
              <w:t>Fair</w:t>
            </w:r>
          </w:p>
        </w:tc>
        <w:tc>
          <w:tcPr>
            <w:tcW w:w="0" w:type="dxa"/>
            <w:vAlign w:val="bottom"/>
          </w:tcPr>
          <w:p>
            <w:pPr>
              <w:spacing w:after="0"/>
              <w:rPr>
                <w:sz w:val="1"/>
                <w:szCs w:val="1"/>
                <w:color w:val="auto"/>
              </w:rPr>
            </w:pPr>
          </w:p>
        </w:tc>
      </w:tr>
      <w:tr>
        <w:trPr>
          <w:trHeight w:val="170"/>
        </w:trPr>
        <w:tc>
          <w:tcPr>
            <w:tcW w:w="296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ind w:left="200"/>
              <w:spacing w:after="0"/>
              <w:rPr>
                <w:sz w:val="20"/>
                <w:szCs w:val="20"/>
                <w:color w:val="auto"/>
              </w:rPr>
            </w:pPr>
            <w:r>
              <w:rPr>
                <w:rFonts w:ascii="Verdana" w:cs="Verdana" w:eastAsia="Verdana" w:hAnsi="Verdana"/>
                <w:sz w:val="13"/>
                <w:szCs w:val="13"/>
                <w:b w:val="1"/>
                <w:bCs w:val="1"/>
                <w:color w:val="auto"/>
              </w:rPr>
              <w:t>Amount</w:t>
            </w:r>
          </w:p>
        </w:tc>
        <w:tc>
          <w:tcPr>
            <w:tcW w:w="36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Verdana" w:cs="Verdana" w:eastAsia="Verdana" w:hAnsi="Verdana"/>
                <w:sz w:val="13"/>
                <w:szCs w:val="13"/>
                <w:b w:val="1"/>
                <w:bCs w:val="1"/>
                <w:color w:val="auto"/>
                <w:w w:val="97"/>
              </w:rPr>
              <w:t>Value</w:t>
            </w:r>
          </w:p>
        </w:tc>
        <w:tc>
          <w:tcPr>
            <w:tcW w:w="320" w:type="dxa"/>
            <w:vAlign w:val="bottom"/>
          </w:tcPr>
          <w:p>
            <w:pPr>
              <w:spacing w:after="0"/>
              <w:rPr>
                <w:sz w:val="14"/>
                <w:szCs w:val="14"/>
                <w:color w:val="auto"/>
              </w:rPr>
            </w:pPr>
          </w:p>
        </w:tc>
        <w:tc>
          <w:tcPr>
            <w:tcW w:w="1360" w:type="dxa"/>
            <w:vAlign w:val="bottom"/>
            <w:gridSpan w:val="2"/>
          </w:tcPr>
          <w:p>
            <w:pPr>
              <w:ind w:left="200"/>
              <w:spacing w:after="0"/>
              <w:rPr>
                <w:sz w:val="20"/>
                <w:szCs w:val="20"/>
                <w:color w:val="auto"/>
              </w:rPr>
            </w:pPr>
            <w:r>
              <w:rPr>
                <w:rFonts w:ascii="Verdana" w:cs="Verdana" w:eastAsia="Verdana" w:hAnsi="Verdana"/>
                <w:sz w:val="13"/>
                <w:szCs w:val="13"/>
                <w:b w:val="1"/>
                <w:bCs w:val="1"/>
                <w:color w:val="auto"/>
              </w:rPr>
              <w:t>Amount</w:t>
            </w:r>
          </w:p>
        </w:tc>
        <w:tc>
          <w:tcPr>
            <w:tcW w:w="380" w:type="dxa"/>
            <w:vAlign w:val="bottom"/>
          </w:tcPr>
          <w:p>
            <w:pPr>
              <w:spacing w:after="0"/>
              <w:rPr>
                <w:sz w:val="14"/>
                <w:szCs w:val="14"/>
                <w:color w:val="auto"/>
              </w:rPr>
            </w:pPr>
          </w:p>
        </w:tc>
        <w:tc>
          <w:tcPr>
            <w:tcW w:w="1220" w:type="dxa"/>
            <w:vAlign w:val="bottom"/>
          </w:tcPr>
          <w:p>
            <w:pPr>
              <w:jc w:val="right"/>
              <w:ind w:right="517"/>
              <w:spacing w:after="0"/>
              <w:rPr>
                <w:sz w:val="20"/>
                <w:szCs w:val="20"/>
                <w:color w:val="auto"/>
              </w:rPr>
            </w:pPr>
            <w:r>
              <w:rPr>
                <w:rFonts w:ascii="Verdana" w:cs="Verdana" w:eastAsia="Verdana" w:hAnsi="Verdana"/>
                <w:sz w:val="13"/>
                <w:szCs w:val="13"/>
                <w:b w:val="1"/>
                <w:bCs w:val="1"/>
                <w:color w:val="auto"/>
              </w:rPr>
              <w:t>Value</w:t>
            </w:r>
          </w:p>
        </w:tc>
        <w:tc>
          <w:tcPr>
            <w:tcW w:w="0" w:type="dxa"/>
            <w:vAlign w:val="bottom"/>
          </w:tcPr>
          <w:p>
            <w:pPr>
              <w:spacing w:after="0"/>
              <w:rPr>
                <w:sz w:val="1"/>
                <w:szCs w:val="1"/>
                <w:color w:val="auto"/>
              </w:rPr>
            </w:pPr>
          </w:p>
        </w:tc>
      </w:tr>
      <w:tr>
        <w:trPr>
          <w:trHeight w:val="223"/>
        </w:trPr>
        <w:tc>
          <w:tcPr>
            <w:tcW w:w="2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Derivative assets not</w:t>
            </w:r>
          </w:p>
        </w:tc>
        <w:tc>
          <w:tcPr>
            <w:tcW w:w="154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320" w:type="dxa"/>
            <w:vAlign w:val="bottom"/>
            <w:tcBorders>
              <w:top w:val="single" w:sz="8" w:color="auto"/>
            </w:tcBorders>
            <w:shd w:val="clear" w:color="auto" w:fill="E0E7ED"/>
          </w:tcPr>
          <w:p>
            <w:pPr>
              <w:spacing w:after="0"/>
              <w:rPr>
                <w:sz w:val="19"/>
                <w:szCs w:val="19"/>
                <w:color w:val="auto"/>
              </w:rPr>
            </w:pPr>
          </w:p>
        </w:tc>
        <w:tc>
          <w:tcPr>
            <w:tcW w:w="128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360" w:type="dxa"/>
            <w:vAlign w:val="bottom"/>
            <w:tcBorders>
              <w:top w:val="single" w:sz="8" w:color="auto"/>
            </w:tcBorders>
            <w:shd w:val="clear" w:color="auto" w:fill="E0E7ED"/>
          </w:tcPr>
          <w:p>
            <w:pPr>
              <w:spacing w:after="0"/>
              <w:rPr>
                <w:sz w:val="19"/>
                <w:szCs w:val="19"/>
                <w:color w:val="auto"/>
              </w:rPr>
            </w:pPr>
          </w:p>
        </w:tc>
        <w:tc>
          <w:tcPr>
            <w:tcW w:w="122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320" w:type="dxa"/>
            <w:vAlign w:val="bottom"/>
            <w:tcBorders>
              <w:top w:val="single" w:sz="8" w:color="auto"/>
            </w:tcBorders>
            <w:shd w:val="clear" w:color="auto" w:fill="E0E7ED"/>
          </w:tcPr>
          <w:p>
            <w:pPr>
              <w:spacing w:after="0"/>
              <w:rPr>
                <w:sz w:val="19"/>
                <w:szCs w:val="19"/>
                <w:color w:val="auto"/>
              </w:rPr>
            </w:pPr>
          </w:p>
        </w:tc>
        <w:tc>
          <w:tcPr>
            <w:tcW w:w="128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380" w:type="dxa"/>
            <w:vAlign w:val="bottom"/>
            <w:tcBorders>
              <w:top w:val="single" w:sz="8" w:color="auto"/>
            </w:tcBorders>
            <w:shd w:val="clear" w:color="auto" w:fill="E0E7ED"/>
          </w:tcPr>
          <w:p>
            <w:pPr>
              <w:spacing w:after="0"/>
              <w:rPr>
                <w:sz w:val="19"/>
                <w:szCs w:val="19"/>
                <w:color w:val="auto"/>
              </w:rPr>
            </w:pPr>
          </w:p>
        </w:tc>
        <w:tc>
          <w:tcPr>
            <w:tcW w:w="122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E0E7ED"/>
          </w:tcPr>
          <w:p>
            <w:pPr>
              <w:ind w:left="20"/>
              <w:spacing w:after="0" w:line="216" w:lineRule="exact"/>
              <w:rPr>
                <w:sz w:val="20"/>
                <w:szCs w:val="20"/>
                <w:color w:val="auto"/>
              </w:rPr>
            </w:pPr>
            <w:r>
              <w:rPr>
                <w:rFonts w:ascii="Verdana" w:cs="Verdana" w:eastAsia="Verdana" w:hAnsi="Verdana"/>
                <w:sz w:val="18"/>
                <w:szCs w:val="18"/>
                <w:b w:val="1"/>
                <w:bCs w:val="1"/>
                <w:color w:val="auto"/>
              </w:rPr>
              <w:t>designated as hedging</w:t>
            </w:r>
          </w:p>
        </w:tc>
        <w:tc>
          <w:tcPr>
            <w:tcW w:w="154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28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22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28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20" w:type="dxa"/>
            <w:vAlign w:val="bottom"/>
            <w:shd w:val="clear" w:color="auto" w:fill="E0E7ED"/>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9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instruments</w:t>
            </w:r>
          </w:p>
        </w:tc>
        <w:tc>
          <w:tcPr>
            <w:tcW w:w="15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8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960" w:type="dxa"/>
            <w:vAlign w:val="bottom"/>
          </w:tcPr>
          <w:p>
            <w:pPr>
              <w:ind w:left="180"/>
              <w:spacing w:after="0"/>
              <w:rPr>
                <w:sz w:val="20"/>
                <w:szCs w:val="20"/>
                <w:color w:val="auto"/>
              </w:rPr>
            </w:pPr>
            <w:r>
              <w:rPr>
                <w:rFonts w:ascii="Verdana" w:cs="Verdana" w:eastAsia="Verdana" w:hAnsi="Verdana"/>
                <w:sz w:val="18"/>
                <w:szCs w:val="18"/>
                <w:color w:val="auto"/>
              </w:rPr>
              <w:t>Interest rate swaps: receive-</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960" w:type="dxa"/>
            <w:vAlign w:val="bottom"/>
          </w:tcPr>
          <w:p>
            <w:pPr>
              <w:ind w:left="180"/>
              <w:spacing w:after="0"/>
              <w:rPr>
                <w:sz w:val="20"/>
                <w:szCs w:val="20"/>
                <w:color w:val="auto"/>
              </w:rPr>
            </w:pPr>
            <w:r>
              <w:rPr>
                <w:rFonts w:ascii="Verdana" w:cs="Verdana" w:eastAsia="Verdana" w:hAnsi="Verdana"/>
                <w:sz w:val="18"/>
                <w:szCs w:val="18"/>
                <w:color w:val="auto"/>
              </w:rPr>
              <w:t>fixed, pay-floating</w:t>
            </w:r>
          </w:p>
        </w:tc>
        <w:tc>
          <w:tcPr>
            <w:tcW w:w="1640" w:type="dxa"/>
            <w:vAlign w:val="bottom"/>
            <w:gridSpan w:val="2"/>
          </w:tcPr>
          <w:p>
            <w:pPr>
              <w:spacing w:after="0"/>
              <w:rPr>
                <w:sz w:val="20"/>
                <w:szCs w:val="20"/>
                <w:color w:val="auto"/>
              </w:rPr>
            </w:pPr>
            <w:r>
              <w:rPr>
                <w:rFonts w:ascii="Verdana" w:cs="Verdana" w:eastAsia="Verdana" w:hAnsi="Verdana"/>
                <w:sz w:val="18"/>
                <w:szCs w:val="18"/>
                <w:color w:val="auto"/>
              </w:rPr>
              <w:t>Other assets</w:t>
            </w: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ind w:right="19"/>
              <w:spacing w:after="0"/>
              <w:rPr>
                <w:sz w:val="20"/>
                <w:szCs w:val="20"/>
                <w:color w:val="auto"/>
              </w:rPr>
            </w:pPr>
            <w:r>
              <w:rPr>
                <w:rFonts w:ascii="Verdana" w:cs="Verdana" w:eastAsia="Verdana" w:hAnsi="Verdana"/>
                <w:sz w:val="18"/>
                <w:szCs w:val="18"/>
                <w:color w:val="auto"/>
              </w:rPr>
              <w:t>333,545</w:t>
            </w:r>
          </w:p>
        </w:tc>
        <w:tc>
          <w:tcPr>
            <w:tcW w:w="80" w:type="dxa"/>
            <w:vAlign w:val="bottom"/>
          </w:tcPr>
          <w:p>
            <w:pPr>
              <w:spacing w:after="0"/>
              <w:rPr>
                <w:sz w:val="21"/>
                <w:szCs w:val="21"/>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spacing w:after="0"/>
              <w:rPr>
                <w:sz w:val="20"/>
                <w:szCs w:val="20"/>
                <w:color w:val="auto"/>
              </w:rPr>
            </w:pPr>
            <w:r>
              <w:rPr>
                <w:rFonts w:ascii="Verdana" w:cs="Verdana" w:eastAsia="Verdana" w:hAnsi="Verdana"/>
                <w:sz w:val="18"/>
                <w:szCs w:val="18"/>
                <w:color w:val="auto"/>
              </w:rPr>
              <w:t>6,730</w:t>
            </w:r>
          </w:p>
        </w:tc>
        <w:tc>
          <w:tcPr>
            <w:tcW w:w="100" w:type="dxa"/>
            <w:vAlign w:val="bottom"/>
          </w:tcPr>
          <w:p>
            <w:pPr>
              <w:spacing w:after="0"/>
              <w:rPr>
                <w:sz w:val="21"/>
                <w:szCs w:val="21"/>
                <w:color w:val="auto"/>
              </w:rPr>
            </w:pP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280" w:type="dxa"/>
            <w:vAlign w:val="bottom"/>
          </w:tcPr>
          <w:p>
            <w:pPr>
              <w:ind w:left="440"/>
              <w:spacing w:after="0"/>
              <w:rPr>
                <w:sz w:val="20"/>
                <w:szCs w:val="20"/>
                <w:color w:val="auto"/>
              </w:rPr>
            </w:pPr>
            <w:r>
              <w:rPr>
                <w:rFonts w:ascii="Verdana" w:cs="Verdana" w:eastAsia="Verdana" w:hAnsi="Verdana"/>
                <w:sz w:val="18"/>
                <w:szCs w:val="18"/>
                <w:color w:val="auto"/>
              </w:rPr>
              <w:t>177,883</w:t>
            </w:r>
          </w:p>
        </w:tc>
        <w:tc>
          <w:tcPr>
            <w:tcW w:w="80" w:type="dxa"/>
            <w:vAlign w:val="bottom"/>
          </w:tcPr>
          <w:p>
            <w:pPr>
              <w:spacing w:after="0"/>
              <w:rPr>
                <w:sz w:val="21"/>
                <w:szCs w:val="21"/>
                <w:color w:val="auto"/>
              </w:rPr>
            </w:pPr>
          </w:p>
        </w:tc>
        <w:tc>
          <w:tcPr>
            <w:tcW w:w="380" w:type="dxa"/>
            <w:vAlign w:val="bottom"/>
          </w:tcPr>
          <w:p>
            <w:pPr>
              <w:jc w:val="right"/>
              <w:ind w:right="15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17"/>
              <w:spacing w:after="0"/>
              <w:rPr>
                <w:sz w:val="20"/>
                <w:szCs w:val="20"/>
                <w:color w:val="auto"/>
              </w:rPr>
            </w:pPr>
            <w:r>
              <w:rPr>
                <w:rFonts w:ascii="Verdana" w:cs="Verdana" w:eastAsia="Verdana" w:hAnsi="Verdana"/>
                <w:sz w:val="18"/>
                <w:szCs w:val="18"/>
                <w:color w:val="auto"/>
              </w:rPr>
              <w:t>2,375</w:t>
            </w:r>
          </w:p>
        </w:tc>
        <w:tc>
          <w:tcPr>
            <w:tcW w:w="0" w:type="dxa"/>
            <w:vAlign w:val="bottom"/>
          </w:tcPr>
          <w:p>
            <w:pPr>
              <w:spacing w:after="0"/>
              <w:rPr>
                <w:sz w:val="1"/>
                <w:szCs w:val="1"/>
                <w:color w:val="auto"/>
              </w:rPr>
            </w:pPr>
          </w:p>
        </w:tc>
      </w:tr>
      <w:tr>
        <w:trPr>
          <w:trHeight w:val="244"/>
        </w:trPr>
        <w:tc>
          <w:tcPr>
            <w:tcW w:w="2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Interest rate swaps: receive-</w:t>
            </w:r>
          </w:p>
        </w:tc>
        <w:tc>
          <w:tcPr>
            <w:tcW w:w="15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8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floating, pay-fixed</w:t>
            </w:r>
          </w:p>
        </w:tc>
        <w:tc>
          <w:tcPr>
            <w:tcW w:w="1640" w:type="dxa"/>
            <w:vAlign w:val="bottom"/>
            <w:gridSpan w:val="2"/>
            <w:shd w:val="clear" w:color="auto" w:fill="E0E7ED"/>
          </w:tcPr>
          <w:p>
            <w:pPr>
              <w:spacing w:after="0"/>
              <w:rPr>
                <w:sz w:val="20"/>
                <w:szCs w:val="20"/>
                <w:color w:val="auto"/>
              </w:rPr>
            </w:pPr>
            <w:r>
              <w:rPr>
                <w:rFonts w:ascii="Verdana" w:cs="Verdana" w:eastAsia="Verdana" w:hAnsi="Verdana"/>
                <w:sz w:val="18"/>
                <w:szCs w:val="18"/>
                <w:color w:val="auto"/>
              </w:rPr>
              <w:t>Other assets</w:t>
            </w:r>
          </w:p>
        </w:tc>
        <w:tc>
          <w:tcPr>
            <w:tcW w:w="320" w:type="dxa"/>
            <w:vAlign w:val="bottom"/>
            <w:tcBorders>
              <w:bottom w:val="single" w:sz="8" w:color="auto"/>
            </w:tcBorders>
            <w:shd w:val="clear" w:color="auto" w:fill="E0E7ED"/>
          </w:tcPr>
          <w:p>
            <w:pPr>
              <w:spacing w:after="0"/>
              <w:rPr>
                <w:sz w:val="21"/>
                <w:szCs w:val="21"/>
                <w:color w:val="auto"/>
              </w:rPr>
            </w:pPr>
          </w:p>
        </w:tc>
        <w:tc>
          <w:tcPr>
            <w:tcW w:w="1280" w:type="dxa"/>
            <w:vAlign w:val="bottom"/>
            <w:tcBorders>
              <w:bottom w:val="single" w:sz="8" w:color="auto"/>
            </w:tcBorders>
            <w:shd w:val="clear" w:color="auto" w:fill="E0E7ED"/>
          </w:tcPr>
          <w:p>
            <w:pPr>
              <w:jc w:val="right"/>
              <w:ind w:right="19"/>
              <w:spacing w:after="0"/>
              <w:rPr>
                <w:sz w:val="20"/>
                <w:szCs w:val="20"/>
                <w:color w:val="auto"/>
              </w:rPr>
            </w:pPr>
            <w:r>
              <w:rPr>
                <w:rFonts w:ascii="Verdana" w:cs="Verdana" w:eastAsia="Verdana" w:hAnsi="Verdana"/>
                <w:sz w:val="18"/>
                <w:szCs w:val="18"/>
                <w:color w:val="auto"/>
              </w:rPr>
              <w:t>377,609</w:t>
            </w:r>
          </w:p>
        </w:tc>
        <w:tc>
          <w:tcPr>
            <w:tcW w:w="80" w:type="dxa"/>
            <w:vAlign w:val="bottom"/>
            <w:shd w:val="clear" w:color="auto" w:fill="E0E7ED"/>
          </w:tcPr>
          <w:p>
            <w:pPr>
              <w:spacing w:after="0"/>
              <w:rPr>
                <w:sz w:val="21"/>
                <w:szCs w:val="21"/>
                <w:color w:val="auto"/>
              </w:rPr>
            </w:pPr>
          </w:p>
        </w:tc>
        <w:tc>
          <w:tcPr>
            <w:tcW w:w="360" w:type="dxa"/>
            <w:vAlign w:val="bottom"/>
            <w:tcBorders>
              <w:bottom w:val="single" w:sz="8" w:color="auto"/>
            </w:tcBorders>
            <w:shd w:val="clear" w:color="auto" w:fill="E0E7ED"/>
          </w:tcPr>
          <w:p>
            <w:pPr>
              <w:spacing w:after="0"/>
              <w:rPr>
                <w:sz w:val="21"/>
                <w:szCs w:val="21"/>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18,648</w:t>
            </w:r>
          </w:p>
        </w:tc>
        <w:tc>
          <w:tcPr>
            <w:tcW w:w="100" w:type="dxa"/>
            <w:vAlign w:val="bottom"/>
            <w:shd w:val="clear" w:color="auto" w:fill="E0E7ED"/>
          </w:tcPr>
          <w:p>
            <w:pPr>
              <w:spacing w:after="0"/>
              <w:rPr>
                <w:sz w:val="21"/>
                <w:szCs w:val="21"/>
                <w:color w:val="auto"/>
              </w:rPr>
            </w:pPr>
          </w:p>
        </w:tc>
        <w:tc>
          <w:tcPr>
            <w:tcW w:w="320" w:type="dxa"/>
            <w:vAlign w:val="bottom"/>
            <w:tcBorders>
              <w:bottom w:val="single" w:sz="8" w:color="auto"/>
            </w:tcBorders>
            <w:shd w:val="clear" w:color="auto" w:fill="E0E7ED"/>
          </w:tcPr>
          <w:p>
            <w:pPr>
              <w:spacing w:after="0"/>
              <w:rPr>
                <w:sz w:val="21"/>
                <w:szCs w:val="21"/>
                <w:color w:val="auto"/>
              </w:rPr>
            </w:pPr>
          </w:p>
        </w:tc>
        <w:tc>
          <w:tcPr>
            <w:tcW w:w="1280" w:type="dxa"/>
            <w:vAlign w:val="bottom"/>
            <w:tcBorders>
              <w:bottom w:val="single" w:sz="8" w:color="auto"/>
            </w:tcBorders>
            <w:shd w:val="clear" w:color="auto" w:fill="E0E7ED"/>
          </w:tcPr>
          <w:p>
            <w:pPr>
              <w:ind w:left="440"/>
              <w:spacing w:after="0"/>
              <w:rPr>
                <w:sz w:val="20"/>
                <w:szCs w:val="20"/>
                <w:color w:val="auto"/>
              </w:rPr>
            </w:pPr>
            <w:r>
              <w:rPr>
                <w:rFonts w:ascii="Verdana" w:cs="Verdana" w:eastAsia="Verdana" w:hAnsi="Verdana"/>
                <w:sz w:val="18"/>
                <w:szCs w:val="18"/>
                <w:color w:val="auto"/>
              </w:rPr>
              <w:t>485,253</w:t>
            </w:r>
          </w:p>
        </w:tc>
        <w:tc>
          <w:tcPr>
            <w:tcW w:w="80" w:type="dxa"/>
            <w:vAlign w:val="bottom"/>
            <w:shd w:val="clear" w:color="auto" w:fill="E0E7ED"/>
          </w:tcPr>
          <w:p>
            <w:pPr>
              <w:spacing w:after="0"/>
              <w:rPr>
                <w:sz w:val="21"/>
                <w:szCs w:val="21"/>
                <w:color w:val="auto"/>
              </w:rPr>
            </w:pPr>
          </w:p>
        </w:tc>
        <w:tc>
          <w:tcPr>
            <w:tcW w:w="380" w:type="dxa"/>
            <w:vAlign w:val="bottom"/>
            <w:tcBorders>
              <w:bottom w:val="single" w:sz="8" w:color="auto"/>
            </w:tcBorders>
            <w:shd w:val="clear" w:color="auto" w:fill="E0E7ED"/>
          </w:tcPr>
          <w:p>
            <w:pPr>
              <w:spacing w:after="0"/>
              <w:rPr>
                <w:sz w:val="21"/>
                <w:szCs w:val="21"/>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26,289</w:t>
            </w:r>
          </w:p>
        </w:tc>
        <w:tc>
          <w:tcPr>
            <w:tcW w:w="0" w:type="dxa"/>
            <w:vAlign w:val="bottom"/>
          </w:tcPr>
          <w:p>
            <w:pPr>
              <w:spacing w:after="0"/>
              <w:rPr>
                <w:sz w:val="1"/>
                <w:szCs w:val="1"/>
                <w:color w:val="auto"/>
              </w:rPr>
            </w:pPr>
          </w:p>
        </w:tc>
      </w:tr>
      <w:tr>
        <w:trPr>
          <w:trHeight w:val="218"/>
        </w:trPr>
        <w:tc>
          <w:tcPr>
            <w:tcW w:w="2960" w:type="dxa"/>
            <w:vAlign w:val="bottom"/>
          </w:tcPr>
          <w:p>
            <w:pPr>
              <w:ind w:left="20"/>
              <w:spacing w:after="0" w:line="217" w:lineRule="exact"/>
              <w:rPr>
                <w:sz w:val="20"/>
                <w:szCs w:val="20"/>
                <w:color w:val="auto"/>
              </w:rPr>
            </w:pPr>
            <w:r>
              <w:rPr>
                <w:rFonts w:ascii="Verdana" w:cs="Verdana" w:eastAsia="Verdana" w:hAnsi="Verdana"/>
                <w:sz w:val="18"/>
                <w:szCs w:val="18"/>
                <w:color w:val="auto"/>
              </w:rPr>
              <w:t>Derivative assets not</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20"/>
              <w:spacing w:after="0" w:line="216" w:lineRule="exact"/>
              <w:rPr>
                <w:sz w:val="20"/>
                <w:szCs w:val="20"/>
                <w:color w:val="auto"/>
              </w:rPr>
            </w:pPr>
            <w:r>
              <w:rPr>
                <w:rFonts w:ascii="Verdana" w:cs="Verdana" w:eastAsia="Verdana" w:hAnsi="Verdana"/>
                <w:sz w:val="18"/>
                <w:szCs w:val="18"/>
                <w:color w:val="auto"/>
              </w:rPr>
              <w:t>designated as hedging</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vMerge w:val="restart"/>
          </w:tcPr>
          <w:p>
            <w:pPr>
              <w:jc w:val="right"/>
              <w:ind w:right="90"/>
              <w:spacing w:after="0"/>
              <w:rPr>
                <w:sz w:val="20"/>
                <w:szCs w:val="20"/>
                <w:color w:val="auto"/>
              </w:rPr>
            </w:pPr>
            <w:r>
              <w:rPr>
                <w:rFonts w:ascii="Verdana" w:cs="Verdana" w:eastAsia="Verdana" w:hAnsi="Verdana"/>
                <w:sz w:val="18"/>
                <w:szCs w:val="18"/>
                <w:color w:val="auto"/>
              </w:rPr>
              <w:t>$</w:t>
            </w:r>
          </w:p>
        </w:tc>
        <w:tc>
          <w:tcPr>
            <w:tcW w:w="1280" w:type="dxa"/>
            <w:vAlign w:val="bottom"/>
            <w:vMerge w:val="restart"/>
          </w:tcPr>
          <w:p>
            <w:pPr>
              <w:jc w:val="right"/>
              <w:ind w:right="19"/>
              <w:spacing w:after="0"/>
              <w:rPr>
                <w:sz w:val="20"/>
                <w:szCs w:val="20"/>
                <w:color w:val="auto"/>
              </w:rPr>
            </w:pPr>
            <w:r>
              <w:rPr>
                <w:rFonts w:ascii="Verdana" w:cs="Verdana" w:eastAsia="Verdana" w:hAnsi="Verdana"/>
                <w:sz w:val="18"/>
                <w:szCs w:val="18"/>
                <w:color w:val="auto"/>
              </w:rPr>
              <w:t>711,154</w:t>
            </w:r>
          </w:p>
        </w:tc>
        <w:tc>
          <w:tcPr>
            <w:tcW w:w="80" w:type="dxa"/>
            <w:vAlign w:val="bottom"/>
          </w:tcPr>
          <w:p>
            <w:pPr>
              <w:spacing w:after="0"/>
              <w:rPr>
                <w:sz w:val="18"/>
                <w:szCs w:val="18"/>
                <w:color w:val="auto"/>
              </w:rPr>
            </w:pPr>
          </w:p>
        </w:tc>
        <w:tc>
          <w:tcPr>
            <w:tcW w:w="360" w:type="dxa"/>
            <w:vAlign w:val="bottom"/>
            <w:vMerge w:val="restart"/>
          </w:tcPr>
          <w:p>
            <w:pPr>
              <w:jc w:val="right"/>
              <w:ind w:right="130"/>
              <w:spacing w:after="0"/>
              <w:rPr>
                <w:sz w:val="20"/>
                <w:szCs w:val="20"/>
                <w:color w:val="auto"/>
              </w:rPr>
            </w:pPr>
            <w:r>
              <w:rPr>
                <w:rFonts w:ascii="Verdana" w:cs="Verdana" w:eastAsia="Verdana" w:hAnsi="Verdana"/>
                <w:sz w:val="18"/>
                <w:szCs w:val="18"/>
                <w:color w:val="auto"/>
              </w:rPr>
              <w:t>$</w:t>
            </w:r>
          </w:p>
        </w:tc>
        <w:tc>
          <w:tcPr>
            <w:tcW w:w="1220" w:type="dxa"/>
            <w:vAlign w:val="bottom"/>
            <w:vMerge w:val="restart"/>
          </w:tcPr>
          <w:p>
            <w:pPr>
              <w:jc w:val="right"/>
              <w:spacing w:after="0"/>
              <w:rPr>
                <w:sz w:val="20"/>
                <w:szCs w:val="20"/>
                <w:color w:val="auto"/>
              </w:rPr>
            </w:pPr>
            <w:r>
              <w:rPr>
                <w:rFonts w:ascii="Verdana" w:cs="Verdana" w:eastAsia="Verdana" w:hAnsi="Verdana"/>
                <w:sz w:val="18"/>
                <w:szCs w:val="18"/>
                <w:color w:val="auto"/>
              </w:rPr>
              <w:t>25,378</w:t>
            </w:r>
          </w:p>
        </w:tc>
        <w:tc>
          <w:tcPr>
            <w:tcW w:w="100" w:type="dxa"/>
            <w:vAlign w:val="bottom"/>
          </w:tcPr>
          <w:p>
            <w:pPr>
              <w:spacing w:after="0"/>
              <w:rPr>
                <w:sz w:val="18"/>
                <w:szCs w:val="18"/>
                <w:color w:val="auto"/>
              </w:rPr>
            </w:pPr>
          </w:p>
        </w:tc>
        <w:tc>
          <w:tcPr>
            <w:tcW w:w="320" w:type="dxa"/>
            <w:vAlign w:val="bottom"/>
            <w:vMerge w:val="restart"/>
          </w:tcPr>
          <w:p>
            <w:pPr>
              <w:jc w:val="right"/>
              <w:ind w:right="90"/>
              <w:spacing w:after="0"/>
              <w:rPr>
                <w:sz w:val="20"/>
                <w:szCs w:val="20"/>
                <w:color w:val="auto"/>
              </w:rPr>
            </w:pPr>
            <w:r>
              <w:rPr>
                <w:rFonts w:ascii="Verdana" w:cs="Verdana" w:eastAsia="Verdana" w:hAnsi="Verdana"/>
                <w:sz w:val="18"/>
                <w:szCs w:val="18"/>
                <w:color w:val="auto"/>
              </w:rPr>
              <w:t>$</w:t>
            </w:r>
          </w:p>
        </w:tc>
        <w:tc>
          <w:tcPr>
            <w:tcW w:w="1280" w:type="dxa"/>
            <w:vAlign w:val="bottom"/>
            <w:vMerge w:val="restart"/>
          </w:tcPr>
          <w:p>
            <w:pPr>
              <w:ind w:left="440"/>
              <w:spacing w:after="0"/>
              <w:rPr>
                <w:sz w:val="20"/>
                <w:szCs w:val="20"/>
                <w:color w:val="auto"/>
              </w:rPr>
            </w:pPr>
            <w:r>
              <w:rPr>
                <w:rFonts w:ascii="Verdana" w:cs="Verdana" w:eastAsia="Verdana" w:hAnsi="Verdana"/>
                <w:sz w:val="18"/>
                <w:szCs w:val="18"/>
                <w:color w:val="auto"/>
              </w:rPr>
              <w:t>663,136</w:t>
            </w:r>
          </w:p>
        </w:tc>
        <w:tc>
          <w:tcPr>
            <w:tcW w:w="80" w:type="dxa"/>
            <w:vAlign w:val="bottom"/>
          </w:tcPr>
          <w:p>
            <w:pPr>
              <w:spacing w:after="0"/>
              <w:rPr>
                <w:sz w:val="18"/>
                <w:szCs w:val="18"/>
                <w:color w:val="auto"/>
              </w:rPr>
            </w:pPr>
          </w:p>
        </w:tc>
        <w:tc>
          <w:tcPr>
            <w:tcW w:w="380" w:type="dxa"/>
            <w:vAlign w:val="bottom"/>
            <w:vMerge w:val="restart"/>
          </w:tcPr>
          <w:p>
            <w:pPr>
              <w:jc w:val="right"/>
              <w:ind w:right="150"/>
              <w:spacing w:after="0"/>
              <w:rPr>
                <w:sz w:val="20"/>
                <w:szCs w:val="20"/>
                <w:color w:val="auto"/>
              </w:rPr>
            </w:pPr>
            <w:r>
              <w:rPr>
                <w:rFonts w:ascii="Verdana" w:cs="Verdana" w:eastAsia="Verdana" w:hAnsi="Verdana"/>
                <w:sz w:val="18"/>
                <w:szCs w:val="18"/>
                <w:color w:val="auto"/>
              </w:rPr>
              <w:t>$</w:t>
            </w:r>
          </w:p>
        </w:tc>
        <w:tc>
          <w:tcPr>
            <w:tcW w:w="1220" w:type="dxa"/>
            <w:vAlign w:val="bottom"/>
            <w:vMerge w:val="restart"/>
          </w:tcPr>
          <w:p>
            <w:pPr>
              <w:jc w:val="right"/>
              <w:spacing w:after="0"/>
              <w:rPr>
                <w:sz w:val="20"/>
                <w:szCs w:val="20"/>
                <w:color w:val="auto"/>
              </w:rPr>
            </w:pPr>
            <w:r>
              <w:rPr>
                <w:rFonts w:ascii="Verdana" w:cs="Verdana" w:eastAsia="Verdana" w:hAnsi="Verdana"/>
                <w:sz w:val="18"/>
                <w:szCs w:val="18"/>
                <w:color w:val="auto"/>
              </w:rPr>
              <w:t>28,664</w:t>
            </w:r>
          </w:p>
        </w:tc>
        <w:tc>
          <w:tcPr>
            <w:tcW w:w="0" w:type="dxa"/>
            <w:vAlign w:val="bottom"/>
          </w:tcPr>
          <w:p>
            <w:pPr>
              <w:spacing w:after="0"/>
              <w:rPr>
                <w:sz w:val="1"/>
                <w:szCs w:val="1"/>
                <w:color w:val="auto"/>
              </w:rPr>
            </w:pPr>
          </w:p>
        </w:tc>
      </w:tr>
      <w:tr>
        <w:trPr>
          <w:trHeight w:val="226"/>
        </w:trPr>
        <w:tc>
          <w:tcPr>
            <w:tcW w:w="2960" w:type="dxa"/>
            <w:vAlign w:val="bottom"/>
          </w:tcPr>
          <w:p>
            <w:pPr>
              <w:ind w:left="20"/>
              <w:spacing w:after="0"/>
              <w:rPr>
                <w:sz w:val="20"/>
                <w:szCs w:val="20"/>
                <w:color w:val="auto"/>
              </w:rPr>
            </w:pPr>
            <w:r>
              <w:rPr>
                <w:rFonts w:ascii="Verdana" w:cs="Verdana" w:eastAsia="Verdana" w:hAnsi="Verdana"/>
                <w:sz w:val="18"/>
                <w:szCs w:val="18"/>
                <w:color w:val="auto"/>
              </w:rPr>
              <w:t>instruments</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Borders>
              <w:bottom w:val="single" w:sz="8" w:color="E0E7ED"/>
            </w:tcBorders>
          </w:tcPr>
          <w:p>
            <w:pPr>
              <w:spacing w:after="0" w:line="20" w:lineRule="exact"/>
              <w:rPr>
                <w:sz w:val="1"/>
                <w:szCs w:val="1"/>
                <w:color w:val="auto"/>
              </w:rPr>
            </w:pPr>
          </w:p>
        </w:tc>
        <w:tc>
          <w:tcPr>
            <w:tcW w:w="154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shd w:val="clear" w:color="auto" w:fill="E0E7ED"/>
          </w:tcPr>
          <w:p>
            <w:pPr>
              <w:spacing w:after="0"/>
              <w:rPr>
                <w:sz w:val="20"/>
                <w:szCs w:val="20"/>
                <w:color w:val="auto"/>
              </w:rPr>
            </w:pPr>
          </w:p>
        </w:tc>
        <w:tc>
          <w:tcPr>
            <w:tcW w:w="154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20" w:type="dxa"/>
            <w:vAlign w:val="bottom"/>
            <w:shd w:val="clear" w:color="auto" w:fill="E0E7ED"/>
          </w:tcPr>
          <w:p>
            <w:pPr>
              <w:spacing w:after="0"/>
              <w:rPr>
                <w:sz w:val="20"/>
                <w:szCs w:val="20"/>
                <w:color w:val="auto"/>
              </w:rPr>
            </w:pPr>
          </w:p>
        </w:tc>
        <w:tc>
          <w:tcPr>
            <w:tcW w:w="128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60" w:type="dxa"/>
            <w:vAlign w:val="bottom"/>
            <w:shd w:val="clear" w:color="auto" w:fill="E0E7ED"/>
          </w:tcPr>
          <w:p>
            <w:pPr>
              <w:spacing w:after="0"/>
              <w:rPr>
                <w:sz w:val="20"/>
                <w:szCs w:val="20"/>
                <w:color w:val="auto"/>
              </w:rPr>
            </w:pPr>
          </w:p>
        </w:tc>
        <w:tc>
          <w:tcPr>
            <w:tcW w:w="12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20" w:type="dxa"/>
            <w:vAlign w:val="bottom"/>
            <w:shd w:val="clear" w:color="auto" w:fill="E0E7ED"/>
          </w:tcPr>
          <w:p>
            <w:pPr>
              <w:spacing w:after="0"/>
              <w:rPr>
                <w:sz w:val="20"/>
                <w:szCs w:val="20"/>
                <w:color w:val="auto"/>
              </w:rPr>
            </w:pPr>
          </w:p>
        </w:tc>
        <w:tc>
          <w:tcPr>
            <w:tcW w:w="128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80" w:type="dxa"/>
            <w:vAlign w:val="bottom"/>
            <w:shd w:val="clear" w:color="auto" w:fill="E0E7ED"/>
          </w:tcPr>
          <w:p>
            <w:pPr>
              <w:spacing w:after="0"/>
              <w:rPr>
                <w:sz w:val="20"/>
                <w:szCs w:val="20"/>
                <w:color w:val="auto"/>
              </w:rPr>
            </w:pPr>
          </w:p>
        </w:tc>
        <w:tc>
          <w:tcPr>
            <w:tcW w:w="122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960" w:type="dxa"/>
            <w:vAlign w:val="bottom"/>
          </w:tcPr>
          <w:p>
            <w:pPr>
              <w:ind w:left="20"/>
              <w:spacing w:after="0"/>
              <w:rPr>
                <w:sz w:val="20"/>
                <w:szCs w:val="20"/>
                <w:color w:val="auto"/>
              </w:rPr>
            </w:pPr>
            <w:r>
              <w:rPr>
                <w:rFonts w:ascii="Verdana" w:cs="Verdana" w:eastAsia="Verdana" w:hAnsi="Verdana"/>
                <w:sz w:val="18"/>
                <w:szCs w:val="18"/>
                <w:b w:val="1"/>
                <w:bCs w:val="1"/>
                <w:color w:val="auto"/>
              </w:rPr>
              <w:t>Derivative liabilities not</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20"/>
              <w:spacing w:after="0" w:line="216" w:lineRule="exact"/>
              <w:rPr>
                <w:sz w:val="20"/>
                <w:szCs w:val="20"/>
                <w:color w:val="auto"/>
              </w:rPr>
            </w:pPr>
            <w:r>
              <w:rPr>
                <w:rFonts w:ascii="Verdana" w:cs="Verdana" w:eastAsia="Verdana" w:hAnsi="Verdana"/>
                <w:sz w:val="18"/>
                <w:szCs w:val="18"/>
                <w:b w:val="1"/>
                <w:bCs w:val="1"/>
                <w:color w:val="auto"/>
              </w:rPr>
              <w:t>designated as hedging</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960" w:type="dxa"/>
            <w:vAlign w:val="bottom"/>
          </w:tcPr>
          <w:p>
            <w:pPr>
              <w:ind w:left="20"/>
              <w:spacing w:after="0"/>
              <w:rPr>
                <w:sz w:val="20"/>
                <w:szCs w:val="20"/>
                <w:color w:val="auto"/>
              </w:rPr>
            </w:pPr>
            <w:r>
              <w:rPr>
                <w:rFonts w:ascii="Verdana" w:cs="Verdana" w:eastAsia="Verdana" w:hAnsi="Verdana"/>
                <w:sz w:val="18"/>
                <w:szCs w:val="18"/>
                <w:b w:val="1"/>
                <w:bCs w:val="1"/>
                <w:color w:val="auto"/>
              </w:rPr>
              <w:t>instruments</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Interest rate swaps: receive-</w:t>
            </w:r>
          </w:p>
        </w:tc>
        <w:tc>
          <w:tcPr>
            <w:tcW w:w="15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8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fixed, pay-floating</w:t>
            </w:r>
          </w:p>
        </w:tc>
        <w:tc>
          <w:tcPr>
            <w:tcW w:w="1640" w:type="dxa"/>
            <w:vAlign w:val="bottom"/>
            <w:gridSpan w:val="2"/>
            <w:shd w:val="clear" w:color="auto" w:fill="E0E7ED"/>
          </w:tcPr>
          <w:p>
            <w:pPr>
              <w:spacing w:after="0"/>
              <w:rPr>
                <w:sz w:val="20"/>
                <w:szCs w:val="20"/>
                <w:color w:val="auto"/>
              </w:rPr>
            </w:pPr>
            <w:r>
              <w:rPr>
                <w:rFonts w:ascii="Verdana" w:cs="Verdana" w:eastAsia="Verdana" w:hAnsi="Verdana"/>
                <w:sz w:val="18"/>
                <w:szCs w:val="18"/>
                <w:color w:val="auto"/>
              </w:rPr>
              <w:t>Other liabilities</w:t>
            </w:r>
          </w:p>
        </w:tc>
        <w:tc>
          <w:tcPr>
            <w:tcW w:w="32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rPr>
              <w:t>$</w:t>
            </w:r>
          </w:p>
        </w:tc>
        <w:tc>
          <w:tcPr>
            <w:tcW w:w="128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377,609</w:t>
            </w:r>
          </w:p>
        </w:tc>
        <w:tc>
          <w:tcPr>
            <w:tcW w:w="80" w:type="dxa"/>
            <w:vAlign w:val="bottom"/>
            <w:shd w:val="clear" w:color="auto" w:fill="E0E7ED"/>
          </w:tcPr>
          <w:p>
            <w:pPr>
              <w:spacing w:after="0"/>
              <w:rPr>
                <w:sz w:val="21"/>
                <w:szCs w:val="21"/>
                <w:color w:val="auto"/>
              </w:rPr>
            </w:pP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18,648</w:t>
            </w:r>
          </w:p>
        </w:tc>
        <w:tc>
          <w:tcPr>
            <w:tcW w:w="100" w:type="dxa"/>
            <w:vAlign w:val="bottom"/>
            <w:shd w:val="clear" w:color="auto" w:fill="E0E7ED"/>
          </w:tcPr>
          <w:p>
            <w:pPr>
              <w:spacing w:after="0"/>
              <w:rPr>
                <w:sz w:val="21"/>
                <w:szCs w:val="21"/>
                <w:color w:val="auto"/>
              </w:rPr>
            </w:pPr>
          </w:p>
        </w:tc>
        <w:tc>
          <w:tcPr>
            <w:tcW w:w="32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rPr>
              <w:t>$</w:t>
            </w:r>
          </w:p>
        </w:tc>
        <w:tc>
          <w:tcPr>
            <w:tcW w:w="1280" w:type="dxa"/>
            <w:vAlign w:val="bottom"/>
            <w:shd w:val="clear" w:color="auto" w:fill="E0E7ED"/>
          </w:tcPr>
          <w:p>
            <w:pPr>
              <w:ind w:left="440"/>
              <w:spacing w:after="0"/>
              <w:rPr>
                <w:sz w:val="20"/>
                <w:szCs w:val="20"/>
                <w:color w:val="auto"/>
              </w:rPr>
            </w:pPr>
            <w:r>
              <w:rPr>
                <w:rFonts w:ascii="Verdana" w:cs="Verdana" w:eastAsia="Verdana" w:hAnsi="Verdana"/>
                <w:sz w:val="18"/>
                <w:szCs w:val="18"/>
                <w:color w:val="auto"/>
              </w:rPr>
              <w:t>485,253</w:t>
            </w:r>
          </w:p>
        </w:tc>
        <w:tc>
          <w:tcPr>
            <w:tcW w:w="80" w:type="dxa"/>
            <w:vAlign w:val="bottom"/>
            <w:shd w:val="clear" w:color="auto" w:fill="E0E7ED"/>
          </w:tcPr>
          <w:p>
            <w:pPr>
              <w:spacing w:after="0"/>
              <w:rPr>
                <w:sz w:val="21"/>
                <w:szCs w:val="21"/>
                <w:color w:val="auto"/>
              </w:rPr>
            </w:pPr>
          </w:p>
        </w:tc>
        <w:tc>
          <w:tcPr>
            <w:tcW w:w="380" w:type="dxa"/>
            <w:vAlign w:val="bottom"/>
            <w:shd w:val="clear" w:color="auto" w:fill="E0E7ED"/>
          </w:tcPr>
          <w:p>
            <w:pPr>
              <w:jc w:val="right"/>
              <w:ind w:right="150"/>
              <w:spacing w:after="0"/>
              <w:rPr>
                <w:sz w:val="20"/>
                <w:szCs w:val="20"/>
                <w:color w:val="auto"/>
              </w:rPr>
            </w:pPr>
            <w:r>
              <w:rPr>
                <w:rFonts w:ascii="Verdana" w:cs="Verdana" w:eastAsia="Verdana" w:hAnsi="Verdana"/>
                <w:sz w:val="18"/>
                <w:szCs w:val="18"/>
                <w:color w:val="auto"/>
              </w:rPr>
              <w:t>$</w:t>
            </w: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26,289</w:t>
            </w:r>
          </w:p>
        </w:tc>
        <w:tc>
          <w:tcPr>
            <w:tcW w:w="0" w:type="dxa"/>
            <w:vAlign w:val="bottom"/>
          </w:tcPr>
          <w:p>
            <w:pPr>
              <w:spacing w:after="0"/>
              <w:rPr>
                <w:sz w:val="1"/>
                <w:szCs w:val="1"/>
                <w:color w:val="auto"/>
              </w:rPr>
            </w:pPr>
          </w:p>
        </w:tc>
      </w:tr>
      <w:tr>
        <w:trPr>
          <w:trHeight w:val="238"/>
        </w:trPr>
        <w:tc>
          <w:tcPr>
            <w:tcW w:w="2960" w:type="dxa"/>
            <w:vAlign w:val="bottom"/>
          </w:tcPr>
          <w:p>
            <w:pPr>
              <w:ind w:left="180"/>
              <w:spacing w:after="0"/>
              <w:rPr>
                <w:sz w:val="20"/>
                <w:szCs w:val="20"/>
                <w:color w:val="auto"/>
              </w:rPr>
            </w:pPr>
            <w:r>
              <w:rPr>
                <w:rFonts w:ascii="Verdana" w:cs="Verdana" w:eastAsia="Verdana" w:hAnsi="Verdana"/>
                <w:sz w:val="18"/>
                <w:szCs w:val="18"/>
                <w:color w:val="auto"/>
              </w:rPr>
              <w:t>Interest rate swaps: receive-</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9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floating, pay-fixed</w:t>
            </w:r>
          </w:p>
        </w:tc>
        <w:tc>
          <w:tcPr>
            <w:tcW w:w="1640" w:type="dxa"/>
            <w:vAlign w:val="bottom"/>
            <w:tcBorders>
              <w:bottom w:val="single" w:sz="8" w:color="E0E7ED"/>
            </w:tcBorders>
            <w:gridSpan w:val="2"/>
          </w:tcPr>
          <w:p>
            <w:pPr>
              <w:spacing w:after="0"/>
              <w:rPr>
                <w:sz w:val="20"/>
                <w:szCs w:val="20"/>
                <w:color w:val="auto"/>
              </w:rPr>
            </w:pPr>
            <w:r>
              <w:rPr>
                <w:rFonts w:ascii="Verdana" w:cs="Verdana" w:eastAsia="Verdana" w:hAnsi="Verdana"/>
                <w:sz w:val="18"/>
                <w:szCs w:val="18"/>
                <w:color w:val="auto"/>
              </w:rPr>
              <w:t>Other liabilities</w:t>
            </w: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8"/>
                <w:szCs w:val="18"/>
                <w:color w:val="auto"/>
              </w:rPr>
              <w:t>333,545</w:t>
            </w:r>
          </w:p>
        </w:tc>
        <w:tc>
          <w:tcPr>
            <w:tcW w:w="80" w:type="dxa"/>
            <w:vAlign w:val="bottom"/>
            <w:tcBorders>
              <w:bottom w:val="single" w:sz="8" w:color="E0E7ED"/>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6,730</w:t>
            </w:r>
          </w:p>
        </w:tc>
        <w:tc>
          <w:tcPr>
            <w:tcW w:w="100" w:type="dxa"/>
            <w:vAlign w:val="bottom"/>
            <w:tcBorders>
              <w:bottom w:val="single" w:sz="8" w:color="E0E7ED"/>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ind w:left="440"/>
              <w:spacing w:after="0"/>
              <w:rPr>
                <w:sz w:val="20"/>
                <w:szCs w:val="20"/>
                <w:color w:val="auto"/>
              </w:rPr>
            </w:pPr>
            <w:r>
              <w:rPr>
                <w:rFonts w:ascii="Verdana" w:cs="Verdana" w:eastAsia="Verdana" w:hAnsi="Verdana"/>
                <w:sz w:val="18"/>
                <w:szCs w:val="18"/>
                <w:color w:val="auto"/>
              </w:rPr>
              <w:t>177,883</w:t>
            </w:r>
          </w:p>
        </w:tc>
        <w:tc>
          <w:tcPr>
            <w:tcW w:w="80" w:type="dxa"/>
            <w:vAlign w:val="bottom"/>
            <w:tcBorders>
              <w:bottom w:val="single" w:sz="8" w:color="E0E7ED"/>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8"/>
                <w:szCs w:val="18"/>
                <w:color w:val="auto"/>
              </w:rPr>
              <w:t>2,375</w:t>
            </w:r>
          </w:p>
        </w:tc>
        <w:tc>
          <w:tcPr>
            <w:tcW w:w="0" w:type="dxa"/>
            <w:vAlign w:val="bottom"/>
          </w:tcPr>
          <w:p>
            <w:pPr>
              <w:spacing w:after="0"/>
              <w:rPr>
                <w:sz w:val="1"/>
                <w:szCs w:val="1"/>
                <w:color w:val="auto"/>
              </w:rPr>
            </w:pPr>
          </w:p>
        </w:tc>
      </w:tr>
      <w:tr>
        <w:trPr>
          <w:trHeight w:val="224"/>
        </w:trPr>
        <w:tc>
          <w:tcPr>
            <w:tcW w:w="29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Derivative liabilities not</w:t>
            </w:r>
          </w:p>
        </w:tc>
        <w:tc>
          <w:tcPr>
            <w:tcW w:w="154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28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360" w:type="dxa"/>
            <w:vAlign w:val="bottom"/>
            <w:shd w:val="clear" w:color="auto" w:fill="E0E7ED"/>
          </w:tcPr>
          <w:p>
            <w:pPr>
              <w:spacing w:after="0"/>
              <w:rPr>
                <w:sz w:val="19"/>
                <w:szCs w:val="19"/>
                <w:color w:val="auto"/>
              </w:rPr>
            </w:pPr>
          </w:p>
        </w:tc>
        <w:tc>
          <w:tcPr>
            <w:tcW w:w="122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28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380" w:type="dxa"/>
            <w:vAlign w:val="bottom"/>
            <w:shd w:val="clear" w:color="auto" w:fill="E0E7ED"/>
          </w:tcPr>
          <w:p>
            <w:pPr>
              <w:spacing w:after="0"/>
              <w:rPr>
                <w:sz w:val="19"/>
                <w:szCs w:val="19"/>
                <w:color w:val="auto"/>
              </w:rPr>
            </w:pPr>
          </w:p>
        </w:tc>
        <w:tc>
          <w:tcPr>
            <w:tcW w:w="1220" w:type="dxa"/>
            <w:vAlign w:val="bottom"/>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E0E7ED"/>
          </w:tcPr>
          <w:p>
            <w:pPr>
              <w:ind w:left="20"/>
              <w:spacing w:after="0" w:line="216" w:lineRule="exact"/>
              <w:rPr>
                <w:sz w:val="20"/>
                <w:szCs w:val="20"/>
                <w:color w:val="auto"/>
              </w:rPr>
            </w:pPr>
            <w:r>
              <w:rPr>
                <w:rFonts w:ascii="Verdana" w:cs="Verdana" w:eastAsia="Verdana" w:hAnsi="Verdana"/>
                <w:sz w:val="18"/>
                <w:szCs w:val="18"/>
                <w:color w:val="auto"/>
              </w:rPr>
              <w:t>designated as hedging</w:t>
            </w:r>
          </w:p>
        </w:tc>
        <w:tc>
          <w:tcPr>
            <w:tcW w:w="154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20" w:type="dxa"/>
            <w:vAlign w:val="bottom"/>
            <w:vMerge w:val="restart"/>
            <w:shd w:val="clear" w:color="auto" w:fill="E0E7ED"/>
          </w:tcPr>
          <w:p>
            <w:pPr>
              <w:jc w:val="right"/>
              <w:ind w:right="90"/>
              <w:spacing w:after="0"/>
              <w:rPr>
                <w:sz w:val="20"/>
                <w:szCs w:val="20"/>
                <w:color w:val="auto"/>
              </w:rPr>
            </w:pPr>
            <w:r>
              <w:rPr>
                <w:rFonts w:ascii="Verdana" w:cs="Verdana" w:eastAsia="Verdana" w:hAnsi="Verdana"/>
                <w:sz w:val="18"/>
                <w:szCs w:val="18"/>
                <w:color w:val="auto"/>
              </w:rPr>
              <w:t>$</w:t>
            </w:r>
          </w:p>
        </w:tc>
        <w:tc>
          <w:tcPr>
            <w:tcW w:w="1280" w:type="dxa"/>
            <w:vAlign w:val="bottom"/>
            <w:vMerge w:val="restart"/>
            <w:shd w:val="clear" w:color="auto" w:fill="E0E7ED"/>
          </w:tcPr>
          <w:p>
            <w:pPr>
              <w:jc w:val="right"/>
              <w:ind w:right="19"/>
              <w:spacing w:after="0"/>
              <w:rPr>
                <w:sz w:val="20"/>
                <w:szCs w:val="20"/>
                <w:color w:val="auto"/>
              </w:rPr>
            </w:pPr>
            <w:r>
              <w:rPr>
                <w:rFonts w:ascii="Verdana" w:cs="Verdana" w:eastAsia="Verdana" w:hAnsi="Verdana"/>
                <w:sz w:val="18"/>
                <w:szCs w:val="18"/>
                <w:color w:val="auto"/>
              </w:rPr>
              <w:t>711,154</w:t>
            </w:r>
          </w:p>
        </w:tc>
        <w:tc>
          <w:tcPr>
            <w:tcW w:w="80" w:type="dxa"/>
            <w:vAlign w:val="bottom"/>
            <w:shd w:val="clear" w:color="auto" w:fill="E0E7ED"/>
          </w:tcPr>
          <w:p>
            <w:pPr>
              <w:spacing w:after="0"/>
              <w:rPr>
                <w:sz w:val="18"/>
                <w:szCs w:val="18"/>
                <w:color w:val="auto"/>
              </w:rPr>
            </w:pPr>
          </w:p>
        </w:tc>
        <w:tc>
          <w:tcPr>
            <w:tcW w:w="360" w:type="dxa"/>
            <w:vAlign w:val="bottom"/>
            <w:vMerge w:val="restart"/>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22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25,378</w:t>
            </w:r>
          </w:p>
        </w:tc>
        <w:tc>
          <w:tcPr>
            <w:tcW w:w="100" w:type="dxa"/>
            <w:vAlign w:val="bottom"/>
            <w:shd w:val="clear" w:color="auto" w:fill="E0E7ED"/>
          </w:tcPr>
          <w:p>
            <w:pPr>
              <w:spacing w:after="0"/>
              <w:rPr>
                <w:sz w:val="18"/>
                <w:szCs w:val="18"/>
                <w:color w:val="auto"/>
              </w:rPr>
            </w:pPr>
          </w:p>
        </w:tc>
        <w:tc>
          <w:tcPr>
            <w:tcW w:w="320" w:type="dxa"/>
            <w:vAlign w:val="bottom"/>
            <w:vMerge w:val="restart"/>
            <w:shd w:val="clear" w:color="auto" w:fill="E0E7ED"/>
          </w:tcPr>
          <w:p>
            <w:pPr>
              <w:jc w:val="right"/>
              <w:ind w:right="90"/>
              <w:spacing w:after="0"/>
              <w:rPr>
                <w:sz w:val="20"/>
                <w:szCs w:val="20"/>
                <w:color w:val="auto"/>
              </w:rPr>
            </w:pPr>
            <w:r>
              <w:rPr>
                <w:rFonts w:ascii="Verdana" w:cs="Verdana" w:eastAsia="Verdana" w:hAnsi="Verdana"/>
                <w:sz w:val="18"/>
                <w:szCs w:val="18"/>
                <w:color w:val="auto"/>
              </w:rPr>
              <w:t>$</w:t>
            </w:r>
          </w:p>
        </w:tc>
        <w:tc>
          <w:tcPr>
            <w:tcW w:w="1280" w:type="dxa"/>
            <w:vAlign w:val="bottom"/>
            <w:vMerge w:val="restart"/>
            <w:shd w:val="clear" w:color="auto" w:fill="E0E7ED"/>
          </w:tcPr>
          <w:p>
            <w:pPr>
              <w:ind w:left="440"/>
              <w:spacing w:after="0"/>
              <w:rPr>
                <w:sz w:val="20"/>
                <w:szCs w:val="20"/>
                <w:color w:val="auto"/>
              </w:rPr>
            </w:pPr>
            <w:r>
              <w:rPr>
                <w:rFonts w:ascii="Verdana" w:cs="Verdana" w:eastAsia="Verdana" w:hAnsi="Verdana"/>
                <w:sz w:val="18"/>
                <w:szCs w:val="18"/>
                <w:color w:val="auto"/>
              </w:rPr>
              <w:t>663,136</w:t>
            </w:r>
          </w:p>
        </w:tc>
        <w:tc>
          <w:tcPr>
            <w:tcW w:w="80" w:type="dxa"/>
            <w:vAlign w:val="bottom"/>
            <w:shd w:val="clear" w:color="auto" w:fill="E0E7ED"/>
          </w:tcPr>
          <w:p>
            <w:pPr>
              <w:spacing w:after="0"/>
              <w:rPr>
                <w:sz w:val="18"/>
                <w:szCs w:val="18"/>
                <w:color w:val="auto"/>
              </w:rPr>
            </w:pPr>
          </w:p>
        </w:tc>
        <w:tc>
          <w:tcPr>
            <w:tcW w:w="380" w:type="dxa"/>
            <w:vAlign w:val="bottom"/>
            <w:vMerge w:val="restart"/>
            <w:shd w:val="clear" w:color="auto" w:fill="E0E7ED"/>
          </w:tcPr>
          <w:p>
            <w:pPr>
              <w:jc w:val="right"/>
              <w:ind w:right="150"/>
              <w:spacing w:after="0"/>
              <w:rPr>
                <w:sz w:val="20"/>
                <w:szCs w:val="20"/>
                <w:color w:val="auto"/>
              </w:rPr>
            </w:pPr>
            <w:r>
              <w:rPr>
                <w:rFonts w:ascii="Verdana" w:cs="Verdana" w:eastAsia="Verdana" w:hAnsi="Verdana"/>
                <w:sz w:val="18"/>
                <w:szCs w:val="18"/>
                <w:color w:val="auto"/>
              </w:rPr>
              <w:t>$</w:t>
            </w:r>
          </w:p>
        </w:tc>
        <w:tc>
          <w:tcPr>
            <w:tcW w:w="122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28,664</w:t>
            </w:r>
          </w:p>
        </w:tc>
        <w:tc>
          <w:tcPr>
            <w:tcW w:w="0" w:type="dxa"/>
            <w:vAlign w:val="bottom"/>
          </w:tcPr>
          <w:p>
            <w:pPr>
              <w:spacing w:after="0"/>
              <w:rPr>
                <w:sz w:val="1"/>
                <w:szCs w:val="1"/>
                <w:color w:val="auto"/>
              </w:rPr>
            </w:pPr>
          </w:p>
        </w:tc>
      </w:tr>
      <w:tr>
        <w:trPr>
          <w:trHeight w:val="241"/>
        </w:trPr>
        <w:tc>
          <w:tcPr>
            <w:tcW w:w="29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instruments</w:t>
            </w:r>
          </w:p>
        </w:tc>
        <w:tc>
          <w:tcPr>
            <w:tcW w:w="1540" w:type="dxa"/>
            <w:vAlign w:val="bottom"/>
            <w:tcBorders>
              <w:bottom w:val="single" w:sz="8" w:color="E0E7ED"/>
            </w:tcBorders>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320" w:type="dxa"/>
            <w:vAlign w:val="bottom"/>
            <w:tcBorders>
              <w:bottom w:val="single" w:sz="8" w:color="auto"/>
            </w:tcBorders>
            <w:vMerge w:val="continue"/>
            <w:shd w:val="clear" w:color="auto" w:fill="E0E7ED"/>
          </w:tcPr>
          <w:p>
            <w:pPr>
              <w:spacing w:after="0"/>
              <w:rPr>
                <w:sz w:val="20"/>
                <w:szCs w:val="20"/>
                <w:color w:val="auto"/>
              </w:rPr>
            </w:pPr>
          </w:p>
        </w:tc>
        <w:tc>
          <w:tcPr>
            <w:tcW w:w="128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360" w:type="dxa"/>
            <w:vAlign w:val="bottom"/>
            <w:tcBorders>
              <w:bottom w:val="single" w:sz="8" w:color="auto"/>
            </w:tcBorders>
            <w:vMerge w:val="continue"/>
            <w:shd w:val="clear" w:color="auto" w:fill="E0E7ED"/>
          </w:tcPr>
          <w:p>
            <w:pPr>
              <w:spacing w:after="0"/>
              <w:rPr>
                <w:sz w:val="20"/>
                <w:szCs w:val="20"/>
                <w:color w:val="auto"/>
              </w:rPr>
            </w:pPr>
          </w:p>
        </w:tc>
        <w:tc>
          <w:tcPr>
            <w:tcW w:w="1220" w:type="dxa"/>
            <w:vAlign w:val="bottom"/>
            <w:tcBorders>
              <w:bottom w:val="single" w:sz="8" w:color="auto"/>
            </w:tcBorders>
            <w:vMerge w:val="continue"/>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320" w:type="dxa"/>
            <w:vAlign w:val="bottom"/>
            <w:tcBorders>
              <w:bottom w:val="single" w:sz="8" w:color="auto"/>
            </w:tcBorders>
            <w:vMerge w:val="continue"/>
            <w:shd w:val="clear" w:color="auto" w:fill="E0E7ED"/>
          </w:tcPr>
          <w:p>
            <w:pPr>
              <w:spacing w:after="0"/>
              <w:rPr>
                <w:sz w:val="20"/>
                <w:szCs w:val="20"/>
                <w:color w:val="auto"/>
              </w:rPr>
            </w:pPr>
          </w:p>
        </w:tc>
        <w:tc>
          <w:tcPr>
            <w:tcW w:w="128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380" w:type="dxa"/>
            <w:vAlign w:val="bottom"/>
            <w:tcBorders>
              <w:bottom w:val="single" w:sz="8" w:color="auto"/>
            </w:tcBorders>
            <w:vMerge w:val="continue"/>
            <w:shd w:val="clear" w:color="auto" w:fill="E0E7ED"/>
          </w:tcPr>
          <w:p>
            <w:pPr>
              <w:spacing w:after="0"/>
              <w:rPr>
                <w:sz w:val="20"/>
                <w:szCs w:val="20"/>
                <w:color w:val="auto"/>
              </w:rPr>
            </w:pPr>
          </w:p>
        </w:tc>
        <w:tc>
          <w:tcPr>
            <w:tcW w:w="1220" w:type="dxa"/>
            <w:vAlign w:val="bottom"/>
            <w:tcBorders>
              <w:bottom w:val="single" w:sz="8" w:color="auto"/>
            </w:tcBorders>
            <w:vMerge w:val="continue"/>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E0E7ED"/>
            </w:tcBorders>
          </w:tcPr>
          <w:p>
            <w:pPr>
              <w:spacing w:after="0" w:line="20" w:lineRule="exact"/>
              <w:rPr>
                <w:sz w:val="1"/>
                <w:szCs w:val="1"/>
                <w:color w:val="auto"/>
              </w:rPr>
            </w:pPr>
          </w:p>
        </w:tc>
        <w:tc>
          <w:tcPr>
            <w:tcW w:w="15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55" w:name="page56"/>
    <w:bookmarkEnd w:id="55"/>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Changes in fair value of these derivative assets and liabilities are included in the </w:t>
      </w:r>
      <w:r>
        <w:rPr>
          <w:rFonts w:ascii="Verdana" w:cs="Verdana" w:eastAsia="Verdana" w:hAnsi="Verdana"/>
          <w:sz w:val="18"/>
          <w:szCs w:val="18"/>
          <w:u w:val="single" w:color="auto"/>
          <w:color w:val="0000FF"/>
        </w:rPr>
        <w:t>Consolidated Statements of Income</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0000FF"/>
        </w:rPr>
        <w:t>(Unaudited)</w:t>
      </w:r>
      <w:r>
        <w:rPr>
          <w:rFonts w:ascii="Verdana" w:cs="Verdana" w:eastAsia="Verdana" w:hAnsi="Verdana"/>
          <w:sz w:val="18"/>
          <w:szCs w:val="18"/>
          <w:color w:val="0000FF"/>
        </w:rPr>
        <w:t xml:space="preserve"> </w:t>
      </w:r>
      <w:r>
        <w:rPr>
          <w:rFonts w:ascii="Verdana" w:cs="Verdana" w:eastAsia="Verdana" w:hAnsi="Verdana"/>
          <w:sz w:val="18"/>
          <w:szCs w:val="18"/>
          <w:color w:val="000000"/>
        </w:rPr>
        <w:t>and are summarized as follows</w:t>
      </w:r>
      <w:r>
        <w:rPr>
          <w:rFonts w:ascii="Verdana" w:cs="Verdana" w:eastAsia="Verdana" w:hAnsi="Verdana"/>
          <w:sz w:val="18"/>
          <w:szCs w:val="18"/>
          <w:color w:val="0000FF"/>
        </w:rPr>
        <w:t xml:space="preserve"> </w:t>
      </w:r>
      <w:r>
        <w:rPr>
          <w:rFonts w:ascii="Verdana" w:cs="Verdana" w:eastAsia="Verdana" w:hAnsi="Verdana"/>
          <w:sz w:val="18"/>
          <w:szCs w:val="18"/>
          <w:i w:val="1"/>
          <w:iCs w:val="1"/>
          <w:color w:val="000000"/>
        </w:rPr>
        <w:t>(dollars in thousands)</w:t>
      </w:r>
      <w:r>
        <w:rPr>
          <w:rFonts w:ascii="Verdana" w:cs="Verdana" w:eastAsia="Verdana" w:hAnsi="Verdana"/>
          <w:sz w:val="18"/>
          <w:szCs w:val="18"/>
          <w:color w:val="000000"/>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gridSpan w:val="5"/>
          </w:tcPr>
          <w:p>
            <w:pPr>
              <w:ind w:left="60"/>
              <w:spacing w:after="0"/>
              <w:rPr>
                <w:sz w:val="20"/>
                <w:szCs w:val="20"/>
                <w:color w:val="auto"/>
              </w:rPr>
            </w:pPr>
            <w:r>
              <w:rPr>
                <w:rFonts w:ascii="Verdana" w:cs="Verdana" w:eastAsia="Verdana" w:hAnsi="Verdana"/>
                <w:sz w:val="13"/>
                <w:szCs w:val="13"/>
                <w:b w:val="1"/>
                <w:bCs w:val="1"/>
                <w:color w:val="auto"/>
              </w:rPr>
              <w:t>Three Months Ended September 30,</w:t>
            </w:r>
          </w:p>
        </w:tc>
        <w:tc>
          <w:tcPr>
            <w:tcW w:w="220" w:type="dxa"/>
            <w:vAlign w:val="bottom"/>
          </w:tcPr>
          <w:p>
            <w:pPr>
              <w:spacing w:after="0"/>
              <w:rPr>
                <w:sz w:val="15"/>
                <w:szCs w:val="15"/>
                <w:color w:val="auto"/>
              </w:rPr>
            </w:pPr>
          </w:p>
        </w:tc>
        <w:tc>
          <w:tcPr>
            <w:tcW w:w="2840" w:type="dxa"/>
            <w:vAlign w:val="bottom"/>
            <w:gridSpan w:val="4"/>
          </w:tcPr>
          <w:p>
            <w:pPr>
              <w:jc w:val="right"/>
              <w:ind w:right="237"/>
              <w:spacing w:after="0"/>
              <w:rPr>
                <w:sz w:val="20"/>
                <w:szCs w:val="20"/>
                <w:color w:val="auto"/>
              </w:rPr>
            </w:pPr>
            <w:r>
              <w:rPr>
                <w:rFonts w:ascii="Verdana" w:cs="Verdana" w:eastAsia="Verdana" w:hAnsi="Verdana"/>
                <w:sz w:val="13"/>
                <w:szCs w:val="13"/>
                <w:b w:val="1"/>
                <w:bCs w:val="1"/>
                <w:color w:val="auto"/>
                <w:w w:val="99"/>
              </w:rPr>
              <w:t>Nine Months Ended September 30,</w:t>
            </w:r>
          </w:p>
        </w:tc>
        <w:tc>
          <w:tcPr>
            <w:tcW w:w="0" w:type="dxa"/>
            <w:vAlign w:val="bottom"/>
          </w:tcPr>
          <w:p>
            <w:pPr>
              <w:spacing w:after="0"/>
              <w:rPr>
                <w:sz w:val="1"/>
                <w:szCs w:val="1"/>
                <w:color w:val="auto"/>
              </w:rPr>
            </w:pPr>
          </w:p>
        </w:tc>
      </w:tr>
      <w:tr>
        <w:trPr>
          <w:trHeight w:val="170"/>
        </w:trPr>
        <w:tc>
          <w:tcPr>
            <w:tcW w:w="3460" w:type="dxa"/>
            <w:vAlign w:val="bottom"/>
          </w:tcPr>
          <w:p>
            <w:pPr>
              <w:spacing w:after="0"/>
              <w:rPr>
                <w:sz w:val="14"/>
                <w:szCs w:val="14"/>
                <w:color w:val="auto"/>
              </w:rPr>
            </w:pPr>
          </w:p>
        </w:tc>
        <w:tc>
          <w:tcPr>
            <w:tcW w:w="1560" w:type="dxa"/>
            <w:vAlign w:val="bottom"/>
            <w:gridSpan w:val="2"/>
          </w:tcPr>
          <w:p>
            <w:pPr>
              <w:ind w:left="420"/>
              <w:spacing w:after="0"/>
              <w:rPr>
                <w:sz w:val="20"/>
                <w:szCs w:val="20"/>
                <w:color w:val="auto"/>
              </w:rPr>
            </w:pPr>
            <w:r>
              <w:rPr>
                <w:rFonts w:ascii="Verdana" w:cs="Verdana" w:eastAsia="Verdana" w:hAnsi="Verdana"/>
                <w:sz w:val="13"/>
                <w:szCs w:val="13"/>
                <w:b w:val="1"/>
                <w:bCs w:val="1"/>
                <w:color w:val="auto"/>
              </w:rPr>
              <w:t>Location</w:t>
            </w:r>
          </w:p>
        </w:tc>
        <w:tc>
          <w:tcPr>
            <w:tcW w:w="2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481"/>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77"/>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481"/>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77"/>
              <w:spacing w:after="0"/>
              <w:rPr>
                <w:sz w:val="20"/>
                <w:szCs w:val="20"/>
                <w:color w:val="auto"/>
              </w:rPr>
            </w:pPr>
            <w:r>
              <w:rPr>
                <w:rFonts w:ascii="Verdana" w:cs="Verdana" w:eastAsia="Verdana" w:hAnsi="Verdana"/>
                <w:sz w:val="13"/>
                <w:szCs w:val="13"/>
                <w:b w:val="1"/>
                <w:bCs w:val="1"/>
                <w:color w:val="auto"/>
              </w:rPr>
              <w:t>2023</w:t>
            </w:r>
          </w:p>
        </w:tc>
        <w:tc>
          <w:tcPr>
            <w:tcW w:w="0" w:type="dxa"/>
            <w:vAlign w:val="bottom"/>
          </w:tcPr>
          <w:p>
            <w:pPr>
              <w:spacing w:after="0"/>
              <w:rPr>
                <w:sz w:val="1"/>
                <w:szCs w:val="1"/>
                <w:color w:val="auto"/>
              </w:rPr>
            </w:pPr>
          </w:p>
        </w:tc>
      </w:tr>
      <w:tr>
        <w:trPr>
          <w:trHeight w:val="255"/>
        </w:trPr>
        <w:tc>
          <w:tcPr>
            <w:tcW w:w="34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Interest rate swaps</w:t>
            </w:r>
          </w:p>
        </w:tc>
        <w:tc>
          <w:tcPr>
            <w:tcW w:w="14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0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40" w:type="dxa"/>
            <w:vAlign w:val="bottom"/>
            <w:tcBorders>
              <w:top w:val="single" w:sz="8" w:color="auto"/>
            </w:tcBorders>
            <w:shd w:val="clear" w:color="auto" w:fill="E0E7ED"/>
          </w:tcPr>
          <w:p>
            <w:pPr>
              <w:spacing w:after="0"/>
              <w:rPr>
                <w:sz w:val="22"/>
                <w:szCs w:val="22"/>
                <w:color w:val="auto"/>
              </w:rPr>
            </w:pPr>
          </w:p>
        </w:tc>
        <w:tc>
          <w:tcPr>
            <w:tcW w:w="114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40" w:type="dxa"/>
            <w:vAlign w:val="bottom"/>
            <w:tcBorders>
              <w:top w:val="single" w:sz="8" w:color="auto"/>
            </w:tcBorders>
            <w:shd w:val="clear" w:color="auto" w:fill="E0E7ED"/>
          </w:tcPr>
          <w:p>
            <w:pPr>
              <w:spacing w:after="0"/>
              <w:rPr>
                <w:sz w:val="22"/>
                <w:szCs w:val="22"/>
                <w:color w:val="auto"/>
              </w:rPr>
            </w:pPr>
          </w:p>
        </w:tc>
        <w:tc>
          <w:tcPr>
            <w:tcW w:w="114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3460" w:type="dxa"/>
            <w:vAlign w:val="bottom"/>
          </w:tcPr>
          <w:p>
            <w:pPr>
              <w:ind w:left="180"/>
              <w:spacing w:after="0"/>
              <w:rPr>
                <w:sz w:val="20"/>
                <w:szCs w:val="20"/>
                <w:color w:val="auto"/>
              </w:rPr>
            </w:pPr>
            <w:r>
              <w:rPr>
                <w:rFonts w:ascii="Verdana" w:cs="Verdana" w:eastAsia="Verdana" w:hAnsi="Verdana"/>
                <w:sz w:val="18"/>
                <w:szCs w:val="18"/>
                <w:color w:val="auto"/>
              </w:rPr>
              <w:t>Receive-fixed, pay-floating</w:t>
            </w:r>
          </w:p>
        </w:tc>
        <w:tc>
          <w:tcPr>
            <w:tcW w:w="1560" w:type="dxa"/>
            <w:vAlign w:val="bottom"/>
            <w:gridSpan w:val="2"/>
          </w:tcPr>
          <w:p>
            <w:pPr>
              <w:spacing w:after="0"/>
              <w:rPr>
                <w:sz w:val="20"/>
                <w:szCs w:val="20"/>
                <w:color w:val="auto"/>
              </w:rPr>
            </w:pPr>
            <w:r>
              <w:rPr>
                <w:rFonts w:ascii="Verdana" w:cs="Verdana" w:eastAsia="Verdana" w:hAnsi="Verdana"/>
                <w:sz w:val="18"/>
                <w:szCs w:val="18"/>
                <w:color w:val="auto"/>
              </w:rPr>
              <w:t>Noninterest</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460" w:type="dxa"/>
            <w:vAlign w:val="bottom"/>
          </w:tcPr>
          <w:p>
            <w:pPr>
              <w:spacing w:after="0"/>
              <w:rPr>
                <w:sz w:val="21"/>
                <w:szCs w:val="21"/>
                <w:color w:val="auto"/>
              </w:rPr>
            </w:pPr>
          </w:p>
        </w:tc>
        <w:tc>
          <w:tcPr>
            <w:tcW w:w="1560" w:type="dxa"/>
            <w:vAlign w:val="bottom"/>
            <w:gridSpan w:val="2"/>
          </w:tcPr>
          <w:p>
            <w:pPr>
              <w:spacing w:after="0"/>
              <w:rPr>
                <w:sz w:val="20"/>
                <w:szCs w:val="20"/>
                <w:color w:val="auto"/>
              </w:rPr>
            </w:pPr>
            <w:r>
              <w:rPr>
                <w:rFonts w:ascii="Verdana" w:cs="Verdana" w:eastAsia="Verdana" w:hAnsi="Verdana"/>
                <w:sz w:val="18"/>
                <w:szCs w:val="18"/>
                <w:color w:val="auto"/>
              </w:rPr>
              <w:t>expense</w:t>
            </w:r>
          </w:p>
        </w:tc>
        <w:tc>
          <w:tcPr>
            <w:tcW w:w="20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(9,224)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140" w:type="dxa"/>
            <w:vAlign w:val="bottom"/>
          </w:tcPr>
          <w:p>
            <w:pPr>
              <w:jc w:val="right"/>
              <w:spacing w:after="0"/>
              <w:rPr>
                <w:sz w:val="20"/>
                <w:szCs w:val="20"/>
                <w:color w:val="auto"/>
              </w:rPr>
            </w:pPr>
            <w:r>
              <w:rPr>
                <w:rFonts w:ascii="Verdana" w:cs="Verdana" w:eastAsia="Verdana" w:hAnsi="Verdana"/>
                <w:sz w:val="18"/>
                <w:szCs w:val="18"/>
                <w:color w:val="auto"/>
              </w:rPr>
              <w:t>9,007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260" w:type="dxa"/>
            <w:vAlign w:val="bottom"/>
          </w:tcPr>
          <w:p>
            <w:pPr>
              <w:jc w:val="right"/>
              <w:spacing w:after="0"/>
              <w:rPr>
                <w:sz w:val="20"/>
                <w:szCs w:val="20"/>
                <w:color w:val="auto"/>
              </w:rPr>
            </w:pPr>
            <w:r>
              <w:rPr>
                <w:rFonts w:ascii="Verdana" w:cs="Verdana" w:eastAsia="Verdana" w:hAnsi="Verdana"/>
                <w:sz w:val="18"/>
                <w:szCs w:val="18"/>
                <w:color w:val="auto"/>
              </w:rPr>
              <w:t>(3,050)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140" w:type="dxa"/>
            <w:vAlign w:val="bottom"/>
          </w:tcPr>
          <w:p>
            <w:pPr>
              <w:jc w:val="right"/>
              <w:ind w:right="17"/>
              <w:spacing w:after="0"/>
              <w:rPr>
                <w:sz w:val="20"/>
                <w:szCs w:val="20"/>
                <w:color w:val="auto"/>
              </w:rPr>
            </w:pPr>
            <w:r>
              <w:rPr>
                <w:rFonts w:ascii="Verdana" w:cs="Verdana" w:eastAsia="Verdana" w:hAnsi="Verdana"/>
                <w:sz w:val="18"/>
                <w:szCs w:val="18"/>
                <w:color w:val="auto"/>
              </w:rPr>
              <w:t>4,646</w:t>
            </w:r>
          </w:p>
        </w:tc>
        <w:tc>
          <w:tcPr>
            <w:tcW w:w="0" w:type="dxa"/>
            <w:vAlign w:val="bottom"/>
          </w:tcPr>
          <w:p>
            <w:pPr>
              <w:spacing w:after="0"/>
              <w:rPr>
                <w:sz w:val="1"/>
                <w:szCs w:val="1"/>
                <w:color w:val="auto"/>
              </w:rPr>
            </w:pPr>
          </w:p>
        </w:tc>
      </w:tr>
      <w:tr>
        <w:trPr>
          <w:trHeight w:val="244"/>
        </w:trPr>
        <w:tc>
          <w:tcPr>
            <w:tcW w:w="34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Receive-floating, pay-fixed</w:t>
            </w:r>
          </w:p>
        </w:tc>
        <w:tc>
          <w:tcPr>
            <w:tcW w:w="1560" w:type="dxa"/>
            <w:vAlign w:val="bottom"/>
            <w:gridSpan w:val="2"/>
            <w:shd w:val="clear" w:color="auto" w:fill="E0E7ED"/>
          </w:tcPr>
          <w:p>
            <w:pPr>
              <w:spacing w:after="0"/>
              <w:rPr>
                <w:sz w:val="20"/>
                <w:szCs w:val="20"/>
                <w:color w:val="auto"/>
              </w:rPr>
            </w:pPr>
            <w:r>
              <w:rPr>
                <w:rFonts w:ascii="Verdana" w:cs="Verdana" w:eastAsia="Verdana" w:hAnsi="Verdana"/>
                <w:sz w:val="18"/>
                <w:szCs w:val="18"/>
                <w:color w:val="auto"/>
              </w:rPr>
              <w:t>Noninterest</w:t>
            </w:r>
          </w:p>
        </w:tc>
        <w:tc>
          <w:tcPr>
            <w:tcW w:w="20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460" w:type="dxa"/>
            <w:vAlign w:val="bottom"/>
            <w:shd w:val="clear" w:color="auto" w:fill="E0E7ED"/>
          </w:tcPr>
          <w:p>
            <w:pPr>
              <w:spacing w:after="0"/>
              <w:rPr>
                <w:sz w:val="21"/>
                <w:szCs w:val="21"/>
                <w:color w:val="auto"/>
              </w:rPr>
            </w:pPr>
          </w:p>
        </w:tc>
        <w:tc>
          <w:tcPr>
            <w:tcW w:w="1560" w:type="dxa"/>
            <w:vAlign w:val="bottom"/>
            <w:gridSpan w:val="2"/>
            <w:shd w:val="clear" w:color="auto" w:fill="E0E7ED"/>
          </w:tcPr>
          <w:p>
            <w:pPr>
              <w:spacing w:after="0"/>
              <w:rPr>
                <w:sz w:val="20"/>
                <w:szCs w:val="20"/>
                <w:color w:val="auto"/>
              </w:rPr>
            </w:pPr>
            <w:r>
              <w:rPr>
                <w:rFonts w:ascii="Verdana" w:cs="Verdana" w:eastAsia="Verdana" w:hAnsi="Verdana"/>
                <w:sz w:val="18"/>
                <w:szCs w:val="18"/>
                <w:color w:val="auto"/>
              </w:rPr>
              <w:t>expense</w:t>
            </w:r>
          </w:p>
        </w:tc>
        <w:tc>
          <w:tcPr>
            <w:tcW w:w="200" w:type="dxa"/>
            <w:vAlign w:val="bottom"/>
            <w:tcBorders>
              <w:bottom w:val="single" w:sz="8" w:color="auto"/>
            </w:tcBorders>
            <w:shd w:val="clear" w:color="auto" w:fill="E0E7ED"/>
          </w:tcPr>
          <w:p>
            <w:pPr>
              <w:spacing w:after="0"/>
              <w:rPr>
                <w:sz w:val="21"/>
                <w:szCs w:val="21"/>
                <w:color w:val="auto"/>
              </w:rPr>
            </w:pPr>
          </w:p>
        </w:tc>
        <w:tc>
          <w:tcPr>
            <w:tcW w:w="1280" w:type="dxa"/>
            <w:vAlign w:val="bottom"/>
            <w:tcBorders>
              <w:bottom w:val="single" w:sz="8" w:color="auto"/>
            </w:tcBorders>
            <w:shd w:val="clear" w:color="auto" w:fill="E0E7ED"/>
          </w:tcPr>
          <w:p>
            <w:pPr>
              <w:jc w:val="right"/>
              <w:ind w:right="1"/>
              <w:spacing w:after="0"/>
              <w:rPr>
                <w:sz w:val="20"/>
                <w:szCs w:val="20"/>
                <w:color w:val="auto"/>
              </w:rPr>
            </w:pPr>
            <w:r>
              <w:rPr>
                <w:rFonts w:ascii="Verdana" w:cs="Verdana" w:eastAsia="Verdana" w:hAnsi="Verdana"/>
                <w:sz w:val="18"/>
                <w:szCs w:val="18"/>
                <w:color w:val="auto"/>
              </w:rPr>
              <w:t>9,224</w:t>
            </w:r>
          </w:p>
        </w:tc>
        <w:tc>
          <w:tcPr>
            <w:tcW w:w="100" w:type="dxa"/>
            <w:vAlign w:val="bottom"/>
            <w:shd w:val="clear" w:color="auto" w:fill="E0E7ED"/>
          </w:tcPr>
          <w:p>
            <w:pPr>
              <w:spacing w:after="0"/>
              <w:rPr>
                <w:sz w:val="21"/>
                <w:szCs w:val="21"/>
                <w:color w:val="auto"/>
              </w:rPr>
            </w:pPr>
          </w:p>
        </w:tc>
        <w:tc>
          <w:tcPr>
            <w:tcW w:w="340" w:type="dxa"/>
            <w:vAlign w:val="bottom"/>
            <w:tcBorders>
              <w:bottom w:val="single" w:sz="8" w:color="auto"/>
            </w:tcBorders>
            <w:shd w:val="clear" w:color="auto" w:fill="E0E7ED"/>
          </w:tcPr>
          <w:p>
            <w:pPr>
              <w:spacing w:after="0"/>
              <w:rPr>
                <w:sz w:val="21"/>
                <w:szCs w:val="21"/>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(9,007)</w:t>
            </w:r>
          </w:p>
        </w:tc>
        <w:tc>
          <w:tcPr>
            <w:tcW w:w="100" w:type="dxa"/>
            <w:vAlign w:val="bottom"/>
            <w:shd w:val="clear" w:color="auto" w:fill="E0E7ED"/>
          </w:tcPr>
          <w:p>
            <w:pPr>
              <w:spacing w:after="0"/>
              <w:rPr>
                <w:sz w:val="21"/>
                <w:szCs w:val="21"/>
                <w:color w:val="auto"/>
              </w:rPr>
            </w:pPr>
          </w:p>
        </w:tc>
        <w:tc>
          <w:tcPr>
            <w:tcW w:w="220" w:type="dxa"/>
            <w:vAlign w:val="bottom"/>
            <w:tcBorders>
              <w:bottom w:val="single" w:sz="8" w:color="auto"/>
            </w:tcBorders>
            <w:shd w:val="clear" w:color="auto" w:fill="E0E7ED"/>
          </w:tcPr>
          <w:p>
            <w:pPr>
              <w:spacing w:after="0"/>
              <w:rPr>
                <w:sz w:val="21"/>
                <w:szCs w:val="21"/>
                <w:color w:val="auto"/>
              </w:rPr>
            </w:pPr>
          </w:p>
        </w:tc>
        <w:tc>
          <w:tcPr>
            <w:tcW w:w="1260" w:type="dxa"/>
            <w:vAlign w:val="bottom"/>
            <w:tcBorders>
              <w:bottom w:val="single" w:sz="8" w:color="auto"/>
            </w:tcBorders>
            <w:shd w:val="clear" w:color="auto" w:fill="E0E7ED"/>
          </w:tcPr>
          <w:p>
            <w:pPr>
              <w:jc w:val="right"/>
              <w:ind w:right="1"/>
              <w:spacing w:after="0"/>
              <w:rPr>
                <w:sz w:val="20"/>
                <w:szCs w:val="20"/>
                <w:color w:val="auto"/>
              </w:rPr>
            </w:pPr>
            <w:r>
              <w:rPr>
                <w:rFonts w:ascii="Verdana" w:cs="Verdana" w:eastAsia="Verdana" w:hAnsi="Verdana"/>
                <w:sz w:val="18"/>
                <w:szCs w:val="18"/>
                <w:color w:val="auto"/>
              </w:rPr>
              <w:t>3,050</w:t>
            </w:r>
          </w:p>
        </w:tc>
        <w:tc>
          <w:tcPr>
            <w:tcW w:w="100" w:type="dxa"/>
            <w:vAlign w:val="bottom"/>
            <w:shd w:val="clear" w:color="auto" w:fill="E0E7ED"/>
          </w:tcPr>
          <w:p>
            <w:pPr>
              <w:spacing w:after="0"/>
              <w:rPr>
                <w:sz w:val="21"/>
                <w:szCs w:val="21"/>
                <w:color w:val="auto"/>
              </w:rPr>
            </w:pPr>
          </w:p>
        </w:tc>
        <w:tc>
          <w:tcPr>
            <w:tcW w:w="340" w:type="dxa"/>
            <w:vAlign w:val="bottom"/>
            <w:tcBorders>
              <w:bottom w:val="single" w:sz="8" w:color="auto"/>
            </w:tcBorders>
            <w:shd w:val="clear" w:color="auto" w:fill="E0E7ED"/>
          </w:tcPr>
          <w:p>
            <w:pPr>
              <w:spacing w:after="0"/>
              <w:rPr>
                <w:sz w:val="21"/>
                <w:szCs w:val="21"/>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(4,646)</w:t>
            </w:r>
          </w:p>
        </w:tc>
        <w:tc>
          <w:tcPr>
            <w:tcW w:w="0" w:type="dxa"/>
            <w:vAlign w:val="bottom"/>
          </w:tcPr>
          <w:p>
            <w:pPr>
              <w:spacing w:after="0"/>
              <w:rPr>
                <w:sz w:val="1"/>
                <w:szCs w:val="1"/>
                <w:color w:val="auto"/>
              </w:rPr>
            </w:pPr>
          </w:p>
        </w:tc>
      </w:tr>
      <w:tr>
        <w:trPr>
          <w:trHeight w:val="218"/>
        </w:trPr>
        <w:tc>
          <w:tcPr>
            <w:tcW w:w="3460" w:type="dxa"/>
            <w:vAlign w:val="bottom"/>
          </w:tcPr>
          <w:p>
            <w:pPr>
              <w:ind w:left="20"/>
              <w:spacing w:after="0" w:line="217" w:lineRule="exact"/>
              <w:rPr>
                <w:sz w:val="20"/>
                <w:szCs w:val="20"/>
                <w:color w:val="auto"/>
              </w:rPr>
            </w:pPr>
            <w:r>
              <w:rPr>
                <w:rFonts w:ascii="Verdana" w:cs="Verdana" w:eastAsia="Verdana" w:hAnsi="Verdana"/>
                <w:sz w:val="18"/>
                <w:szCs w:val="18"/>
                <w:color w:val="auto"/>
              </w:rPr>
              <w:t>Net change in fair value of interest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Verdana" w:cs="Verdana" w:eastAsia="Verdana" w:hAnsi="Verdana"/>
                <w:sz w:val="18"/>
                <w:szCs w:val="18"/>
                <w:color w:val="auto"/>
                <w:w w:val="86"/>
              </w:rPr>
              <w:t>$</w:t>
            </w:r>
          </w:p>
        </w:tc>
        <w:tc>
          <w:tcPr>
            <w:tcW w:w="1380" w:type="dxa"/>
            <w:vAlign w:val="bottom"/>
            <w:gridSpan w:val="2"/>
            <w:vMerge w:val="restart"/>
          </w:tcPr>
          <w:p>
            <w:pPr>
              <w:jc w:val="right"/>
              <w:ind w:right="180"/>
              <w:spacing w:after="0"/>
              <w:rPr>
                <w:sz w:val="20"/>
                <w:szCs w:val="20"/>
                <w:color w:val="auto"/>
              </w:rPr>
            </w:pPr>
            <w:r>
              <w:rPr>
                <w:rFonts w:ascii="Verdana" w:cs="Verdana" w:eastAsia="Verdana" w:hAnsi="Verdana"/>
                <w:sz w:val="18"/>
                <w:szCs w:val="18"/>
                <w:color w:val="auto"/>
              </w:rPr>
              <w:t>—</w:t>
            </w:r>
          </w:p>
        </w:tc>
        <w:tc>
          <w:tcPr>
            <w:tcW w:w="340" w:type="dxa"/>
            <w:vAlign w:val="bottom"/>
            <w:vMerge w:val="restart"/>
          </w:tcPr>
          <w:p>
            <w:pPr>
              <w:jc w:val="right"/>
              <w:ind w:right="130"/>
              <w:spacing w:after="0"/>
              <w:rPr>
                <w:sz w:val="20"/>
                <w:szCs w:val="20"/>
                <w:color w:val="auto"/>
              </w:rPr>
            </w:pPr>
            <w:r>
              <w:rPr>
                <w:rFonts w:ascii="Verdana" w:cs="Verdana" w:eastAsia="Verdana" w:hAnsi="Verdana"/>
                <w:sz w:val="18"/>
                <w:szCs w:val="18"/>
                <w:color w:val="auto"/>
                <w:w w:val="86"/>
              </w:rPr>
              <w:t>$</w:t>
            </w:r>
          </w:p>
        </w:tc>
        <w:tc>
          <w:tcPr>
            <w:tcW w:w="1240" w:type="dxa"/>
            <w:vAlign w:val="bottom"/>
            <w:gridSpan w:val="2"/>
            <w:vMerge w:val="restart"/>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vMerge w:val="restart"/>
          </w:tcPr>
          <w:p>
            <w:pPr>
              <w:jc w:val="right"/>
              <w:ind w:right="10"/>
              <w:spacing w:after="0"/>
              <w:rPr>
                <w:sz w:val="20"/>
                <w:szCs w:val="20"/>
                <w:color w:val="auto"/>
              </w:rPr>
            </w:pPr>
            <w:r>
              <w:rPr>
                <w:rFonts w:ascii="Verdana" w:cs="Verdana" w:eastAsia="Verdana" w:hAnsi="Verdana"/>
                <w:sz w:val="18"/>
                <w:szCs w:val="18"/>
                <w:color w:val="auto"/>
                <w:w w:val="86"/>
              </w:rPr>
              <w:t>$</w:t>
            </w:r>
          </w:p>
        </w:tc>
        <w:tc>
          <w:tcPr>
            <w:tcW w:w="1360" w:type="dxa"/>
            <w:vAlign w:val="bottom"/>
            <w:gridSpan w:val="2"/>
            <w:vMerge w:val="restart"/>
          </w:tcPr>
          <w:p>
            <w:pPr>
              <w:jc w:val="right"/>
              <w:ind w:right="180"/>
              <w:spacing w:after="0"/>
              <w:rPr>
                <w:sz w:val="20"/>
                <w:szCs w:val="20"/>
                <w:color w:val="auto"/>
              </w:rPr>
            </w:pPr>
            <w:r>
              <w:rPr>
                <w:rFonts w:ascii="Verdana" w:cs="Verdana" w:eastAsia="Verdana" w:hAnsi="Verdana"/>
                <w:sz w:val="18"/>
                <w:szCs w:val="18"/>
                <w:color w:val="auto"/>
              </w:rPr>
              <w:t>—</w:t>
            </w:r>
          </w:p>
        </w:tc>
        <w:tc>
          <w:tcPr>
            <w:tcW w:w="340" w:type="dxa"/>
            <w:vAlign w:val="bottom"/>
            <w:vMerge w:val="restart"/>
          </w:tcPr>
          <w:p>
            <w:pPr>
              <w:jc w:val="right"/>
              <w:ind w:right="130"/>
              <w:spacing w:after="0"/>
              <w:rPr>
                <w:sz w:val="20"/>
                <w:szCs w:val="20"/>
                <w:color w:val="auto"/>
              </w:rPr>
            </w:pPr>
            <w:r>
              <w:rPr>
                <w:rFonts w:ascii="Verdana" w:cs="Verdana" w:eastAsia="Verdana" w:hAnsi="Verdana"/>
                <w:sz w:val="18"/>
                <w:szCs w:val="18"/>
                <w:color w:val="auto"/>
                <w:w w:val="86"/>
              </w:rPr>
              <w:t>$</w:t>
            </w:r>
          </w:p>
        </w:tc>
        <w:tc>
          <w:tcPr>
            <w:tcW w:w="1140" w:type="dxa"/>
            <w:vAlign w:val="bottom"/>
            <w:vMerge w:val="restart"/>
          </w:tcPr>
          <w:p>
            <w:pPr>
              <w:jc w:val="right"/>
              <w:spacing w:after="0"/>
              <w:rPr>
                <w:sz w:val="20"/>
                <w:szCs w:val="20"/>
                <w:color w:val="auto"/>
              </w:rPr>
            </w:pPr>
            <w:r>
              <w:rPr>
                <w:rFonts w:ascii="Verdana" w:cs="Verdana" w:eastAsia="Verdana" w:hAnsi="Verdana"/>
                <w:sz w:val="18"/>
                <w:szCs w:val="18"/>
                <w:color w:val="auto"/>
              </w:rPr>
              <w:t>—</w:t>
            </w:r>
          </w:p>
        </w:tc>
        <w:tc>
          <w:tcPr>
            <w:tcW w:w="0" w:type="dxa"/>
            <w:vAlign w:val="bottom"/>
          </w:tcPr>
          <w:p>
            <w:pPr>
              <w:spacing w:after="0"/>
              <w:rPr>
                <w:sz w:val="1"/>
                <w:szCs w:val="1"/>
                <w:color w:val="auto"/>
              </w:rPr>
            </w:pPr>
          </w:p>
        </w:tc>
      </w:tr>
      <w:tr>
        <w:trPr>
          <w:trHeight w:val="221"/>
        </w:trPr>
        <w:tc>
          <w:tcPr>
            <w:tcW w:w="3460" w:type="dxa"/>
            <w:vAlign w:val="bottom"/>
          </w:tcPr>
          <w:p>
            <w:pPr>
              <w:ind w:left="20"/>
              <w:spacing w:after="0"/>
              <w:rPr>
                <w:sz w:val="20"/>
                <w:szCs w:val="20"/>
                <w:color w:val="auto"/>
              </w:rPr>
            </w:pPr>
            <w:r>
              <w:rPr>
                <w:rFonts w:ascii="Verdana" w:cs="Verdana" w:eastAsia="Verdana" w:hAnsi="Verdana"/>
                <w:sz w:val="18"/>
                <w:szCs w:val="18"/>
                <w:color w:val="auto"/>
              </w:rPr>
              <w:t>rate swaps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Risk Participation Agreements</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To manage the credit risk exposure related to customer-facing swaps, Busey entered into risk participation agreements in conjunction with loan participation arrangements with other financial institutions. Under these risk participation agreements, Busey purchased credit risk participation, paying an up-front fee to a counterparty to accept a portion of its credit exposure, and will receive a payment from the counterparty if the swap customer defaults on its obligations.</w:t>
      </w:r>
    </w:p>
    <w:p>
      <w:pPr>
        <w:spacing w:after="0" w:line="171"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Busey also entered into a risk participation agreement under which Busey sold credit risk participation, receiving an up-front fee from a counterparty in exchange for accepting a portion of the counterparty’s credit exposure. This agreement matured on June 30, 2024. The swap customer did not default on its obligations, and Busey was not required to make a payment to the counterparty of the risk participation agreement.</w:t>
      </w:r>
    </w:p>
    <w:p>
      <w:pPr>
        <w:spacing w:after="0" w:line="157"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Notional amounts of the risk participation agreements reflect the participating banks’ pro-rata shares of the derivative instruments, consistent with their shares of the related participated loans. The risk participation agreements mature between August 2026 and January 2029, and are summarized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5"/>
                <w:szCs w:val="15"/>
                <w:color w:val="auto"/>
              </w:rPr>
            </w:pPr>
          </w:p>
        </w:tc>
      </w:tr>
      <w:tr>
        <w:trPr>
          <w:trHeight w:val="122"/>
        </w:trPr>
        <w:tc>
          <w:tcPr>
            <w:tcW w:w="8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gridSpan w:val="2"/>
          </w:tcPr>
          <w:p>
            <w:pPr>
              <w:ind w:left="60"/>
              <w:spacing w:after="0" w:line="122" w:lineRule="exact"/>
              <w:rPr>
                <w:sz w:val="20"/>
                <w:szCs w:val="20"/>
                <w:color w:val="auto"/>
              </w:rPr>
            </w:pPr>
            <w:r>
              <w:rPr>
                <w:rFonts w:ascii="Verdana" w:cs="Verdana" w:eastAsia="Verdana" w:hAnsi="Verdana"/>
                <w:sz w:val="13"/>
                <w:szCs w:val="13"/>
                <w:b w:val="1"/>
                <w:bCs w:val="1"/>
                <w:color w:val="auto"/>
              </w:rPr>
              <w:t>September 30,</w:t>
            </w:r>
          </w:p>
        </w:tc>
        <w:tc>
          <w:tcPr>
            <w:tcW w:w="200" w:type="dxa"/>
            <w:vAlign w:val="bottom"/>
          </w:tcPr>
          <w:p>
            <w:pPr>
              <w:spacing w:after="0"/>
              <w:rPr>
                <w:sz w:val="10"/>
                <w:szCs w:val="10"/>
                <w:color w:val="auto"/>
              </w:rPr>
            </w:pPr>
          </w:p>
        </w:tc>
        <w:tc>
          <w:tcPr>
            <w:tcW w:w="1320" w:type="dxa"/>
            <w:vAlign w:val="bottom"/>
          </w:tcPr>
          <w:p>
            <w:pPr>
              <w:jc w:val="right"/>
              <w:ind w:right="177"/>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812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499"/>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Risk participation agreements purchased</w:t>
            </w:r>
          </w:p>
        </w:tc>
        <w:tc>
          <w:tcPr>
            <w:tcW w:w="180" w:type="dxa"/>
            <w:vAlign w:val="bottom"/>
            <w:shd w:val="clear" w:color="auto" w:fill="E0E7ED"/>
          </w:tcPr>
          <w:p>
            <w:pPr>
              <w:spacing w:after="0"/>
              <w:rPr>
                <w:sz w:val="22"/>
                <w:szCs w:val="22"/>
                <w:color w:val="auto"/>
              </w:rPr>
            </w:pPr>
          </w:p>
        </w:tc>
        <w:tc>
          <w:tcPr>
            <w:tcW w:w="13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Number of risk participation agreements</w:t>
            </w:r>
          </w:p>
        </w:tc>
        <w:tc>
          <w:tcPr>
            <w:tcW w:w="18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Verdana" w:cs="Verdana" w:eastAsia="Verdana" w:hAnsi="Verdana"/>
                <w:sz w:val="18"/>
                <w:szCs w:val="18"/>
                <w:color w:val="auto"/>
              </w:rPr>
              <w:t>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ind w:right="17"/>
              <w:spacing w:after="0"/>
              <w:rPr>
                <w:sz w:val="20"/>
                <w:szCs w:val="20"/>
                <w:color w:val="auto"/>
              </w:rPr>
            </w:pPr>
            <w:r>
              <w:rPr>
                <w:rFonts w:ascii="Verdana" w:cs="Verdana" w:eastAsia="Verdana" w:hAnsi="Verdana"/>
                <w:sz w:val="18"/>
                <w:szCs w:val="18"/>
                <w:color w:val="auto"/>
              </w:rPr>
              <w:t>3</w:t>
            </w: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Notional amount</w:t>
            </w:r>
          </w:p>
        </w:tc>
        <w:tc>
          <w:tcPr>
            <w:tcW w:w="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4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41,110</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34,251</w:t>
            </w: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Fair value</w:t>
            </w:r>
          </w:p>
        </w:tc>
        <w:tc>
          <w:tcPr>
            <w:tcW w:w="18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Verdana" w:cs="Verdana" w:eastAsia="Verdana" w:hAnsi="Verdana"/>
                <w:sz w:val="18"/>
                <w:szCs w:val="18"/>
                <w:color w:val="auto"/>
              </w:rPr>
              <w:t>16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15</w:t>
            </w:r>
          </w:p>
        </w:tc>
      </w:tr>
      <w:tr>
        <w:trPr>
          <w:trHeight w:val="277"/>
        </w:trPr>
        <w:tc>
          <w:tcPr>
            <w:tcW w:w="812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134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20" w:type="dxa"/>
            <w:vAlign w:val="bottom"/>
            <w:shd w:val="clear" w:color="auto" w:fill="E0E7ED"/>
          </w:tcPr>
          <w:p>
            <w:pPr>
              <w:spacing w:after="0"/>
              <w:rPr>
                <w:sz w:val="24"/>
                <w:szCs w:val="24"/>
                <w:color w:val="auto"/>
              </w:rPr>
            </w:pPr>
          </w:p>
        </w:tc>
      </w:tr>
      <w:tr>
        <w:trPr>
          <w:trHeight w:val="263"/>
        </w:trPr>
        <w:tc>
          <w:tcPr>
            <w:tcW w:w="8120" w:type="dxa"/>
            <w:vAlign w:val="bottom"/>
          </w:tcPr>
          <w:p>
            <w:pPr>
              <w:ind w:left="20"/>
              <w:spacing w:after="0"/>
              <w:rPr>
                <w:sz w:val="20"/>
                <w:szCs w:val="20"/>
                <w:color w:val="auto"/>
              </w:rPr>
            </w:pPr>
            <w:r>
              <w:rPr>
                <w:rFonts w:ascii="Verdana" w:cs="Verdana" w:eastAsia="Verdana" w:hAnsi="Verdana"/>
                <w:sz w:val="18"/>
                <w:szCs w:val="18"/>
                <w:b w:val="1"/>
                <w:bCs w:val="1"/>
                <w:color w:val="auto"/>
              </w:rPr>
              <w:t>Risk participation agreements sold</w:t>
            </w: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Number of risk participation agreements</w:t>
            </w:r>
          </w:p>
        </w:tc>
        <w:tc>
          <w:tcPr>
            <w:tcW w:w="180" w:type="dxa"/>
            <w:vAlign w:val="bottom"/>
            <w:shd w:val="clear" w:color="auto" w:fill="E0E7ED"/>
          </w:tcPr>
          <w:p>
            <w:pPr>
              <w:spacing w:after="0"/>
              <w:rPr>
                <w:sz w:val="24"/>
                <w:szCs w:val="24"/>
                <w:color w:val="auto"/>
              </w:rPr>
            </w:pPr>
          </w:p>
        </w:tc>
        <w:tc>
          <w:tcPr>
            <w:tcW w:w="142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0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1</w:t>
            </w: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Notional amount</w:t>
            </w:r>
          </w:p>
        </w:tc>
        <w:tc>
          <w:tcPr>
            <w:tcW w:w="180" w:type="dxa"/>
            <w:vAlign w:val="bottom"/>
          </w:tcPr>
          <w:p>
            <w:pPr>
              <w:spacing w:after="0"/>
              <w:rPr>
                <w:sz w:val="22"/>
                <w:szCs w:val="22"/>
                <w:color w:val="auto"/>
              </w:rPr>
            </w:pPr>
          </w:p>
        </w:tc>
        <w:tc>
          <w:tcPr>
            <w:tcW w:w="142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spacing w:after="0"/>
              <w:rPr>
                <w:sz w:val="20"/>
                <w:szCs w:val="20"/>
                <w:color w:val="auto"/>
              </w:rPr>
            </w:pPr>
            <w:r>
              <w:rPr>
                <w:rFonts w:ascii="Verdana" w:cs="Verdana" w:eastAsia="Verdana" w:hAnsi="Verdana"/>
                <w:sz w:val="18"/>
                <w:szCs w:val="18"/>
                <w:color w:val="auto"/>
              </w:rPr>
              <w:t>20,001</w:t>
            </w: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Fair value</w:t>
            </w:r>
          </w:p>
        </w:tc>
        <w:tc>
          <w:tcPr>
            <w:tcW w:w="180" w:type="dxa"/>
            <w:vAlign w:val="bottom"/>
            <w:shd w:val="clear" w:color="auto" w:fill="E0E7ED"/>
          </w:tcPr>
          <w:p>
            <w:pPr>
              <w:spacing w:after="0"/>
              <w:rPr>
                <w:sz w:val="24"/>
                <w:szCs w:val="24"/>
                <w:color w:val="auto"/>
              </w:rPr>
            </w:pPr>
          </w:p>
        </w:tc>
        <w:tc>
          <w:tcPr>
            <w:tcW w:w="142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0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56" w:name="page57"/>
    <w:bookmarkEnd w:id="56"/>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Mortgage Banking Derivatives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Interest Rate Lock Commitments</w:t>
      </w:r>
    </w:p>
    <w:p>
      <w:pPr>
        <w:spacing w:after="0" w:line="186"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 xml:space="preserve">Interest rate lock commitments that meet the definition of derivative financial instruments under ASC Topic 815 </w:t>
      </w:r>
      <w:r>
        <w:rPr>
          <w:rFonts w:ascii="Verdana" w:cs="Verdana" w:eastAsia="Verdana" w:hAnsi="Verdana"/>
          <w:sz w:val="18"/>
          <w:szCs w:val="18"/>
          <w:i w:val="1"/>
          <w:iCs w:val="1"/>
          <w:color w:val="auto"/>
        </w:rPr>
        <w:t xml:space="preserve">“Derivatives and Hedging” </w:t>
      </w:r>
      <w:r>
        <w:rPr>
          <w:rFonts w:ascii="Verdana" w:cs="Verdana" w:eastAsia="Verdana" w:hAnsi="Verdana"/>
          <w:sz w:val="18"/>
          <w:szCs w:val="18"/>
          <w:color w:val="auto"/>
        </w:rPr>
        <w:t>are carried at their fair values in other assets or other liabilities on the</w:t>
      </w:r>
      <w:r>
        <w:rPr>
          <w:rFonts w:ascii="Verdana" w:cs="Verdana" w:eastAsia="Verdana" w:hAnsi="Verdana"/>
          <w:sz w:val="18"/>
          <w:szCs w:val="18"/>
          <w:i w:val="1"/>
          <w:iCs w:val="1"/>
          <w:color w:val="auto"/>
        </w:rPr>
        <w:t xml:space="preserve"> </w:t>
      </w:r>
      <w:r>
        <w:rPr>
          <w:rFonts w:ascii="Verdana" w:cs="Verdana" w:eastAsia="Verdana" w:hAnsi="Verdana"/>
          <w:sz w:val="18"/>
          <w:szCs w:val="18"/>
          <w:u w:val="single" w:color="auto"/>
          <w:color w:val="0000FF"/>
        </w:rPr>
        <w:t>Consolidated Balance</w:t>
      </w:r>
      <w:r>
        <w:rPr>
          <w:rFonts w:ascii="Verdana" w:cs="Verdana" w:eastAsia="Verdana" w:hAnsi="Verdana"/>
          <w:sz w:val="18"/>
          <w:szCs w:val="18"/>
          <w:i w:val="1"/>
          <w:iCs w:val="1"/>
          <w:color w:val="auto"/>
        </w:rPr>
        <w:t xml:space="preserve"> </w:t>
      </w:r>
      <w:r>
        <w:rPr>
          <w:rFonts w:ascii="Verdana" w:cs="Verdana" w:eastAsia="Verdana" w:hAnsi="Verdana"/>
          <w:sz w:val="18"/>
          <w:szCs w:val="18"/>
          <w:u w:val="single" w:color="auto"/>
          <w:color w:val="0000FF"/>
        </w:rPr>
        <w:t>Sheets (Unaudited)</w:t>
      </w:r>
      <w:r>
        <w:rPr>
          <w:rFonts w:ascii="Verdana" w:cs="Verdana" w:eastAsia="Verdana" w:hAnsi="Verdana"/>
          <w:sz w:val="18"/>
          <w:szCs w:val="18"/>
          <w:color w:val="000000"/>
        </w:rPr>
        <w:t>, with changes in the fair values of the corresponding derivative financial assets or liabilities recorded as</w:t>
      </w:r>
      <w:r>
        <w:rPr>
          <w:rFonts w:ascii="Verdana" w:cs="Verdana" w:eastAsia="Verdana" w:hAnsi="Verdana"/>
          <w:sz w:val="18"/>
          <w:szCs w:val="18"/>
          <w:color w:val="0000FF"/>
        </w:rPr>
        <w:t xml:space="preserve"> </w:t>
      </w:r>
      <w:r>
        <w:rPr>
          <w:rFonts w:ascii="Verdana" w:cs="Verdana" w:eastAsia="Verdana" w:hAnsi="Verdana"/>
          <w:sz w:val="18"/>
          <w:szCs w:val="18"/>
          <w:color w:val="000000"/>
        </w:rPr>
        <w:t>either a charge or credit to current earnings during the period in which the changes occurred.</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Forward Sales Commitments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 xml:space="preserve">Busey economically hedges mortgage loans held for sale and interest rate lock commitments issued to its residential loan customers related to loans that will be held for sale by obtaining corresponding forward sales commitments with an investor to sell the loans at an agreed-upon price at the time the interest rate locks are issued to the customers. Forward sales commitments that meet the definition of derivative financial instruments under ASC Topic 815 </w:t>
      </w:r>
      <w:r>
        <w:rPr>
          <w:rFonts w:ascii="Verdana" w:cs="Verdana" w:eastAsia="Verdana" w:hAnsi="Verdana"/>
          <w:sz w:val="18"/>
          <w:szCs w:val="18"/>
          <w:i w:val="1"/>
          <w:iCs w:val="1"/>
          <w:color w:val="auto"/>
        </w:rPr>
        <w:t>“Derivatives and</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 xml:space="preserve">Hedging” </w:t>
      </w:r>
      <w:r>
        <w:rPr>
          <w:rFonts w:ascii="Verdana" w:cs="Verdana" w:eastAsia="Verdana" w:hAnsi="Verdana"/>
          <w:sz w:val="18"/>
          <w:szCs w:val="18"/>
          <w:color w:val="auto"/>
        </w:rPr>
        <w:t>are carried at their fair values in other assets or other liabilities on the</w:t>
      </w:r>
      <w:r>
        <w:rPr>
          <w:rFonts w:ascii="Verdana" w:cs="Verdana" w:eastAsia="Verdana" w:hAnsi="Verdana"/>
          <w:sz w:val="18"/>
          <w:szCs w:val="18"/>
          <w:i w:val="1"/>
          <w:iCs w:val="1"/>
          <w:color w:val="auto"/>
        </w:rPr>
        <w:t xml:space="preserve"> </w:t>
      </w:r>
      <w:r>
        <w:rPr>
          <w:rFonts w:ascii="Verdana" w:cs="Verdana" w:eastAsia="Verdana" w:hAnsi="Verdana"/>
          <w:sz w:val="18"/>
          <w:szCs w:val="18"/>
          <w:u w:val="single" w:color="auto"/>
          <w:color w:val="0000FF"/>
        </w:rPr>
        <w:t>Consolidated Balance Sheets (Unaudited)</w:t>
      </w:r>
      <w:r>
        <w:rPr>
          <w:rFonts w:ascii="Verdana" w:cs="Verdana" w:eastAsia="Verdana" w:hAnsi="Verdana"/>
          <w:sz w:val="18"/>
          <w:szCs w:val="18"/>
          <w:color w:val="auto"/>
        </w:rPr>
        <w:t>.</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While such forward sales commitments generally served as an economic hedge to mortgage loans held for sale and interest rate lock commitments, Busey did not designate them for hedge accounting treatment. Changes in fair value of the corresponding derivative financial asset or liability were recorded as either a charge or credit to current earnings during the period in which the changes occurred.</w:t>
      </w:r>
    </w:p>
    <w:p>
      <w:pPr>
        <w:spacing w:after="0" w:line="172"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Amounts and fair values of mortgage banking derivatives included on the </w:t>
      </w:r>
      <w:r>
        <w:rPr>
          <w:rFonts w:ascii="Verdana" w:cs="Verdana" w:eastAsia="Verdana" w:hAnsi="Verdana"/>
          <w:sz w:val="18"/>
          <w:szCs w:val="18"/>
          <w:u w:val="single" w:color="auto"/>
          <w:color w:val="0000FF"/>
        </w:rPr>
        <w:t>Consolidated Balance Sheets (Unaudited)</w:t>
      </w:r>
      <w:r>
        <w:rPr>
          <w:rFonts w:ascii="Verdana" w:cs="Verdana" w:eastAsia="Verdana" w:hAnsi="Verdana"/>
          <w:sz w:val="18"/>
          <w:szCs w:val="18"/>
          <w:color w:val="auto"/>
        </w:rPr>
        <w:t xml:space="preserve"> are summarized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3"/>
          </w:tcPr>
          <w:p>
            <w:pPr>
              <w:jc w:val="right"/>
              <w:ind w:right="99"/>
              <w:spacing w:after="0"/>
              <w:rPr>
                <w:sz w:val="20"/>
                <w:szCs w:val="20"/>
                <w:color w:val="auto"/>
              </w:rPr>
            </w:pPr>
            <w:r>
              <w:rPr>
                <w:rFonts w:ascii="Verdana" w:cs="Verdana" w:eastAsia="Verdana" w:hAnsi="Verdana"/>
                <w:sz w:val="13"/>
                <w:szCs w:val="13"/>
                <w:b w:val="1"/>
                <w:bCs w:val="1"/>
                <w:color w:val="auto"/>
              </w:rPr>
              <w:t>As of September 30, 2024</w:t>
            </w:r>
          </w:p>
        </w:tc>
        <w:tc>
          <w:tcPr>
            <w:tcW w:w="4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jc w:val="right"/>
              <w:ind w:right="557"/>
              <w:spacing w:after="0"/>
              <w:rPr>
                <w:sz w:val="20"/>
                <w:szCs w:val="20"/>
                <w:color w:val="auto"/>
              </w:rPr>
            </w:pPr>
            <w:r>
              <w:rPr>
                <w:rFonts w:ascii="Verdana" w:cs="Verdana" w:eastAsia="Verdana" w:hAnsi="Verdana"/>
                <w:sz w:val="13"/>
                <w:szCs w:val="13"/>
                <w:b w:val="1"/>
                <w:bCs w:val="1"/>
                <w:color w:val="auto"/>
              </w:rPr>
              <w:t>As of December 31, 2023</w:t>
            </w:r>
          </w:p>
        </w:tc>
        <w:tc>
          <w:tcPr>
            <w:tcW w:w="0" w:type="dxa"/>
            <w:vAlign w:val="bottom"/>
          </w:tcPr>
          <w:p>
            <w:pPr>
              <w:spacing w:after="0"/>
              <w:rPr>
                <w:sz w:val="1"/>
                <w:szCs w:val="1"/>
                <w:color w:val="auto"/>
              </w:rPr>
            </w:pPr>
          </w:p>
        </w:tc>
      </w:tr>
      <w:tr>
        <w:trPr>
          <w:trHeight w:val="122"/>
        </w:trPr>
        <w:tc>
          <w:tcPr>
            <w:tcW w:w="3460" w:type="dxa"/>
            <w:vAlign w:val="bottom"/>
          </w:tcPr>
          <w:p>
            <w:pPr>
              <w:spacing w:after="0"/>
              <w:rPr>
                <w:sz w:val="10"/>
                <w:szCs w:val="10"/>
                <w:color w:val="auto"/>
              </w:rPr>
            </w:pPr>
          </w:p>
        </w:tc>
        <w:tc>
          <w:tcPr>
            <w:tcW w:w="1560" w:type="dxa"/>
            <w:vAlign w:val="bottom"/>
            <w:gridSpan w:val="2"/>
            <w:vMerge w:val="restart"/>
          </w:tcPr>
          <w:p>
            <w:pPr>
              <w:ind w:left="440"/>
              <w:spacing w:after="0"/>
              <w:rPr>
                <w:sz w:val="20"/>
                <w:szCs w:val="20"/>
                <w:color w:val="auto"/>
              </w:rPr>
            </w:pPr>
            <w:r>
              <w:rPr>
                <w:rFonts w:ascii="Verdana" w:cs="Verdana" w:eastAsia="Verdana" w:hAnsi="Verdana"/>
                <w:sz w:val="13"/>
                <w:szCs w:val="13"/>
                <w:b w:val="1"/>
                <w:bCs w:val="1"/>
                <w:color w:val="auto"/>
              </w:rPr>
              <w:t>Location</w:t>
            </w:r>
          </w:p>
        </w:tc>
        <w:tc>
          <w:tcPr>
            <w:tcW w:w="300" w:type="dxa"/>
            <w:vAlign w:val="bottom"/>
          </w:tcPr>
          <w:p>
            <w:pPr>
              <w:spacing w:after="0"/>
              <w:rPr>
                <w:sz w:val="10"/>
                <w:szCs w:val="10"/>
                <w:color w:val="auto"/>
              </w:rPr>
            </w:pPr>
          </w:p>
        </w:tc>
        <w:tc>
          <w:tcPr>
            <w:tcW w:w="1300" w:type="dxa"/>
            <w:vAlign w:val="bottom"/>
            <w:gridSpan w:val="2"/>
          </w:tcPr>
          <w:p>
            <w:pPr>
              <w:ind w:left="160"/>
              <w:spacing w:after="0" w:line="122" w:lineRule="exact"/>
              <w:rPr>
                <w:sz w:val="20"/>
                <w:szCs w:val="20"/>
                <w:color w:val="auto"/>
              </w:rPr>
            </w:pPr>
            <w:r>
              <w:rPr>
                <w:rFonts w:ascii="Verdana" w:cs="Verdana" w:eastAsia="Verdana" w:hAnsi="Verdana"/>
                <w:sz w:val="13"/>
                <w:szCs w:val="13"/>
                <w:b w:val="1"/>
                <w:bCs w:val="1"/>
                <w:color w:val="auto"/>
              </w:rPr>
              <w:t>Notional</w:t>
            </w:r>
          </w:p>
        </w:tc>
        <w:tc>
          <w:tcPr>
            <w:tcW w:w="1040" w:type="dxa"/>
            <w:vAlign w:val="bottom"/>
          </w:tcPr>
          <w:p>
            <w:pPr>
              <w:jc w:val="right"/>
              <w:ind w:right="79"/>
              <w:spacing w:after="0" w:line="122" w:lineRule="exact"/>
              <w:rPr>
                <w:sz w:val="20"/>
                <w:szCs w:val="20"/>
                <w:color w:val="auto"/>
              </w:rPr>
            </w:pPr>
            <w:r>
              <w:rPr>
                <w:rFonts w:ascii="Verdana" w:cs="Verdana" w:eastAsia="Verdana" w:hAnsi="Verdana"/>
                <w:sz w:val="13"/>
                <w:szCs w:val="13"/>
                <w:b w:val="1"/>
                <w:bCs w:val="1"/>
                <w:color w:val="auto"/>
              </w:rPr>
              <w:t>Fair</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gridSpan w:val="2"/>
          </w:tcPr>
          <w:p>
            <w:pPr>
              <w:ind w:left="160"/>
              <w:spacing w:after="0" w:line="122" w:lineRule="exact"/>
              <w:rPr>
                <w:sz w:val="20"/>
                <w:szCs w:val="20"/>
                <w:color w:val="auto"/>
              </w:rPr>
            </w:pPr>
            <w:r>
              <w:rPr>
                <w:rFonts w:ascii="Verdana" w:cs="Verdana" w:eastAsia="Verdana" w:hAnsi="Verdana"/>
                <w:sz w:val="13"/>
                <w:szCs w:val="13"/>
                <w:b w:val="1"/>
                <w:bCs w:val="1"/>
                <w:color w:val="auto"/>
              </w:rPr>
              <w:t>Notional</w:t>
            </w:r>
          </w:p>
        </w:tc>
        <w:tc>
          <w:tcPr>
            <w:tcW w:w="340" w:type="dxa"/>
            <w:vAlign w:val="bottom"/>
          </w:tcPr>
          <w:p>
            <w:pPr>
              <w:spacing w:after="0"/>
              <w:rPr>
                <w:sz w:val="10"/>
                <w:szCs w:val="10"/>
                <w:color w:val="auto"/>
              </w:rPr>
            </w:pPr>
          </w:p>
        </w:tc>
        <w:tc>
          <w:tcPr>
            <w:tcW w:w="1140" w:type="dxa"/>
            <w:vAlign w:val="bottom"/>
          </w:tcPr>
          <w:p>
            <w:pPr>
              <w:jc w:val="right"/>
              <w:ind w:right="517"/>
              <w:spacing w:after="0" w:line="122" w:lineRule="exact"/>
              <w:rPr>
                <w:sz w:val="20"/>
                <w:szCs w:val="20"/>
                <w:color w:val="auto"/>
              </w:rPr>
            </w:pPr>
            <w:r>
              <w:rPr>
                <w:rFonts w:ascii="Verdana" w:cs="Verdana" w:eastAsia="Verdana" w:hAnsi="Verdana"/>
                <w:sz w:val="13"/>
                <w:szCs w:val="13"/>
                <w:b w:val="1"/>
                <w:bCs w:val="1"/>
                <w:color w:val="auto"/>
              </w:rPr>
              <w:t>Fair</w:t>
            </w:r>
          </w:p>
        </w:tc>
        <w:tc>
          <w:tcPr>
            <w:tcW w:w="0" w:type="dxa"/>
            <w:vAlign w:val="bottom"/>
          </w:tcPr>
          <w:p>
            <w:pPr>
              <w:spacing w:after="0"/>
              <w:rPr>
                <w:sz w:val="1"/>
                <w:szCs w:val="1"/>
                <w:color w:val="auto"/>
              </w:rPr>
            </w:pPr>
          </w:p>
        </w:tc>
      </w:tr>
      <w:tr>
        <w:trPr>
          <w:trHeight w:val="170"/>
        </w:trPr>
        <w:tc>
          <w:tcPr>
            <w:tcW w:w="346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Verdana" w:cs="Verdana" w:eastAsia="Verdana" w:hAnsi="Verdana"/>
                <w:sz w:val="13"/>
                <w:szCs w:val="13"/>
                <w:b w:val="1"/>
                <w:bCs w:val="1"/>
                <w:color w:val="auto"/>
              </w:rPr>
              <w:t>Amount</w:t>
            </w:r>
          </w:p>
        </w:tc>
        <w:tc>
          <w:tcPr>
            <w:tcW w:w="1040" w:type="dxa"/>
            <w:vAlign w:val="bottom"/>
          </w:tcPr>
          <w:p>
            <w:pPr>
              <w:jc w:val="right"/>
              <w:ind w:right="19"/>
              <w:spacing w:after="0"/>
              <w:rPr>
                <w:sz w:val="20"/>
                <w:szCs w:val="20"/>
                <w:color w:val="auto"/>
              </w:rPr>
            </w:pPr>
            <w:r>
              <w:rPr>
                <w:rFonts w:ascii="Verdana" w:cs="Verdana" w:eastAsia="Verdana" w:hAnsi="Verdana"/>
                <w:sz w:val="13"/>
                <w:szCs w:val="13"/>
                <w:b w:val="1"/>
                <w:bCs w:val="1"/>
                <w:color w:val="auto"/>
              </w:rPr>
              <w:t>Value</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Verdana" w:cs="Verdana" w:eastAsia="Verdana" w:hAnsi="Verdana"/>
                <w:sz w:val="13"/>
                <w:szCs w:val="13"/>
                <w:b w:val="1"/>
                <w:bCs w:val="1"/>
                <w:color w:val="auto"/>
              </w:rPr>
              <w:t>Amount</w:t>
            </w:r>
          </w:p>
        </w:tc>
        <w:tc>
          <w:tcPr>
            <w:tcW w:w="340" w:type="dxa"/>
            <w:vAlign w:val="bottom"/>
          </w:tcPr>
          <w:p>
            <w:pPr>
              <w:spacing w:after="0"/>
              <w:rPr>
                <w:sz w:val="14"/>
                <w:szCs w:val="14"/>
                <w:color w:val="auto"/>
              </w:rPr>
            </w:pPr>
          </w:p>
        </w:tc>
        <w:tc>
          <w:tcPr>
            <w:tcW w:w="1140" w:type="dxa"/>
            <w:vAlign w:val="bottom"/>
          </w:tcPr>
          <w:p>
            <w:pPr>
              <w:jc w:val="right"/>
              <w:ind w:right="457"/>
              <w:spacing w:after="0"/>
              <w:rPr>
                <w:sz w:val="20"/>
                <w:szCs w:val="20"/>
                <w:color w:val="auto"/>
              </w:rPr>
            </w:pPr>
            <w:r>
              <w:rPr>
                <w:rFonts w:ascii="Verdana" w:cs="Verdana" w:eastAsia="Verdana" w:hAnsi="Verdana"/>
                <w:sz w:val="13"/>
                <w:szCs w:val="13"/>
                <w:b w:val="1"/>
                <w:bCs w:val="1"/>
                <w:color w:val="auto"/>
              </w:rPr>
              <w:t>Value</w:t>
            </w:r>
          </w:p>
        </w:tc>
        <w:tc>
          <w:tcPr>
            <w:tcW w:w="0" w:type="dxa"/>
            <w:vAlign w:val="bottom"/>
          </w:tcPr>
          <w:p>
            <w:pPr>
              <w:spacing w:after="0"/>
              <w:rPr>
                <w:sz w:val="1"/>
                <w:szCs w:val="1"/>
                <w:color w:val="auto"/>
              </w:rPr>
            </w:pPr>
          </w:p>
        </w:tc>
      </w:tr>
      <w:tr>
        <w:trPr>
          <w:trHeight w:val="223"/>
        </w:trPr>
        <w:tc>
          <w:tcPr>
            <w:tcW w:w="34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Mortgage banking derivative</w:t>
            </w:r>
          </w:p>
        </w:tc>
        <w:tc>
          <w:tcPr>
            <w:tcW w:w="148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300" w:type="dxa"/>
            <w:vAlign w:val="bottom"/>
            <w:tcBorders>
              <w:top w:val="single" w:sz="8" w:color="auto"/>
            </w:tcBorders>
            <w:shd w:val="clear" w:color="auto" w:fill="E0E7ED"/>
          </w:tcPr>
          <w:p>
            <w:pPr>
              <w:spacing w:after="0"/>
              <w:rPr>
                <w:sz w:val="19"/>
                <w:szCs w:val="19"/>
                <w:color w:val="auto"/>
              </w:rPr>
            </w:pPr>
          </w:p>
        </w:tc>
        <w:tc>
          <w:tcPr>
            <w:tcW w:w="12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1040" w:type="dxa"/>
            <w:vAlign w:val="bottom"/>
            <w:tcBorders>
              <w:top w:val="single" w:sz="8" w:color="auto"/>
            </w:tcBorders>
            <w:shd w:val="clear" w:color="auto" w:fill="E0E7ED"/>
          </w:tcPr>
          <w:p>
            <w:pPr>
              <w:spacing w:after="0"/>
              <w:rPr>
                <w:sz w:val="19"/>
                <w:szCs w:val="19"/>
                <w:color w:val="auto"/>
              </w:rPr>
            </w:pPr>
          </w:p>
        </w:tc>
        <w:tc>
          <w:tcPr>
            <w:tcW w:w="44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300" w:type="dxa"/>
            <w:vAlign w:val="bottom"/>
            <w:tcBorders>
              <w:top w:val="single" w:sz="8" w:color="auto"/>
            </w:tcBorders>
            <w:shd w:val="clear" w:color="auto" w:fill="E0E7ED"/>
          </w:tcPr>
          <w:p>
            <w:pPr>
              <w:spacing w:after="0"/>
              <w:rPr>
                <w:sz w:val="19"/>
                <w:szCs w:val="19"/>
                <w:color w:val="auto"/>
              </w:rPr>
            </w:pPr>
          </w:p>
        </w:tc>
        <w:tc>
          <w:tcPr>
            <w:tcW w:w="120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340" w:type="dxa"/>
            <w:vAlign w:val="bottom"/>
            <w:tcBorders>
              <w:top w:val="single" w:sz="8" w:color="auto"/>
            </w:tcBorders>
            <w:shd w:val="clear" w:color="auto" w:fill="E0E7ED"/>
          </w:tcPr>
          <w:p>
            <w:pPr>
              <w:spacing w:after="0"/>
              <w:rPr>
                <w:sz w:val="19"/>
                <w:szCs w:val="19"/>
                <w:color w:val="auto"/>
              </w:rPr>
            </w:pPr>
          </w:p>
        </w:tc>
        <w:tc>
          <w:tcPr>
            <w:tcW w:w="114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assets</w:t>
            </w:r>
          </w:p>
        </w:tc>
        <w:tc>
          <w:tcPr>
            <w:tcW w:w="14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040" w:type="dxa"/>
            <w:vAlign w:val="bottom"/>
            <w:shd w:val="clear" w:color="auto" w:fill="E0E7ED"/>
          </w:tcPr>
          <w:p>
            <w:pPr>
              <w:spacing w:after="0"/>
              <w:rPr>
                <w:sz w:val="21"/>
                <w:szCs w:val="21"/>
                <w:color w:val="auto"/>
              </w:rPr>
            </w:pPr>
          </w:p>
        </w:tc>
        <w:tc>
          <w:tcPr>
            <w:tcW w:w="4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460" w:type="dxa"/>
            <w:vAlign w:val="bottom"/>
          </w:tcPr>
          <w:p>
            <w:pPr>
              <w:ind w:left="180"/>
              <w:spacing w:after="0"/>
              <w:rPr>
                <w:sz w:val="20"/>
                <w:szCs w:val="20"/>
                <w:color w:val="auto"/>
              </w:rPr>
            </w:pPr>
            <w:r>
              <w:rPr>
                <w:rFonts w:ascii="Verdana" w:cs="Verdana" w:eastAsia="Verdana" w:hAnsi="Verdana"/>
                <w:sz w:val="18"/>
                <w:szCs w:val="18"/>
                <w:color w:val="auto"/>
              </w:rPr>
              <w:t>Interest rate lock commitments</w:t>
            </w:r>
          </w:p>
        </w:tc>
        <w:tc>
          <w:tcPr>
            <w:tcW w:w="1560" w:type="dxa"/>
            <w:vAlign w:val="bottom"/>
            <w:gridSpan w:val="2"/>
          </w:tcPr>
          <w:p>
            <w:pPr>
              <w:ind w:left="20"/>
              <w:spacing w:after="0"/>
              <w:rPr>
                <w:sz w:val="20"/>
                <w:szCs w:val="20"/>
                <w:color w:val="auto"/>
              </w:rPr>
            </w:pPr>
            <w:r>
              <w:rPr>
                <w:rFonts w:ascii="Verdana" w:cs="Verdana" w:eastAsia="Verdana" w:hAnsi="Verdana"/>
                <w:sz w:val="18"/>
                <w:szCs w:val="18"/>
                <w:color w:val="auto"/>
              </w:rPr>
              <w:t>Other assets</w:t>
            </w: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4,666</w:t>
            </w:r>
          </w:p>
        </w:tc>
        <w:tc>
          <w:tcPr>
            <w:tcW w:w="100" w:type="dxa"/>
            <w:vAlign w:val="bottom"/>
          </w:tcPr>
          <w:p>
            <w:pPr>
              <w:spacing w:after="0"/>
              <w:rPr>
                <w:sz w:val="22"/>
                <w:szCs w:val="22"/>
                <w:color w:val="auto"/>
              </w:rPr>
            </w:pPr>
          </w:p>
        </w:tc>
        <w:tc>
          <w:tcPr>
            <w:tcW w:w="1040" w:type="dxa"/>
            <w:vAlign w:val="bottom"/>
          </w:tcPr>
          <w:p>
            <w:pPr>
              <w:jc w:val="right"/>
              <w:ind w:right="819"/>
              <w:spacing w:after="0"/>
              <w:rPr>
                <w:sz w:val="20"/>
                <w:szCs w:val="20"/>
                <w:color w:val="auto"/>
              </w:rPr>
            </w:pPr>
            <w:r>
              <w:rPr>
                <w:rFonts w:ascii="Verdana" w:cs="Verdana" w:eastAsia="Verdana" w:hAnsi="Verdana"/>
                <w:sz w:val="18"/>
                <w:szCs w:val="18"/>
                <w:color w:val="auto"/>
              </w:rPr>
              <w:t>$</w:t>
            </w:r>
          </w:p>
        </w:tc>
        <w:tc>
          <w:tcPr>
            <w:tcW w:w="440" w:type="dxa"/>
            <w:vAlign w:val="bottom"/>
          </w:tcPr>
          <w:p>
            <w:pPr>
              <w:jc w:val="right"/>
              <w:ind w:right="10"/>
              <w:spacing w:after="0"/>
              <w:rPr>
                <w:sz w:val="20"/>
                <w:szCs w:val="20"/>
                <w:color w:val="auto"/>
              </w:rPr>
            </w:pPr>
            <w:r>
              <w:rPr>
                <w:rFonts w:ascii="Verdana" w:cs="Verdana" w:eastAsia="Verdana" w:hAnsi="Verdana"/>
                <w:sz w:val="18"/>
                <w:szCs w:val="18"/>
                <w:color w:val="auto"/>
              </w:rPr>
              <w:t>76</w:t>
            </w:r>
          </w:p>
        </w:tc>
        <w:tc>
          <w:tcPr>
            <w:tcW w:w="8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ind w:right="19"/>
              <w:spacing w:after="0"/>
              <w:rPr>
                <w:sz w:val="20"/>
                <w:szCs w:val="20"/>
                <w:color w:val="auto"/>
              </w:rPr>
            </w:pPr>
            <w:r>
              <w:rPr>
                <w:rFonts w:ascii="Verdana" w:cs="Verdana" w:eastAsia="Verdana" w:hAnsi="Verdana"/>
                <w:sz w:val="18"/>
                <w:szCs w:val="18"/>
                <w:color w:val="auto"/>
              </w:rPr>
              <w:t>3,477</w:t>
            </w:r>
          </w:p>
        </w:tc>
        <w:tc>
          <w:tcPr>
            <w:tcW w:w="8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Verdana" w:cs="Verdana" w:eastAsia="Verdana" w:hAnsi="Verdana"/>
                <w:sz w:val="18"/>
                <w:szCs w:val="18"/>
                <w:color w:val="auto"/>
              </w:rPr>
              <w:t>$</w:t>
            </w:r>
          </w:p>
        </w:tc>
        <w:tc>
          <w:tcPr>
            <w:tcW w:w="1140" w:type="dxa"/>
            <w:vAlign w:val="bottom"/>
          </w:tcPr>
          <w:p>
            <w:pPr>
              <w:jc w:val="right"/>
              <w:spacing w:after="0"/>
              <w:rPr>
                <w:sz w:val="20"/>
                <w:szCs w:val="20"/>
                <w:color w:val="auto"/>
              </w:rPr>
            </w:pPr>
            <w:r>
              <w:rPr>
                <w:rFonts w:ascii="Verdana" w:cs="Verdana" w:eastAsia="Verdana" w:hAnsi="Verdana"/>
                <w:sz w:val="18"/>
                <w:szCs w:val="18"/>
                <w:color w:val="auto"/>
              </w:rPr>
              <w:t>25</w:t>
            </w:r>
          </w:p>
        </w:tc>
        <w:tc>
          <w:tcPr>
            <w:tcW w:w="0" w:type="dxa"/>
            <w:vAlign w:val="bottom"/>
          </w:tcPr>
          <w:p>
            <w:pPr>
              <w:spacing w:after="0"/>
              <w:rPr>
                <w:sz w:val="1"/>
                <w:szCs w:val="1"/>
                <w:color w:val="auto"/>
              </w:rPr>
            </w:pPr>
          </w:p>
        </w:tc>
      </w:tr>
      <w:tr>
        <w:trPr>
          <w:trHeight w:val="270"/>
        </w:trPr>
        <w:tc>
          <w:tcPr>
            <w:tcW w:w="34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Forward sales commitments</w:t>
            </w:r>
          </w:p>
        </w:tc>
        <w:tc>
          <w:tcPr>
            <w:tcW w:w="15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Other assets</w:t>
            </w:r>
          </w:p>
        </w:tc>
        <w:tc>
          <w:tcPr>
            <w:tcW w:w="300" w:type="dxa"/>
            <w:vAlign w:val="bottom"/>
            <w:tcBorders>
              <w:bottom w:val="single" w:sz="8" w:color="auto"/>
            </w:tcBorders>
            <w:shd w:val="clear" w:color="auto" w:fill="E0E7ED"/>
          </w:tcPr>
          <w:p>
            <w:pPr>
              <w:spacing w:after="0"/>
              <w:rPr>
                <w:sz w:val="23"/>
                <w:szCs w:val="23"/>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3,887</w:t>
            </w:r>
          </w:p>
        </w:tc>
        <w:tc>
          <w:tcPr>
            <w:tcW w:w="100" w:type="dxa"/>
            <w:vAlign w:val="bottom"/>
            <w:shd w:val="clear" w:color="auto" w:fill="E0E7ED"/>
          </w:tcPr>
          <w:p>
            <w:pPr>
              <w:spacing w:after="0"/>
              <w:rPr>
                <w:sz w:val="23"/>
                <w:szCs w:val="23"/>
                <w:color w:val="auto"/>
              </w:rPr>
            </w:pPr>
          </w:p>
        </w:tc>
        <w:tc>
          <w:tcPr>
            <w:tcW w:w="1040" w:type="dxa"/>
            <w:vAlign w:val="bottom"/>
            <w:tcBorders>
              <w:bottom w:val="single" w:sz="8" w:color="auto"/>
            </w:tcBorders>
            <w:shd w:val="clear" w:color="auto" w:fill="E0E7ED"/>
          </w:tcPr>
          <w:p>
            <w:pPr>
              <w:spacing w:after="0"/>
              <w:rPr>
                <w:sz w:val="23"/>
                <w:szCs w:val="23"/>
                <w:color w:val="auto"/>
              </w:rPr>
            </w:pPr>
          </w:p>
        </w:tc>
        <w:tc>
          <w:tcPr>
            <w:tcW w:w="440" w:type="dxa"/>
            <w:vAlign w:val="bottom"/>
            <w:tcBorders>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rPr>
              <w:t>9</w:t>
            </w:r>
          </w:p>
        </w:tc>
        <w:tc>
          <w:tcPr>
            <w:tcW w:w="80" w:type="dxa"/>
            <w:vAlign w:val="bottom"/>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200" w:type="dxa"/>
            <w:vAlign w:val="bottom"/>
            <w:tcBorders>
              <w:bottom w:val="single" w:sz="8" w:color="auto"/>
            </w:tcBorders>
            <w:shd w:val="clear" w:color="auto" w:fill="E0E7ED"/>
          </w:tcPr>
          <w:p>
            <w:pPr>
              <w:jc w:val="right"/>
              <w:ind w:right="19"/>
              <w:spacing w:after="0"/>
              <w:rPr>
                <w:sz w:val="20"/>
                <w:szCs w:val="20"/>
                <w:color w:val="auto"/>
              </w:rPr>
            </w:pPr>
            <w:r>
              <w:rPr>
                <w:rFonts w:ascii="Verdana" w:cs="Verdana" w:eastAsia="Verdana" w:hAnsi="Verdana"/>
                <w:sz w:val="18"/>
                <w:szCs w:val="18"/>
                <w:color w:val="auto"/>
              </w:rPr>
              <w:t>1,761</w:t>
            </w:r>
          </w:p>
        </w:tc>
        <w:tc>
          <w:tcPr>
            <w:tcW w:w="80" w:type="dxa"/>
            <w:vAlign w:val="bottom"/>
            <w:shd w:val="clear" w:color="auto" w:fill="E0E7ED"/>
          </w:tcPr>
          <w:p>
            <w:pPr>
              <w:spacing w:after="0"/>
              <w:rPr>
                <w:sz w:val="23"/>
                <w:szCs w:val="23"/>
                <w:color w:val="auto"/>
              </w:rPr>
            </w:pPr>
          </w:p>
        </w:tc>
        <w:tc>
          <w:tcPr>
            <w:tcW w:w="340" w:type="dxa"/>
            <w:vAlign w:val="bottom"/>
            <w:tcBorders>
              <w:bottom w:val="single" w:sz="8" w:color="auto"/>
            </w:tcBorders>
            <w:shd w:val="clear" w:color="auto" w:fill="E0E7ED"/>
          </w:tcPr>
          <w:p>
            <w:pPr>
              <w:spacing w:after="0"/>
              <w:rPr>
                <w:sz w:val="23"/>
                <w:szCs w:val="23"/>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11</w:t>
            </w:r>
          </w:p>
        </w:tc>
        <w:tc>
          <w:tcPr>
            <w:tcW w:w="0" w:type="dxa"/>
            <w:vAlign w:val="bottom"/>
          </w:tcPr>
          <w:p>
            <w:pPr>
              <w:spacing w:after="0"/>
              <w:rPr>
                <w:sz w:val="1"/>
                <w:szCs w:val="1"/>
                <w:color w:val="auto"/>
              </w:rPr>
            </w:pPr>
          </w:p>
        </w:tc>
      </w:tr>
      <w:tr>
        <w:trPr>
          <w:trHeight w:val="270"/>
        </w:trPr>
        <w:tc>
          <w:tcPr>
            <w:tcW w:w="3460" w:type="dxa"/>
            <w:vAlign w:val="bottom"/>
          </w:tcPr>
          <w:p>
            <w:pPr>
              <w:ind w:left="20"/>
              <w:spacing w:after="0"/>
              <w:rPr>
                <w:sz w:val="20"/>
                <w:szCs w:val="20"/>
                <w:color w:val="auto"/>
              </w:rPr>
            </w:pPr>
            <w:r>
              <w:rPr>
                <w:rFonts w:ascii="Verdana" w:cs="Verdana" w:eastAsia="Verdana" w:hAnsi="Verdana"/>
                <w:sz w:val="18"/>
                <w:szCs w:val="18"/>
                <w:color w:val="auto"/>
              </w:rPr>
              <w:t>Mortgage banking derivative assets</w:t>
            </w: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8,553</w:t>
            </w:r>
          </w:p>
        </w:tc>
        <w:tc>
          <w:tcPr>
            <w:tcW w:w="100" w:type="dxa"/>
            <w:vAlign w:val="bottom"/>
          </w:tcPr>
          <w:p>
            <w:pPr>
              <w:spacing w:after="0"/>
              <w:rPr>
                <w:sz w:val="23"/>
                <w:szCs w:val="23"/>
                <w:color w:val="auto"/>
              </w:rPr>
            </w:pPr>
          </w:p>
        </w:tc>
        <w:tc>
          <w:tcPr>
            <w:tcW w:w="1040" w:type="dxa"/>
            <w:vAlign w:val="bottom"/>
            <w:tcBorders>
              <w:bottom w:val="single" w:sz="8" w:color="auto"/>
            </w:tcBorders>
          </w:tcPr>
          <w:p>
            <w:pPr>
              <w:jc w:val="right"/>
              <w:ind w:right="819"/>
              <w:spacing w:after="0"/>
              <w:rPr>
                <w:sz w:val="20"/>
                <w:szCs w:val="20"/>
                <w:color w:val="auto"/>
              </w:rPr>
            </w:pPr>
            <w:r>
              <w:rPr>
                <w:rFonts w:ascii="Verdana" w:cs="Verdana" w:eastAsia="Verdana" w:hAnsi="Verdana"/>
                <w:sz w:val="18"/>
                <w:szCs w:val="18"/>
                <w:color w:val="auto"/>
              </w:rPr>
              <w:t>$</w:t>
            </w:r>
          </w:p>
        </w:tc>
        <w:tc>
          <w:tcPr>
            <w:tcW w:w="44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8"/>
                <w:szCs w:val="18"/>
                <w:color w:val="auto"/>
              </w:rPr>
              <w:t>85</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8"/>
                <w:szCs w:val="18"/>
                <w:color w:val="auto"/>
              </w:rPr>
              <w:t>5,238</w:t>
            </w:r>
          </w:p>
        </w:tc>
        <w:tc>
          <w:tcPr>
            <w:tcW w:w="80" w:type="dxa"/>
            <w:vAlign w:val="bottom"/>
          </w:tcPr>
          <w:p>
            <w:pPr>
              <w:spacing w:after="0"/>
              <w:rPr>
                <w:sz w:val="23"/>
                <w:szCs w:val="23"/>
                <w:color w:val="auto"/>
              </w:rPr>
            </w:pPr>
          </w:p>
        </w:tc>
        <w:tc>
          <w:tcPr>
            <w:tcW w:w="340" w:type="dxa"/>
            <w:vAlign w:val="bottom"/>
            <w:tcBorders>
              <w:bottom w:val="single" w:sz="8" w:color="auto"/>
            </w:tcBorders>
          </w:tcPr>
          <w:p>
            <w:pPr>
              <w:jc w:val="right"/>
              <w:ind w:right="110"/>
              <w:spacing w:after="0"/>
              <w:rPr>
                <w:sz w:val="20"/>
                <w:szCs w:val="20"/>
                <w:color w:val="auto"/>
              </w:rPr>
            </w:pPr>
            <w:r>
              <w:rPr>
                <w:rFonts w:ascii="Verdana" w:cs="Verdana" w:eastAsia="Verdana" w:hAnsi="Verdana"/>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36</w:t>
            </w:r>
          </w:p>
        </w:tc>
        <w:tc>
          <w:tcPr>
            <w:tcW w:w="0" w:type="dxa"/>
            <w:vAlign w:val="bottom"/>
          </w:tcPr>
          <w:p>
            <w:pPr>
              <w:spacing w:after="0"/>
              <w:rPr>
                <w:sz w:val="1"/>
                <w:szCs w:val="1"/>
                <w:color w:val="auto"/>
              </w:rPr>
            </w:pPr>
          </w:p>
        </w:tc>
      </w:tr>
      <w:tr>
        <w:trPr>
          <w:trHeight w:val="20"/>
        </w:trPr>
        <w:tc>
          <w:tcPr>
            <w:tcW w:w="3460" w:type="dxa"/>
            <w:vAlign w:val="bottom"/>
            <w:tcBorders>
              <w:bottom w:val="single" w:sz="8" w:color="E0E7ED"/>
            </w:tcBorders>
          </w:tcPr>
          <w:p>
            <w:pPr>
              <w:spacing w:after="0" w:line="20" w:lineRule="exact"/>
              <w:rPr>
                <w:sz w:val="1"/>
                <w:szCs w:val="1"/>
                <w:color w:val="auto"/>
              </w:rPr>
            </w:pPr>
          </w:p>
        </w:tc>
        <w:tc>
          <w:tcPr>
            <w:tcW w:w="148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60" w:type="dxa"/>
            <w:vAlign w:val="bottom"/>
            <w:shd w:val="clear" w:color="auto" w:fill="E0E7ED"/>
          </w:tcPr>
          <w:p>
            <w:pPr>
              <w:spacing w:after="0"/>
              <w:rPr>
                <w:sz w:val="20"/>
                <w:szCs w:val="20"/>
                <w:color w:val="auto"/>
              </w:rPr>
            </w:pPr>
          </w:p>
        </w:tc>
        <w:tc>
          <w:tcPr>
            <w:tcW w:w="148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2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1040" w:type="dxa"/>
            <w:vAlign w:val="bottom"/>
            <w:shd w:val="clear" w:color="auto" w:fill="E0E7ED"/>
          </w:tcPr>
          <w:p>
            <w:pPr>
              <w:spacing w:after="0"/>
              <w:rPr>
                <w:sz w:val="20"/>
                <w:szCs w:val="20"/>
                <w:color w:val="auto"/>
              </w:rPr>
            </w:pPr>
          </w:p>
        </w:tc>
        <w:tc>
          <w:tcPr>
            <w:tcW w:w="44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20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40" w:type="dxa"/>
            <w:vAlign w:val="bottom"/>
            <w:shd w:val="clear" w:color="auto" w:fill="E0E7ED"/>
          </w:tcPr>
          <w:p>
            <w:pPr>
              <w:spacing w:after="0"/>
              <w:rPr>
                <w:sz w:val="20"/>
                <w:szCs w:val="20"/>
                <w:color w:val="auto"/>
              </w:rPr>
            </w:pPr>
          </w:p>
        </w:tc>
        <w:tc>
          <w:tcPr>
            <w:tcW w:w="114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460" w:type="dxa"/>
            <w:vAlign w:val="bottom"/>
          </w:tcPr>
          <w:p>
            <w:pPr>
              <w:ind w:left="20"/>
              <w:spacing w:after="0"/>
              <w:rPr>
                <w:sz w:val="20"/>
                <w:szCs w:val="20"/>
                <w:color w:val="auto"/>
              </w:rPr>
            </w:pPr>
            <w:r>
              <w:rPr>
                <w:rFonts w:ascii="Verdana" w:cs="Verdana" w:eastAsia="Verdana" w:hAnsi="Verdana"/>
                <w:sz w:val="18"/>
                <w:szCs w:val="18"/>
                <w:b w:val="1"/>
                <w:bCs w:val="1"/>
                <w:color w:val="auto"/>
              </w:rPr>
              <w:t>Mortgage banking derivative</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460" w:type="dxa"/>
            <w:vAlign w:val="bottom"/>
          </w:tcPr>
          <w:p>
            <w:pPr>
              <w:ind w:left="20"/>
              <w:spacing w:after="0"/>
              <w:rPr>
                <w:sz w:val="20"/>
                <w:szCs w:val="20"/>
                <w:color w:val="auto"/>
              </w:rPr>
            </w:pPr>
            <w:r>
              <w:rPr>
                <w:rFonts w:ascii="Verdana" w:cs="Verdana" w:eastAsia="Verdana" w:hAnsi="Verdana"/>
                <w:sz w:val="18"/>
                <w:szCs w:val="18"/>
                <w:b w:val="1"/>
                <w:bCs w:val="1"/>
                <w:color w:val="auto"/>
              </w:rPr>
              <w:t>liabilities</w:t>
            </w: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4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Interest rate lock commitments</w:t>
            </w:r>
          </w:p>
        </w:tc>
        <w:tc>
          <w:tcPr>
            <w:tcW w:w="15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Other liabilities</w:t>
            </w: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309</w:t>
            </w:r>
          </w:p>
        </w:tc>
        <w:tc>
          <w:tcPr>
            <w:tcW w:w="100" w:type="dxa"/>
            <w:vAlign w:val="bottom"/>
            <w:shd w:val="clear" w:color="auto" w:fill="E0E7ED"/>
          </w:tcPr>
          <w:p>
            <w:pPr>
              <w:spacing w:after="0"/>
              <w:rPr>
                <w:sz w:val="24"/>
                <w:szCs w:val="24"/>
                <w:color w:val="auto"/>
              </w:rPr>
            </w:pPr>
          </w:p>
        </w:tc>
        <w:tc>
          <w:tcPr>
            <w:tcW w:w="1040" w:type="dxa"/>
            <w:vAlign w:val="bottom"/>
            <w:shd w:val="clear" w:color="auto" w:fill="E0E7ED"/>
          </w:tcPr>
          <w:p>
            <w:pPr>
              <w:jc w:val="right"/>
              <w:ind w:right="819"/>
              <w:spacing w:after="0"/>
              <w:rPr>
                <w:sz w:val="20"/>
                <w:szCs w:val="20"/>
                <w:color w:val="auto"/>
              </w:rPr>
            </w:pPr>
            <w:r>
              <w:rPr>
                <w:rFonts w:ascii="Verdana" w:cs="Verdana" w:eastAsia="Verdana" w:hAnsi="Verdana"/>
                <w:sz w:val="18"/>
                <w:szCs w:val="18"/>
                <w:color w:val="auto"/>
              </w:rPr>
              <w:t>$</w:t>
            </w:r>
          </w:p>
        </w:tc>
        <w:tc>
          <w:tcPr>
            <w:tcW w:w="44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2</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1,615</w:t>
            </w:r>
          </w:p>
        </w:tc>
        <w:tc>
          <w:tcPr>
            <w:tcW w:w="80" w:type="dxa"/>
            <w:vAlign w:val="bottom"/>
            <w:shd w:val="clear" w:color="auto" w:fill="E0E7ED"/>
          </w:tcPr>
          <w:p>
            <w:pPr>
              <w:spacing w:after="0"/>
              <w:rPr>
                <w:sz w:val="24"/>
                <w:szCs w:val="24"/>
                <w:color w:val="auto"/>
              </w:rPr>
            </w:pPr>
          </w:p>
        </w:tc>
        <w:tc>
          <w:tcPr>
            <w:tcW w:w="340" w:type="dxa"/>
            <w:vAlign w:val="bottom"/>
            <w:shd w:val="clear" w:color="auto" w:fill="E0E7ED"/>
          </w:tcPr>
          <w:p>
            <w:pPr>
              <w:jc w:val="right"/>
              <w:ind w:right="110"/>
              <w:spacing w:after="0"/>
              <w:rPr>
                <w:sz w:val="20"/>
                <w:szCs w:val="20"/>
                <w:color w:val="auto"/>
              </w:rPr>
            </w:pPr>
            <w:r>
              <w:rPr>
                <w:rFonts w:ascii="Verdana" w:cs="Verdana" w:eastAsia="Verdana" w:hAnsi="Verdana"/>
                <w:sz w:val="18"/>
                <w:szCs w:val="18"/>
                <w:color w:val="auto"/>
              </w:rPr>
              <w:t>$</w:t>
            </w: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w:t>
            </w:r>
          </w:p>
        </w:tc>
        <w:tc>
          <w:tcPr>
            <w:tcW w:w="0" w:type="dxa"/>
            <w:vAlign w:val="bottom"/>
          </w:tcPr>
          <w:p>
            <w:pPr>
              <w:spacing w:after="0"/>
              <w:rPr>
                <w:sz w:val="1"/>
                <w:szCs w:val="1"/>
                <w:color w:val="auto"/>
              </w:rPr>
            </w:pPr>
          </w:p>
        </w:tc>
      </w:tr>
      <w:tr>
        <w:trPr>
          <w:trHeight w:val="264"/>
        </w:trPr>
        <w:tc>
          <w:tcPr>
            <w:tcW w:w="34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Forward sales commitments</w:t>
            </w:r>
          </w:p>
        </w:tc>
        <w:tc>
          <w:tcPr>
            <w:tcW w:w="1560" w:type="dxa"/>
            <w:vAlign w:val="bottom"/>
            <w:tcBorders>
              <w:bottom w:val="single" w:sz="8" w:color="E0E7ED"/>
            </w:tcBorders>
            <w:gridSpan w:val="2"/>
          </w:tcPr>
          <w:p>
            <w:pPr>
              <w:ind w:left="20"/>
              <w:spacing w:after="0"/>
              <w:rPr>
                <w:sz w:val="20"/>
                <w:szCs w:val="20"/>
                <w:color w:val="auto"/>
              </w:rPr>
            </w:pPr>
            <w:r>
              <w:rPr>
                <w:rFonts w:ascii="Verdana" w:cs="Verdana" w:eastAsia="Verdana" w:hAnsi="Verdana"/>
                <w:sz w:val="18"/>
                <w:szCs w:val="18"/>
                <w:color w:val="auto"/>
              </w:rPr>
              <w:t>Other liabilities</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10,430</w:t>
            </w:r>
          </w:p>
        </w:tc>
        <w:tc>
          <w:tcPr>
            <w:tcW w:w="100" w:type="dxa"/>
            <w:vAlign w:val="bottom"/>
            <w:tcBorders>
              <w:bottom w:val="single" w:sz="8" w:color="E0E7ED"/>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8"/>
                <w:szCs w:val="18"/>
                <w:color w:val="auto"/>
              </w:rPr>
              <w:t>80</w:t>
            </w:r>
          </w:p>
        </w:tc>
        <w:tc>
          <w:tcPr>
            <w:tcW w:w="8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8"/>
                <w:szCs w:val="18"/>
                <w:color w:val="auto"/>
              </w:rPr>
              <w:t>5,216</w:t>
            </w:r>
          </w:p>
        </w:tc>
        <w:tc>
          <w:tcPr>
            <w:tcW w:w="8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47</w:t>
            </w:r>
          </w:p>
        </w:tc>
        <w:tc>
          <w:tcPr>
            <w:tcW w:w="0" w:type="dxa"/>
            <w:vAlign w:val="bottom"/>
          </w:tcPr>
          <w:p>
            <w:pPr>
              <w:spacing w:after="0"/>
              <w:rPr>
                <w:sz w:val="1"/>
                <w:szCs w:val="1"/>
                <w:color w:val="auto"/>
              </w:rPr>
            </w:pPr>
          </w:p>
        </w:tc>
      </w:tr>
      <w:tr>
        <w:trPr>
          <w:trHeight w:val="224"/>
        </w:trPr>
        <w:tc>
          <w:tcPr>
            <w:tcW w:w="34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Mortgage banking derivative</w:t>
            </w:r>
          </w:p>
        </w:tc>
        <w:tc>
          <w:tcPr>
            <w:tcW w:w="148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300" w:type="dxa"/>
            <w:vAlign w:val="bottom"/>
            <w:vMerge w:val="restart"/>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10,739</w:t>
            </w:r>
          </w:p>
        </w:tc>
        <w:tc>
          <w:tcPr>
            <w:tcW w:w="100" w:type="dxa"/>
            <w:vAlign w:val="bottom"/>
            <w:shd w:val="clear" w:color="auto" w:fill="E0E7ED"/>
          </w:tcPr>
          <w:p>
            <w:pPr>
              <w:spacing w:after="0"/>
              <w:rPr>
                <w:sz w:val="19"/>
                <w:szCs w:val="19"/>
                <w:color w:val="auto"/>
              </w:rPr>
            </w:pPr>
          </w:p>
        </w:tc>
        <w:tc>
          <w:tcPr>
            <w:tcW w:w="1040" w:type="dxa"/>
            <w:vAlign w:val="bottom"/>
            <w:vMerge w:val="restart"/>
            <w:shd w:val="clear" w:color="auto" w:fill="E0E7ED"/>
          </w:tcPr>
          <w:p>
            <w:pPr>
              <w:jc w:val="right"/>
              <w:ind w:right="819"/>
              <w:spacing w:after="0"/>
              <w:rPr>
                <w:sz w:val="20"/>
                <w:szCs w:val="20"/>
                <w:color w:val="auto"/>
              </w:rPr>
            </w:pPr>
            <w:r>
              <w:rPr>
                <w:rFonts w:ascii="Verdana" w:cs="Verdana" w:eastAsia="Verdana" w:hAnsi="Verdana"/>
                <w:sz w:val="18"/>
                <w:szCs w:val="18"/>
                <w:color w:val="auto"/>
              </w:rPr>
              <w:t>$</w:t>
            </w:r>
          </w:p>
        </w:tc>
        <w:tc>
          <w:tcPr>
            <w:tcW w:w="440" w:type="dxa"/>
            <w:vAlign w:val="bottom"/>
            <w:vMerge w:val="restart"/>
            <w:shd w:val="clear" w:color="auto" w:fill="E0E7ED"/>
          </w:tcPr>
          <w:p>
            <w:pPr>
              <w:jc w:val="right"/>
              <w:ind w:right="10"/>
              <w:spacing w:after="0"/>
              <w:rPr>
                <w:sz w:val="20"/>
                <w:szCs w:val="20"/>
                <w:color w:val="auto"/>
              </w:rPr>
            </w:pPr>
            <w:r>
              <w:rPr>
                <w:rFonts w:ascii="Verdana" w:cs="Verdana" w:eastAsia="Verdana" w:hAnsi="Verdana"/>
                <w:sz w:val="18"/>
                <w:szCs w:val="18"/>
                <w:color w:val="auto"/>
              </w:rPr>
              <w:t>82</w:t>
            </w:r>
          </w:p>
        </w:tc>
        <w:tc>
          <w:tcPr>
            <w:tcW w:w="80" w:type="dxa"/>
            <w:vAlign w:val="bottom"/>
            <w:shd w:val="clear" w:color="auto" w:fill="E0E7ED"/>
          </w:tcPr>
          <w:p>
            <w:pPr>
              <w:spacing w:after="0"/>
              <w:rPr>
                <w:sz w:val="19"/>
                <w:szCs w:val="19"/>
                <w:color w:val="auto"/>
              </w:rPr>
            </w:pPr>
          </w:p>
        </w:tc>
        <w:tc>
          <w:tcPr>
            <w:tcW w:w="300" w:type="dxa"/>
            <w:vAlign w:val="bottom"/>
            <w:vMerge w:val="restart"/>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vMerge w:val="restart"/>
            <w:shd w:val="clear" w:color="auto" w:fill="E0E7ED"/>
          </w:tcPr>
          <w:p>
            <w:pPr>
              <w:jc w:val="right"/>
              <w:ind w:right="19"/>
              <w:spacing w:after="0"/>
              <w:rPr>
                <w:sz w:val="20"/>
                <w:szCs w:val="20"/>
                <w:color w:val="auto"/>
              </w:rPr>
            </w:pPr>
            <w:r>
              <w:rPr>
                <w:rFonts w:ascii="Verdana" w:cs="Verdana" w:eastAsia="Verdana" w:hAnsi="Verdana"/>
                <w:sz w:val="18"/>
                <w:szCs w:val="18"/>
                <w:color w:val="auto"/>
              </w:rPr>
              <w:t>6,831</w:t>
            </w:r>
          </w:p>
        </w:tc>
        <w:tc>
          <w:tcPr>
            <w:tcW w:w="80" w:type="dxa"/>
            <w:vAlign w:val="bottom"/>
            <w:shd w:val="clear" w:color="auto" w:fill="E0E7ED"/>
          </w:tcPr>
          <w:p>
            <w:pPr>
              <w:spacing w:after="0"/>
              <w:rPr>
                <w:sz w:val="19"/>
                <w:szCs w:val="19"/>
                <w:color w:val="auto"/>
              </w:rPr>
            </w:pPr>
          </w:p>
        </w:tc>
        <w:tc>
          <w:tcPr>
            <w:tcW w:w="340" w:type="dxa"/>
            <w:vAlign w:val="bottom"/>
            <w:vMerge w:val="restart"/>
            <w:shd w:val="clear" w:color="auto" w:fill="E0E7ED"/>
          </w:tcPr>
          <w:p>
            <w:pPr>
              <w:jc w:val="right"/>
              <w:ind w:right="110"/>
              <w:spacing w:after="0"/>
              <w:rPr>
                <w:sz w:val="20"/>
                <w:szCs w:val="20"/>
                <w:color w:val="auto"/>
              </w:rPr>
            </w:pPr>
            <w:r>
              <w:rPr>
                <w:rFonts w:ascii="Verdana" w:cs="Verdana" w:eastAsia="Verdana" w:hAnsi="Verdana"/>
                <w:sz w:val="18"/>
                <w:szCs w:val="18"/>
                <w:color w:val="auto"/>
              </w:rPr>
              <w:t>$</w:t>
            </w:r>
          </w:p>
        </w:tc>
        <w:tc>
          <w:tcPr>
            <w:tcW w:w="114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57</w:t>
            </w:r>
          </w:p>
        </w:tc>
        <w:tc>
          <w:tcPr>
            <w:tcW w:w="0" w:type="dxa"/>
            <w:vAlign w:val="bottom"/>
          </w:tcPr>
          <w:p>
            <w:pPr>
              <w:spacing w:after="0"/>
              <w:rPr>
                <w:sz w:val="1"/>
                <w:szCs w:val="1"/>
                <w:color w:val="auto"/>
              </w:rPr>
            </w:pPr>
          </w:p>
        </w:tc>
      </w:tr>
      <w:tr>
        <w:trPr>
          <w:trHeight w:val="241"/>
        </w:trPr>
        <w:tc>
          <w:tcPr>
            <w:tcW w:w="34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liabilities</w:t>
            </w:r>
          </w:p>
        </w:tc>
        <w:tc>
          <w:tcPr>
            <w:tcW w:w="1480" w:type="dxa"/>
            <w:vAlign w:val="bottom"/>
            <w:tcBorders>
              <w:bottom w:val="single" w:sz="8" w:color="E0E7ED"/>
            </w:tcBorders>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300" w:type="dxa"/>
            <w:vAlign w:val="bottom"/>
            <w:tcBorders>
              <w:bottom w:val="single" w:sz="8" w:color="auto"/>
            </w:tcBorders>
            <w:vMerge w:val="continue"/>
            <w:shd w:val="clear" w:color="auto" w:fill="E0E7ED"/>
          </w:tcPr>
          <w:p>
            <w:pPr>
              <w:spacing w:after="0"/>
              <w:rPr>
                <w:sz w:val="20"/>
                <w:szCs w:val="20"/>
                <w:color w:val="auto"/>
              </w:rPr>
            </w:pPr>
          </w:p>
        </w:tc>
        <w:tc>
          <w:tcPr>
            <w:tcW w:w="1200" w:type="dxa"/>
            <w:vAlign w:val="bottom"/>
            <w:tcBorders>
              <w:bottom w:val="single" w:sz="8" w:color="auto"/>
            </w:tcBorders>
            <w:vMerge w:val="continue"/>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1040" w:type="dxa"/>
            <w:vAlign w:val="bottom"/>
            <w:tcBorders>
              <w:bottom w:val="single" w:sz="8" w:color="auto"/>
            </w:tcBorders>
            <w:vMerge w:val="continue"/>
            <w:shd w:val="clear" w:color="auto" w:fill="E0E7ED"/>
          </w:tcPr>
          <w:p>
            <w:pPr>
              <w:spacing w:after="0"/>
              <w:rPr>
                <w:sz w:val="20"/>
                <w:szCs w:val="20"/>
                <w:color w:val="auto"/>
              </w:rPr>
            </w:pPr>
          </w:p>
        </w:tc>
        <w:tc>
          <w:tcPr>
            <w:tcW w:w="44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300" w:type="dxa"/>
            <w:vAlign w:val="bottom"/>
            <w:tcBorders>
              <w:bottom w:val="single" w:sz="8" w:color="auto"/>
            </w:tcBorders>
            <w:vMerge w:val="continue"/>
            <w:shd w:val="clear" w:color="auto" w:fill="E0E7ED"/>
          </w:tcPr>
          <w:p>
            <w:pPr>
              <w:spacing w:after="0"/>
              <w:rPr>
                <w:sz w:val="20"/>
                <w:szCs w:val="20"/>
                <w:color w:val="auto"/>
              </w:rPr>
            </w:pPr>
          </w:p>
        </w:tc>
        <w:tc>
          <w:tcPr>
            <w:tcW w:w="120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340" w:type="dxa"/>
            <w:vAlign w:val="bottom"/>
            <w:tcBorders>
              <w:bottom w:val="single" w:sz="8" w:color="auto"/>
            </w:tcBorders>
            <w:vMerge w:val="continue"/>
            <w:shd w:val="clear" w:color="auto" w:fill="E0E7ED"/>
          </w:tcPr>
          <w:p>
            <w:pPr>
              <w:spacing w:after="0"/>
              <w:rPr>
                <w:sz w:val="20"/>
                <w:szCs w:val="20"/>
                <w:color w:val="auto"/>
              </w:rPr>
            </w:pPr>
          </w:p>
        </w:tc>
        <w:tc>
          <w:tcPr>
            <w:tcW w:w="1140" w:type="dxa"/>
            <w:vAlign w:val="bottom"/>
            <w:tcBorders>
              <w:bottom w:val="single" w:sz="8" w:color="auto"/>
            </w:tcBorders>
            <w:vMerge w:val="continue"/>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E0E7ED"/>
            </w:tcBorders>
          </w:tcPr>
          <w:p>
            <w:pPr>
              <w:spacing w:after="0" w:line="20" w:lineRule="exact"/>
              <w:rPr>
                <w:sz w:val="1"/>
                <w:szCs w:val="1"/>
                <w:color w:val="auto"/>
              </w:rPr>
            </w:pPr>
          </w:p>
        </w:tc>
        <w:tc>
          <w:tcPr>
            <w:tcW w:w="148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040" w:type="dxa"/>
            <w:vAlign w:val="bottom"/>
            <w:tcBorders>
              <w:top w:val="single" w:sz="8" w:color="E0E7ED"/>
              <w:bottom w:val="single" w:sz="8" w:color="auto"/>
            </w:tcBorders>
          </w:tcPr>
          <w:p>
            <w:pPr>
              <w:spacing w:after="0" w:line="20" w:lineRule="exact"/>
              <w:rPr>
                <w:sz w:val="1"/>
                <w:szCs w:val="1"/>
                <w:color w:val="auto"/>
              </w:rPr>
            </w:pPr>
          </w:p>
        </w:tc>
        <w:tc>
          <w:tcPr>
            <w:tcW w:w="4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57" w:name="page58"/>
    <w:bookmarkEnd w:id="57"/>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 xml:space="preserve">Gains and losses relating to these derivative instruments are reported in noninterest income, and are summarized as follows for the periods presented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80" w:type="dxa"/>
            <w:vAlign w:val="bottom"/>
            <w:gridSpan w:val="5"/>
          </w:tcPr>
          <w:p>
            <w:pPr>
              <w:ind w:left="80"/>
              <w:spacing w:after="0"/>
              <w:rPr>
                <w:sz w:val="20"/>
                <w:szCs w:val="20"/>
                <w:color w:val="auto"/>
              </w:rPr>
            </w:pPr>
            <w:r>
              <w:rPr>
                <w:rFonts w:ascii="Verdana" w:cs="Verdana" w:eastAsia="Verdana" w:hAnsi="Verdana"/>
                <w:sz w:val="13"/>
                <w:szCs w:val="13"/>
                <w:b w:val="1"/>
                <w:bCs w:val="1"/>
                <w:color w:val="auto"/>
              </w:rPr>
              <w:t>Three Months Ended September 30,</w:t>
            </w:r>
          </w:p>
        </w:tc>
        <w:tc>
          <w:tcPr>
            <w:tcW w:w="220" w:type="dxa"/>
            <w:vAlign w:val="bottom"/>
          </w:tcPr>
          <w:p>
            <w:pPr>
              <w:spacing w:after="0"/>
              <w:rPr>
                <w:sz w:val="15"/>
                <w:szCs w:val="15"/>
                <w:color w:val="auto"/>
              </w:rPr>
            </w:pPr>
          </w:p>
        </w:tc>
        <w:tc>
          <w:tcPr>
            <w:tcW w:w="2840" w:type="dxa"/>
            <w:vAlign w:val="bottom"/>
            <w:gridSpan w:val="4"/>
          </w:tcPr>
          <w:p>
            <w:pPr>
              <w:jc w:val="right"/>
              <w:ind w:right="237"/>
              <w:spacing w:after="0"/>
              <w:rPr>
                <w:sz w:val="20"/>
                <w:szCs w:val="20"/>
                <w:color w:val="auto"/>
              </w:rPr>
            </w:pPr>
            <w:r>
              <w:rPr>
                <w:rFonts w:ascii="Verdana" w:cs="Verdana" w:eastAsia="Verdana" w:hAnsi="Verdana"/>
                <w:sz w:val="13"/>
                <w:szCs w:val="13"/>
                <w:b w:val="1"/>
                <w:bCs w:val="1"/>
                <w:color w:val="auto"/>
                <w:w w:val="99"/>
              </w:rPr>
              <w:t>Nine Months Ended September 30,</w:t>
            </w:r>
          </w:p>
        </w:tc>
      </w:tr>
      <w:tr>
        <w:trPr>
          <w:trHeight w:val="170"/>
        </w:trPr>
        <w:tc>
          <w:tcPr>
            <w:tcW w:w="4980" w:type="dxa"/>
            <w:vAlign w:val="bottom"/>
            <w:tcBorders>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481"/>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77"/>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481"/>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77"/>
              <w:spacing w:after="0"/>
              <w:rPr>
                <w:sz w:val="20"/>
                <w:szCs w:val="20"/>
                <w:color w:val="auto"/>
              </w:rPr>
            </w:pPr>
            <w:r>
              <w:rPr>
                <w:rFonts w:ascii="Verdana" w:cs="Verdana" w:eastAsia="Verdana" w:hAnsi="Verdana"/>
                <w:sz w:val="13"/>
                <w:szCs w:val="13"/>
                <w:b w:val="1"/>
                <w:bCs w:val="1"/>
                <w:color w:val="auto"/>
              </w:rPr>
              <w:t>2023</w:t>
            </w:r>
          </w:p>
        </w:tc>
      </w:tr>
      <w:tr>
        <w:trPr>
          <w:trHeight w:val="223"/>
        </w:trPr>
        <w:tc>
          <w:tcPr>
            <w:tcW w:w="49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Net gains (losses) on mortgage banking</w:t>
            </w:r>
          </w:p>
        </w:tc>
        <w:tc>
          <w:tcPr>
            <w:tcW w:w="220" w:type="dxa"/>
            <w:vAlign w:val="bottom"/>
            <w:shd w:val="clear" w:color="auto" w:fill="E0E7ED"/>
          </w:tcPr>
          <w:p>
            <w:pPr>
              <w:spacing w:after="0"/>
              <w:rPr>
                <w:sz w:val="19"/>
                <w:szCs w:val="19"/>
                <w:color w:val="auto"/>
              </w:rPr>
            </w:pPr>
          </w:p>
        </w:tc>
        <w:tc>
          <w:tcPr>
            <w:tcW w:w="128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60" w:type="dxa"/>
            <w:vAlign w:val="bottom"/>
            <w:shd w:val="clear" w:color="auto" w:fill="E0E7ED"/>
          </w:tcPr>
          <w:p>
            <w:pPr>
              <w:spacing w:after="0"/>
              <w:rPr>
                <w:sz w:val="19"/>
                <w:szCs w:val="19"/>
                <w:color w:val="auto"/>
              </w:rPr>
            </w:pPr>
          </w:p>
        </w:tc>
        <w:tc>
          <w:tcPr>
            <w:tcW w:w="114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220" w:type="dxa"/>
            <w:vAlign w:val="bottom"/>
            <w:shd w:val="clear" w:color="auto" w:fill="E0E7ED"/>
          </w:tcPr>
          <w:p>
            <w:pPr>
              <w:spacing w:after="0"/>
              <w:rPr>
                <w:sz w:val="19"/>
                <w:szCs w:val="19"/>
                <w:color w:val="auto"/>
              </w:rPr>
            </w:pPr>
          </w:p>
        </w:tc>
        <w:tc>
          <w:tcPr>
            <w:tcW w:w="126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40" w:type="dxa"/>
            <w:vAlign w:val="bottom"/>
            <w:shd w:val="clear" w:color="auto" w:fill="E0E7ED"/>
          </w:tcPr>
          <w:p>
            <w:pPr>
              <w:spacing w:after="0"/>
              <w:rPr>
                <w:sz w:val="19"/>
                <w:szCs w:val="19"/>
                <w:color w:val="auto"/>
              </w:rPr>
            </w:pPr>
          </w:p>
        </w:tc>
        <w:tc>
          <w:tcPr>
            <w:tcW w:w="1140" w:type="dxa"/>
            <w:vAlign w:val="bottom"/>
            <w:shd w:val="clear" w:color="auto" w:fill="E0E7ED"/>
          </w:tcPr>
          <w:p>
            <w:pPr>
              <w:spacing w:after="0"/>
              <w:rPr>
                <w:sz w:val="19"/>
                <w:szCs w:val="19"/>
                <w:color w:val="auto"/>
              </w:rPr>
            </w:pPr>
          </w:p>
        </w:tc>
      </w:tr>
      <w:tr>
        <w:trPr>
          <w:trHeight w:val="248"/>
        </w:trPr>
        <w:tc>
          <w:tcPr>
            <w:tcW w:w="49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derivatives</w:t>
            </w:r>
          </w:p>
        </w:tc>
        <w:tc>
          <w:tcPr>
            <w:tcW w:w="22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Gains (losses) on interest rate lock commitments</w:t>
            </w: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ind w:right="1"/>
              <w:spacing w:after="0"/>
              <w:rPr>
                <w:sz w:val="20"/>
                <w:szCs w:val="20"/>
                <w:color w:val="auto"/>
              </w:rPr>
            </w:pPr>
            <w:r>
              <w:rPr>
                <w:rFonts w:ascii="Verdana" w:cs="Verdana" w:eastAsia="Verdana" w:hAnsi="Verdana"/>
                <w:sz w:val="18"/>
                <w:szCs w:val="18"/>
                <w:color w:val="auto"/>
              </w:rPr>
              <w:t>121</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Pr>
          <w:p>
            <w:pPr>
              <w:jc w:val="center"/>
              <w:ind w:left="617"/>
              <w:spacing w:after="0"/>
              <w:rPr>
                <w:sz w:val="20"/>
                <w:szCs w:val="20"/>
                <w:color w:val="auto"/>
              </w:rPr>
            </w:pPr>
            <w:r>
              <w:rPr>
                <w:rFonts w:ascii="Verdana" w:cs="Verdana" w:eastAsia="Verdana" w:hAnsi="Verdana"/>
                <w:sz w:val="18"/>
                <w:szCs w:val="18"/>
                <w:color w:val="auto"/>
              </w:rPr>
              <w:t>(16)</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260" w:type="dxa"/>
            <w:vAlign w:val="bottom"/>
          </w:tcPr>
          <w:p>
            <w:pPr>
              <w:jc w:val="center"/>
              <w:ind w:left="661"/>
              <w:spacing w:after="0"/>
              <w:rPr>
                <w:sz w:val="20"/>
                <w:szCs w:val="20"/>
                <w:color w:val="auto"/>
              </w:rPr>
            </w:pPr>
            <w:r>
              <w:rPr>
                <w:rFonts w:ascii="Verdana" w:cs="Verdana" w:eastAsia="Verdana" w:hAnsi="Verdana"/>
                <w:sz w:val="18"/>
                <w:szCs w:val="18"/>
                <w:color w:val="auto"/>
              </w:rPr>
              <w:t>569</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140" w:type="dxa"/>
            <w:vAlign w:val="bottom"/>
          </w:tcPr>
          <w:p>
            <w:pPr>
              <w:jc w:val="center"/>
              <w:ind w:left="617"/>
              <w:spacing w:after="0"/>
              <w:rPr>
                <w:sz w:val="20"/>
                <w:szCs w:val="20"/>
                <w:color w:val="auto"/>
              </w:rPr>
            </w:pPr>
            <w:r>
              <w:rPr>
                <w:rFonts w:ascii="Verdana" w:cs="Verdana" w:eastAsia="Verdana" w:hAnsi="Verdana"/>
                <w:sz w:val="18"/>
                <w:szCs w:val="18"/>
                <w:color w:val="auto"/>
              </w:rPr>
              <w:t>(28)</w:t>
            </w:r>
          </w:p>
        </w:tc>
      </w:tr>
      <w:tr>
        <w:trPr>
          <w:trHeight w:val="270"/>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Gains (losses) on forward sales commitments</w:t>
            </w:r>
          </w:p>
        </w:tc>
        <w:tc>
          <w:tcPr>
            <w:tcW w:w="220" w:type="dxa"/>
            <w:vAlign w:val="bottom"/>
            <w:tcBorders>
              <w:bottom w:val="single" w:sz="8" w:color="auto"/>
            </w:tcBorders>
            <w:shd w:val="clear" w:color="auto" w:fill="E0E7ED"/>
          </w:tcPr>
          <w:p>
            <w:pPr>
              <w:spacing w:after="0"/>
              <w:rPr>
                <w:sz w:val="23"/>
                <w:szCs w:val="23"/>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(91)</w:t>
            </w:r>
          </w:p>
        </w:tc>
        <w:tc>
          <w:tcPr>
            <w:tcW w:w="100" w:type="dxa"/>
            <w:vAlign w:val="bottom"/>
            <w:shd w:val="clear" w:color="auto" w:fill="E0E7ED"/>
          </w:tcPr>
          <w:p>
            <w:pPr>
              <w:spacing w:after="0"/>
              <w:rPr>
                <w:sz w:val="23"/>
                <w:szCs w:val="23"/>
                <w:color w:val="auto"/>
              </w:rPr>
            </w:pPr>
          </w:p>
        </w:tc>
        <w:tc>
          <w:tcPr>
            <w:tcW w:w="360" w:type="dxa"/>
            <w:vAlign w:val="bottom"/>
            <w:tcBorders>
              <w:bottom w:val="single" w:sz="8" w:color="auto"/>
            </w:tcBorders>
            <w:shd w:val="clear" w:color="auto" w:fill="E0E7ED"/>
          </w:tcPr>
          <w:p>
            <w:pPr>
              <w:spacing w:after="0"/>
              <w:rPr>
                <w:sz w:val="23"/>
                <w:szCs w:val="23"/>
                <w:color w:val="auto"/>
              </w:rPr>
            </w:pPr>
          </w:p>
        </w:tc>
        <w:tc>
          <w:tcPr>
            <w:tcW w:w="1140" w:type="dxa"/>
            <w:vAlign w:val="bottom"/>
            <w:tcBorders>
              <w:bottom w:val="single" w:sz="8" w:color="auto"/>
            </w:tcBorders>
            <w:shd w:val="clear" w:color="auto" w:fill="E0E7ED"/>
          </w:tcPr>
          <w:p>
            <w:pPr>
              <w:jc w:val="center"/>
              <w:ind w:left="657"/>
              <w:spacing w:after="0"/>
              <w:rPr>
                <w:sz w:val="20"/>
                <w:szCs w:val="20"/>
                <w:color w:val="auto"/>
              </w:rPr>
            </w:pPr>
            <w:r>
              <w:rPr>
                <w:rFonts w:ascii="Verdana" w:cs="Verdana" w:eastAsia="Verdana" w:hAnsi="Verdana"/>
                <w:sz w:val="18"/>
                <w:szCs w:val="18"/>
                <w:color w:val="auto"/>
              </w:rPr>
              <w:t>60</w:t>
            </w:r>
          </w:p>
        </w:tc>
        <w:tc>
          <w:tcPr>
            <w:tcW w:w="100" w:type="dxa"/>
            <w:vAlign w:val="bottom"/>
            <w:shd w:val="clear" w:color="auto" w:fill="E0E7ED"/>
          </w:tcPr>
          <w:p>
            <w:pPr>
              <w:spacing w:after="0"/>
              <w:rPr>
                <w:sz w:val="23"/>
                <w:szCs w:val="23"/>
                <w:color w:val="auto"/>
              </w:rPr>
            </w:pPr>
          </w:p>
        </w:tc>
        <w:tc>
          <w:tcPr>
            <w:tcW w:w="22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center"/>
              <w:ind w:left="621"/>
              <w:spacing w:after="0"/>
              <w:rPr>
                <w:sz w:val="20"/>
                <w:szCs w:val="20"/>
                <w:color w:val="auto"/>
              </w:rPr>
            </w:pPr>
            <w:r>
              <w:rPr>
                <w:rFonts w:ascii="Verdana" w:cs="Verdana" w:eastAsia="Verdana" w:hAnsi="Verdana"/>
                <w:sz w:val="18"/>
                <w:szCs w:val="18"/>
                <w:color w:val="auto"/>
              </w:rPr>
              <w:t>(165)</w:t>
            </w:r>
          </w:p>
        </w:tc>
        <w:tc>
          <w:tcPr>
            <w:tcW w:w="100" w:type="dxa"/>
            <w:vAlign w:val="bottom"/>
            <w:shd w:val="clear" w:color="auto" w:fill="E0E7ED"/>
          </w:tcPr>
          <w:p>
            <w:pPr>
              <w:spacing w:after="0"/>
              <w:rPr>
                <w:sz w:val="23"/>
                <w:szCs w:val="23"/>
                <w:color w:val="auto"/>
              </w:rPr>
            </w:pPr>
          </w:p>
        </w:tc>
        <w:tc>
          <w:tcPr>
            <w:tcW w:w="340" w:type="dxa"/>
            <w:vAlign w:val="bottom"/>
            <w:tcBorders>
              <w:bottom w:val="single" w:sz="8" w:color="auto"/>
            </w:tcBorders>
            <w:shd w:val="clear" w:color="auto" w:fill="E0E7ED"/>
          </w:tcPr>
          <w:p>
            <w:pPr>
              <w:spacing w:after="0"/>
              <w:rPr>
                <w:sz w:val="23"/>
                <w:szCs w:val="23"/>
                <w:color w:val="auto"/>
              </w:rPr>
            </w:pPr>
          </w:p>
        </w:tc>
        <w:tc>
          <w:tcPr>
            <w:tcW w:w="1140" w:type="dxa"/>
            <w:vAlign w:val="bottom"/>
            <w:tcBorders>
              <w:bottom w:val="single" w:sz="8" w:color="auto"/>
            </w:tcBorders>
            <w:shd w:val="clear" w:color="auto" w:fill="E0E7ED"/>
          </w:tcPr>
          <w:p>
            <w:pPr>
              <w:jc w:val="center"/>
              <w:ind w:left="657"/>
              <w:spacing w:after="0"/>
              <w:rPr>
                <w:sz w:val="20"/>
                <w:szCs w:val="20"/>
                <w:color w:val="auto"/>
              </w:rPr>
            </w:pPr>
            <w:r>
              <w:rPr>
                <w:rFonts w:ascii="Verdana" w:cs="Verdana" w:eastAsia="Verdana" w:hAnsi="Verdana"/>
                <w:sz w:val="18"/>
                <w:szCs w:val="18"/>
                <w:color w:val="auto"/>
              </w:rPr>
              <w:t>92</w:t>
            </w:r>
          </w:p>
        </w:tc>
      </w:tr>
      <w:tr>
        <w:trPr>
          <w:trHeight w:val="270"/>
        </w:trPr>
        <w:tc>
          <w:tcPr>
            <w:tcW w:w="4980" w:type="dxa"/>
            <w:vAlign w:val="bottom"/>
          </w:tcPr>
          <w:p>
            <w:pPr>
              <w:ind w:left="20"/>
              <w:spacing w:after="0"/>
              <w:rPr>
                <w:sz w:val="20"/>
                <w:szCs w:val="20"/>
                <w:color w:val="auto"/>
              </w:rPr>
            </w:pPr>
            <w:r>
              <w:rPr>
                <w:rFonts w:ascii="Verdana" w:cs="Verdana" w:eastAsia="Verdana" w:hAnsi="Verdana"/>
                <w:sz w:val="18"/>
                <w:szCs w:val="18"/>
                <w:color w:val="auto"/>
              </w:rPr>
              <w:t>Net gains (losses) on mortgage banking derivatives</w:t>
            </w:r>
          </w:p>
        </w:tc>
        <w:tc>
          <w:tcPr>
            <w:tcW w:w="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Borders>
              <w:bottom w:val="single" w:sz="8" w:color="auto"/>
            </w:tcBorders>
          </w:tcPr>
          <w:p>
            <w:pPr>
              <w:jc w:val="right"/>
              <w:ind w:right="1"/>
              <w:spacing w:after="0"/>
              <w:rPr>
                <w:sz w:val="20"/>
                <w:szCs w:val="20"/>
                <w:color w:val="auto"/>
              </w:rPr>
            </w:pPr>
            <w:r>
              <w:rPr>
                <w:rFonts w:ascii="Verdana" w:cs="Verdana" w:eastAsia="Verdana" w:hAnsi="Verdana"/>
                <w:sz w:val="18"/>
                <w:szCs w:val="18"/>
                <w:color w:val="auto"/>
              </w:rPr>
              <w:t>30</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Borders>
              <w:bottom w:val="single" w:sz="8" w:color="auto"/>
            </w:tcBorders>
          </w:tcPr>
          <w:p>
            <w:pPr>
              <w:jc w:val="center"/>
              <w:ind w:left="657"/>
              <w:spacing w:after="0"/>
              <w:rPr>
                <w:sz w:val="20"/>
                <w:szCs w:val="20"/>
                <w:color w:val="auto"/>
              </w:rPr>
            </w:pPr>
            <w:r>
              <w:rPr>
                <w:rFonts w:ascii="Verdana" w:cs="Verdana" w:eastAsia="Verdana" w:hAnsi="Verdana"/>
                <w:sz w:val="18"/>
                <w:szCs w:val="18"/>
                <w:color w:val="auto"/>
              </w:rPr>
              <w:t>44</w:t>
            </w:r>
          </w:p>
        </w:tc>
        <w:tc>
          <w:tcPr>
            <w:tcW w:w="100" w:type="dxa"/>
            <w:vAlign w:val="bottom"/>
          </w:tcPr>
          <w:p>
            <w:pPr>
              <w:spacing w:after="0"/>
              <w:rPr>
                <w:sz w:val="23"/>
                <w:szCs w:val="23"/>
                <w:color w:val="auto"/>
              </w:rPr>
            </w:pPr>
          </w:p>
        </w:tc>
        <w:tc>
          <w:tcPr>
            <w:tcW w:w="22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8"/>
                <w:szCs w:val="18"/>
                <w:color w:val="auto"/>
                <w:w w:val="86"/>
              </w:rPr>
              <w:t>$</w:t>
            </w:r>
          </w:p>
        </w:tc>
        <w:tc>
          <w:tcPr>
            <w:tcW w:w="1260" w:type="dxa"/>
            <w:vAlign w:val="bottom"/>
            <w:tcBorders>
              <w:bottom w:val="single" w:sz="8" w:color="auto"/>
            </w:tcBorders>
          </w:tcPr>
          <w:p>
            <w:pPr>
              <w:jc w:val="center"/>
              <w:ind w:left="661"/>
              <w:spacing w:after="0"/>
              <w:rPr>
                <w:sz w:val="20"/>
                <w:szCs w:val="20"/>
                <w:color w:val="auto"/>
              </w:rPr>
            </w:pPr>
            <w:r>
              <w:rPr>
                <w:rFonts w:ascii="Verdana" w:cs="Verdana" w:eastAsia="Verdana" w:hAnsi="Verdana"/>
                <w:sz w:val="18"/>
                <w:szCs w:val="18"/>
                <w:color w:val="auto"/>
              </w:rPr>
              <w:t>404</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w w:val="86"/>
              </w:rPr>
              <w:t>$</w:t>
            </w:r>
          </w:p>
        </w:tc>
        <w:tc>
          <w:tcPr>
            <w:tcW w:w="1140" w:type="dxa"/>
            <w:vAlign w:val="bottom"/>
            <w:tcBorders>
              <w:bottom w:val="single" w:sz="8" w:color="auto"/>
            </w:tcBorders>
          </w:tcPr>
          <w:p>
            <w:pPr>
              <w:jc w:val="center"/>
              <w:ind w:left="657"/>
              <w:spacing w:after="0"/>
              <w:rPr>
                <w:sz w:val="20"/>
                <w:szCs w:val="20"/>
                <w:color w:val="auto"/>
              </w:rPr>
            </w:pPr>
            <w:r>
              <w:rPr>
                <w:rFonts w:ascii="Verdana" w:cs="Verdana" w:eastAsia="Verdana" w:hAnsi="Verdana"/>
                <w:sz w:val="18"/>
                <w:szCs w:val="18"/>
                <w:color w:val="auto"/>
              </w:rPr>
              <w:t>64</w:t>
            </w:r>
          </w:p>
        </w:tc>
      </w:tr>
      <w:tr>
        <w:trPr>
          <w:trHeight w:val="20"/>
        </w:trPr>
        <w:tc>
          <w:tcPr>
            <w:tcW w:w="4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13. FAIR VALUE MEASUREMENTS</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 xml:space="preserve">The fair value of an asset or liability is the price that would be received by selling that asset or paid in transferring that liability (exit price) in an orderly transaction occurring in the principal market (or most advantageous market in the absence of a principal market) for such asset or liability. ASC Topic 820 </w:t>
      </w:r>
      <w:r>
        <w:rPr>
          <w:rFonts w:ascii="Verdana" w:cs="Verdana" w:eastAsia="Verdana" w:hAnsi="Verdana"/>
          <w:sz w:val="18"/>
          <w:szCs w:val="18"/>
          <w:i w:val="1"/>
          <w:iCs w:val="1"/>
          <w:color w:val="auto"/>
        </w:rPr>
        <w:t>“Fair Value Measurement”</w:t>
      </w:r>
      <w:r>
        <w:rPr>
          <w:rFonts w:ascii="Verdana" w:cs="Verdana" w:eastAsia="Verdana" w:hAnsi="Verdana"/>
          <w:sz w:val="18"/>
          <w:szCs w:val="18"/>
          <w:color w:val="auto"/>
        </w:rPr>
        <w:t xml:space="preserve"> establishes a fair value hierarchy for valuation inputs that gives the highest priority to quoted prices in active markets for identical assets or liabilities and the lowest priority to unobservable inputs. The fair value hierarchy is as follows:</w:t>
      </w:r>
    </w:p>
    <w:p>
      <w:pPr>
        <w:spacing w:after="0" w:line="171" w:lineRule="exact"/>
        <w:rPr>
          <w:sz w:val="20"/>
          <w:szCs w:val="20"/>
          <w:color w:val="auto"/>
        </w:rPr>
      </w:pPr>
    </w:p>
    <w:p>
      <w:pPr>
        <w:ind w:left="660" w:right="20" w:hanging="328"/>
        <w:spacing w:after="0" w:line="254" w:lineRule="auto"/>
        <w:tabs>
          <w:tab w:leader="none" w:pos="650" w:val="left"/>
        </w:tabs>
        <w:numPr>
          <w:ilvl w:val="0"/>
          <w:numId w:val="19"/>
        </w:numPr>
        <w:rPr>
          <w:rFonts w:ascii="Verdana" w:cs="Verdana" w:eastAsia="Verdana" w:hAnsi="Verdana"/>
          <w:sz w:val="18"/>
          <w:szCs w:val="18"/>
          <w:color w:val="auto"/>
        </w:rPr>
      </w:pPr>
      <w:r>
        <w:rPr>
          <w:rFonts w:ascii="Verdana" w:cs="Verdana" w:eastAsia="Verdana" w:hAnsi="Verdana"/>
          <w:sz w:val="18"/>
          <w:szCs w:val="18"/>
          <w:i w:val="1"/>
          <w:iCs w:val="1"/>
          <w:color w:val="auto"/>
        </w:rPr>
        <w:t>Level 1 Inputs</w:t>
      </w:r>
      <w:r>
        <w:rPr>
          <w:rFonts w:ascii="Verdana" w:cs="Verdana" w:eastAsia="Verdana" w:hAnsi="Verdana"/>
          <w:sz w:val="18"/>
          <w:szCs w:val="18"/>
          <w:color w:val="auto"/>
        </w:rPr>
        <w:t>—Unadjusted quoted prices in active markets for identical assets or liabilities that the Company has</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the ability to access at the measurement date.</w:t>
      </w:r>
    </w:p>
    <w:p>
      <w:pPr>
        <w:spacing w:after="0" w:line="144" w:lineRule="exact"/>
        <w:rPr>
          <w:rFonts w:ascii="Verdana" w:cs="Verdana" w:eastAsia="Verdana" w:hAnsi="Verdana"/>
          <w:sz w:val="18"/>
          <w:szCs w:val="18"/>
          <w:color w:val="auto"/>
        </w:rPr>
      </w:pPr>
    </w:p>
    <w:p>
      <w:pPr>
        <w:jc w:val="both"/>
        <w:ind w:left="660" w:hanging="328"/>
        <w:spacing w:after="0" w:line="259" w:lineRule="auto"/>
        <w:tabs>
          <w:tab w:leader="none" w:pos="650" w:val="left"/>
        </w:tabs>
        <w:numPr>
          <w:ilvl w:val="0"/>
          <w:numId w:val="19"/>
        </w:numPr>
        <w:rPr>
          <w:rFonts w:ascii="Verdana" w:cs="Verdana" w:eastAsia="Verdana" w:hAnsi="Verdana"/>
          <w:sz w:val="17"/>
          <w:szCs w:val="17"/>
          <w:color w:val="auto"/>
        </w:rPr>
      </w:pPr>
      <w:r>
        <w:rPr>
          <w:rFonts w:ascii="Verdana" w:cs="Verdana" w:eastAsia="Verdana" w:hAnsi="Verdana"/>
          <w:sz w:val="17"/>
          <w:szCs w:val="17"/>
          <w:i w:val="1"/>
          <w:iCs w:val="1"/>
          <w:color w:val="auto"/>
        </w:rPr>
        <w:t>Level 2 Inputs</w:t>
      </w:r>
      <w:r>
        <w:rPr>
          <w:rFonts w:ascii="Verdana" w:cs="Verdana" w:eastAsia="Verdana" w:hAnsi="Verdana"/>
          <w:sz w:val="17"/>
          <w:szCs w:val="17"/>
          <w:color w:val="auto"/>
        </w:rPr>
        <w:t>—Inputs other than quoted prices included in Level 1 that are observable for the asset or liability,</w:t>
      </w:r>
      <w:r>
        <w:rPr>
          <w:rFonts w:ascii="Verdana" w:cs="Verdana" w:eastAsia="Verdana" w:hAnsi="Verdana"/>
          <w:sz w:val="17"/>
          <w:szCs w:val="17"/>
          <w:i w:val="1"/>
          <w:iCs w:val="1"/>
          <w:color w:val="auto"/>
        </w:rPr>
        <w:t xml:space="preserve"> </w:t>
      </w:r>
      <w:r>
        <w:rPr>
          <w:rFonts w:ascii="Verdana" w:cs="Verdana" w:eastAsia="Verdana" w:hAnsi="Verdana"/>
          <w:sz w:val="17"/>
          <w:szCs w:val="17"/>
          <w:color w:val="auto"/>
        </w:rPr>
        <w:t>either directly or indirectly. 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volatility, prepayment speeds, credit risks, etc.) or inputs that are derived principally from or corroborated by market data by correlation or other means.</w:t>
      </w:r>
    </w:p>
    <w:p>
      <w:pPr>
        <w:spacing w:after="0" w:line="140" w:lineRule="exact"/>
        <w:rPr>
          <w:rFonts w:ascii="Verdana" w:cs="Verdana" w:eastAsia="Verdana" w:hAnsi="Verdana"/>
          <w:sz w:val="17"/>
          <w:szCs w:val="17"/>
          <w:color w:val="auto"/>
        </w:rPr>
      </w:pPr>
    </w:p>
    <w:p>
      <w:pPr>
        <w:ind w:left="660" w:hanging="328"/>
        <w:spacing w:after="0" w:line="254" w:lineRule="auto"/>
        <w:tabs>
          <w:tab w:leader="none" w:pos="650" w:val="left"/>
        </w:tabs>
        <w:numPr>
          <w:ilvl w:val="0"/>
          <w:numId w:val="19"/>
        </w:numPr>
        <w:rPr>
          <w:rFonts w:ascii="Verdana" w:cs="Verdana" w:eastAsia="Verdana" w:hAnsi="Verdana"/>
          <w:sz w:val="18"/>
          <w:szCs w:val="18"/>
          <w:color w:val="auto"/>
        </w:rPr>
      </w:pPr>
      <w:r>
        <w:rPr>
          <w:rFonts w:ascii="Verdana" w:cs="Verdana" w:eastAsia="Verdana" w:hAnsi="Verdana"/>
          <w:sz w:val="18"/>
          <w:szCs w:val="18"/>
          <w:i w:val="1"/>
          <w:iCs w:val="1"/>
          <w:color w:val="auto"/>
        </w:rPr>
        <w:t>Level 3 Inputs</w:t>
      </w:r>
      <w:r>
        <w:rPr>
          <w:rFonts w:ascii="Verdana" w:cs="Verdana" w:eastAsia="Verdana" w:hAnsi="Verdana"/>
          <w:sz w:val="18"/>
          <w:szCs w:val="18"/>
          <w:color w:val="auto"/>
        </w:rPr>
        <w:t>—Unobservable inputs for estimating the fair values of assets or liabilities that reflect the Company’s</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own assumptions about the assumptions that market participants would use in pricing the assets or liabilities.</w:t>
      </w:r>
    </w:p>
    <w:p>
      <w:pPr>
        <w:spacing w:after="0" w:line="185"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A description of the valuation methodologies used for instruments measured at fair value, as well as the general classification of such instruments pursuant to the valuation hierarchy, is set forth below. These valuation methodologies were applied to Busey’s assets and liabilities that are carried at fair value.</w:t>
      </w:r>
    </w:p>
    <w:p>
      <w:pPr>
        <w:spacing w:after="0" w:line="167"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In general, fair value estimates are based upon quoted market prices, when available. If such quoted market prices are not available, fair values are estimated utilizing independent valuation techniques that consider identical or similar securities for which significant assumptions are derived primarily from or corroborated by observable data. Valuation adjustments may be made to ensure that financial instruments are recorded at their estimated fair values. These adjustments may include amounts to reflect, among other things, counterparty credit quality and the company's creditworthiness as well as unobservable parameters. Any such valuation adjustments are applied consistently over time. While management believes Busey's valuation methodologies are appropriate and consistent with other market participants, the use of different methodologies or assumptions to estimate the fair value of certain financial instruments could result in a different estimate of fair value at the reporting date.</w:t>
      </w: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58" w:name="page59"/>
    <w:bookmarkEnd w:id="58"/>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640"/>
        <w:spacing w:after="0" w:line="436" w:lineRule="auto"/>
        <w:rPr>
          <w:sz w:val="20"/>
          <w:szCs w:val="20"/>
          <w:color w:val="auto"/>
        </w:rPr>
      </w:pPr>
      <w:r>
        <w:rPr>
          <w:rFonts w:ascii="Verdana" w:cs="Verdana" w:eastAsia="Verdana" w:hAnsi="Verdana"/>
          <w:sz w:val="18"/>
          <w:szCs w:val="18"/>
          <w:b w:val="1"/>
          <w:bCs w:val="1"/>
          <w:i w:val="1"/>
          <w:iCs w:val="1"/>
          <w:color w:val="auto"/>
        </w:rPr>
        <w:t xml:space="preserve">Financial Assets and Financial Liabilities Measured at Fair Value on a Recurring Basis </w:t>
      </w:r>
      <w:r>
        <w:rPr>
          <w:rFonts w:ascii="Verdana" w:cs="Verdana" w:eastAsia="Verdana" w:hAnsi="Verdana"/>
          <w:sz w:val="18"/>
          <w:szCs w:val="18"/>
          <w:u w:val="single" w:color="auto"/>
          <w:color w:val="auto"/>
        </w:rPr>
        <w:t>Debt Securities Available for Sale</w:t>
      </w:r>
    </w:p>
    <w:p>
      <w:pPr>
        <w:spacing w:after="0" w:line="2"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Debt securities classified as available for sale are reported at fair value, which is estimated using Level 2 inputs. Busey obtains fair value measurements from an independent pricing service. The independent pricing service utilizes evaluated pricing models that vary by asset class and incorporate available trade, bid, and other market information. Because many fixed income securities do not trade on a daily basis, the independent pricing service applies available information to prepare evaluations, with a focus on observable market data such as benchmark curves, benchmarking of like securities, sector groupings, and matrix pricing.</w:t>
      </w:r>
    </w:p>
    <w:p>
      <w:pPr>
        <w:spacing w:after="0" w:line="159"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The independent pricing service uses model processes, such as the Option Adjusted Spread model, to assess interest rate impact and develop prepayment scenarios. Models and processes take into account market conventions. For each asset class, a team of evaluators gathers information from market sources and integrates relevant credit information, perceived market movements, and sector news into the evaluated pricing applications and models.</w:t>
      </w:r>
    </w:p>
    <w:p>
      <w:pPr>
        <w:spacing w:after="0" w:line="157"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Market inputs that the independent pricing service normally seeks for evaluations of securities, listed in approximate order of priority, include: benchmark yields, reported trades, broker/dealer quotes, issuer spreads, two-sided markets, benchmark securities, bids, offers, and reference data including market research publications. The independent pricing service also monitors market indicators, industry, and economic events. For certain security types, additional inputs may be used or some of the market inputs may not be applicable. Evaluators may prioritize inputs differently on any given day for any security based on market conditions, and not all inputs listed are available for use in the evaluation process for each security evaluation on a given day. Because the data utilized was observable, the securities have been classified as Level 2.</w:t>
      </w:r>
    </w:p>
    <w:p>
      <w:pPr>
        <w:spacing w:after="0" w:line="174"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Equity Securities</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Equity securities are reported at fair value, which is estimated using Level 1 or Level 2 inputs. Fair value measurements of mutual funds, when held, are estimated using unadjusted quoted prices in active markets for identical assets at the measurement date and are classified as Level 1. Fair value measurements of stock use quoted prices for identical or similar assets in markets that are not active and are classified as Level 2.</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Derivative Assets and Derivative Liabilities</w:t>
      </w:r>
    </w:p>
    <w:p>
      <w:pPr>
        <w:spacing w:after="0" w:line="186"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Busey’s derivative assets and derivative liabilities are reported at fair value, which is measured using Level 2 or Level 3 inputs. Fair values of derivative assets and liabilities are estimated based on prices that are obtained from a third-party which uses observable market inputs and, with the exception of our risk participation agreements, are classified as Level 2. Due to the significance of unobservable inputs, derivative assets related to our risk participation agreements are classified as Level 3.</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59" w:name="page60"/>
    <w:bookmarkEnd w:id="59"/>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 xml:space="preserve">The following tables summarize financial assets and financial liabilities measured at estimated fair value on a recurring basis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ind w:left="320"/>
              <w:spacing w:after="0"/>
              <w:rPr>
                <w:sz w:val="20"/>
                <w:szCs w:val="20"/>
                <w:color w:val="auto"/>
              </w:rPr>
            </w:pPr>
            <w:r>
              <w:rPr>
                <w:rFonts w:ascii="Verdana" w:cs="Verdana" w:eastAsia="Verdana" w:hAnsi="Verdana"/>
                <w:sz w:val="13"/>
                <w:szCs w:val="13"/>
                <w:b w:val="1"/>
                <w:bCs w:val="1"/>
                <w:color w:val="auto"/>
              </w:rPr>
              <w:t>As of September 30, 2024</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122"/>
        </w:trPr>
        <w:tc>
          <w:tcPr>
            <w:tcW w:w="4980" w:type="dxa"/>
            <w:vAlign w:val="bottom"/>
          </w:tcPr>
          <w:p>
            <w:pPr>
              <w:spacing w:after="0"/>
              <w:rPr>
                <w:sz w:val="10"/>
                <w:szCs w:val="10"/>
                <w:color w:val="auto"/>
              </w:rPr>
            </w:pPr>
          </w:p>
        </w:tc>
        <w:tc>
          <w:tcPr>
            <w:tcW w:w="1040" w:type="dxa"/>
            <w:vAlign w:val="bottom"/>
          </w:tcPr>
          <w:p>
            <w:pPr>
              <w:ind w:left="500"/>
              <w:spacing w:after="0" w:line="122" w:lineRule="exact"/>
              <w:rPr>
                <w:sz w:val="20"/>
                <w:szCs w:val="20"/>
                <w:color w:val="auto"/>
              </w:rPr>
            </w:pPr>
            <w:r>
              <w:rPr>
                <w:rFonts w:ascii="Verdana" w:cs="Verdana" w:eastAsia="Verdana" w:hAnsi="Verdana"/>
                <w:sz w:val="13"/>
                <w:szCs w:val="13"/>
                <w:b w:val="1"/>
                <w:bCs w:val="1"/>
                <w:color w:val="auto"/>
                <w:w w:val="99"/>
              </w:rPr>
              <w:t>Level 1</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80" w:type="dxa"/>
            <w:vAlign w:val="bottom"/>
            <w:gridSpan w:val="2"/>
          </w:tcPr>
          <w:p>
            <w:pPr>
              <w:ind w:left="180"/>
              <w:spacing w:after="0" w:line="122" w:lineRule="exact"/>
              <w:rPr>
                <w:sz w:val="20"/>
                <w:szCs w:val="20"/>
                <w:color w:val="auto"/>
              </w:rPr>
            </w:pPr>
            <w:r>
              <w:rPr>
                <w:rFonts w:ascii="Verdana" w:cs="Verdana" w:eastAsia="Verdana" w:hAnsi="Verdana"/>
                <w:sz w:val="13"/>
                <w:szCs w:val="13"/>
                <w:b w:val="1"/>
                <w:bCs w:val="1"/>
                <w:color w:val="auto"/>
              </w:rPr>
              <w:t>Level 2</w:t>
            </w:r>
          </w:p>
        </w:tc>
        <w:tc>
          <w:tcPr>
            <w:tcW w:w="1080" w:type="dxa"/>
            <w:vAlign w:val="bottom"/>
          </w:tcPr>
          <w:p>
            <w:pPr>
              <w:ind w:left="500"/>
              <w:spacing w:after="0" w:line="122" w:lineRule="exact"/>
              <w:rPr>
                <w:sz w:val="20"/>
                <w:szCs w:val="20"/>
                <w:color w:val="auto"/>
              </w:rPr>
            </w:pPr>
            <w:r>
              <w:rPr>
                <w:rFonts w:ascii="Verdana" w:cs="Verdana" w:eastAsia="Verdana" w:hAnsi="Verdana"/>
                <w:sz w:val="13"/>
                <w:szCs w:val="13"/>
                <w:b w:val="1"/>
                <w:bCs w:val="1"/>
                <w:color w:val="auto"/>
              </w:rPr>
              <w:t>Level 3</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jc w:val="center"/>
              <w:ind w:right="175"/>
              <w:spacing w:after="0" w:line="122" w:lineRule="exact"/>
              <w:rPr>
                <w:sz w:val="20"/>
                <w:szCs w:val="20"/>
                <w:color w:val="auto"/>
              </w:rPr>
            </w:pPr>
            <w:r>
              <w:rPr>
                <w:rFonts w:ascii="Verdana" w:cs="Verdana" w:eastAsia="Verdana" w:hAnsi="Verdana"/>
                <w:sz w:val="13"/>
                <w:szCs w:val="13"/>
                <w:b w:val="1"/>
                <w:bCs w:val="1"/>
                <w:color w:val="auto"/>
                <w:w w:val="91"/>
              </w:rPr>
              <w:t>Total</w:t>
            </w:r>
          </w:p>
        </w:tc>
      </w:tr>
      <w:tr>
        <w:trPr>
          <w:trHeight w:val="170"/>
        </w:trPr>
        <w:tc>
          <w:tcPr>
            <w:tcW w:w="4980" w:type="dxa"/>
            <w:vAlign w:val="bottom"/>
          </w:tcPr>
          <w:p>
            <w:pPr>
              <w:spacing w:after="0"/>
              <w:rPr>
                <w:sz w:val="14"/>
                <w:szCs w:val="14"/>
                <w:color w:val="auto"/>
              </w:rPr>
            </w:pPr>
          </w:p>
        </w:tc>
        <w:tc>
          <w:tcPr>
            <w:tcW w:w="1040" w:type="dxa"/>
            <w:vAlign w:val="bottom"/>
          </w:tcPr>
          <w:p>
            <w:pPr>
              <w:ind w:left="520"/>
              <w:spacing w:after="0"/>
              <w:rPr>
                <w:sz w:val="20"/>
                <w:szCs w:val="20"/>
                <w:color w:val="auto"/>
              </w:rPr>
            </w:pPr>
            <w:r>
              <w:rPr>
                <w:rFonts w:ascii="Verdana" w:cs="Verdana" w:eastAsia="Verdana" w:hAnsi="Verdana"/>
                <w:sz w:val="13"/>
                <w:szCs w:val="13"/>
                <w:b w:val="1"/>
                <w:bCs w:val="1"/>
                <w:color w:val="auto"/>
              </w:rPr>
              <w:t>Inputs</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Verdana" w:cs="Verdana" w:eastAsia="Verdana" w:hAnsi="Verdana"/>
                <w:sz w:val="13"/>
                <w:szCs w:val="13"/>
                <w:b w:val="1"/>
                <w:bCs w:val="1"/>
                <w:color w:val="auto"/>
              </w:rPr>
              <w:t>Inputs</w:t>
            </w:r>
          </w:p>
        </w:tc>
        <w:tc>
          <w:tcPr>
            <w:tcW w:w="1080" w:type="dxa"/>
            <w:vAlign w:val="bottom"/>
          </w:tcPr>
          <w:p>
            <w:pPr>
              <w:ind w:left="520"/>
              <w:spacing w:after="0"/>
              <w:rPr>
                <w:sz w:val="20"/>
                <w:szCs w:val="20"/>
                <w:color w:val="auto"/>
              </w:rPr>
            </w:pPr>
            <w:r>
              <w:rPr>
                <w:rFonts w:ascii="Verdana" w:cs="Verdana" w:eastAsia="Verdana" w:hAnsi="Verdana"/>
                <w:sz w:val="13"/>
                <w:szCs w:val="13"/>
                <w:b w:val="1"/>
                <w:bCs w:val="1"/>
                <w:color w:val="auto"/>
              </w:rPr>
              <w:t>Inputs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center"/>
              <w:ind w:right="175"/>
              <w:spacing w:after="0"/>
              <w:rPr>
                <w:sz w:val="20"/>
                <w:szCs w:val="20"/>
                <w:color w:val="auto"/>
              </w:rPr>
            </w:pPr>
            <w:r>
              <w:rPr>
                <w:rFonts w:ascii="Verdana" w:cs="Verdana" w:eastAsia="Verdana" w:hAnsi="Verdana"/>
                <w:sz w:val="13"/>
                <w:szCs w:val="13"/>
                <w:b w:val="1"/>
                <w:bCs w:val="1"/>
                <w:color w:val="auto"/>
                <w:w w:val="95"/>
              </w:rPr>
              <w:t>Fair Value</w:t>
            </w:r>
          </w:p>
        </w:tc>
      </w:tr>
      <w:tr>
        <w:trPr>
          <w:trHeight w:val="255"/>
        </w:trPr>
        <w:tc>
          <w:tcPr>
            <w:tcW w:w="49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Debt securities available for sale:</w:t>
            </w:r>
          </w:p>
        </w:tc>
        <w:tc>
          <w:tcPr>
            <w:tcW w:w="1040" w:type="dxa"/>
            <w:vAlign w:val="bottom"/>
            <w:tcBorders>
              <w:top w:val="single" w:sz="8" w:color="auto"/>
            </w:tcBorders>
            <w:shd w:val="clear" w:color="auto" w:fill="E0E7ED"/>
          </w:tcPr>
          <w:p>
            <w:pPr>
              <w:spacing w:after="0"/>
              <w:rPr>
                <w:sz w:val="22"/>
                <w:szCs w:val="22"/>
                <w:color w:val="auto"/>
              </w:rPr>
            </w:pPr>
          </w:p>
        </w:tc>
        <w:tc>
          <w:tcPr>
            <w:tcW w:w="4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320" w:type="dxa"/>
            <w:vAlign w:val="bottom"/>
            <w:tcBorders>
              <w:top w:val="single" w:sz="8" w:color="auto"/>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1080" w:type="dxa"/>
            <w:vAlign w:val="bottom"/>
            <w:tcBorders>
              <w:top w:val="single" w:sz="8" w:color="auto"/>
            </w:tcBorders>
            <w:shd w:val="clear" w:color="auto" w:fill="E0E7ED"/>
          </w:tcPr>
          <w:p>
            <w:pPr>
              <w:spacing w:after="0"/>
              <w:rPr>
                <w:sz w:val="22"/>
                <w:szCs w:val="22"/>
                <w:color w:val="auto"/>
              </w:rPr>
            </w:pPr>
          </w:p>
        </w:tc>
        <w:tc>
          <w:tcPr>
            <w:tcW w:w="40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6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U.S. Treasury securities</w:t>
            </w:r>
          </w:p>
        </w:tc>
        <w:tc>
          <w:tcPr>
            <w:tcW w:w="1040" w:type="dxa"/>
            <w:vAlign w:val="bottom"/>
          </w:tcPr>
          <w:p>
            <w:pPr>
              <w:ind w:left="20"/>
              <w:spacing w:after="0"/>
              <w:rPr>
                <w:sz w:val="20"/>
                <w:szCs w:val="20"/>
                <w:color w:val="auto"/>
              </w:rPr>
            </w:pPr>
            <w:r>
              <w:rPr>
                <w:rFonts w:ascii="Verdana" w:cs="Verdana" w:eastAsia="Verdana" w:hAnsi="Verdana"/>
                <w:sz w:val="18"/>
                <w:szCs w:val="18"/>
                <w:color w:val="auto"/>
              </w:rPr>
              <w:t>$</w:t>
            </w:r>
          </w:p>
        </w:tc>
        <w:tc>
          <w:tcPr>
            <w:tcW w:w="5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250</w:t>
            </w:r>
          </w:p>
        </w:tc>
        <w:tc>
          <w:tcPr>
            <w:tcW w:w="100" w:type="dxa"/>
            <w:vAlign w:val="bottom"/>
          </w:tcPr>
          <w:p>
            <w:pPr>
              <w:spacing w:after="0"/>
              <w:rPr>
                <w:sz w:val="22"/>
                <w:szCs w:val="22"/>
                <w:color w:val="auto"/>
              </w:rPr>
            </w:pPr>
          </w:p>
        </w:tc>
        <w:tc>
          <w:tcPr>
            <w:tcW w:w="1080" w:type="dxa"/>
            <w:vAlign w:val="bottom"/>
          </w:tcPr>
          <w:p>
            <w:pPr>
              <w:ind w:left="20"/>
              <w:spacing w:after="0"/>
              <w:rPr>
                <w:sz w:val="20"/>
                <w:szCs w:val="20"/>
                <w:color w:val="auto"/>
              </w:rPr>
            </w:pPr>
            <w:r>
              <w:rPr>
                <w:rFonts w:ascii="Verdana" w:cs="Verdana" w:eastAsia="Verdana" w:hAnsi="Verdana"/>
                <w:sz w:val="18"/>
                <w:szCs w:val="18"/>
                <w:color w:val="auto"/>
              </w:rPr>
              <w:t>$</w:t>
            </w:r>
          </w:p>
        </w:tc>
        <w:tc>
          <w:tcPr>
            <w:tcW w:w="50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250</w:t>
            </w:r>
          </w:p>
        </w:tc>
      </w:tr>
      <w:tr>
        <w:trPr>
          <w:trHeight w:val="244"/>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Obligations of U.S. government corporations and</w:t>
            </w:r>
          </w:p>
        </w:tc>
        <w:tc>
          <w:tcPr>
            <w:tcW w:w="1040" w:type="dxa"/>
            <w:vAlign w:val="bottom"/>
            <w:shd w:val="clear" w:color="auto" w:fill="E0E7ED"/>
          </w:tcPr>
          <w:p>
            <w:pPr>
              <w:spacing w:after="0"/>
              <w:rPr>
                <w:sz w:val="21"/>
                <w:szCs w:val="21"/>
                <w:color w:val="auto"/>
              </w:rPr>
            </w:pPr>
          </w:p>
        </w:tc>
        <w:tc>
          <w:tcPr>
            <w:tcW w:w="4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r>
      <w:tr>
        <w:trPr>
          <w:trHeight w:val="248"/>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agencies</w:t>
            </w:r>
          </w:p>
        </w:tc>
        <w:tc>
          <w:tcPr>
            <w:tcW w:w="1040" w:type="dxa"/>
            <w:vAlign w:val="bottom"/>
            <w:shd w:val="clear" w:color="auto" w:fill="E0E7ED"/>
          </w:tcPr>
          <w:p>
            <w:pPr>
              <w:spacing w:after="0"/>
              <w:rPr>
                <w:sz w:val="21"/>
                <w:szCs w:val="21"/>
                <w:color w:val="auto"/>
              </w:rPr>
            </w:pPr>
          </w:p>
        </w:tc>
        <w:tc>
          <w:tcPr>
            <w:tcW w:w="5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shd w:val="clear" w:color="auto" w:fill="E0E7ED"/>
          </w:tcPr>
          <w:p>
            <w:pPr>
              <w:spacing w:after="0"/>
              <w:rPr>
                <w:sz w:val="21"/>
                <w:szCs w:val="21"/>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1,508</w:t>
            </w:r>
          </w:p>
        </w:tc>
        <w:tc>
          <w:tcPr>
            <w:tcW w:w="10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5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shd w:val="clear" w:color="auto" w:fill="E0E7ED"/>
          </w:tcPr>
          <w:p>
            <w:pPr>
              <w:spacing w:after="0"/>
              <w:rPr>
                <w:sz w:val="21"/>
                <w:szCs w:val="21"/>
                <w:color w:val="auto"/>
              </w:rPr>
            </w:pPr>
          </w:p>
        </w:tc>
        <w:tc>
          <w:tcPr>
            <w:tcW w:w="12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1,508</w:t>
            </w: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Obligations of states and political subdivisions</w:t>
            </w:r>
          </w:p>
        </w:tc>
        <w:tc>
          <w:tcPr>
            <w:tcW w:w="1040" w:type="dxa"/>
            <w:vAlign w:val="bottom"/>
          </w:tcPr>
          <w:p>
            <w:pPr>
              <w:spacing w:after="0"/>
              <w:rPr>
                <w:sz w:val="22"/>
                <w:szCs w:val="22"/>
                <w:color w:val="auto"/>
              </w:rPr>
            </w:pPr>
          </w:p>
        </w:tc>
        <w:tc>
          <w:tcPr>
            <w:tcW w:w="5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155,052</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155,052</w:t>
            </w:r>
          </w:p>
        </w:tc>
      </w:tr>
      <w:tr>
        <w:trPr>
          <w:trHeight w:val="277"/>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Asset-backed securities</w:t>
            </w:r>
          </w:p>
        </w:tc>
        <w:tc>
          <w:tcPr>
            <w:tcW w:w="1040" w:type="dxa"/>
            <w:vAlign w:val="bottom"/>
            <w:shd w:val="clear" w:color="auto" w:fill="E0E7ED"/>
          </w:tcPr>
          <w:p>
            <w:pPr>
              <w:spacing w:after="0"/>
              <w:rPr>
                <w:sz w:val="24"/>
                <w:szCs w:val="24"/>
                <w:color w:val="auto"/>
              </w:rPr>
            </w:pPr>
          </w:p>
        </w:tc>
        <w:tc>
          <w:tcPr>
            <w:tcW w:w="5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405,372</w:t>
            </w:r>
          </w:p>
        </w:tc>
        <w:tc>
          <w:tcPr>
            <w:tcW w:w="100" w:type="dxa"/>
            <w:vAlign w:val="bottom"/>
            <w:shd w:val="clear" w:color="auto" w:fill="E0E7ED"/>
          </w:tcPr>
          <w:p>
            <w:pPr>
              <w:spacing w:after="0"/>
              <w:rPr>
                <w:sz w:val="24"/>
                <w:szCs w:val="24"/>
                <w:color w:val="auto"/>
              </w:rPr>
            </w:pPr>
          </w:p>
        </w:tc>
        <w:tc>
          <w:tcPr>
            <w:tcW w:w="1080" w:type="dxa"/>
            <w:vAlign w:val="bottom"/>
            <w:shd w:val="clear" w:color="auto" w:fill="E0E7ED"/>
          </w:tcPr>
          <w:p>
            <w:pPr>
              <w:spacing w:after="0"/>
              <w:rPr>
                <w:sz w:val="24"/>
                <w:szCs w:val="24"/>
                <w:color w:val="auto"/>
              </w:rPr>
            </w:pPr>
          </w:p>
        </w:tc>
        <w:tc>
          <w:tcPr>
            <w:tcW w:w="5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405,372</w:t>
            </w: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Commercial mortgage-backed securities</w:t>
            </w:r>
          </w:p>
        </w:tc>
        <w:tc>
          <w:tcPr>
            <w:tcW w:w="1040" w:type="dxa"/>
            <w:vAlign w:val="bottom"/>
          </w:tcPr>
          <w:p>
            <w:pPr>
              <w:spacing w:after="0"/>
              <w:rPr>
                <w:sz w:val="22"/>
                <w:szCs w:val="22"/>
                <w:color w:val="auto"/>
              </w:rPr>
            </w:pPr>
          </w:p>
        </w:tc>
        <w:tc>
          <w:tcPr>
            <w:tcW w:w="5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94,279</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94,279</w:t>
            </w:r>
          </w:p>
        </w:tc>
      </w:tr>
      <w:tr>
        <w:trPr>
          <w:trHeight w:val="277"/>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Residential mortgage-backed securities</w:t>
            </w:r>
          </w:p>
        </w:tc>
        <w:tc>
          <w:tcPr>
            <w:tcW w:w="1040" w:type="dxa"/>
            <w:vAlign w:val="bottom"/>
            <w:shd w:val="clear" w:color="auto" w:fill="E0E7ED"/>
          </w:tcPr>
          <w:p>
            <w:pPr>
              <w:spacing w:after="0"/>
              <w:rPr>
                <w:sz w:val="24"/>
                <w:szCs w:val="24"/>
                <w:color w:val="auto"/>
              </w:rPr>
            </w:pPr>
          </w:p>
        </w:tc>
        <w:tc>
          <w:tcPr>
            <w:tcW w:w="5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1,002,167</w:t>
            </w:r>
          </w:p>
        </w:tc>
        <w:tc>
          <w:tcPr>
            <w:tcW w:w="100" w:type="dxa"/>
            <w:vAlign w:val="bottom"/>
            <w:shd w:val="clear" w:color="auto" w:fill="E0E7ED"/>
          </w:tcPr>
          <w:p>
            <w:pPr>
              <w:spacing w:after="0"/>
              <w:rPr>
                <w:sz w:val="24"/>
                <w:szCs w:val="24"/>
                <w:color w:val="auto"/>
              </w:rPr>
            </w:pPr>
          </w:p>
        </w:tc>
        <w:tc>
          <w:tcPr>
            <w:tcW w:w="1080" w:type="dxa"/>
            <w:vAlign w:val="bottom"/>
            <w:shd w:val="clear" w:color="auto" w:fill="E0E7ED"/>
          </w:tcPr>
          <w:p>
            <w:pPr>
              <w:spacing w:after="0"/>
              <w:rPr>
                <w:sz w:val="24"/>
                <w:szCs w:val="24"/>
                <w:color w:val="auto"/>
              </w:rPr>
            </w:pPr>
          </w:p>
        </w:tc>
        <w:tc>
          <w:tcPr>
            <w:tcW w:w="5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1,002,167</w:t>
            </w: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Corporate debt securities</w:t>
            </w:r>
          </w:p>
        </w:tc>
        <w:tc>
          <w:tcPr>
            <w:tcW w:w="1040" w:type="dxa"/>
            <w:vAlign w:val="bottom"/>
          </w:tcPr>
          <w:p>
            <w:pPr>
              <w:spacing w:after="0"/>
              <w:rPr>
                <w:sz w:val="22"/>
                <w:szCs w:val="22"/>
                <w:color w:val="auto"/>
              </w:rPr>
            </w:pPr>
          </w:p>
        </w:tc>
        <w:tc>
          <w:tcPr>
            <w:tcW w:w="5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159,489</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159,489</w:t>
            </w:r>
          </w:p>
        </w:tc>
      </w:tr>
      <w:tr>
        <w:trPr>
          <w:trHeight w:val="277"/>
        </w:trPr>
        <w:tc>
          <w:tcPr>
            <w:tcW w:w="49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Equity securities</w:t>
            </w:r>
          </w:p>
        </w:tc>
        <w:tc>
          <w:tcPr>
            <w:tcW w:w="1040" w:type="dxa"/>
            <w:vAlign w:val="bottom"/>
            <w:shd w:val="clear" w:color="auto" w:fill="E0E7ED"/>
          </w:tcPr>
          <w:p>
            <w:pPr>
              <w:spacing w:after="0"/>
              <w:rPr>
                <w:sz w:val="24"/>
                <w:szCs w:val="24"/>
                <w:color w:val="auto"/>
              </w:rPr>
            </w:pPr>
          </w:p>
        </w:tc>
        <w:tc>
          <w:tcPr>
            <w:tcW w:w="46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40</w:t>
            </w:r>
          </w:p>
        </w:tc>
        <w:tc>
          <w:tcPr>
            <w:tcW w:w="8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10,275</w:t>
            </w:r>
          </w:p>
        </w:tc>
        <w:tc>
          <w:tcPr>
            <w:tcW w:w="100" w:type="dxa"/>
            <w:vAlign w:val="bottom"/>
            <w:shd w:val="clear" w:color="auto" w:fill="E0E7ED"/>
          </w:tcPr>
          <w:p>
            <w:pPr>
              <w:spacing w:after="0"/>
              <w:rPr>
                <w:sz w:val="24"/>
                <w:szCs w:val="24"/>
                <w:color w:val="auto"/>
              </w:rPr>
            </w:pPr>
          </w:p>
        </w:tc>
        <w:tc>
          <w:tcPr>
            <w:tcW w:w="1080" w:type="dxa"/>
            <w:vAlign w:val="bottom"/>
            <w:shd w:val="clear" w:color="auto" w:fill="E0E7ED"/>
          </w:tcPr>
          <w:p>
            <w:pPr>
              <w:spacing w:after="0"/>
              <w:rPr>
                <w:sz w:val="24"/>
                <w:szCs w:val="24"/>
                <w:color w:val="auto"/>
              </w:rPr>
            </w:pPr>
          </w:p>
        </w:tc>
        <w:tc>
          <w:tcPr>
            <w:tcW w:w="5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10,315</w:t>
            </w:r>
          </w:p>
        </w:tc>
      </w:tr>
      <w:tr>
        <w:trPr>
          <w:trHeight w:val="263"/>
        </w:trPr>
        <w:tc>
          <w:tcPr>
            <w:tcW w:w="4980" w:type="dxa"/>
            <w:vAlign w:val="bottom"/>
          </w:tcPr>
          <w:p>
            <w:pPr>
              <w:ind w:left="20"/>
              <w:spacing w:after="0"/>
              <w:rPr>
                <w:sz w:val="20"/>
                <w:szCs w:val="20"/>
                <w:color w:val="auto"/>
              </w:rPr>
            </w:pPr>
            <w:r>
              <w:rPr>
                <w:rFonts w:ascii="Verdana" w:cs="Verdana" w:eastAsia="Verdana" w:hAnsi="Verdana"/>
                <w:sz w:val="18"/>
                <w:szCs w:val="18"/>
                <w:color w:val="auto"/>
              </w:rPr>
              <w:t>Derivative assets</w:t>
            </w:r>
          </w:p>
        </w:tc>
        <w:tc>
          <w:tcPr>
            <w:tcW w:w="1040" w:type="dxa"/>
            <w:vAlign w:val="bottom"/>
          </w:tcPr>
          <w:p>
            <w:pPr>
              <w:spacing w:after="0"/>
              <w:rPr>
                <w:sz w:val="22"/>
                <w:szCs w:val="22"/>
                <w:color w:val="auto"/>
              </w:rPr>
            </w:pPr>
          </w:p>
        </w:tc>
        <w:tc>
          <w:tcPr>
            <w:tcW w:w="5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27,795</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Verdana" w:cs="Verdana" w:eastAsia="Verdana" w:hAnsi="Verdana"/>
                <w:sz w:val="18"/>
                <w:szCs w:val="18"/>
                <w:color w:val="auto"/>
              </w:rPr>
              <w:t>16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27,811</w:t>
            </w:r>
          </w:p>
        </w:tc>
      </w:tr>
      <w:tr>
        <w:trPr>
          <w:trHeight w:val="277"/>
        </w:trPr>
        <w:tc>
          <w:tcPr>
            <w:tcW w:w="49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Derivative liabilities</w:t>
            </w:r>
          </w:p>
        </w:tc>
        <w:tc>
          <w:tcPr>
            <w:tcW w:w="1040" w:type="dxa"/>
            <w:vAlign w:val="bottom"/>
            <w:shd w:val="clear" w:color="auto" w:fill="E0E7ED"/>
          </w:tcPr>
          <w:p>
            <w:pPr>
              <w:spacing w:after="0"/>
              <w:rPr>
                <w:sz w:val="24"/>
                <w:szCs w:val="24"/>
                <w:color w:val="auto"/>
              </w:rPr>
            </w:pPr>
          </w:p>
        </w:tc>
        <w:tc>
          <w:tcPr>
            <w:tcW w:w="5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44,636</w:t>
            </w:r>
          </w:p>
        </w:tc>
        <w:tc>
          <w:tcPr>
            <w:tcW w:w="100" w:type="dxa"/>
            <w:vAlign w:val="bottom"/>
            <w:shd w:val="clear" w:color="auto" w:fill="E0E7ED"/>
          </w:tcPr>
          <w:p>
            <w:pPr>
              <w:spacing w:after="0"/>
              <w:rPr>
                <w:sz w:val="24"/>
                <w:szCs w:val="24"/>
                <w:color w:val="auto"/>
              </w:rPr>
            </w:pPr>
          </w:p>
        </w:tc>
        <w:tc>
          <w:tcPr>
            <w:tcW w:w="1080" w:type="dxa"/>
            <w:vAlign w:val="bottom"/>
            <w:shd w:val="clear" w:color="auto" w:fill="E0E7ED"/>
          </w:tcPr>
          <w:p>
            <w:pPr>
              <w:spacing w:after="0"/>
              <w:rPr>
                <w:sz w:val="24"/>
                <w:szCs w:val="24"/>
                <w:color w:val="auto"/>
              </w:rPr>
            </w:pPr>
          </w:p>
        </w:tc>
        <w:tc>
          <w:tcPr>
            <w:tcW w:w="5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44,636</w:t>
            </w:r>
          </w:p>
        </w:tc>
      </w:tr>
      <w:tr>
        <w:trPr>
          <w:trHeight w:val="507"/>
        </w:trPr>
        <w:tc>
          <w:tcPr>
            <w:tcW w:w="49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ind w:left="340"/>
              <w:spacing w:after="0"/>
              <w:rPr>
                <w:sz w:val="20"/>
                <w:szCs w:val="20"/>
                <w:color w:val="auto"/>
              </w:rPr>
            </w:pPr>
            <w:r>
              <w:rPr>
                <w:rFonts w:ascii="Verdana" w:cs="Verdana" w:eastAsia="Verdana" w:hAnsi="Verdana"/>
                <w:sz w:val="13"/>
                <w:szCs w:val="13"/>
                <w:b w:val="1"/>
                <w:bCs w:val="1"/>
                <w:color w:val="auto"/>
              </w:rPr>
              <w:t>As of December 31, 2023</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22"/>
        </w:trPr>
        <w:tc>
          <w:tcPr>
            <w:tcW w:w="4980" w:type="dxa"/>
            <w:vAlign w:val="bottom"/>
          </w:tcPr>
          <w:p>
            <w:pPr>
              <w:spacing w:after="0"/>
              <w:rPr>
                <w:sz w:val="10"/>
                <w:szCs w:val="10"/>
                <w:color w:val="auto"/>
              </w:rPr>
            </w:pPr>
          </w:p>
        </w:tc>
        <w:tc>
          <w:tcPr>
            <w:tcW w:w="1040" w:type="dxa"/>
            <w:vAlign w:val="bottom"/>
          </w:tcPr>
          <w:p>
            <w:pPr>
              <w:ind w:left="500"/>
              <w:spacing w:after="0" w:line="122" w:lineRule="exact"/>
              <w:rPr>
                <w:sz w:val="20"/>
                <w:szCs w:val="20"/>
                <w:color w:val="auto"/>
              </w:rPr>
            </w:pPr>
            <w:r>
              <w:rPr>
                <w:rFonts w:ascii="Verdana" w:cs="Verdana" w:eastAsia="Verdana" w:hAnsi="Verdana"/>
                <w:sz w:val="13"/>
                <w:szCs w:val="13"/>
                <w:b w:val="1"/>
                <w:bCs w:val="1"/>
                <w:color w:val="auto"/>
                <w:w w:val="99"/>
              </w:rPr>
              <w:t>Level 1</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80" w:type="dxa"/>
            <w:vAlign w:val="bottom"/>
            <w:gridSpan w:val="2"/>
          </w:tcPr>
          <w:p>
            <w:pPr>
              <w:ind w:left="180"/>
              <w:spacing w:after="0" w:line="122" w:lineRule="exact"/>
              <w:rPr>
                <w:sz w:val="20"/>
                <w:szCs w:val="20"/>
                <w:color w:val="auto"/>
              </w:rPr>
            </w:pPr>
            <w:r>
              <w:rPr>
                <w:rFonts w:ascii="Verdana" w:cs="Verdana" w:eastAsia="Verdana" w:hAnsi="Verdana"/>
                <w:sz w:val="13"/>
                <w:szCs w:val="13"/>
                <w:b w:val="1"/>
                <w:bCs w:val="1"/>
                <w:color w:val="auto"/>
              </w:rPr>
              <w:t>Level 2</w:t>
            </w:r>
          </w:p>
        </w:tc>
        <w:tc>
          <w:tcPr>
            <w:tcW w:w="1080" w:type="dxa"/>
            <w:vAlign w:val="bottom"/>
          </w:tcPr>
          <w:p>
            <w:pPr>
              <w:ind w:left="500"/>
              <w:spacing w:after="0" w:line="122" w:lineRule="exact"/>
              <w:rPr>
                <w:sz w:val="20"/>
                <w:szCs w:val="20"/>
                <w:color w:val="auto"/>
              </w:rPr>
            </w:pPr>
            <w:r>
              <w:rPr>
                <w:rFonts w:ascii="Verdana" w:cs="Verdana" w:eastAsia="Verdana" w:hAnsi="Verdana"/>
                <w:sz w:val="13"/>
                <w:szCs w:val="13"/>
                <w:b w:val="1"/>
                <w:bCs w:val="1"/>
                <w:color w:val="auto"/>
              </w:rPr>
              <w:t>Level 3</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jc w:val="center"/>
              <w:ind w:right="175"/>
              <w:spacing w:after="0" w:line="122" w:lineRule="exact"/>
              <w:rPr>
                <w:sz w:val="20"/>
                <w:szCs w:val="20"/>
                <w:color w:val="auto"/>
              </w:rPr>
            </w:pPr>
            <w:r>
              <w:rPr>
                <w:rFonts w:ascii="Verdana" w:cs="Verdana" w:eastAsia="Verdana" w:hAnsi="Verdana"/>
                <w:sz w:val="13"/>
                <w:szCs w:val="13"/>
                <w:b w:val="1"/>
                <w:bCs w:val="1"/>
                <w:color w:val="auto"/>
                <w:w w:val="91"/>
              </w:rPr>
              <w:t>Total</w:t>
            </w:r>
          </w:p>
        </w:tc>
      </w:tr>
      <w:tr>
        <w:trPr>
          <w:trHeight w:val="170"/>
        </w:trPr>
        <w:tc>
          <w:tcPr>
            <w:tcW w:w="4980" w:type="dxa"/>
            <w:vAlign w:val="bottom"/>
          </w:tcPr>
          <w:p>
            <w:pPr>
              <w:spacing w:after="0"/>
              <w:rPr>
                <w:sz w:val="14"/>
                <w:szCs w:val="14"/>
                <w:color w:val="auto"/>
              </w:rPr>
            </w:pPr>
          </w:p>
        </w:tc>
        <w:tc>
          <w:tcPr>
            <w:tcW w:w="1040" w:type="dxa"/>
            <w:vAlign w:val="bottom"/>
          </w:tcPr>
          <w:p>
            <w:pPr>
              <w:ind w:left="520"/>
              <w:spacing w:after="0"/>
              <w:rPr>
                <w:sz w:val="20"/>
                <w:szCs w:val="20"/>
                <w:color w:val="auto"/>
              </w:rPr>
            </w:pPr>
            <w:r>
              <w:rPr>
                <w:rFonts w:ascii="Verdana" w:cs="Verdana" w:eastAsia="Verdana" w:hAnsi="Verdana"/>
                <w:sz w:val="13"/>
                <w:szCs w:val="13"/>
                <w:b w:val="1"/>
                <w:bCs w:val="1"/>
                <w:color w:val="auto"/>
              </w:rPr>
              <w:t>Inputs</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Verdana" w:cs="Verdana" w:eastAsia="Verdana" w:hAnsi="Verdana"/>
                <w:sz w:val="13"/>
                <w:szCs w:val="13"/>
                <w:b w:val="1"/>
                <w:bCs w:val="1"/>
                <w:color w:val="auto"/>
              </w:rPr>
              <w:t>Inputs</w:t>
            </w:r>
          </w:p>
        </w:tc>
        <w:tc>
          <w:tcPr>
            <w:tcW w:w="1080" w:type="dxa"/>
            <w:vAlign w:val="bottom"/>
          </w:tcPr>
          <w:p>
            <w:pPr>
              <w:ind w:left="520"/>
              <w:spacing w:after="0"/>
              <w:rPr>
                <w:sz w:val="20"/>
                <w:szCs w:val="20"/>
                <w:color w:val="auto"/>
              </w:rPr>
            </w:pPr>
            <w:r>
              <w:rPr>
                <w:rFonts w:ascii="Verdana" w:cs="Verdana" w:eastAsia="Verdana" w:hAnsi="Verdana"/>
                <w:sz w:val="13"/>
                <w:szCs w:val="13"/>
                <w:b w:val="1"/>
                <w:bCs w:val="1"/>
                <w:color w:val="auto"/>
              </w:rPr>
              <w:t>Inputs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center"/>
              <w:ind w:right="175"/>
              <w:spacing w:after="0"/>
              <w:rPr>
                <w:sz w:val="20"/>
                <w:szCs w:val="20"/>
                <w:color w:val="auto"/>
              </w:rPr>
            </w:pPr>
            <w:r>
              <w:rPr>
                <w:rFonts w:ascii="Verdana" w:cs="Verdana" w:eastAsia="Verdana" w:hAnsi="Verdana"/>
                <w:sz w:val="13"/>
                <w:szCs w:val="13"/>
                <w:b w:val="1"/>
                <w:bCs w:val="1"/>
                <w:color w:val="auto"/>
                <w:w w:val="95"/>
              </w:rPr>
              <w:t>Fair Value</w:t>
            </w:r>
          </w:p>
        </w:tc>
      </w:tr>
      <w:tr>
        <w:trPr>
          <w:trHeight w:val="255"/>
        </w:trPr>
        <w:tc>
          <w:tcPr>
            <w:tcW w:w="49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Debt securities available for sale:</w:t>
            </w:r>
          </w:p>
        </w:tc>
        <w:tc>
          <w:tcPr>
            <w:tcW w:w="1040" w:type="dxa"/>
            <w:vAlign w:val="bottom"/>
            <w:tcBorders>
              <w:top w:val="single" w:sz="8" w:color="auto"/>
            </w:tcBorders>
            <w:shd w:val="clear" w:color="auto" w:fill="E0E7ED"/>
          </w:tcPr>
          <w:p>
            <w:pPr>
              <w:spacing w:after="0"/>
              <w:rPr>
                <w:sz w:val="22"/>
                <w:szCs w:val="22"/>
                <w:color w:val="auto"/>
              </w:rPr>
            </w:pPr>
          </w:p>
        </w:tc>
        <w:tc>
          <w:tcPr>
            <w:tcW w:w="4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320" w:type="dxa"/>
            <w:vAlign w:val="bottom"/>
            <w:tcBorders>
              <w:top w:val="single" w:sz="8" w:color="auto"/>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1080" w:type="dxa"/>
            <w:vAlign w:val="bottom"/>
            <w:tcBorders>
              <w:top w:val="single" w:sz="8" w:color="auto"/>
            </w:tcBorders>
            <w:shd w:val="clear" w:color="auto" w:fill="E0E7ED"/>
          </w:tcPr>
          <w:p>
            <w:pPr>
              <w:spacing w:after="0"/>
              <w:rPr>
                <w:sz w:val="22"/>
                <w:szCs w:val="22"/>
                <w:color w:val="auto"/>
              </w:rPr>
            </w:pPr>
          </w:p>
        </w:tc>
        <w:tc>
          <w:tcPr>
            <w:tcW w:w="40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6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U.S. Treasury securities</w:t>
            </w:r>
          </w:p>
        </w:tc>
        <w:tc>
          <w:tcPr>
            <w:tcW w:w="1040" w:type="dxa"/>
            <w:vAlign w:val="bottom"/>
          </w:tcPr>
          <w:p>
            <w:pPr>
              <w:ind w:left="20"/>
              <w:spacing w:after="0"/>
              <w:rPr>
                <w:sz w:val="20"/>
                <w:szCs w:val="20"/>
                <w:color w:val="auto"/>
              </w:rPr>
            </w:pPr>
            <w:r>
              <w:rPr>
                <w:rFonts w:ascii="Verdana" w:cs="Verdana" w:eastAsia="Verdana" w:hAnsi="Verdana"/>
                <w:sz w:val="18"/>
                <w:szCs w:val="18"/>
                <w:color w:val="auto"/>
              </w:rPr>
              <w:t>$</w:t>
            </w:r>
          </w:p>
        </w:tc>
        <w:tc>
          <w:tcPr>
            <w:tcW w:w="5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15,946</w:t>
            </w:r>
          </w:p>
        </w:tc>
        <w:tc>
          <w:tcPr>
            <w:tcW w:w="100" w:type="dxa"/>
            <w:vAlign w:val="bottom"/>
          </w:tcPr>
          <w:p>
            <w:pPr>
              <w:spacing w:after="0"/>
              <w:rPr>
                <w:sz w:val="22"/>
                <w:szCs w:val="22"/>
                <w:color w:val="auto"/>
              </w:rPr>
            </w:pPr>
          </w:p>
        </w:tc>
        <w:tc>
          <w:tcPr>
            <w:tcW w:w="1080" w:type="dxa"/>
            <w:vAlign w:val="bottom"/>
          </w:tcPr>
          <w:p>
            <w:pPr>
              <w:ind w:left="20"/>
              <w:spacing w:after="0"/>
              <w:rPr>
                <w:sz w:val="20"/>
                <w:szCs w:val="20"/>
                <w:color w:val="auto"/>
              </w:rPr>
            </w:pPr>
            <w:r>
              <w:rPr>
                <w:rFonts w:ascii="Verdana" w:cs="Verdana" w:eastAsia="Verdana" w:hAnsi="Verdana"/>
                <w:sz w:val="18"/>
                <w:szCs w:val="18"/>
                <w:color w:val="auto"/>
              </w:rPr>
              <w:t>$</w:t>
            </w:r>
          </w:p>
        </w:tc>
        <w:tc>
          <w:tcPr>
            <w:tcW w:w="50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15,946</w:t>
            </w:r>
          </w:p>
        </w:tc>
      </w:tr>
      <w:tr>
        <w:trPr>
          <w:trHeight w:val="244"/>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Obligations of U.S. government corporations and</w:t>
            </w:r>
          </w:p>
        </w:tc>
        <w:tc>
          <w:tcPr>
            <w:tcW w:w="1040" w:type="dxa"/>
            <w:vAlign w:val="bottom"/>
            <w:shd w:val="clear" w:color="auto" w:fill="E0E7ED"/>
          </w:tcPr>
          <w:p>
            <w:pPr>
              <w:spacing w:after="0"/>
              <w:rPr>
                <w:sz w:val="21"/>
                <w:szCs w:val="21"/>
                <w:color w:val="auto"/>
              </w:rPr>
            </w:pPr>
          </w:p>
        </w:tc>
        <w:tc>
          <w:tcPr>
            <w:tcW w:w="4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r>
      <w:tr>
        <w:trPr>
          <w:trHeight w:val="248"/>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agencies</w:t>
            </w:r>
          </w:p>
        </w:tc>
        <w:tc>
          <w:tcPr>
            <w:tcW w:w="1040" w:type="dxa"/>
            <w:vAlign w:val="bottom"/>
            <w:shd w:val="clear" w:color="auto" w:fill="E0E7ED"/>
          </w:tcPr>
          <w:p>
            <w:pPr>
              <w:spacing w:after="0"/>
              <w:rPr>
                <w:sz w:val="21"/>
                <w:szCs w:val="21"/>
                <w:color w:val="auto"/>
              </w:rPr>
            </w:pPr>
          </w:p>
        </w:tc>
        <w:tc>
          <w:tcPr>
            <w:tcW w:w="5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shd w:val="clear" w:color="auto" w:fill="E0E7ED"/>
          </w:tcPr>
          <w:p>
            <w:pPr>
              <w:spacing w:after="0"/>
              <w:rPr>
                <w:sz w:val="21"/>
                <w:szCs w:val="21"/>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5,832</w:t>
            </w:r>
          </w:p>
        </w:tc>
        <w:tc>
          <w:tcPr>
            <w:tcW w:w="10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5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shd w:val="clear" w:color="auto" w:fill="E0E7ED"/>
          </w:tcPr>
          <w:p>
            <w:pPr>
              <w:spacing w:after="0"/>
              <w:rPr>
                <w:sz w:val="21"/>
                <w:szCs w:val="21"/>
                <w:color w:val="auto"/>
              </w:rPr>
            </w:pPr>
          </w:p>
        </w:tc>
        <w:tc>
          <w:tcPr>
            <w:tcW w:w="12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5,832</w:t>
            </w: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Obligations of states and political subdivisions</w:t>
            </w:r>
          </w:p>
        </w:tc>
        <w:tc>
          <w:tcPr>
            <w:tcW w:w="1040" w:type="dxa"/>
            <w:vAlign w:val="bottom"/>
          </w:tcPr>
          <w:p>
            <w:pPr>
              <w:spacing w:after="0"/>
              <w:rPr>
                <w:sz w:val="22"/>
                <w:szCs w:val="22"/>
                <w:color w:val="auto"/>
              </w:rPr>
            </w:pPr>
          </w:p>
        </w:tc>
        <w:tc>
          <w:tcPr>
            <w:tcW w:w="5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172,845</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172,845</w:t>
            </w:r>
          </w:p>
        </w:tc>
      </w:tr>
      <w:tr>
        <w:trPr>
          <w:trHeight w:val="277"/>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Asset-backed securities</w:t>
            </w:r>
          </w:p>
        </w:tc>
        <w:tc>
          <w:tcPr>
            <w:tcW w:w="1040" w:type="dxa"/>
            <w:vAlign w:val="bottom"/>
            <w:shd w:val="clear" w:color="auto" w:fill="E0E7ED"/>
          </w:tcPr>
          <w:p>
            <w:pPr>
              <w:spacing w:after="0"/>
              <w:rPr>
                <w:sz w:val="24"/>
                <w:szCs w:val="24"/>
                <w:color w:val="auto"/>
              </w:rPr>
            </w:pPr>
          </w:p>
        </w:tc>
        <w:tc>
          <w:tcPr>
            <w:tcW w:w="5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468,223</w:t>
            </w:r>
          </w:p>
        </w:tc>
        <w:tc>
          <w:tcPr>
            <w:tcW w:w="100" w:type="dxa"/>
            <w:vAlign w:val="bottom"/>
            <w:shd w:val="clear" w:color="auto" w:fill="E0E7ED"/>
          </w:tcPr>
          <w:p>
            <w:pPr>
              <w:spacing w:after="0"/>
              <w:rPr>
                <w:sz w:val="24"/>
                <w:szCs w:val="24"/>
                <w:color w:val="auto"/>
              </w:rPr>
            </w:pPr>
          </w:p>
        </w:tc>
        <w:tc>
          <w:tcPr>
            <w:tcW w:w="1080" w:type="dxa"/>
            <w:vAlign w:val="bottom"/>
            <w:shd w:val="clear" w:color="auto" w:fill="E0E7ED"/>
          </w:tcPr>
          <w:p>
            <w:pPr>
              <w:spacing w:after="0"/>
              <w:rPr>
                <w:sz w:val="24"/>
                <w:szCs w:val="24"/>
                <w:color w:val="auto"/>
              </w:rPr>
            </w:pPr>
          </w:p>
        </w:tc>
        <w:tc>
          <w:tcPr>
            <w:tcW w:w="5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468,223</w:t>
            </w: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Commercial mortgage-backed securities</w:t>
            </w:r>
          </w:p>
        </w:tc>
        <w:tc>
          <w:tcPr>
            <w:tcW w:w="1040" w:type="dxa"/>
            <w:vAlign w:val="bottom"/>
          </w:tcPr>
          <w:p>
            <w:pPr>
              <w:spacing w:after="0"/>
              <w:rPr>
                <w:sz w:val="22"/>
                <w:szCs w:val="22"/>
                <w:color w:val="auto"/>
              </w:rPr>
            </w:pPr>
          </w:p>
        </w:tc>
        <w:tc>
          <w:tcPr>
            <w:tcW w:w="5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103,509</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103,509</w:t>
            </w:r>
          </w:p>
        </w:tc>
      </w:tr>
      <w:tr>
        <w:trPr>
          <w:trHeight w:val="277"/>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Residential mortgage-backed securities</w:t>
            </w:r>
          </w:p>
        </w:tc>
        <w:tc>
          <w:tcPr>
            <w:tcW w:w="1040" w:type="dxa"/>
            <w:vAlign w:val="bottom"/>
            <w:shd w:val="clear" w:color="auto" w:fill="E0E7ED"/>
          </w:tcPr>
          <w:p>
            <w:pPr>
              <w:spacing w:after="0"/>
              <w:rPr>
                <w:sz w:val="24"/>
                <w:szCs w:val="24"/>
                <w:color w:val="auto"/>
              </w:rPr>
            </w:pPr>
          </w:p>
        </w:tc>
        <w:tc>
          <w:tcPr>
            <w:tcW w:w="5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1,111,312</w:t>
            </w:r>
          </w:p>
        </w:tc>
        <w:tc>
          <w:tcPr>
            <w:tcW w:w="100" w:type="dxa"/>
            <w:vAlign w:val="bottom"/>
            <w:shd w:val="clear" w:color="auto" w:fill="E0E7ED"/>
          </w:tcPr>
          <w:p>
            <w:pPr>
              <w:spacing w:after="0"/>
              <w:rPr>
                <w:sz w:val="24"/>
                <w:szCs w:val="24"/>
                <w:color w:val="auto"/>
              </w:rPr>
            </w:pPr>
          </w:p>
        </w:tc>
        <w:tc>
          <w:tcPr>
            <w:tcW w:w="1080" w:type="dxa"/>
            <w:vAlign w:val="bottom"/>
            <w:shd w:val="clear" w:color="auto" w:fill="E0E7ED"/>
          </w:tcPr>
          <w:p>
            <w:pPr>
              <w:spacing w:after="0"/>
              <w:rPr>
                <w:sz w:val="24"/>
                <w:szCs w:val="24"/>
                <w:color w:val="auto"/>
              </w:rPr>
            </w:pPr>
          </w:p>
        </w:tc>
        <w:tc>
          <w:tcPr>
            <w:tcW w:w="5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1,111,312</w:t>
            </w: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Corporate debt securities</w:t>
            </w:r>
          </w:p>
        </w:tc>
        <w:tc>
          <w:tcPr>
            <w:tcW w:w="1040" w:type="dxa"/>
            <w:vAlign w:val="bottom"/>
          </w:tcPr>
          <w:p>
            <w:pPr>
              <w:spacing w:after="0"/>
              <w:rPr>
                <w:sz w:val="22"/>
                <w:szCs w:val="22"/>
                <w:color w:val="auto"/>
              </w:rPr>
            </w:pPr>
          </w:p>
        </w:tc>
        <w:tc>
          <w:tcPr>
            <w:tcW w:w="5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209,904</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209,904</w:t>
            </w:r>
          </w:p>
        </w:tc>
      </w:tr>
      <w:tr>
        <w:trPr>
          <w:trHeight w:val="277"/>
        </w:trPr>
        <w:tc>
          <w:tcPr>
            <w:tcW w:w="49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Equity securities</w:t>
            </w:r>
          </w:p>
        </w:tc>
        <w:tc>
          <w:tcPr>
            <w:tcW w:w="1040" w:type="dxa"/>
            <w:vAlign w:val="bottom"/>
            <w:shd w:val="clear" w:color="auto" w:fill="E0E7ED"/>
          </w:tcPr>
          <w:p>
            <w:pPr>
              <w:spacing w:after="0"/>
              <w:rPr>
                <w:sz w:val="24"/>
                <w:szCs w:val="24"/>
                <w:color w:val="auto"/>
              </w:rPr>
            </w:pPr>
          </w:p>
        </w:tc>
        <w:tc>
          <w:tcPr>
            <w:tcW w:w="46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98"/>
              </w:rPr>
              <w:t>448</w:t>
            </w:r>
          </w:p>
        </w:tc>
        <w:tc>
          <w:tcPr>
            <w:tcW w:w="8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9,364</w:t>
            </w:r>
          </w:p>
        </w:tc>
        <w:tc>
          <w:tcPr>
            <w:tcW w:w="100" w:type="dxa"/>
            <w:vAlign w:val="bottom"/>
            <w:shd w:val="clear" w:color="auto" w:fill="E0E7ED"/>
          </w:tcPr>
          <w:p>
            <w:pPr>
              <w:spacing w:after="0"/>
              <w:rPr>
                <w:sz w:val="24"/>
                <w:szCs w:val="24"/>
                <w:color w:val="auto"/>
              </w:rPr>
            </w:pPr>
          </w:p>
        </w:tc>
        <w:tc>
          <w:tcPr>
            <w:tcW w:w="1080" w:type="dxa"/>
            <w:vAlign w:val="bottom"/>
            <w:shd w:val="clear" w:color="auto" w:fill="E0E7ED"/>
          </w:tcPr>
          <w:p>
            <w:pPr>
              <w:spacing w:after="0"/>
              <w:rPr>
                <w:sz w:val="24"/>
                <w:szCs w:val="24"/>
                <w:color w:val="auto"/>
              </w:rPr>
            </w:pPr>
          </w:p>
        </w:tc>
        <w:tc>
          <w:tcPr>
            <w:tcW w:w="5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9,812</w:t>
            </w:r>
          </w:p>
        </w:tc>
      </w:tr>
      <w:tr>
        <w:trPr>
          <w:trHeight w:val="263"/>
        </w:trPr>
        <w:tc>
          <w:tcPr>
            <w:tcW w:w="4980" w:type="dxa"/>
            <w:vAlign w:val="bottom"/>
          </w:tcPr>
          <w:p>
            <w:pPr>
              <w:ind w:left="20"/>
              <w:spacing w:after="0"/>
              <w:rPr>
                <w:sz w:val="20"/>
                <w:szCs w:val="20"/>
                <w:color w:val="auto"/>
              </w:rPr>
            </w:pPr>
            <w:r>
              <w:rPr>
                <w:rFonts w:ascii="Verdana" w:cs="Verdana" w:eastAsia="Verdana" w:hAnsi="Verdana"/>
                <w:sz w:val="18"/>
                <w:szCs w:val="18"/>
                <w:color w:val="auto"/>
              </w:rPr>
              <w:t>Derivative assets</w:t>
            </w:r>
          </w:p>
        </w:tc>
        <w:tc>
          <w:tcPr>
            <w:tcW w:w="1040" w:type="dxa"/>
            <w:vAlign w:val="bottom"/>
          </w:tcPr>
          <w:p>
            <w:pPr>
              <w:spacing w:after="0"/>
              <w:rPr>
                <w:sz w:val="22"/>
                <w:szCs w:val="22"/>
                <w:color w:val="auto"/>
              </w:rPr>
            </w:pPr>
          </w:p>
        </w:tc>
        <w:tc>
          <w:tcPr>
            <w:tcW w:w="5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29,993</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Verdana" w:cs="Verdana" w:eastAsia="Verdana" w:hAnsi="Verdana"/>
                <w:sz w:val="18"/>
                <w:szCs w:val="18"/>
                <w:color w:val="auto"/>
              </w:rPr>
              <w:t>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30,008</w:t>
            </w:r>
          </w:p>
        </w:tc>
      </w:tr>
      <w:tr>
        <w:trPr>
          <w:trHeight w:val="277"/>
        </w:trPr>
        <w:tc>
          <w:tcPr>
            <w:tcW w:w="49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Derivative liabilities</w:t>
            </w:r>
          </w:p>
        </w:tc>
        <w:tc>
          <w:tcPr>
            <w:tcW w:w="1040" w:type="dxa"/>
            <w:vAlign w:val="bottom"/>
            <w:shd w:val="clear" w:color="auto" w:fill="E0E7ED"/>
          </w:tcPr>
          <w:p>
            <w:pPr>
              <w:spacing w:after="0"/>
              <w:rPr>
                <w:sz w:val="24"/>
                <w:szCs w:val="24"/>
                <w:color w:val="auto"/>
              </w:rPr>
            </w:pPr>
          </w:p>
        </w:tc>
        <w:tc>
          <w:tcPr>
            <w:tcW w:w="5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54,132</w:t>
            </w:r>
          </w:p>
        </w:tc>
        <w:tc>
          <w:tcPr>
            <w:tcW w:w="100" w:type="dxa"/>
            <w:vAlign w:val="bottom"/>
            <w:shd w:val="clear" w:color="auto" w:fill="E0E7ED"/>
          </w:tcPr>
          <w:p>
            <w:pPr>
              <w:spacing w:after="0"/>
              <w:rPr>
                <w:sz w:val="24"/>
                <w:szCs w:val="24"/>
                <w:color w:val="auto"/>
              </w:rPr>
            </w:pPr>
          </w:p>
        </w:tc>
        <w:tc>
          <w:tcPr>
            <w:tcW w:w="1080" w:type="dxa"/>
            <w:vAlign w:val="bottom"/>
            <w:shd w:val="clear" w:color="auto" w:fill="E0E7ED"/>
          </w:tcPr>
          <w:p>
            <w:pPr>
              <w:spacing w:after="0"/>
              <w:rPr>
                <w:sz w:val="24"/>
                <w:szCs w:val="24"/>
                <w:color w:val="auto"/>
              </w:rPr>
            </w:pPr>
          </w:p>
        </w:tc>
        <w:tc>
          <w:tcPr>
            <w:tcW w:w="5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54,132</w:t>
            </w:r>
          </w:p>
        </w:tc>
      </w:tr>
    </w:tbl>
    <w:p>
      <w:pPr>
        <w:spacing w:after="0" w:line="265"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Activity for risk participation agreements, which are financial assets measured at estimated fair value on a recurring basis using Level 3, is summarized in the tables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gridSpan w:val="5"/>
          </w:tcPr>
          <w:p>
            <w:pPr>
              <w:ind w:left="80"/>
              <w:spacing w:after="0"/>
              <w:rPr>
                <w:sz w:val="20"/>
                <w:szCs w:val="20"/>
                <w:color w:val="auto"/>
              </w:rPr>
            </w:pPr>
            <w:r>
              <w:rPr>
                <w:rFonts w:ascii="Verdana" w:cs="Verdana" w:eastAsia="Verdana" w:hAnsi="Verdana"/>
                <w:sz w:val="13"/>
                <w:szCs w:val="13"/>
                <w:b w:val="1"/>
                <w:bCs w:val="1"/>
                <w:color w:val="auto"/>
              </w:rPr>
              <w:t>Three Months Ended September 30,</w:t>
            </w:r>
          </w:p>
        </w:tc>
        <w:tc>
          <w:tcPr>
            <w:tcW w:w="220" w:type="dxa"/>
            <w:vAlign w:val="bottom"/>
          </w:tcPr>
          <w:p>
            <w:pPr>
              <w:spacing w:after="0"/>
              <w:rPr>
                <w:sz w:val="15"/>
                <w:szCs w:val="15"/>
                <w:color w:val="auto"/>
              </w:rPr>
            </w:pPr>
          </w:p>
        </w:tc>
        <w:tc>
          <w:tcPr>
            <w:tcW w:w="2840" w:type="dxa"/>
            <w:vAlign w:val="bottom"/>
            <w:gridSpan w:val="4"/>
          </w:tcPr>
          <w:p>
            <w:pPr>
              <w:jc w:val="right"/>
              <w:ind w:right="235"/>
              <w:spacing w:after="0"/>
              <w:rPr>
                <w:sz w:val="20"/>
                <w:szCs w:val="20"/>
                <w:color w:val="auto"/>
              </w:rPr>
            </w:pPr>
            <w:r>
              <w:rPr>
                <w:rFonts w:ascii="Verdana" w:cs="Verdana" w:eastAsia="Verdana" w:hAnsi="Verdana"/>
                <w:sz w:val="13"/>
                <w:szCs w:val="13"/>
                <w:b w:val="1"/>
                <w:bCs w:val="1"/>
                <w:color w:val="auto"/>
                <w:w w:val="99"/>
              </w:rPr>
              <w:t>Nine Months Ended September 30,</w:t>
            </w:r>
          </w:p>
        </w:tc>
      </w:tr>
      <w:tr>
        <w:trPr>
          <w:trHeight w:val="170"/>
        </w:trPr>
        <w:tc>
          <w:tcPr>
            <w:tcW w:w="3360" w:type="dxa"/>
            <w:vAlign w:val="bottom"/>
            <w:tcBorders>
              <w:bottom w:val="single" w:sz="8" w:color="E0E7ED"/>
            </w:tcBorders>
          </w:tcPr>
          <w:p>
            <w:pPr>
              <w:spacing w:after="0"/>
              <w:rPr>
                <w:sz w:val="14"/>
                <w:szCs w:val="14"/>
                <w:color w:val="auto"/>
              </w:rPr>
            </w:pPr>
          </w:p>
        </w:tc>
        <w:tc>
          <w:tcPr>
            <w:tcW w:w="1580" w:type="dxa"/>
            <w:vAlign w:val="bottom"/>
            <w:tcBorders>
              <w:bottom w:val="single" w:sz="8" w:color="auto"/>
            </w:tcBorders>
          </w:tcPr>
          <w:p>
            <w:pPr>
              <w:jc w:val="right"/>
              <w:ind w:right="397"/>
              <w:spacing w:after="0"/>
              <w:rPr>
                <w:sz w:val="20"/>
                <w:szCs w:val="20"/>
                <w:color w:val="auto"/>
              </w:rPr>
            </w:pPr>
            <w:r>
              <w:rPr>
                <w:rFonts w:ascii="Verdana" w:cs="Verdana" w:eastAsia="Verdana" w:hAnsi="Verdana"/>
                <w:sz w:val="13"/>
                <w:szCs w:val="13"/>
                <w:b w:val="1"/>
                <w:bCs w:val="1"/>
                <w:color w:val="auto"/>
              </w:rPr>
              <w:t>Location</w:t>
            </w:r>
          </w:p>
        </w:tc>
        <w:tc>
          <w:tcPr>
            <w:tcW w:w="8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479"/>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75"/>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479"/>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75"/>
              <w:spacing w:after="0"/>
              <w:rPr>
                <w:sz w:val="20"/>
                <w:szCs w:val="20"/>
                <w:color w:val="auto"/>
              </w:rPr>
            </w:pPr>
            <w:r>
              <w:rPr>
                <w:rFonts w:ascii="Verdana" w:cs="Verdana" w:eastAsia="Verdana" w:hAnsi="Verdana"/>
                <w:sz w:val="13"/>
                <w:szCs w:val="13"/>
                <w:b w:val="1"/>
                <w:bCs w:val="1"/>
                <w:color w:val="auto"/>
              </w:rPr>
              <w:t>2023</w:t>
            </w:r>
          </w:p>
        </w:tc>
      </w:tr>
      <w:tr>
        <w:trPr>
          <w:trHeight w:val="269"/>
        </w:trPr>
        <w:tc>
          <w:tcPr>
            <w:tcW w:w="33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Beginning Balance</w:t>
            </w:r>
          </w:p>
        </w:tc>
        <w:tc>
          <w:tcPr>
            <w:tcW w:w="1860" w:type="dxa"/>
            <w:vAlign w:val="bottom"/>
            <w:gridSpan w:val="3"/>
            <w:shd w:val="clear" w:color="auto" w:fill="E0E7ED"/>
          </w:tcPr>
          <w:p>
            <w:pPr>
              <w:jc w:val="right"/>
              <w:ind w:right="60"/>
              <w:spacing w:after="0"/>
              <w:rPr>
                <w:sz w:val="20"/>
                <w:szCs w:val="20"/>
                <w:color w:val="auto"/>
              </w:rPr>
            </w:pPr>
            <w:r>
              <w:rPr>
                <w:rFonts w:ascii="Verdana" w:cs="Verdana" w:eastAsia="Verdana" w:hAnsi="Verdana"/>
                <w:sz w:val="18"/>
                <w:szCs w:val="18"/>
                <w:color w:val="auto"/>
              </w:rPr>
              <w:t>$</w:t>
            </w: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w:t>
            </w: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w:t>
            </w:r>
          </w:p>
        </w:tc>
        <w:tc>
          <w:tcPr>
            <w:tcW w:w="100" w:type="dxa"/>
            <w:vAlign w:val="bottom"/>
            <w:shd w:val="clear" w:color="auto" w:fill="E0E7ED"/>
          </w:tcPr>
          <w:p>
            <w:pPr>
              <w:spacing w:after="0"/>
              <w:rPr>
                <w:sz w:val="23"/>
                <w:szCs w:val="23"/>
                <w:color w:val="auto"/>
              </w:rPr>
            </w:pP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260" w:type="dxa"/>
            <w:vAlign w:val="bottom"/>
            <w:shd w:val="clear" w:color="auto" w:fill="E0E7ED"/>
          </w:tcPr>
          <w:p>
            <w:pPr>
              <w:jc w:val="center"/>
              <w:ind w:left="779"/>
              <w:spacing w:after="0"/>
              <w:rPr>
                <w:sz w:val="20"/>
                <w:szCs w:val="20"/>
                <w:color w:val="auto"/>
              </w:rPr>
            </w:pPr>
            <w:r>
              <w:rPr>
                <w:rFonts w:ascii="Verdana" w:cs="Verdana" w:eastAsia="Verdana" w:hAnsi="Verdana"/>
                <w:sz w:val="18"/>
                <w:szCs w:val="18"/>
                <w:color w:val="auto"/>
              </w:rPr>
              <w:t>15</w:t>
            </w: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1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5</w:t>
            </w:r>
          </w:p>
        </w:tc>
      </w:tr>
      <w:tr>
        <w:trPr>
          <w:trHeight w:val="238"/>
        </w:trPr>
        <w:tc>
          <w:tcPr>
            <w:tcW w:w="3360" w:type="dxa"/>
            <w:vAlign w:val="bottom"/>
          </w:tcPr>
          <w:p>
            <w:pPr>
              <w:ind w:left="180"/>
              <w:spacing w:after="0"/>
              <w:rPr>
                <w:sz w:val="20"/>
                <w:szCs w:val="20"/>
                <w:color w:val="auto"/>
              </w:rPr>
            </w:pPr>
            <w:r>
              <w:rPr>
                <w:rFonts w:ascii="Verdana" w:cs="Verdana" w:eastAsia="Verdana" w:hAnsi="Verdana"/>
                <w:sz w:val="18"/>
                <w:szCs w:val="18"/>
                <w:color w:val="auto"/>
              </w:rPr>
              <w:t>Gains (losses) recognized in</w:t>
            </w:r>
          </w:p>
        </w:tc>
        <w:tc>
          <w:tcPr>
            <w:tcW w:w="1860" w:type="dxa"/>
            <w:vAlign w:val="bottom"/>
            <w:gridSpan w:val="3"/>
          </w:tcPr>
          <w:p>
            <w:pPr>
              <w:jc w:val="right"/>
              <w:ind w:right="520"/>
              <w:spacing w:after="0"/>
              <w:rPr>
                <w:sz w:val="20"/>
                <w:szCs w:val="20"/>
                <w:color w:val="auto"/>
              </w:rPr>
            </w:pPr>
            <w:r>
              <w:rPr>
                <w:rFonts w:ascii="Verdana" w:cs="Verdana" w:eastAsia="Verdana" w:hAnsi="Verdana"/>
                <w:sz w:val="18"/>
                <w:szCs w:val="18"/>
                <w:color w:val="auto"/>
                <w:w w:val="99"/>
              </w:rPr>
              <w:t>Other expense</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2"/>
        </w:trPr>
        <w:tc>
          <w:tcPr>
            <w:tcW w:w="3360" w:type="dxa"/>
            <w:vAlign w:val="bottom"/>
          </w:tcPr>
          <w:p>
            <w:pPr>
              <w:ind w:left="180"/>
              <w:spacing w:after="0"/>
              <w:rPr>
                <w:sz w:val="20"/>
                <w:szCs w:val="20"/>
                <w:color w:val="auto"/>
              </w:rPr>
            </w:pPr>
            <w:r>
              <w:rPr>
                <w:rFonts w:ascii="Verdana" w:cs="Verdana" w:eastAsia="Verdana" w:hAnsi="Verdana"/>
                <w:sz w:val="18"/>
                <w:szCs w:val="18"/>
                <w:color w:val="auto"/>
              </w:rPr>
              <w:t>earnings</w:t>
            </w: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center"/>
              <w:ind w:left="739"/>
              <w:spacing w:after="0"/>
              <w:rPr>
                <w:sz w:val="20"/>
                <w:szCs w:val="20"/>
                <w:color w:val="auto"/>
              </w:rPr>
            </w:pPr>
            <w:r>
              <w:rPr>
                <w:rFonts w:ascii="Verdana" w:cs="Verdana" w:eastAsia="Verdana" w:hAnsi="Verdana"/>
                <w:sz w:val="18"/>
                <w:szCs w:val="18"/>
                <w:color w:val="auto"/>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(68)</w:t>
            </w:r>
          </w:p>
        </w:tc>
      </w:tr>
      <w:tr>
        <w:trPr>
          <w:trHeight w:val="270"/>
        </w:trPr>
        <w:tc>
          <w:tcPr>
            <w:tcW w:w="33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Purchases</w:t>
            </w:r>
          </w:p>
        </w:tc>
        <w:tc>
          <w:tcPr>
            <w:tcW w:w="158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00" w:type="dxa"/>
            <w:vAlign w:val="bottom"/>
            <w:tcBorders>
              <w:bottom w:val="single" w:sz="8" w:color="auto"/>
            </w:tcBorders>
            <w:shd w:val="clear" w:color="auto" w:fill="E0E7ED"/>
          </w:tcPr>
          <w:p>
            <w:pPr>
              <w:spacing w:after="0"/>
              <w:rPr>
                <w:sz w:val="23"/>
                <w:szCs w:val="23"/>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13</w:t>
            </w:r>
          </w:p>
        </w:tc>
        <w:tc>
          <w:tcPr>
            <w:tcW w:w="100" w:type="dxa"/>
            <w:vAlign w:val="bottom"/>
            <w:shd w:val="clear" w:color="auto" w:fill="E0E7ED"/>
          </w:tcPr>
          <w:p>
            <w:pPr>
              <w:spacing w:after="0"/>
              <w:rPr>
                <w:sz w:val="23"/>
                <w:szCs w:val="23"/>
                <w:color w:val="auto"/>
              </w:rPr>
            </w:pPr>
          </w:p>
        </w:tc>
        <w:tc>
          <w:tcPr>
            <w:tcW w:w="340" w:type="dxa"/>
            <w:vAlign w:val="bottom"/>
            <w:tcBorders>
              <w:bottom w:val="single" w:sz="8" w:color="auto"/>
            </w:tcBorders>
            <w:shd w:val="clear" w:color="auto" w:fill="E0E7ED"/>
          </w:tcPr>
          <w:p>
            <w:pPr>
              <w:spacing w:after="0"/>
              <w:rPr>
                <w:sz w:val="23"/>
                <w:szCs w:val="23"/>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00" w:type="dxa"/>
            <w:vAlign w:val="bottom"/>
            <w:shd w:val="clear" w:color="auto" w:fill="E0E7ED"/>
          </w:tcPr>
          <w:p>
            <w:pPr>
              <w:spacing w:after="0"/>
              <w:rPr>
                <w:sz w:val="23"/>
                <w:szCs w:val="23"/>
                <w:color w:val="auto"/>
              </w:rPr>
            </w:pPr>
          </w:p>
        </w:tc>
        <w:tc>
          <w:tcPr>
            <w:tcW w:w="22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center"/>
              <w:ind w:left="779"/>
              <w:spacing w:after="0"/>
              <w:rPr>
                <w:sz w:val="20"/>
                <w:szCs w:val="20"/>
                <w:color w:val="auto"/>
              </w:rPr>
            </w:pPr>
            <w:r>
              <w:rPr>
                <w:rFonts w:ascii="Verdana" w:cs="Verdana" w:eastAsia="Verdana" w:hAnsi="Verdana"/>
                <w:sz w:val="18"/>
                <w:szCs w:val="18"/>
                <w:color w:val="auto"/>
              </w:rPr>
              <w:t>16</w:t>
            </w:r>
          </w:p>
        </w:tc>
        <w:tc>
          <w:tcPr>
            <w:tcW w:w="100" w:type="dxa"/>
            <w:vAlign w:val="bottom"/>
            <w:shd w:val="clear" w:color="auto" w:fill="E0E7ED"/>
          </w:tcPr>
          <w:p>
            <w:pPr>
              <w:spacing w:after="0"/>
              <w:rPr>
                <w:sz w:val="23"/>
                <w:szCs w:val="23"/>
                <w:color w:val="auto"/>
              </w:rPr>
            </w:pPr>
          </w:p>
        </w:tc>
        <w:tc>
          <w:tcPr>
            <w:tcW w:w="340" w:type="dxa"/>
            <w:vAlign w:val="bottom"/>
            <w:tcBorders>
              <w:bottom w:val="single" w:sz="8" w:color="auto"/>
            </w:tcBorders>
            <w:shd w:val="clear" w:color="auto" w:fill="E0E7ED"/>
          </w:tcPr>
          <w:p>
            <w:pPr>
              <w:spacing w:after="0"/>
              <w:rPr>
                <w:sz w:val="23"/>
                <w:szCs w:val="23"/>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70</w:t>
            </w:r>
          </w:p>
        </w:tc>
      </w:tr>
      <w:tr>
        <w:trPr>
          <w:trHeight w:val="270"/>
        </w:trPr>
        <w:tc>
          <w:tcPr>
            <w:tcW w:w="3360" w:type="dxa"/>
            <w:vAlign w:val="bottom"/>
          </w:tcPr>
          <w:p>
            <w:pPr>
              <w:ind w:left="20"/>
              <w:spacing w:after="0"/>
              <w:rPr>
                <w:sz w:val="20"/>
                <w:szCs w:val="20"/>
                <w:color w:val="auto"/>
              </w:rPr>
            </w:pPr>
            <w:r>
              <w:rPr>
                <w:rFonts w:ascii="Verdana" w:cs="Verdana" w:eastAsia="Verdana" w:hAnsi="Verdana"/>
                <w:sz w:val="18"/>
                <w:szCs w:val="18"/>
                <w:b w:val="1"/>
                <w:bCs w:val="1"/>
                <w:color w:val="auto"/>
              </w:rPr>
              <w:t>Ending Balance</w:t>
            </w:r>
          </w:p>
        </w:tc>
        <w:tc>
          <w:tcPr>
            <w:tcW w:w="1860" w:type="dxa"/>
            <w:vAlign w:val="bottom"/>
            <w:gridSpan w:val="3"/>
          </w:tcPr>
          <w:p>
            <w:pPr>
              <w:jc w:val="right"/>
              <w:ind w:right="60"/>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16</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140" w:type="dxa"/>
            <w:vAlign w:val="bottom"/>
          </w:tcPr>
          <w:p>
            <w:pPr>
              <w:jc w:val="right"/>
              <w:spacing w:after="0"/>
              <w:rPr>
                <w:sz w:val="20"/>
                <w:szCs w:val="20"/>
                <w:color w:val="auto"/>
              </w:rPr>
            </w:pPr>
            <w:r>
              <w:rPr>
                <w:rFonts w:ascii="Verdana" w:cs="Verdana" w:eastAsia="Verdana" w:hAnsi="Verdana"/>
                <w:sz w:val="18"/>
                <w:szCs w:val="18"/>
                <w:color w:val="auto"/>
              </w:rPr>
              <w:t>7</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260" w:type="dxa"/>
            <w:vAlign w:val="bottom"/>
          </w:tcPr>
          <w:p>
            <w:pPr>
              <w:jc w:val="center"/>
              <w:ind w:left="779"/>
              <w:spacing w:after="0"/>
              <w:rPr>
                <w:sz w:val="20"/>
                <w:szCs w:val="20"/>
                <w:color w:val="auto"/>
              </w:rPr>
            </w:pPr>
            <w:r>
              <w:rPr>
                <w:rFonts w:ascii="Verdana" w:cs="Verdana" w:eastAsia="Verdana" w:hAnsi="Verdana"/>
                <w:sz w:val="18"/>
                <w:szCs w:val="18"/>
                <w:color w:val="auto"/>
              </w:rPr>
              <w:t>16</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140" w:type="dxa"/>
            <w:vAlign w:val="bottom"/>
          </w:tcPr>
          <w:p>
            <w:pPr>
              <w:jc w:val="right"/>
              <w:ind w:right="15"/>
              <w:spacing w:after="0"/>
              <w:rPr>
                <w:sz w:val="20"/>
                <w:szCs w:val="20"/>
                <w:color w:val="auto"/>
              </w:rPr>
            </w:pPr>
            <w:r>
              <w:rPr>
                <w:rFonts w:ascii="Verdana" w:cs="Verdana" w:eastAsia="Verdana" w:hAnsi="Verdana"/>
                <w:sz w:val="18"/>
                <w:szCs w:val="18"/>
                <w:color w:val="auto"/>
              </w:rPr>
              <w:t>7</w:t>
            </w:r>
          </w:p>
        </w:tc>
      </w:tr>
      <w:tr>
        <w:trPr>
          <w:trHeight w:val="21"/>
        </w:trPr>
        <w:tc>
          <w:tcPr>
            <w:tcW w:w="3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07"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7940"/>
        <w:spacing w:after="0"/>
        <w:rPr>
          <w:sz w:val="20"/>
          <w:szCs w:val="20"/>
          <w:color w:val="auto"/>
        </w:rPr>
      </w:pPr>
      <w:r>
        <w:rPr>
          <w:rFonts w:ascii="Verdana" w:cs="Verdana" w:eastAsia="Verdana" w:hAnsi="Verdana"/>
          <w:sz w:val="17"/>
          <w:szCs w:val="17"/>
          <w:color w:val="808285"/>
        </w:rPr>
        <w:t xml:space="preserve">First Busey Corporation (BUSE) | </w:t>
      </w:r>
      <w:r>
        <w:rPr>
          <w:rFonts w:ascii="Verdana" w:cs="Verdana" w:eastAsia="Verdana" w:hAnsi="Verdana"/>
          <w:sz w:val="17"/>
          <w:szCs w:val="17"/>
          <w:b w:val="1"/>
          <w:bCs w:val="1"/>
          <w:color w:val="376484"/>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type w:val="continuous"/>
        </w:sectPr>
      </w:pPr>
    </w:p>
    <w:bookmarkStart w:id="60" w:name="page61"/>
    <w:bookmarkEnd w:id="60"/>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Assets and Liabilities Measured at Fair Value on a Nonrecurring Basis</w:t>
      </w:r>
    </w:p>
    <w:p>
      <w:pPr>
        <w:spacing w:after="0" w:line="173" w:lineRule="exact"/>
        <w:rPr>
          <w:sz w:val="20"/>
          <w:szCs w:val="20"/>
          <w:color w:val="auto"/>
        </w:rPr>
      </w:pPr>
    </w:p>
    <w:p>
      <w:pPr>
        <w:jc w:val="both"/>
        <w:ind w:right="20"/>
        <w:spacing w:after="0" w:line="245" w:lineRule="auto"/>
        <w:rPr>
          <w:sz w:val="20"/>
          <w:szCs w:val="20"/>
          <w:color w:val="auto"/>
        </w:rPr>
      </w:pPr>
      <w:r>
        <w:rPr>
          <w:rFonts w:ascii="Verdana" w:cs="Verdana" w:eastAsia="Verdana" w:hAnsi="Verdana"/>
          <w:sz w:val="18"/>
          <w:szCs w:val="18"/>
          <w:color w:val="auto"/>
        </w:rPr>
        <w:t>Certain financial assets and financial liabilities are measured at estimated fair value on a non-recurring basis; that is, the instruments are not measured at estimated fair value on an ongoing basis but are subject to fair value adjustments in certain circumstances (for example, when there is evidence of impairment).</w:t>
      </w:r>
    </w:p>
    <w:p>
      <w:pPr>
        <w:spacing w:after="0" w:line="167"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Loans Evaluated Individually</w:t>
      </w:r>
    </w:p>
    <w:p>
      <w:pPr>
        <w:spacing w:after="0" w:line="173"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Busey does not record portfolio loans at estimated fair value on a recurring basis. However, periodically, a loan is evaluated individually and is reported at the estimated fair value of the underlying collateral, less estimated costs to sell, if repayment is expected solely from the collateral. If the estimated collateral value is not sufficient, a specific reserve is recorded. Collateral values are estimated using a combination of observable inputs, including recent appraisals, and unobservable inputs based on customized discounting criteria. Due to the significance of unobservable inputs, fair values of individually evaluated collateral dependent loans have been classified as Level 3.</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Bank Property Held for Sale</w:t>
      </w:r>
    </w:p>
    <w:p>
      <w:pPr>
        <w:spacing w:after="0" w:line="186"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 xml:space="preserve">Bank property held for sale represents certain banking center office buildings which Busey has closed and consolidated with other existing banking centers. Bank property held for sale is measured at the lower of amortized cost or estimated fair value less estimated costs to sell. Fair value estimates were based upon discounted appraisals or real estate listing prices. Due to the significance of unobservable inputs, estimated fair values of all bank property held for sale have been classified as Level 3. Bank property held for sale is included in premises and equipment, net on Busey’s </w:t>
      </w:r>
      <w:r>
        <w:rPr>
          <w:rFonts w:ascii="Verdana" w:cs="Verdana" w:eastAsia="Verdana" w:hAnsi="Verdana"/>
          <w:sz w:val="18"/>
          <w:szCs w:val="18"/>
          <w:u w:val="single" w:color="auto"/>
          <w:color w:val="0000FF"/>
        </w:rPr>
        <w:t>Consolidated</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0000FF"/>
        </w:rPr>
        <w:t>Balance Sheets (Unaudited)</w:t>
      </w:r>
      <w:r>
        <w:rPr>
          <w:rFonts w:ascii="Verdana" w:cs="Verdana" w:eastAsia="Verdana" w:hAnsi="Verdana"/>
          <w:sz w:val="18"/>
          <w:szCs w:val="18"/>
          <w:color w:val="000000"/>
        </w:rPr>
        <w:t>.</w:t>
      </w:r>
    </w:p>
    <w:p>
      <w:pPr>
        <w:spacing w:after="0" w:line="159"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The following tables summarize financial assets and financial liabilities measured at estimated fair value on a non-recurring basis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6"/>
          </w:tcPr>
          <w:p>
            <w:pPr>
              <w:ind w:left="640"/>
              <w:spacing w:after="0"/>
              <w:rPr>
                <w:sz w:val="20"/>
                <w:szCs w:val="20"/>
                <w:color w:val="auto"/>
              </w:rPr>
            </w:pPr>
            <w:r>
              <w:rPr>
                <w:rFonts w:ascii="Verdana" w:cs="Verdana" w:eastAsia="Verdana" w:hAnsi="Verdana"/>
                <w:sz w:val="13"/>
                <w:szCs w:val="13"/>
                <w:b w:val="1"/>
                <w:bCs w:val="1"/>
                <w:color w:val="auto"/>
              </w:rPr>
              <w:t>As of September 30, 2024</w:t>
            </w: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122"/>
        </w:trPr>
        <w:tc>
          <w:tcPr>
            <w:tcW w:w="4980" w:type="dxa"/>
            <w:vAlign w:val="bottom"/>
          </w:tcPr>
          <w:p>
            <w:pPr>
              <w:spacing w:after="0"/>
              <w:rPr>
                <w:sz w:val="10"/>
                <w:szCs w:val="10"/>
                <w:color w:val="auto"/>
              </w:rPr>
            </w:pPr>
          </w:p>
        </w:tc>
        <w:tc>
          <w:tcPr>
            <w:tcW w:w="1120" w:type="dxa"/>
            <w:vAlign w:val="bottom"/>
          </w:tcPr>
          <w:p>
            <w:pPr>
              <w:ind w:left="500"/>
              <w:spacing w:after="0" w:line="122" w:lineRule="exact"/>
              <w:rPr>
                <w:sz w:val="20"/>
                <w:szCs w:val="20"/>
                <w:color w:val="auto"/>
              </w:rPr>
            </w:pPr>
            <w:r>
              <w:rPr>
                <w:rFonts w:ascii="Verdana" w:cs="Verdana" w:eastAsia="Verdana" w:hAnsi="Verdana"/>
                <w:sz w:val="13"/>
                <w:szCs w:val="13"/>
                <w:b w:val="1"/>
                <w:bCs w:val="1"/>
                <w:color w:val="auto"/>
              </w:rPr>
              <w:t>Level 1</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ind w:left="500"/>
              <w:spacing w:after="0" w:line="122" w:lineRule="exact"/>
              <w:rPr>
                <w:sz w:val="20"/>
                <w:szCs w:val="20"/>
                <w:color w:val="auto"/>
              </w:rPr>
            </w:pPr>
            <w:r>
              <w:rPr>
                <w:rFonts w:ascii="Verdana" w:cs="Verdana" w:eastAsia="Verdana" w:hAnsi="Verdana"/>
                <w:sz w:val="13"/>
                <w:szCs w:val="13"/>
                <w:b w:val="1"/>
                <w:bCs w:val="1"/>
                <w:color w:val="auto"/>
              </w:rPr>
              <w:t>Level 2</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80" w:type="dxa"/>
            <w:vAlign w:val="bottom"/>
            <w:gridSpan w:val="2"/>
          </w:tcPr>
          <w:p>
            <w:pPr>
              <w:ind w:left="180"/>
              <w:spacing w:after="0" w:line="122" w:lineRule="exact"/>
              <w:rPr>
                <w:sz w:val="20"/>
                <w:szCs w:val="20"/>
                <w:color w:val="auto"/>
              </w:rPr>
            </w:pPr>
            <w:r>
              <w:rPr>
                <w:rFonts w:ascii="Verdana" w:cs="Verdana" w:eastAsia="Verdana" w:hAnsi="Verdana"/>
                <w:sz w:val="13"/>
                <w:szCs w:val="13"/>
                <w:b w:val="1"/>
                <w:bCs w:val="1"/>
                <w:color w:val="auto"/>
              </w:rPr>
              <w:t>Level 3</w:t>
            </w:r>
          </w:p>
        </w:tc>
        <w:tc>
          <w:tcPr>
            <w:tcW w:w="260" w:type="dxa"/>
            <w:vAlign w:val="bottom"/>
          </w:tcPr>
          <w:p>
            <w:pPr>
              <w:spacing w:after="0"/>
              <w:rPr>
                <w:sz w:val="10"/>
                <w:szCs w:val="10"/>
                <w:color w:val="auto"/>
              </w:rPr>
            </w:pPr>
          </w:p>
        </w:tc>
        <w:tc>
          <w:tcPr>
            <w:tcW w:w="1240" w:type="dxa"/>
            <w:vAlign w:val="bottom"/>
          </w:tcPr>
          <w:p>
            <w:pPr>
              <w:jc w:val="center"/>
              <w:ind w:right="184"/>
              <w:spacing w:after="0" w:line="122" w:lineRule="exact"/>
              <w:rPr>
                <w:sz w:val="20"/>
                <w:szCs w:val="20"/>
                <w:color w:val="auto"/>
              </w:rPr>
            </w:pPr>
            <w:r>
              <w:rPr>
                <w:rFonts w:ascii="Verdana" w:cs="Verdana" w:eastAsia="Verdana" w:hAnsi="Verdana"/>
                <w:sz w:val="13"/>
                <w:szCs w:val="13"/>
                <w:b w:val="1"/>
                <w:bCs w:val="1"/>
                <w:color w:val="auto"/>
                <w:w w:val="91"/>
              </w:rPr>
              <w:t>Total</w:t>
            </w:r>
          </w:p>
        </w:tc>
      </w:tr>
      <w:tr>
        <w:trPr>
          <w:trHeight w:val="170"/>
        </w:trPr>
        <w:tc>
          <w:tcPr>
            <w:tcW w:w="4980" w:type="dxa"/>
            <w:vAlign w:val="bottom"/>
            <w:tcBorders>
              <w:bottom w:val="single" w:sz="8" w:color="E0E7ED"/>
            </w:tcBorders>
          </w:tcPr>
          <w:p>
            <w:pPr>
              <w:spacing w:after="0"/>
              <w:rPr>
                <w:sz w:val="14"/>
                <w:szCs w:val="14"/>
                <w:color w:val="auto"/>
              </w:rPr>
            </w:pPr>
          </w:p>
        </w:tc>
        <w:tc>
          <w:tcPr>
            <w:tcW w:w="1120" w:type="dxa"/>
            <w:vAlign w:val="bottom"/>
            <w:tcBorders>
              <w:bottom w:val="single" w:sz="8" w:color="auto"/>
            </w:tcBorders>
          </w:tcPr>
          <w:p>
            <w:pPr>
              <w:ind w:left="520"/>
              <w:spacing w:after="0"/>
              <w:rPr>
                <w:sz w:val="20"/>
                <w:szCs w:val="20"/>
                <w:color w:val="auto"/>
              </w:rPr>
            </w:pPr>
            <w:r>
              <w:rPr>
                <w:rFonts w:ascii="Verdana" w:cs="Verdana" w:eastAsia="Verdana" w:hAnsi="Verdana"/>
                <w:sz w:val="13"/>
                <w:szCs w:val="13"/>
                <w:b w:val="1"/>
                <w:bCs w:val="1"/>
                <w:color w:val="auto"/>
              </w:rPr>
              <w:t>Inputs</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1120" w:type="dxa"/>
            <w:vAlign w:val="bottom"/>
            <w:tcBorders>
              <w:bottom w:val="single" w:sz="8" w:color="auto"/>
            </w:tcBorders>
          </w:tcPr>
          <w:p>
            <w:pPr>
              <w:ind w:left="520"/>
              <w:spacing w:after="0"/>
              <w:rPr>
                <w:sz w:val="20"/>
                <w:szCs w:val="20"/>
                <w:color w:val="auto"/>
              </w:rPr>
            </w:pPr>
            <w:r>
              <w:rPr>
                <w:rFonts w:ascii="Verdana" w:cs="Verdana" w:eastAsia="Verdana" w:hAnsi="Verdana"/>
                <w:sz w:val="13"/>
                <w:szCs w:val="13"/>
                <w:b w:val="1"/>
                <w:bCs w:val="1"/>
                <w:color w:val="auto"/>
              </w:rPr>
              <w:t>Inputs</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200"/>
              <w:spacing w:after="0"/>
              <w:rPr>
                <w:sz w:val="20"/>
                <w:szCs w:val="20"/>
                <w:color w:val="auto"/>
              </w:rPr>
            </w:pPr>
            <w:r>
              <w:rPr>
                <w:rFonts w:ascii="Verdana" w:cs="Verdana" w:eastAsia="Verdana" w:hAnsi="Verdana"/>
                <w:sz w:val="13"/>
                <w:szCs w:val="13"/>
                <w:b w:val="1"/>
                <w:bCs w:val="1"/>
                <w:color w:val="auto"/>
              </w:rPr>
              <w:t>Inputs</w:t>
            </w:r>
          </w:p>
        </w:tc>
        <w:tc>
          <w:tcPr>
            <w:tcW w:w="10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84"/>
              <w:spacing w:after="0"/>
              <w:rPr>
                <w:sz w:val="20"/>
                <w:szCs w:val="20"/>
                <w:color w:val="auto"/>
              </w:rPr>
            </w:pPr>
            <w:r>
              <w:rPr>
                <w:rFonts w:ascii="Verdana" w:cs="Verdana" w:eastAsia="Verdana" w:hAnsi="Verdana"/>
                <w:sz w:val="13"/>
                <w:szCs w:val="13"/>
                <w:b w:val="1"/>
                <w:bCs w:val="1"/>
                <w:color w:val="auto"/>
                <w:w w:val="95"/>
              </w:rPr>
              <w:t>Fair Value</w:t>
            </w:r>
          </w:p>
        </w:tc>
      </w:tr>
      <w:tr>
        <w:trPr>
          <w:trHeight w:val="269"/>
        </w:trPr>
        <w:tc>
          <w:tcPr>
            <w:tcW w:w="49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Loans evaluated individually, net of related allowance</w:t>
            </w:r>
          </w:p>
        </w:tc>
        <w:tc>
          <w:tcPr>
            <w:tcW w:w="1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w:t>
            </w:r>
          </w:p>
        </w:tc>
        <w:tc>
          <w:tcPr>
            <w:tcW w:w="460" w:type="dxa"/>
            <w:vAlign w:val="bottom"/>
            <w:gridSpan w:val="2"/>
            <w:shd w:val="clear" w:color="auto" w:fill="E0E7ED"/>
          </w:tcPr>
          <w:p>
            <w:pPr>
              <w:ind w:left="100"/>
              <w:spacing w:after="0"/>
              <w:rPr>
                <w:sz w:val="20"/>
                <w:szCs w:val="20"/>
                <w:color w:val="auto"/>
              </w:rPr>
            </w:pPr>
            <w:r>
              <w:rPr>
                <w:rFonts w:ascii="Verdana" w:cs="Verdana" w:eastAsia="Verdana" w:hAnsi="Verdana"/>
                <w:sz w:val="18"/>
                <w:szCs w:val="18"/>
                <w:color w:val="auto"/>
              </w:rPr>
              <w:t>—</w:t>
            </w:r>
          </w:p>
        </w:tc>
        <w:tc>
          <w:tcPr>
            <w:tcW w:w="1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w:t>
            </w:r>
          </w:p>
        </w:tc>
        <w:tc>
          <w:tcPr>
            <w:tcW w:w="460" w:type="dxa"/>
            <w:vAlign w:val="bottom"/>
            <w:gridSpan w:val="2"/>
            <w:shd w:val="clear" w:color="auto" w:fill="E0E7ED"/>
          </w:tcPr>
          <w:p>
            <w:pPr>
              <w:ind w:left="100"/>
              <w:spacing w:after="0"/>
              <w:rPr>
                <w:sz w:val="20"/>
                <w:szCs w:val="20"/>
                <w:color w:val="auto"/>
              </w:rPr>
            </w:pPr>
            <w:r>
              <w:rPr>
                <w:rFonts w:ascii="Verdana" w:cs="Verdana" w:eastAsia="Verdana" w:hAnsi="Verdana"/>
                <w:sz w:val="18"/>
                <w:szCs w:val="18"/>
                <w:color w:val="auto"/>
              </w:rPr>
              <w:t>—</w:t>
            </w:r>
          </w:p>
        </w:tc>
        <w:tc>
          <w:tcPr>
            <w:tcW w:w="32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shd w:val="clear" w:color="auto" w:fill="E0E7ED"/>
          </w:tcPr>
          <w:p>
            <w:pPr>
              <w:jc w:val="right"/>
              <w:ind w:right="4"/>
              <w:spacing w:after="0"/>
              <w:rPr>
                <w:sz w:val="20"/>
                <w:szCs w:val="20"/>
                <w:color w:val="auto"/>
              </w:rPr>
            </w:pPr>
            <w:r>
              <w:rPr>
                <w:rFonts w:ascii="Verdana" w:cs="Verdana" w:eastAsia="Verdana" w:hAnsi="Verdana"/>
                <w:sz w:val="18"/>
                <w:szCs w:val="18"/>
                <w:color w:val="auto"/>
              </w:rPr>
              <w:t>616</w:t>
            </w:r>
          </w:p>
        </w:tc>
        <w:tc>
          <w:tcPr>
            <w:tcW w:w="100" w:type="dxa"/>
            <w:vAlign w:val="bottom"/>
            <w:shd w:val="clear" w:color="auto" w:fill="E0E7ED"/>
          </w:tcPr>
          <w:p>
            <w:pPr>
              <w:spacing w:after="0"/>
              <w:rPr>
                <w:sz w:val="23"/>
                <w:szCs w:val="23"/>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ind w:right="4"/>
              <w:spacing w:after="0"/>
              <w:rPr>
                <w:sz w:val="20"/>
                <w:szCs w:val="20"/>
                <w:color w:val="auto"/>
              </w:rPr>
            </w:pPr>
            <w:r>
              <w:rPr>
                <w:rFonts w:ascii="Verdana" w:cs="Verdana" w:eastAsia="Verdana" w:hAnsi="Verdana"/>
                <w:sz w:val="18"/>
                <w:szCs w:val="18"/>
                <w:color w:val="auto"/>
              </w:rPr>
              <w:t>616</w:t>
            </w:r>
          </w:p>
        </w:tc>
      </w:tr>
      <w:tr>
        <w:trPr>
          <w:trHeight w:val="257"/>
        </w:trPr>
        <w:tc>
          <w:tcPr>
            <w:tcW w:w="4980" w:type="dxa"/>
            <w:vAlign w:val="bottom"/>
          </w:tcPr>
          <w:p>
            <w:pPr>
              <w:ind w:left="20"/>
              <w:spacing w:after="0"/>
              <w:rPr>
                <w:sz w:val="20"/>
                <w:szCs w:val="20"/>
                <w:color w:val="auto"/>
              </w:rPr>
            </w:pPr>
            <w:r>
              <w:rPr>
                <w:rFonts w:ascii="Verdana" w:cs="Verdana" w:eastAsia="Verdana" w:hAnsi="Verdana"/>
                <w:sz w:val="18"/>
                <w:szCs w:val="18"/>
                <w:color w:val="auto"/>
              </w:rPr>
              <w:t>Bank property held for sale with impairment</w:t>
            </w:r>
          </w:p>
        </w:tc>
        <w:tc>
          <w:tcPr>
            <w:tcW w:w="1120" w:type="dxa"/>
            <w:vAlign w:val="bottom"/>
          </w:tcPr>
          <w:p>
            <w:pPr>
              <w:spacing w:after="0"/>
              <w:rPr>
                <w:sz w:val="22"/>
                <w:szCs w:val="22"/>
                <w:color w:val="auto"/>
              </w:rPr>
            </w:pPr>
          </w:p>
        </w:tc>
        <w:tc>
          <w:tcPr>
            <w:tcW w:w="460" w:type="dxa"/>
            <w:vAlign w:val="bottom"/>
            <w:gridSpan w:val="2"/>
          </w:tcPr>
          <w:p>
            <w:pPr>
              <w:ind w:left="100"/>
              <w:spacing w:after="0"/>
              <w:rPr>
                <w:sz w:val="20"/>
                <w:szCs w:val="20"/>
                <w:color w:val="auto"/>
              </w:rPr>
            </w:pPr>
            <w:r>
              <w:rPr>
                <w:rFonts w:ascii="Verdana" w:cs="Verdana" w:eastAsia="Verdana" w:hAnsi="Verdana"/>
                <w:sz w:val="18"/>
                <w:szCs w:val="18"/>
                <w:color w:val="auto"/>
              </w:rPr>
              <w:t>—</w:t>
            </w:r>
          </w:p>
        </w:tc>
        <w:tc>
          <w:tcPr>
            <w:tcW w:w="1120" w:type="dxa"/>
            <w:vAlign w:val="bottom"/>
          </w:tcPr>
          <w:p>
            <w:pPr>
              <w:spacing w:after="0"/>
              <w:rPr>
                <w:sz w:val="22"/>
                <w:szCs w:val="22"/>
                <w:color w:val="auto"/>
              </w:rPr>
            </w:pPr>
          </w:p>
        </w:tc>
        <w:tc>
          <w:tcPr>
            <w:tcW w:w="460" w:type="dxa"/>
            <w:vAlign w:val="bottom"/>
            <w:gridSpan w:val="2"/>
          </w:tcPr>
          <w:p>
            <w:pPr>
              <w:ind w:left="100"/>
              <w:spacing w:after="0"/>
              <w:rPr>
                <w:sz w:val="20"/>
                <w:szCs w:val="20"/>
                <w:color w:val="auto"/>
              </w:rPr>
            </w:pPr>
            <w:r>
              <w:rPr>
                <w:rFonts w:ascii="Verdana" w:cs="Verdana" w:eastAsia="Verdana" w:hAnsi="Verdana"/>
                <w:sz w:val="18"/>
                <w:szCs w:val="18"/>
                <w:color w:val="auto"/>
              </w:rPr>
              <w:t>—</w:t>
            </w:r>
          </w:p>
        </w:tc>
        <w:tc>
          <w:tcPr>
            <w:tcW w:w="320" w:type="dxa"/>
            <w:vAlign w:val="bottom"/>
          </w:tcPr>
          <w:p>
            <w:pPr>
              <w:spacing w:after="0"/>
              <w:rPr>
                <w:sz w:val="22"/>
                <w:szCs w:val="22"/>
                <w:color w:val="auto"/>
              </w:rPr>
            </w:pPr>
          </w:p>
        </w:tc>
        <w:tc>
          <w:tcPr>
            <w:tcW w:w="1180" w:type="dxa"/>
            <w:vAlign w:val="bottom"/>
          </w:tcPr>
          <w:p>
            <w:pPr>
              <w:jc w:val="right"/>
              <w:ind w:right="4"/>
              <w:spacing w:after="0"/>
              <w:rPr>
                <w:sz w:val="20"/>
                <w:szCs w:val="20"/>
                <w:color w:val="auto"/>
              </w:rPr>
            </w:pPr>
            <w:r>
              <w:rPr>
                <w:rFonts w:ascii="Verdana" w:cs="Verdana" w:eastAsia="Verdana" w:hAnsi="Verdana"/>
                <w:sz w:val="18"/>
                <w:szCs w:val="18"/>
                <w:color w:val="auto"/>
              </w:rPr>
              <w:t>3,205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ind w:right="24"/>
              <w:spacing w:after="0"/>
              <w:rPr>
                <w:sz w:val="20"/>
                <w:szCs w:val="20"/>
                <w:color w:val="auto"/>
              </w:rPr>
            </w:pPr>
            <w:r>
              <w:rPr>
                <w:rFonts w:ascii="Verdana" w:cs="Verdana" w:eastAsia="Verdana" w:hAnsi="Verdana"/>
                <w:sz w:val="18"/>
                <w:szCs w:val="18"/>
                <w:color w:val="auto"/>
              </w:rPr>
              <w:t>3,205</w:t>
            </w:r>
          </w:p>
        </w:tc>
      </w:tr>
      <w:tr>
        <w:trPr>
          <w:trHeight w:val="520"/>
        </w:trPr>
        <w:tc>
          <w:tcPr>
            <w:tcW w:w="49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ind w:left="660"/>
              <w:spacing w:after="0"/>
              <w:rPr>
                <w:sz w:val="20"/>
                <w:szCs w:val="20"/>
                <w:color w:val="auto"/>
              </w:rPr>
            </w:pPr>
            <w:r>
              <w:rPr>
                <w:rFonts w:ascii="Verdana" w:cs="Verdana" w:eastAsia="Verdana" w:hAnsi="Verdana"/>
                <w:sz w:val="13"/>
                <w:szCs w:val="13"/>
                <w:b w:val="1"/>
                <w:bCs w:val="1"/>
                <w:color w:val="auto"/>
              </w:rPr>
              <w:t>As of December 31, 2023</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21"/>
        </w:trPr>
        <w:tc>
          <w:tcPr>
            <w:tcW w:w="4980" w:type="dxa"/>
            <w:vAlign w:val="bottom"/>
          </w:tcPr>
          <w:p>
            <w:pPr>
              <w:spacing w:after="0"/>
              <w:rPr>
                <w:sz w:val="10"/>
                <w:szCs w:val="10"/>
                <w:color w:val="auto"/>
              </w:rPr>
            </w:pPr>
          </w:p>
        </w:tc>
        <w:tc>
          <w:tcPr>
            <w:tcW w:w="1120" w:type="dxa"/>
            <w:vAlign w:val="bottom"/>
          </w:tcPr>
          <w:p>
            <w:pPr>
              <w:ind w:left="500"/>
              <w:spacing w:after="0" w:line="122" w:lineRule="exact"/>
              <w:rPr>
                <w:sz w:val="20"/>
                <w:szCs w:val="20"/>
                <w:color w:val="auto"/>
              </w:rPr>
            </w:pPr>
            <w:r>
              <w:rPr>
                <w:rFonts w:ascii="Verdana" w:cs="Verdana" w:eastAsia="Verdana" w:hAnsi="Verdana"/>
                <w:sz w:val="13"/>
                <w:szCs w:val="13"/>
                <w:b w:val="1"/>
                <w:bCs w:val="1"/>
                <w:color w:val="auto"/>
              </w:rPr>
              <w:t>Level 1</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ind w:left="500"/>
              <w:spacing w:after="0" w:line="122" w:lineRule="exact"/>
              <w:rPr>
                <w:sz w:val="20"/>
                <w:szCs w:val="20"/>
                <w:color w:val="auto"/>
              </w:rPr>
            </w:pPr>
            <w:r>
              <w:rPr>
                <w:rFonts w:ascii="Verdana" w:cs="Verdana" w:eastAsia="Verdana" w:hAnsi="Verdana"/>
                <w:sz w:val="13"/>
                <w:szCs w:val="13"/>
                <w:b w:val="1"/>
                <w:bCs w:val="1"/>
                <w:color w:val="auto"/>
              </w:rPr>
              <w:t>Level 2</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80" w:type="dxa"/>
            <w:vAlign w:val="bottom"/>
            <w:gridSpan w:val="2"/>
          </w:tcPr>
          <w:p>
            <w:pPr>
              <w:ind w:left="180"/>
              <w:spacing w:after="0" w:line="122" w:lineRule="exact"/>
              <w:rPr>
                <w:sz w:val="20"/>
                <w:szCs w:val="20"/>
                <w:color w:val="auto"/>
              </w:rPr>
            </w:pPr>
            <w:r>
              <w:rPr>
                <w:rFonts w:ascii="Verdana" w:cs="Verdana" w:eastAsia="Verdana" w:hAnsi="Verdana"/>
                <w:sz w:val="13"/>
                <w:szCs w:val="13"/>
                <w:b w:val="1"/>
                <w:bCs w:val="1"/>
                <w:color w:val="auto"/>
              </w:rPr>
              <w:t>Level 3</w:t>
            </w:r>
          </w:p>
        </w:tc>
        <w:tc>
          <w:tcPr>
            <w:tcW w:w="260" w:type="dxa"/>
            <w:vAlign w:val="bottom"/>
          </w:tcPr>
          <w:p>
            <w:pPr>
              <w:spacing w:after="0"/>
              <w:rPr>
                <w:sz w:val="10"/>
                <w:szCs w:val="10"/>
                <w:color w:val="auto"/>
              </w:rPr>
            </w:pPr>
          </w:p>
        </w:tc>
        <w:tc>
          <w:tcPr>
            <w:tcW w:w="1240" w:type="dxa"/>
            <w:vAlign w:val="bottom"/>
          </w:tcPr>
          <w:p>
            <w:pPr>
              <w:jc w:val="center"/>
              <w:ind w:right="184"/>
              <w:spacing w:after="0" w:line="122" w:lineRule="exact"/>
              <w:rPr>
                <w:sz w:val="20"/>
                <w:szCs w:val="20"/>
                <w:color w:val="auto"/>
              </w:rPr>
            </w:pPr>
            <w:r>
              <w:rPr>
                <w:rFonts w:ascii="Verdana" w:cs="Verdana" w:eastAsia="Verdana" w:hAnsi="Verdana"/>
                <w:sz w:val="13"/>
                <w:szCs w:val="13"/>
                <w:b w:val="1"/>
                <w:bCs w:val="1"/>
                <w:color w:val="auto"/>
                <w:w w:val="91"/>
              </w:rPr>
              <w:t>Total</w:t>
            </w:r>
          </w:p>
        </w:tc>
      </w:tr>
      <w:tr>
        <w:trPr>
          <w:trHeight w:val="170"/>
        </w:trPr>
        <w:tc>
          <w:tcPr>
            <w:tcW w:w="4980" w:type="dxa"/>
            <w:vAlign w:val="bottom"/>
            <w:tcBorders>
              <w:bottom w:val="single" w:sz="8" w:color="E0E7ED"/>
            </w:tcBorders>
          </w:tcPr>
          <w:p>
            <w:pPr>
              <w:spacing w:after="0"/>
              <w:rPr>
                <w:sz w:val="14"/>
                <w:szCs w:val="14"/>
                <w:color w:val="auto"/>
              </w:rPr>
            </w:pPr>
          </w:p>
        </w:tc>
        <w:tc>
          <w:tcPr>
            <w:tcW w:w="1120" w:type="dxa"/>
            <w:vAlign w:val="bottom"/>
            <w:tcBorders>
              <w:bottom w:val="single" w:sz="8" w:color="auto"/>
            </w:tcBorders>
          </w:tcPr>
          <w:p>
            <w:pPr>
              <w:ind w:left="520"/>
              <w:spacing w:after="0"/>
              <w:rPr>
                <w:sz w:val="20"/>
                <w:szCs w:val="20"/>
                <w:color w:val="auto"/>
              </w:rPr>
            </w:pPr>
            <w:r>
              <w:rPr>
                <w:rFonts w:ascii="Verdana" w:cs="Verdana" w:eastAsia="Verdana" w:hAnsi="Verdana"/>
                <w:sz w:val="13"/>
                <w:szCs w:val="13"/>
                <w:b w:val="1"/>
                <w:bCs w:val="1"/>
                <w:color w:val="auto"/>
              </w:rPr>
              <w:t>Inputs</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1120" w:type="dxa"/>
            <w:vAlign w:val="bottom"/>
            <w:tcBorders>
              <w:bottom w:val="single" w:sz="8" w:color="auto"/>
            </w:tcBorders>
          </w:tcPr>
          <w:p>
            <w:pPr>
              <w:ind w:left="520"/>
              <w:spacing w:after="0"/>
              <w:rPr>
                <w:sz w:val="20"/>
                <w:szCs w:val="20"/>
                <w:color w:val="auto"/>
              </w:rPr>
            </w:pPr>
            <w:r>
              <w:rPr>
                <w:rFonts w:ascii="Verdana" w:cs="Verdana" w:eastAsia="Verdana" w:hAnsi="Verdana"/>
                <w:sz w:val="13"/>
                <w:szCs w:val="13"/>
                <w:b w:val="1"/>
                <w:bCs w:val="1"/>
                <w:color w:val="auto"/>
              </w:rPr>
              <w:t>Inputs</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200"/>
              <w:spacing w:after="0"/>
              <w:rPr>
                <w:sz w:val="20"/>
                <w:szCs w:val="20"/>
                <w:color w:val="auto"/>
              </w:rPr>
            </w:pPr>
            <w:r>
              <w:rPr>
                <w:rFonts w:ascii="Verdana" w:cs="Verdana" w:eastAsia="Verdana" w:hAnsi="Verdana"/>
                <w:sz w:val="13"/>
                <w:szCs w:val="13"/>
                <w:b w:val="1"/>
                <w:bCs w:val="1"/>
                <w:color w:val="auto"/>
              </w:rPr>
              <w:t>Inputs</w:t>
            </w:r>
          </w:p>
        </w:tc>
        <w:tc>
          <w:tcPr>
            <w:tcW w:w="10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84"/>
              <w:spacing w:after="0"/>
              <w:rPr>
                <w:sz w:val="20"/>
                <w:szCs w:val="20"/>
                <w:color w:val="auto"/>
              </w:rPr>
            </w:pPr>
            <w:r>
              <w:rPr>
                <w:rFonts w:ascii="Verdana" w:cs="Verdana" w:eastAsia="Verdana" w:hAnsi="Verdana"/>
                <w:sz w:val="13"/>
                <w:szCs w:val="13"/>
                <w:b w:val="1"/>
                <w:bCs w:val="1"/>
                <w:color w:val="auto"/>
                <w:w w:val="95"/>
              </w:rPr>
              <w:t>Fair Value</w:t>
            </w:r>
          </w:p>
        </w:tc>
      </w:tr>
      <w:tr>
        <w:trPr>
          <w:trHeight w:val="269"/>
        </w:trPr>
        <w:tc>
          <w:tcPr>
            <w:tcW w:w="49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Loans evaluated individually, net of related allowance</w:t>
            </w:r>
          </w:p>
        </w:tc>
        <w:tc>
          <w:tcPr>
            <w:tcW w:w="1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w:t>
            </w:r>
          </w:p>
        </w:tc>
        <w:tc>
          <w:tcPr>
            <w:tcW w:w="460" w:type="dxa"/>
            <w:vAlign w:val="bottom"/>
            <w:gridSpan w:val="2"/>
            <w:shd w:val="clear" w:color="auto" w:fill="E0E7ED"/>
          </w:tcPr>
          <w:p>
            <w:pPr>
              <w:ind w:left="100"/>
              <w:spacing w:after="0"/>
              <w:rPr>
                <w:sz w:val="20"/>
                <w:szCs w:val="20"/>
                <w:color w:val="auto"/>
              </w:rPr>
            </w:pPr>
            <w:r>
              <w:rPr>
                <w:rFonts w:ascii="Verdana" w:cs="Verdana" w:eastAsia="Verdana" w:hAnsi="Verdana"/>
                <w:sz w:val="18"/>
                <w:szCs w:val="18"/>
                <w:color w:val="auto"/>
              </w:rPr>
              <w:t>—</w:t>
            </w:r>
          </w:p>
        </w:tc>
        <w:tc>
          <w:tcPr>
            <w:tcW w:w="1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w:t>
            </w:r>
          </w:p>
        </w:tc>
        <w:tc>
          <w:tcPr>
            <w:tcW w:w="460" w:type="dxa"/>
            <w:vAlign w:val="bottom"/>
            <w:gridSpan w:val="2"/>
            <w:shd w:val="clear" w:color="auto" w:fill="E0E7ED"/>
          </w:tcPr>
          <w:p>
            <w:pPr>
              <w:ind w:left="100"/>
              <w:spacing w:after="0"/>
              <w:rPr>
                <w:sz w:val="20"/>
                <w:szCs w:val="20"/>
                <w:color w:val="auto"/>
              </w:rPr>
            </w:pPr>
            <w:r>
              <w:rPr>
                <w:rFonts w:ascii="Verdana" w:cs="Verdana" w:eastAsia="Verdana" w:hAnsi="Verdana"/>
                <w:sz w:val="18"/>
                <w:szCs w:val="18"/>
                <w:color w:val="auto"/>
              </w:rPr>
              <w:t>—</w:t>
            </w:r>
          </w:p>
        </w:tc>
        <w:tc>
          <w:tcPr>
            <w:tcW w:w="32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shd w:val="clear" w:color="auto" w:fill="E0E7ED"/>
          </w:tcPr>
          <w:p>
            <w:pPr>
              <w:jc w:val="right"/>
              <w:ind w:right="4"/>
              <w:spacing w:after="0"/>
              <w:rPr>
                <w:sz w:val="20"/>
                <w:szCs w:val="20"/>
                <w:color w:val="auto"/>
              </w:rPr>
            </w:pPr>
            <w:r>
              <w:rPr>
                <w:rFonts w:ascii="Verdana" w:cs="Verdana" w:eastAsia="Verdana" w:hAnsi="Verdana"/>
                <w:sz w:val="18"/>
                <w:szCs w:val="18"/>
                <w:color w:val="auto"/>
              </w:rPr>
              <w:t>1,000</w:t>
            </w:r>
          </w:p>
        </w:tc>
        <w:tc>
          <w:tcPr>
            <w:tcW w:w="100" w:type="dxa"/>
            <w:vAlign w:val="bottom"/>
            <w:shd w:val="clear" w:color="auto" w:fill="E0E7ED"/>
          </w:tcPr>
          <w:p>
            <w:pPr>
              <w:spacing w:after="0"/>
              <w:rPr>
                <w:sz w:val="23"/>
                <w:szCs w:val="23"/>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ind w:right="24"/>
              <w:spacing w:after="0"/>
              <w:rPr>
                <w:sz w:val="20"/>
                <w:szCs w:val="20"/>
                <w:color w:val="auto"/>
              </w:rPr>
            </w:pPr>
            <w:r>
              <w:rPr>
                <w:rFonts w:ascii="Verdana" w:cs="Verdana" w:eastAsia="Verdana" w:hAnsi="Verdana"/>
                <w:sz w:val="18"/>
                <w:szCs w:val="18"/>
                <w:color w:val="auto"/>
              </w:rPr>
              <w:t>1,000</w:t>
            </w:r>
          </w:p>
        </w:tc>
      </w:tr>
      <w:tr>
        <w:trPr>
          <w:trHeight w:val="257"/>
        </w:trPr>
        <w:tc>
          <w:tcPr>
            <w:tcW w:w="4980" w:type="dxa"/>
            <w:vAlign w:val="bottom"/>
          </w:tcPr>
          <w:p>
            <w:pPr>
              <w:ind w:left="20"/>
              <w:spacing w:after="0"/>
              <w:rPr>
                <w:sz w:val="20"/>
                <w:szCs w:val="20"/>
                <w:color w:val="auto"/>
              </w:rPr>
            </w:pPr>
            <w:r>
              <w:rPr>
                <w:rFonts w:ascii="Verdana" w:cs="Verdana" w:eastAsia="Verdana" w:hAnsi="Verdana"/>
                <w:sz w:val="18"/>
                <w:szCs w:val="18"/>
                <w:color w:val="auto"/>
              </w:rPr>
              <w:t>Bank property held for sale with impairment</w:t>
            </w:r>
          </w:p>
        </w:tc>
        <w:tc>
          <w:tcPr>
            <w:tcW w:w="1120" w:type="dxa"/>
            <w:vAlign w:val="bottom"/>
          </w:tcPr>
          <w:p>
            <w:pPr>
              <w:spacing w:after="0"/>
              <w:rPr>
                <w:sz w:val="22"/>
                <w:szCs w:val="22"/>
                <w:color w:val="auto"/>
              </w:rPr>
            </w:pPr>
          </w:p>
        </w:tc>
        <w:tc>
          <w:tcPr>
            <w:tcW w:w="460" w:type="dxa"/>
            <w:vAlign w:val="bottom"/>
            <w:gridSpan w:val="2"/>
          </w:tcPr>
          <w:p>
            <w:pPr>
              <w:ind w:left="100"/>
              <w:spacing w:after="0"/>
              <w:rPr>
                <w:sz w:val="20"/>
                <w:szCs w:val="20"/>
                <w:color w:val="auto"/>
              </w:rPr>
            </w:pPr>
            <w:r>
              <w:rPr>
                <w:rFonts w:ascii="Verdana" w:cs="Verdana" w:eastAsia="Verdana" w:hAnsi="Verdana"/>
                <w:sz w:val="18"/>
                <w:szCs w:val="18"/>
                <w:color w:val="auto"/>
              </w:rPr>
              <w:t>—</w:t>
            </w:r>
          </w:p>
        </w:tc>
        <w:tc>
          <w:tcPr>
            <w:tcW w:w="1120" w:type="dxa"/>
            <w:vAlign w:val="bottom"/>
          </w:tcPr>
          <w:p>
            <w:pPr>
              <w:spacing w:after="0"/>
              <w:rPr>
                <w:sz w:val="22"/>
                <w:szCs w:val="22"/>
                <w:color w:val="auto"/>
              </w:rPr>
            </w:pPr>
          </w:p>
        </w:tc>
        <w:tc>
          <w:tcPr>
            <w:tcW w:w="460" w:type="dxa"/>
            <w:vAlign w:val="bottom"/>
            <w:gridSpan w:val="2"/>
          </w:tcPr>
          <w:p>
            <w:pPr>
              <w:ind w:left="100"/>
              <w:spacing w:after="0"/>
              <w:rPr>
                <w:sz w:val="20"/>
                <w:szCs w:val="20"/>
                <w:color w:val="auto"/>
              </w:rPr>
            </w:pPr>
            <w:r>
              <w:rPr>
                <w:rFonts w:ascii="Verdana" w:cs="Verdana" w:eastAsia="Verdana" w:hAnsi="Verdana"/>
                <w:sz w:val="18"/>
                <w:szCs w:val="18"/>
                <w:color w:val="auto"/>
              </w:rPr>
              <w:t>—</w:t>
            </w:r>
          </w:p>
        </w:tc>
        <w:tc>
          <w:tcPr>
            <w:tcW w:w="320" w:type="dxa"/>
            <w:vAlign w:val="bottom"/>
          </w:tcPr>
          <w:p>
            <w:pPr>
              <w:spacing w:after="0"/>
              <w:rPr>
                <w:sz w:val="22"/>
                <w:szCs w:val="22"/>
                <w:color w:val="auto"/>
              </w:rPr>
            </w:pPr>
          </w:p>
        </w:tc>
        <w:tc>
          <w:tcPr>
            <w:tcW w:w="1180" w:type="dxa"/>
            <w:vAlign w:val="bottom"/>
          </w:tcPr>
          <w:p>
            <w:pPr>
              <w:jc w:val="right"/>
              <w:ind w:right="4"/>
              <w:spacing w:after="0"/>
              <w:rPr>
                <w:sz w:val="20"/>
                <w:szCs w:val="20"/>
                <w:color w:val="auto"/>
              </w:rPr>
            </w:pPr>
            <w:r>
              <w:rPr>
                <w:rFonts w:ascii="Verdana" w:cs="Verdana" w:eastAsia="Verdana" w:hAnsi="Verdana"/>
                <w:sz w:val="18"/>
                <w:szCs w:val="18"/>
                <w:color w:val="auto"/>
              </w:rPr>
              <w:t>4,286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ind w:right="24"/>
              <w:spacing w:after="0"/>
              <w:rPr>
                <w:sz w:val="20"/>
                <w:szCs w:val="20"/>
                <w:color w:val="auto"/>
              </w:rPr>
            </w:pPr>
            <w:r>
              <w:rPr>
                <w:rFonts w:ascii="Verdana" w:cs="Verdana" w:eastAsia="Verdana" w:hAnsi="Verdana"/>
                <w:sz w:val="18"/>
                <w:szCs w:val="18"/>
                <w:color w:val="auto"/>
              </w:rPr>
              <w:t>4,286</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61" w:name="page62"/>
    <w:bookmarkEnd w:id="61"/>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 xml:space="preserve">The following table presents additional quantitative information about assets measured at estimated fair value on a non-recurring basis using Level 3 inputs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0" w:type="dxa"/>
            <w:vAlign w:val="bottom"/>
            <w:tcBorders>
              <w:bottom w:val="single" w:sz="8" w:color="auto"/>
            </w:tcBorders>
            <w:gridSpan w:val="4"/>
          </w:tcPr>
          <w:p>
            <w:pPr>
              <w:ind w:left="1520"/>
              <w:spacing w:after="0"/>
              <w:rPr>
                <w:sz w:val="20"/>
                <w:szCs w:val="20"/>
                <w:color w:val="auto"/>
              </w:rPr>
            </w:pPr>
            <w:r>
              <w:rPr>
                <w:rFonts w:ascii="Verdana" w:cs="Verdana" w:eastAsia="Verdana" w:hAnsi="Verdana"/>
                <w:sz w:val="13"/>
                <w:szCs w:val="13"/>
                <w:b w:val="1"/>
                <w:bCs w:val="1"/>
                <w:color w:val="auto"/>
              </w:rPr>
              <w:t>As of September 30, 2024</w:t>
            </w:r>
          </w:p>
        </w:tc>
        <w:tc>
          <w:tcPr>
            <w:tcW w:w="1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vMerge w:val="restart"/>
          </w:tcPr>
          <w:p>
            <w:pPr>
              <w:jc w:val="right"/>
              <w:ind w:right="144"/>
              <w:spacing w:after="0"/>
              <w:rPr>
                <w:sz w:val="20"/>
                <w:szCs w:val="20"/>
                <w:color w:val="auto"/>
              </w:rPr>
            </w:pPr>
            <w:r>
              <w:rPr>
                <w:rFonts w:ascii="Verdana" w:cs="Verdana" w:eastAsia="Verdana" w:hAnsi="Verdana"/>
                <w:sz w:val="13"/>
                <w:szCs w:val="13"/>
                <w:b w:val="1"/>
                <w:bCs w:val="1"/>
                <w:color w:val="auto"/>
              </w:rPr>
              <w:t>Fair Value</w:t>
            </w:r>
          </w:p>
        </w:tc>
        <w:tc>
          <w:tcPr>
            <w:tcW w:w="100" w:type="dxa"/>
            <w:vAlign w:val="bottom"/>
            <w:vMerge w:val="restart"/>
          </w:tcPr>
          <w:p>
            <w:pPr>
              <w:spacing w:after="0"/>
              <w:rPr>
                <w:sz w:val="10"/>
                <w:szCs w:val="10"/>
                <w:color w:val="auto"/>
              </w:rPr>
            </w:pPr>
          </w:p>
        </w:tc>
        <w:tc>
          <w:tcPr>
            <w:tcW w:w="2620" w:type="dxa"/>
            <w:vAlign w:val="bottom"/>
            <w:gridSpan w:val="2"/>
          </w:tcPr>
          <w:p>
            <w:pPr>
              <w:jc w:val="center"/>
              <w:ind w:right="100"/>
              <w:spacing w:after="0" w:line="122" w:lineRule="exact"/>
              <w:rPr>
                <w:sz w:val="20"/>
                <w:szCs w:val="20"/>
                <w:color w:val="auto"/>
              </w:rPr>
            </w:pPr>
            <w:r>
              <w:rPr>
                <w:rFonts w:ascii="Verdana" w:cs="Verdana" w:eastAsia="Verdana" w:hAnsi="Verdana"/>
                <w:sz w:val="13"/>
                <w:szCs w:val="13"/>
                <w:b w:val="1"/>
                <w:bCs w:val="1"/>
                <w:color w:val="auto"/>
                <w:w w:val="97"/>
              </w:rPr>
              <w:t>Valuation</w:t>
            </w:r>
          </w:p>
        </w:tc>
        <w:tc>
          <w:tcPr>
            <w:tcW w:w="1580" w:type="dxa"/>
            <w:vAlign w:val="bottom"/>
            <w:gridSpan w:val="2"/>
          </w:tcPr>
          <w:p>
            <w:pPr>
              <w:jc w:val="center"/>
              <w:ind w:right="80"/>
              <w:spacing w:after="0" w:line="122" w:lineRule="exact"/>
              <w:rPr>
                <w:sz w:val="20"/>
                <w:szCs w:val="20"/>
                <w:color w:val="auto"/>
              </w:rPr>
            </w:pPr>
            <w:r>
              <w:rPr>
                <w:rFonts w:ascii="Verdana" w:cs="Verdana" w:eastAsia="Verdana" w:hAnsi="Verdana"/>
                <w:sz w:val="13"/>
                <w:szCs w:val="13"/>
                <w:b w:val="1"/>
                <w:bCs w:val="1"/>
                <w:color w:val="auto"/>
                <w:w w:val="97"/>
              </w:rPr>
              <w:t>Unobservable</w:t>
            </w:r>
          </w:p>
        </w:tc>
        <w:tc>
          <w:tcPr>
            <w:tcW w:w="1940" w:type="dxa"/>
            <w:vAlign w:val="bottom"/>
          </w:tcPr>
          <w:p>
            <w:pPr>
              <w:jc w:val="center"/>
              <w:spacing w:after="0" w:line="122" w:lineRule="exact"/>
              <w:rPr>
                <w:sz w:val="20"/>
                <w:szCs w:val="20"/>
                <w:color w:val="auto"/>
              </w:rPr>
            </w:pPr>
            <w:r>
              <w:rPr>
                <w:rFonts w:ascii="Verdana" w:cs="Verdana" w:eastAsia="Verdana" w:hAnsi="Verdana"/>
                <w:sz w:val="13"/>
                <w:szCs w:val="13"/>
                <w:b w:val="1"/>
                <w:bCs w:val="1"/>
                <w:color w:val="auto"/>
                <w:w w:val="95"/>
              </w:rPr>
              <w:t>Range</w:t>
            </w:r>
          </w:p>
        </w:tc>
        <w:tc>
          <w:tcPr>
            <w:tcW w:w="0" w:type="dxa"/>
            <w:vAlign w:val="bottom"/>
          </w:tcPr>
          <w:p>
            <w:pPr>
              <w:spacing w:after="0"/>
              <w:rPr>
                <w:sz w:val="1"/>
                <w:szCs w:val="1"/>
                <w:color w:val="auto"/>
              </w:rPr>
            </w:pPr>
          </w:p>
        </w:tc>
      </w:tr>
      <w:tr>
        <w:trPr>
          <w:trHeight w:val="170"/>
        </w:trPr>
        <w:tc>
          <w:tcPr>
            <w:tcW w:w="384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E0E7ED"/>
            </w:tcBorders>
            <w:vMerge w:val="continue"/>
          </w:tcPr>
          <w:p>
            <w:pPr>
              <w:spacing w:after="0"/>
              <w:rPr>
                <w:sz w:val="14"/>
                <w:szCs w:val="14"/>
                <w:color w:val="auto"/>
              </w:rPr>
            </w:pPr>
          </w:p>
        </w:tc>
        <w:tc>
          <w:tcPr>
            <w:tcW w:w="254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6"/>
              </w:rPr>
              <w:t>Techniques</w:t>
            </w:r>
          </w:p>
        </w:tc>
        <w:tc>
          <w:tcPr>
            <w:tcW w:w="80" w:type="dxa"/>
            <w:vAlign w:val="bottom"/>
            <w:tcBorders>
              <w:bottom w:val="single" w:sz="8" w:color="E0E7ED"/>
            </w:tcBorders>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3"/>
              </w:rPr>
              <w:t>Input</w:t>
            </w:r>
          </w:p>
        </w:tc>
        <w:tc>
          <w:tcPr>
            <w:tcW w:w="80" w:type="dxa"/>
            <w:vAlign w:val="bottom"/>
            <w:tcBorders>
              <w:bottom w:val="single" w:sz="8" w:color="E0E7ED"/>
            </w:tcBorders>
          </w:tcPr>
          <w:p>
            <w:pPr>
              <w:spacing w:after="0"/>
              <w:rPr>
                <w:sz w:val="14"/>
                <w:szCs w:val="14"/>
                <w:color w:val="auto"/>
              </w:rPr>
            </w:pPr>
          </w:p>
        </w:tc>
        <w:tc>
          <w:tcPr>
            <w:tcW w:w="194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7"/>
              </w:rPr>
              <w:t>(Weighted Average)</w:t>
            </w:r>
          </w:p>
        </w:tc>
        <w:tc>
          <w:tcPr>
            <w:tcW w:w="0" w:type="dxa"/>
            <w:vAlign w:val="bottom"/>
          </w:tcPr>
          <w:p>
            <w:pPr>
              <w:spacing w:after="0"/>
              <w:rPr>
                <w:sz w:val="1"/>
                <w:szCs w:val="1"/>
                <w:color w:val="auto"/>
              </w:rPr>
            </w:pPr>
          </w:p>
        </w:tc>
      </w:tr>
      <w:tr>
        <w:trPr>
          <w:trHeight w:val="223"/>
        </w:trPr>
        <w:tc>
          <w:tcPr>
            <w:tcW w:w="38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Loans evaluated individually, net of</w:t>
            </w:r>
          </w:p>
        </w:tc>
        <w:tc>
          <w:tcPr>
            <w:tcW w:w="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80" w:type="dxa"/>
            <w:vAlign w:val="bottom"/>
            <w:shd w:val="clear" w:color="auto" w:fill="E0E7ED"/>
          </w:tcPr>
          <w:p>
            <w:pPr>
              <w:jc w:val="right"/>
              <w:ind w:right="4"/>
              <w:spacing w:after="0"/>
              <w:rPr>
                <w:sz w:val="20"/>
                <w:szCs w:val="20"/>
                <w:color w:val="auto"/>
              </w:rPr>
            </w:pPr>
            <w:r>
              <w:rPr>
                <w:rFonts w:ascii="Verdana" w:cs="Verdana" w:eastAsia="Verdana" w:hAnsi="Verdana"/>
                <w:sz w:val="18"/>
                <w:szCs w:val="18"/>
                <w:color w:val="auto"/>
              </w:rPr>
              <w:t>616</w:t>
            </w:r>
          </w:p>
        </w:tc>
        <w:tc>
          <w:tcPr>
            <w:tcW w:w="100" w:type="dxa"/>
            <w:vAlign w:val="bottom"/>
            <w:shd w:val="clear" w:color="auto" w:fill="E0E7ED"/>
          </w:tcPr>
          <w:p>
            <w:pPr>
              <w:spacing w:after="0"/>
              <w:rPr>
                <w:sz w:val="19"/>
                <w:szCs w:val="19"/>
                <w:color w:val="auto"/>
              </w:rPr>
            </w:pPr>
          </w:p>
        </w:tc>
        <w:tc>
          <w:tcPr>
            <w:tcW w:w="2620" w:type="dxa"/>
            <w:vAlign w:val="bottom"/>
            <w:gridSpan w:val="2"/>
            <w:shd w:val="clear" w:color="auto" w:fill="E0E7ED"/>
          </w:tcPr>
          <w:p>
            <w:pPr>
              <w:jc w:val="center"/>
              <w:ind w:right="80"/>
              <w:spacing w:after="0"/>
              <w:rPr>
                <w:sz w:val="20"/>
                <w:szCs w:val="20"/>
                <w:color w:val="auto"/>
              </w:rPr>
            </w:pPr>
            <w:r>
              <w:rPr>
                <w:rFonts w:ascii="Verdana" w:cs="Verdana" w:eastAsia="Verdana" w:hAnsi="Verdana"/>
                <w:sz w:val="18"/>
                <w:szCs w:val="18"/>
                <w:color w:val="auto"/>
                <w:w w:val="99"/>
              </w:rPr>
              <w:t>Appraisal of collateral</w:t>
            </w:r>
          </w:p>
        </w:tc>
        <w:tc>
          <w:tcPr>
            <w:tcW w:w="1580" w:type="dxa"/>
            <w:vAlign w:val="bottom"/>
            <w:gridSpan w:val="2"/>
            <w:shd w:val="clear" w:color="auto" w:fill="E0E7ED"/>
          </w:tcPr>
          <w:p>
            <w:pPr>
              <w:jc w:val="center"/>
              <w:ind w:right="80"/>
              <w:spacing w:after="0"/>
              <w:rPr>
                <w:sz w:val="20"/>
                <w:szCs w:val="20"/>
                <w:color w:val="auto"/>
              </w:rPr>
            </w:pPr>
            <w:r>
              <w:rPr>
                <w:rFonts w:ascii="Verdana" w:cs="Verdana" w:eastAsia="Verdana" w:hAnsi="Verdana"/>
                <w:sz w:val="18"/>
                <w:szCs w:val="18"/>
                <w:color w:val="auto"/>
                <w:w w:val="98"/>
              </w:rPr>
              <w:t>Appraisal</w:t>
            </w:r>
          </w:p>
        </w:tc>
        <w:tc>
          <w:tcPr>
            <w:tcW w:w="1940" w:type="dxa"/>
            <w:vAlign w:val="bottom"/>
            <w:shd w:val="clear" w:color="auto" w:fill="E0E7ED"/>
          </w:tcPr>
          <w:p>
            <w:pPr>
              <w:jc w:val="center"/>
              <w:spacing w:after="0"/>
              <w:rPr>
                <w:sz w:val="20"/>
                <w:szCs w:val="20"/>
                <w:color w:val="auto"/>
              </w:rPr>
            </w:pPr>
            <w:r>
              <w:rPr>
                <w:rFonts w:ascii="Verdana" w:cs="Verdana" w:eastAsia="Verdana" w:hAnsi="Verdana"/>
                <w:sz w:val="18"/>
                <w:szCs w:val="18"/>
                <w:color w:val="auto"/>
                <w:w w:val="99"/>
              </w:rPr>
              <w:t>-25.0% to -100.0%</w:t>
            </w:r>
          </w:p>
        </w:tc>
        <w:tc>
          <w:tcPr>
            <w:tcW w:w="0" w:type="dxa"/>
            <w:vAlign w:val="bottom"/>
          </w:tcPr>
          <w:p>
            <w:pPr>
              <w:spacing w:after="0"/>
              <w:rPr>
                <w:sz w:val="1"/>
                <w:szCs w:val="1"/>
                <w:color w:val="auto"/>
              </w:rPr>
            </w:pPr>
          </w:p>
        </w:tc>
      </w:tr>
      <w:tr>
        <w:trPr>
          <w:trHeight w:val="262"/>
        </w:trPr>
        <w:tc>
          <w:tcPr>
            <w:tcW w:w="38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related allowance</w:t>
            </w:r>
          </w:p>
        </w:tc>
        <w:tc>
          <w:tcPr>
            <w:tcW w:w="180" w:type="dxa"/>
            <w:vAlign w:val="bottom"/>
            <w:shd w:val="clear" w:color="auto" w:fill="E0E7ED"/>
          </w:tcPr>
          <w:p>
            <w:pPr>
              <w:spacing w:after="0"/>
              <w:rPr>
                <w:sz w:val="22"/>
                <w:szCs w:val="22"/>
                <w:color w:val="auto"/>
              </w:rPr>
            </w:pPr>
          </w:p>
        </w:tc>
        <w:tc>
          <w:tcPr>
            <w:tcW w:w="9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5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580" w:type="dxa"/>
            <w:vAlign w:val="bottom"/>
            <w:gridSpan w:val="2"/>
            <w:shd w:val="clear" w:color="auto" w:fill="E0E7ED"/>
          </w:tcPr>
          <w:p>
            <w:pPr>
              <w:jc w:val="center"/>
              <w:ind w:right="60"/>
              <w:spacing w:after="0"/>
              <w:rPr>
                <w:sz w:val="20"/>
                <w:szCs w:val="20"/>
                <w:color w:val="auto"/>
              </w:rPr>
            </w:pPr>
            <w:r>
              <w:rPr>
                <w:rFonts w:ascii="Verdana" w:cs="Verdana" w:eastAsia="Verdana" w:hAnsi="Verdana"/>
                <w:sz w:val="18"/>
                <w:szCs w:val="18"/>
                <w:color w:val="auto"/>
                <w:w w:val="99"/>
              </w:rPr>
              <w:t>adjustments</w:t>
            </w:r>
          </w:p>
        </w:tc>
        <w:tc>
          <w:tcPr>
            <w:tcW w:w="1940" w:type="dxa"/>
            <w:vAlign w:val="bottom"/>
            <w:shd w:val="clear" w:color="auto" w:fill="E0E7ED"/>
          </w:tcPr>
          <w:p>
            <w:pPr>
              <w:jc w:val="center"/>
              <w:spacing w:after="0"/>
              <w:rPr>
                <w:sz w:val="20"/>
                <w:szCs w:val="20"/>
                <w:color w:val="auto"/>
              </w:rPr>
            </w:pPr>
            <w:r>
              <w:rPr>
                <w:rFonts w:ascii="Verdana" w:cs="Verdana" w:eastAsia="Verdana" w:hAnsi="Verdana"/>
                <w:sz w:val="18"/>
                <w:szCs w:val="18"/>
                <w:color w:val="auto"/>
                <w:w w:val="98"/>
              </w:rPr>
              <w:t>(-75.2)%</w:t>
            </w:r>
          </w:p>
        </w:tc>
        <w:tc>
          <w:tcPr>
            <w:tcW w:w="0" w:type="dxa"/>
            <w:vAlign w:val="bottom"/>
          </w:tcPr>
          <w:p>
            <w:pPr>
              <w:spacing w:after="0"/>
              <w:rPr>
                <w:sz w:val="1"/>
                <w:szCs w:val="1"/>
                <w:color w:val="auto"/>
              </w:rPr>
            </w:pPr>
          </w:p>
        </w:tc>
      </w:tr>
    </w:tbl>
    <w:p>
      <w:pPr>
        <w:spacing w:after="0" w:line="19" w:lineRule="exact"/>
        <w:rPr>
          <w:sz w:val="20"/>
          <w:szCs w:val="20"/>
          <w:color w:val="auto"/>
        </w:rPr>
      </w:pPr>
    </w:p>
    <w:p>
      <w:pPr>
        <w:sectPr>
          <w:pgSz w:w="11900" w:h="16838" w:orient="portrait"/>
          <w:cols w:equalWidth="0" w:num="1">
            <w:col w:w="11240"/>
          </w:cols>
          <w:pgMar w:left="320" w:top="307" w:right="339" w:bottom="1440" w:gutter="0" w:footer="0" w:header="0"/>
        </w:sectPr>
      </w:pPr>
    </w:p>
    <w:p>
      <w:pPr>
        <w:spacing w:after="0" w:line="3" w:lineRule="exact"/>
        <w:rPr>
          <w:sz w:val="20"/>
          <w:szCs w:val="20"/>
          <w:color w:val="auto"/>
        </w:rPr>
      </w:pPr>
    </w:p>
    <w:p>
      <w:pPr>
        <w:ind w:left="20" w:right="720"/>
        <w:spacing w:after="0" w:line="254" w:lineRule="auto"/>
        <w:rPr>
          <w:sz w:val="20"/>
          <w:szCs w:val="20"/>
          <w:color w:val="auto"/>
        </w:rPr>
      </w:pPr>
      <w:r>
        <w:rPr>
          <w:rFonts w:ascii="Verdana" w:cs="Verdana" w:eastAsia="Verdana" w:hAnsi="Verdana"/>
          <w:sz w:val="18"/>
          <w:szCs w:val="18"/>
          <w:color w:val="auto"/>
        </w:rPr>
        <w:t>Bank property held for sale with impairment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720" w:type="dxa"/>
            <w:vAlign w:val="bottom"/>
          </w:tcPr>
          <w:p>
            <w:pPr>
              <w:jc w:val="right"/>
              <w:ind w:right="90"/>
              <w:spacing w:after="0"/>
              <w:rPr>
                <w:sz w:val="20"/>
                <w:szCs w:val="20"/>
                <w:color w:val="auto"/>
              </w:rPr>
            </w:pPr>
            <w:r>
              <w:rPr>
                <w:rFonts w:ascii="Verdana" w:cs="Verdana" w:eastAsia="Verdana" w:hAnsi="Verdana"/>
                <w:sz w:val="18"/>
                <w:szCs w:val="18"/>
                <w:color w:val="auto"/>
                <w:w w:val="99"/>
              </w:rPr>
              <w:t>3,205</w:t>
            </w:r>
          </w:p>
        </w:tc>
        <w:tc>
          <w:tcPr>
            <w:tcW w:w="2580" w:type="dxa"/>
            <w:vAlign w:val="bottom"/>
          </w:tcPr>
          <w:p>
            <w:pPr>
              <w:jc w:val="center"/>
              <w:spacing w:after="0"/>
              <w:rPr>
                <w:sz w:val="20"/>
                <w:szCs w:val="20"/>
                <w:color w:val="auto"/>
              </w:rPr>
            </w:pPr>
            <w:r>
              <w:rPr>
                <w:rFonts w:ascii="Verdana" w:cs="Verdana" w:eastAsia="Verdana" w:hAnsi="Verdana"/>
                <w:sz w:val="18"/>
                <w:szCs w:val="18"/>
                <w:color w:val="auto"/>
                <w:w w:val="99"/>
              </w:rPr>
              <w:t>Appraisal of collateral or</w:t>
            </w:r>
          </w:p>
        </w:tc>
        <w:tc>
          <w:tcPr>
            <w:tcW w:w="1580" w:type="dxa"/>
            <w:vAlign w:val="bottom"/>
          </w:tcPr>
          <w:p>
            <w:pPr>
              <w:jc w:val="center"/>
              <w:spacing w:after="0"/>
              <w:rPr>
                <w:sz w:val="20"/>
                <w:szCs w:val="20"/>
                <w:color w:val="auto"/>
              </w:rPr>
            </w:pPr>
            <w:r>
              <w:rPr>
                <w:rFonts w:ascii="Verdana" w:cs="Verdana" w:eastAsia="Verdana" w:hAnsi="Verdana"/>
                <w:sz w:val="18"/>
                <w:szCs w:val="18"/>
                <w:color w:val="auto"/>
                <w:w w:val="98"/>
              </w:rPr>
              <w:t>Appraisal</w:t>
            </w:r>
          </w:p>
        </w:tc>
        <w:tc>
          <w:tcPr>
            <w:tcW w:w="1800" w:type="dxa"/>
            <w:vAlign w:val="bottom"/>
          </w:tcPr>
          <w:p>
            <w:pPr>
              <w:jc w:val="center"/>
              <w:ind w:left="150"/>
              <w:spacing w:after="0"/>
              <w:rPr>
                <w:sz w:val="20"/>
                <w:szCs w:val="20"/>
                <w:color w:val="auto"/>
              </w:rPr>
            </w:pPr>
            <w:r>
              <w:rPr>
                <w:rFonts w:ascii="Verdana" w:cs="Verdana" w:eastAsia="Verdana" w:hAnsi="Verdana"/>
                <w:sz w:val="18"/>
                <w:szCs w:val="18"/>
                <w:color w:val="auto"/>
                <w:w w:val="99"/>
              </w:rPr>
              <w:t>-9.0% to -76.7%</w:t>
            </w:r>
          </w:p>
        </w:tc>
      </w:tr>
      <w:tr>
        <w:trPr>
          <w:trHeight w:val="235"/>
        </w:trPr>
        <w:tc>
          <w:tcPr>
            <w:tcW w:w="72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Verdana" w:cs="Verdana" w:eastAsia="Verdana" w:hAnsi="Verdana"/>
                <w:sz w:val="18"/>
                <w:szCs w:val="18"/>
                <w:color w:val="auto"/>
                <w:w w:val="99"/>
              </w:rPr>
              <w:t>real estate listing price</w:t>
            </w:r>
          </w:p>
        </w:tc>
        <w:tc>
          <w:tcPr>
            <w:tcW w:w="1580" w:type="dxa"/>
            <w:vAlign w:val="bottom"/>
          </w:tcPr>
          <w:p>
            <w:pPr>
              <w:jc w:val="center"/>
              <w:spacing w:after="0"/>
              <w:rPr>
                <w:sz w:val="20"/>
                <w:szCs w:val="20"/>
                <w:color w:val="auto"/>
              </w:rPr>
            </w:pPr>
            <w:r>
              <w:rPr>
                <w:rFonts w:ascii="Verdana" w:cs="Verdana" w:eastAsia="Verdana" w:hAnsi="Verdana"/>
                <w:sz w:val="18"/>
                <w:szCs w:val="18"/>
                <w:color w:val="auto"/>
                <w:w w:val="99"/>
              </w:rPr>
              <w:t>adjustments</w:t>
            </w:r>
          </w:p>
        </w:tc>
        <w:tc>
          <w:tcPr>
            <w:tcW w:w="1800" w:type="dxa"/>
            <w:vAlign w:val="bottom"/>
          </w:tcPr>
          <w:p>
            <w:pPr>
              <w:jc w:val="right"/>
              <w:ind w:right="270"/>
              <w:spacing w:after="0"/>
              <w:rPr>
                <w:sz w:val="20"/>
                <w:szCs w:val="20"/>
                <w:color w:val="auto"/>
              </w:rPr>
            </w:pPr>
            <w:r>
              <w:rPr>
                <w:rFonts w:ascii="Verdana" w:cs="Verdana" w:eastAsia="Verdana" w:hAnsi="Verdana"/>
                <w:sz w:val="18"/>
                <w:szCs w:val="18"/>
                <w:color w:val="auto"/>
              </w:rPr>
              <w:t>(-50.6)%</w:t>
            </w:r>
          </w:p>
        </w:tc>
      </w:tr>
    </w:tbl>
    <w:p>
      <w:pPr>
        <w:spacing w:after="0" w:line="212" w:lineRule="exact"/>
        <w:rPr>
          <w:sz w:val="20"/>
          <w:szCs w:val="20"/>
          <w:color w:val="auto"/>
        </w:rPr>
      </w:pPr>
    </w:p>
    <w:p>
      <w:pPr>
        <w:sectPr>
          <w:pgSz w:w="11900" w:h="16838" w:orient="portrait"/>
          <w:cols w:equalWidth="0" w:num="2">
            <w:col w:w="3660" w:space="720"/>
            <w:col w:w="6860"/>
          </w:cols>
          <w:pgMar w:left="320" w:top="307" w:right="339" w:bottom="1440" w:gutter="0" w:footer="0" w:header="0"/>
          <w:type w:val="continuous"/>
        </w:sectPr>
      </w:pP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0" w:type="dxa"/>
            <w:vAlign w:val="bottom"/>
            <w:tcBorders>
              <w:bottom w:val="single" w:sz="8" w:color="auto"/>
            </w:tcBorders>
            <w:gridSpan w:val="4"/>
          </w:tcPr>
          <w:p>
            <w:pPr>
              <w:ind w:left="1540"/>
              <w:spacing w:after="0"/>
              <w:rPr>
                <w:sz w:val="20"/>
                <w:szCs w:val="20"/>
                <w:color w:val="auto"/>
              </w:rPr>
            </w:pPr>
            <w:r>
              <w:rPr>
                <w:rFonts w:ascii="Verdana" w:cs="Verdana" w:eastAsia="Verdana" w:hAnsi="Verdana"/>
                <w:sz w:val="13"/>
                <w:szCs w:val="13"/>
                <w:b w:val="1"/>
                <w:bCs w:val="1"/>
                <w:color w:val="auto"/>
              </w:rPr>
              <w:t>As of December 31, 2023</w:t>
            </w:r>
          </w:p>
        </w:tc>
        <w:tc>
          <w:tcPr>
            <w:tcW w:w="1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vMerge w:val="restart"/>
          </w:tcPr>
          <w:p>
            <w:pPr>
              <w:jc w:val="right"/>
              <w:ind w:right="144"/>
              <w:spacing w:after="0"/>
              <w:rPr>
                <w:sz w:val="20"/>
                <w:szCs w:val="20"/>
                <w:color w:val="auto"/>
              </w:rPr>
            </w:pPr>
            <w:r>
              <w:rPr>
                <w:rFonts w:ascii="Verdana" w:cs="Verdana" w:eastAsia="Verdana" w:hAnsi="Verdana"/>
                <w:sz w:val="13"/>
                <w:szCs w:val="13"/>
                <w:b w:val="1"/>
                <w:bCs w:val="1"/>
                <w:color w:val="auto"/>
              </w:rPr>
              <w:t>Fair Value</w:t>
            </w:r>
          </w:p>
        </w:tc>
        <w:tc>
          <w:tcPr>
            <w:tcW w:w="100" w:type="dxa"/>
            <w:vAlign w:val="bottom"/>
            <w:vMerge w:val="restart"/>
          </w:tcPr>
          <w:p>
            <w:pPr>
              <w:spacing w:after="0"/>
              <w:rPr>
                <w:sz w:val="10"/>
                <w:szCs w:val="10"/>
                <w:color w:val="auto"/>
              </w:rPr>
            </w:pPr>
          </w:p>
        </w:tc>
        <w:tc>
          <w:tcPr>
            <w:tcW w:w="2620" w:type="dxa"/>
            <w:vAlign w:val="bottom"/>
            <w:gridSpan w:val="2"/>
          </w:tcPr>
          <w:p>
            <w:pPr>
              <w:jc w:val="center"/>
              <w:ind w:right="100"/>
              <w:spacing w:after="0" w:line="122" w:lineRule="exact"/>
              <w:rPr>
                <w:sz w:val="20"/>
                <w:szCs w:val="20"/>
                <w:color w:val="auto"/>
              </w:rPr>
            </w:pPr>
            <w:r>
              <w:rPr>
                <w:rFonts w:ascii="Verdana" w:cs="Verdana" w:eastAsia="Verdana" w:hAnsi="Verdana"/>
                <w:sz w:val="13"/>
                <w:szCs w:val="13"/>
                <w:b w:val="1"/>
                <w:bCs w:val="1"/>
                <w:color w:val="auto"/>
                <w:w w:val="97"/>
              </w:rPr>
              <w:t>Valuation</w:t>
            </w:r>
          </w:p>
        </w:tc>
        <w:tc>
          <w:tcPr>
            <w:tcW w:w="1580" w:type="dxa"/>
            <w:vAlign w:val="bottom"/>
            <w:gridSpan w:val="2"/>
          </w:tcPr>
          <w:p>
            <w:pPr>
              <w:jc w:val="center"/>
              <w:ind w:right="80"/>
              <w:spacing w:after="0" w:line="122" w:lineRule="exact"/>
              <w:rPr>
                <w:sz w:val="20"/>
                <w:szCs w:val="20"/>
                <w:color w:val="auto"/>
              </w:rPr>
            </w:pPr>
            <w:r>
              <w:rPr>
                <w:rFonts w:ascii="Verdana" w:cs="Verdana" w:eastAsia="Verdana" w:hAnsi="Verdana"/>
                <w:sz w:val="13"/>
                <w:szCs w:val="13"/>
                <w:b w:val="1"/>
                <w:bCs w:val="1"/>
                <w:color w:val="auto"/>
                <w:w w:val="97"/>
              </w:rPr>
              <w:t>Unobservable</w:t>
            </w:r>
          </w:p>
        </w:tc>
        <w:tc>
          <w:tcPr>
            <w:tcW w:w="1940" w:type="dxa"/>
            <w:vAlign w:val="bottom"/>
          </w:tcPr>
          <w:p>
            <w:pPr>
              <w:jc w:val="center"/>
              <w:spacing w:after="0" w:line="122" w:lineRule="exact"/>
              <w:rPr>
                <w:sz w:val="20"/>
                <w:szCs w:val="20"/>
                <w:color w:val="auto"/>
              </w:rPr>
            </w:pPr>
            <w:r>
              <w:rPr>
                <w:rFonts w:ascii="Verdana" w:cs="Verdana" w:eastAsia="Verdana" w:hAnsi="Verdana"/>
                <w:sz w:val="13"/>
                <w:szCs w:val="13"/>
                <w:b w:val="1"/>
                <w:bCs w:val="1"/>
                <w:color w:val="auto"/>
                <w:w w:val="95"/>
              </w:rPr>
              <w:t>Range</w:t>
            </w:r>
          </w:p>
        </w:tc>
        <w:tc>
          <w:tcPr>
            <w:tcW w:w="0" w:type="dxa"/>
            <w:vAlign w:val="bottom"/>
          </w:tcPr>
          <w:p>
            <w:pPr>
              <w:spacing w:after="0"/>
              <w:rPr>
                <w:sz w:val="1"/>
                <w:szCs w:val="1"/>
                <w:color w:val="auto"/>
              </w:rPr>
            </w:pPr>
          </w:p>
        </w:tc>
      </w:tr>
      <w:tr>
        <w:trPr>
          <w:trHeight w:val="170"/>
        </w:trPr>
        <w:tc>
          <w:tcPr>
            <w:tcW w:w="382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E0E7ED"/>
            </w:tcBorders>
            <w:vMerge w:val="continue"/>
          </w:tcPr>
          <w:p>
            <w:pPr>
              <w:spacing w:after="0"/>
              <w:rPr>
                <w:sz w:val="14"/>
                <w:szCs w:val="14"/>
                <w:color w:val="auto"/>
              </w:rPr>
            </w:pPr>
          </w:p>
        </w:tc>
        <w:tc>
          <w:tcPr>
            <w:tcW w:w="254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6"/>
              </w:rPr>
              <w:t>Techniques</w:t>
            </w:r>
          </w:p>
        </w:tc>
        <w:tc>
          <w:tcPr>
            <w:tcW w:w="80" w:type="dxa"/>
            <w:vAlign w:val="bottom"/>
            <w:tcBorders>
              <w:bottom w:val="single" w:sz="8" w:color="E0E7ED"/>
            </w:tcBorders>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3"/>
              </w:rPr>
              <w:t>Input</w:t>
            </w:r>
          </w:p>
        </w:tc>
        <w:tc>
          <w:tcPr>
            <w:tcW w:w="80" w:type="dxa"/>
            <w:vAlign w:val="bottom"/>
            <w:tcBorders>
              <w:bottom w:val="single" w:sz="8" w:color="E0E7ED"/>
            </w:tcBorders>
          </w:tcPr>
          <w:p>
            <w:pPr>
              <w:spacing w:after="0"/>
              <w:rPr>
                <w:sz w:val="14"/>
                <w:szCs w:val="14"/>
                <w:color w:val="auto"/>
              </w:rPr>
            </w:pPr>
          </w:p>
        </w:tc>
        <w:tc>
          <w:tcPr>
            <w:tcW w:w="194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7"/>
              </w:rPr>
              <w:t>(Weighted Average)</w:t>
            </w:r>
          </w:p>
        </w:tc>
        <w:tc>
          <w:tcPr>
            <w:tcW w:w="0" w:type="dxa"/>
            <w:vAlign w:val="bottom"/>
          </w:tcPr>
          <w:p>
            <w:pPr>
              <w:spacing w:after="0"/>
              <w:rPr>
                <w:sz w:val="1"/>
                <w:szCs w:val="1"/>
                <w:color w:val="auto"/>
              </w:rPr>
            </w:pPr>
          </w:p>
        </w:tc>
      </w:tr>
      <w:tr>
        <w:trPr>
          <w:trHeight w:val="223"/>
        </w:trPr>
        <w:tc>
          <w:tcPr>
            <w:tcW w:w="38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Loans evaluated individually, net of</w:t>
            </w:r>
          </w:p>
        </w:tc>
        <w:tc>
          <w:tcPr>
            <w:tcW w:w="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80" w:type="dxa"/>
            <w:vAlign w:val="bottom"/>
            <w:shd w:val="clear" w:color="auto" w:fill="E0E7ED"/>
          </w:tcPr>
          <w:p>
            <w:pPr>
              <w:jc w:val="right"/>
              <w:ind w:right="4"/>
              <w:spacing w:after="0"/>
              <w:rPr>
                <w:sz w:val="20"/>
                <w:szCs w:val="20"/>
                <w:color w:val="auto"/>
              </w:rPr>
            </w:pPr>
            <w:r>
              <w:rPr>
                <w:rFonts w:ascii="Verdana" w:cs="Verdana" w:eastAsia="Verdana" w:hAnsi="Verdana"/>
                <w:sz w:val="18"/>
                <w:szCs w:val="18"/>
                <w:color w:val="auto"/>
              </w:rPr>
              <w:t>1,000</w:t>
            </w:r>
          </w:p>
        </w:tc>
        <w:tc>
          <w:tcPr>
            <w:tcW w:w="100" w:type="dxa"/>
            <w:vAlign w:val="bottom"/>
            <w:shd w:val="clear" w:color="auto" w:fill="E0E7ED"/>
          </w:tcPr>
          <w:p>
            <w:pPr>
              <w:spacing w:after="0"/>
              <w:rPr>
                <w:sz w:val="19"/>
                <w:szCs w:val="19"/>
                <w:color w:val="auto"/>
              </w:rPr>
            </w:pPr>
          </w:p>
        </w:tc>
        <w:tc>
          <w:tcPr>
            <w:tcW w:w="2620" w:type="dxa"/>
            <w:vAlign w:val="bottom"/>
            <w:gridSpan w:val="2"/>
            <w:shd w:val="clear" w:color="auto" w:fill="E0E7ED"/>
          </w:tcPr>
          <w:p>
            <w:pPr>
              <w:jc w:val="center"/>
              <w:ind w:right="80"/>
              <w:spacing w:after="0"/>
              <w:rPr>
                <w:sz w:val="20"/>
                <w:szCs w:val="20"/>
                <w:color w:val="auto"/>
              </w:rPr>
            </w:pPr>
            <w:r>
              <w:rPr>
                <w:rFonts w:ascii="Verdana" w:cs="Verdana" w:eastAsia="Verdana" w:hAnsi="Verdana"/>
                <w:sz w:val="18"/>
                <w:szCs w:val="18"/>
                <w:color w:val="auto"/>
                <w:w w:val="99"/>
              </w:rPr>
              <w:t>Appraisal of collateral</w:t>
            </w:r>
          </w:p>
        </w:tc>
        <w:tc>
          <w:tcPr>
            <w:tcW w:w="1580" w:type="dxa"/>
            <w:vAlign w:val="bottom"/>
            <w:gridSpan w:val="2"/>
            <w:shd w:val="clear" w:color="auto" w:fill="E0E7ED"/>
          </w:tcPr>
          <w:p>
            <w:pPr>
              <w:jc w:val="center"/>
              <w:ind w:right="80"/>
              <w:spacing w:after="0"/>
              <w:rPr>
                <w:sz w:val="20"/>
                <w:szCs w:val="20"/>
                <w:color w:val="auto"/>
              </w:rPr>
            </w:pPr>
            <w:r>
              <w:rPr>
                <w:rFonts w:ascii="Verdana" w:cs="Verdana" w:eastAsia="Verdana" w:hAnsi="Verdana"/>
                <w:sz w:val="18"/>
                <w:szCs w:val="18"/>
                <w:color w:val="auto"/>
                <w:w w:val="98"/>
              </w:rPr>
              <w:t>Appraisal</w:t>
            </w:r>
          </w:p>
        </w:tc>
        <w:tc>
          <w:tcPr>
            <w:tcW w:w="1940" w:type="dxa"/>
            <w:vAlign w:val="bottom"/>
            <w:shd w:val="clear" w:color="auto" w:fill="E0E7ED"/>
          </w:tcPr>
          <w:p>
            <w:pPr>
              <w:jc w:val="center"/>
              <w:spacing w:after="0"/>
              <w:rPr>
                <w:sz w:val="20"/>
                <w:szCs w:val="20"/>
                <w:color w:val="auto"/>
              </w:rPr>
            </w:pPr>
            <w:r>
              <w:rPr>
                <w:rFonts w:ascii="Verdana" w:cs="Verdana" w:eastAsia="Verdana" w:hAnsi="Verdana"/>
                <w:sz w:val="18"/>
                <w:szCs w:val="18"/>
                <w:color w:val="auto"/>
                <w:w w:val="99"/>
              </w:rPr>
              <w:t>-41.2% to -100.0%</w:t>
            </w:r>
          </w:p>
        </w:tc>
        <w:tc>
          <w:tcPr>
            <w:tcW w:w="0" w:type="dxa"/>
            <w:vAlign w:val="bottom"/>
          </w:tcPr>
          <w:p>
            <w:pPr>
              <w:spacing w:after="0"/>
              <w:rPr>
                <w:sz w:val="1"/>
                <w:szCs w:val="1"/>
                <w:color w:val="auto"/>
              </w:rPr>
            </w:pPr>
          </w:p>
        </w:tc>
      </w:tr>
      <w:tr>
        <w:trPr>
          <w:trHeight w:val="262"/>
        </w:trPr>
        <w:tc>
          <w:tcPr>
            <w:tcW w:w="38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related allowance</w:t>
            </w:r>
          </w:p>
        </w:tc>
        <w:tc>
          <w:tcPr>
            <w:tcW w:w="200" w:type="dxa"/>
            <w:vAlign w:val="bottom"/>
            <w:shd w:val="clear" w:color="auto" w:fill="E0E7ED"/>
          </w:tcPr>
          <w:p>
            <w:pPr>
              <w:spacing w:after="0"/>
              <w:rPr>
                <w:sz w:val="22"/>
                <w:szCs w:val="22"/>
                <w:color w:val="auto"/>
              </w:rPr>
            </w:pPr>
          </w:p>
        </w:tc>
        <w:tc>
          <w:tcPr>
            <w:tcW w:w="9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5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580" w:type="dxa"/>
            <w:vAlign w:val="bottom"/>
            <w:gridSpan w:val="2"/>
            <w:shd w:val="clear" w:color="auto" w:fill="E0E7ED"/>
          </w:tcPr>
          <w:p>
            <w:pPr>
              <w:jc w:val="center"/>
              <w:ind w:right="60"/>
              <w:spacing w:after="0"/>
              <w:rPr>
                <w:sz w:val="20"/>
                <w:szCs w:val="20"/>
                <w:color w:val="auto"/>
              </w:rPr>
            </w:pPr>
            <w:r>
              <w:rPr>
                <w:rFonts w:ascii="Verdana" w:cs="Verdana" w:eastAsia="Verdana" w:hAnsi="Verdana"/>
                <w:sz w:val="18"/>
                <w:szCs w:val="18"/>
                <w:color w:val="auto"/>
                <w:w w:val="99"/>
              </w:rPr>
              <w:t>adjustments</w:t>
            </w:r>
          </w:p>
        </w:tc>
        <w:tc>
          <w:tcPr>
            <w:tcW w:w="1940" w:type="dxa"/>
            <w:vAlign w:val="bottom"/>
            <w:shd w:val="clear" w:color="auto" w:fill="E0E7ED"/>
          </w:tcPr>
          <w:p>
            <w:pPr>
              <w:jc w:val="center"/>
              <w:spacing w:after="0"/>
              <w:rPr>
                <w:sz w:val="20"/>
                <w:szCs w:val="20"/>
                <w:color w:val="auto"/>
              </w:rPr>
            </w:pPr>
            <w:r>
              <w:rPr>
                <w:rFonts w:ascii="Verdana" w:cs="Verdana" w:eastAsia="Verdana" w:hAnsi="Verdana"/>
                <w:sz w:val="18"/>
                <w:szCs w:val="18"/>
                <w:color w:val="auto"/>
                <w:w w:val="98"/>
              </w:rPr>
              <w:t>(-47.2)%</w:t>
            </w:r>
          </w:p>
        </w:tc>
        <w:tc>
          <w:tcPr>
            <w:tcW w:w="0" w:type="dxa"/>
            <w:vAlign w:val="bottom"/>
          </w:tcPr>
          <w:p>
            <w:pPr>
              <w:spacing w:after="0"/>
              <w:rPr>
                <w:sz w:val="1"/>
                <w:szCs w:val="1"/>
                <w:color w:val="auto"/>
              </w:rPr>
            </w:pPr>
          </w:p>
        </w:tc>
      </w:tr>
    </w:tbl>
    <w:p>
      <w:pPr>
        <w:spacing w:after="0" w:line="19" w:lineRule="exact"/>
        <w:rPr>
          <w:sz w:val="20"/>
          <w:szCs w:val="20"/>
          <w:color w:val="auto"/>
        </w:rPr>
      </w:pPr>
    </w:p>
    <w:p>
      <w:pPr>
        <w:sectPr>
          <w:pgSz w:w="11900" w:h="16838" w:orient="portrait"/>
          <w:cols w:equalWidth="0" w:num="1">
            <w:col w:w="11240"/>
          </w:cols>
          <w:pgMar w:left="320" w:top="307" w:right="339" w:bottom="1440" w:gutter="0" w:footer="0" w:header="0"/>
          <w:type w:val="continuous"/>
        </w:sectPr>
      </w:pPr>
    </w:p>
    <w:p>
      <w:pPr>
        <w:spacing w:after="0" w:line="3" w:lineRule="exact"/>
        <w:rPr>
          <w:sz w:val="20"/>
          <w:szCs w:val="20"/>
          <w:color w:val="auto"/>
        </w:rPr>
      </w:pPr>
    </w:p>
    <w:p>
      <w:pPr>
        <w:ind w:left="20" w:right="720"/>
        <w:spacing w:after="0" w:line="254" w:lineRule="auto"/>
        <w:rPr>
          <w:sz w:val="20"/>
          <w:szCs w:val="20"/>
          <w:color w:val="auto"/>
        </w:rPr>
      </w:pPr>
      <w:r>
        <w:rPr>
          <w:rFonts w:ascii="Verdana" w:cs="Verdana" w:eastAsia="Verdana" w:hAnsi="Verdana"/>
          <w:sz w:val="18"/>
          <w:szCs w:val="18"/>
          <w:color w:val="auto"/>
        </w:rPr>
        <w:t>Bank property held for sale with impairment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720" w:type="dxa"/>
            <w:vAlign w:val="bottom"/>
          </w:tcPr>
          <w:p>
            <w:pPr>
              <w:jc w:val="right"/>
              <w:ind w:right="90"/>
              <w:spacing w:after="0"/>
              <w:rPr>
                <w:sz w:val="20"/>
                <w:szCs w:val="20"/>
                <w:color w:val="auto"/>
              </w:rPr>
            </w:pPr>
            <w:r>
              <w:rPr>
                <w:rFonts w:ascii="Verdana" w:cs="Verdana" w:eastAsia="Verdana" w:hAnsi="Verdana"/>
                <w:sz w:val="18"/>
                <w:szCs w:val="18"/>
                <w:color w:val="auto"/>
                <w:w w:val="99"/>
              </w:rPr>
              <w:t>4,286</w:t>
            </w:r>
          </w:p>
        </w:tc>
        <w:tc>
          <w:tcPr>
            <w:tcW w:w="2580" w:type="dxa"/>
            <w:vAlign w:val="bottom"/>
          </w:tcPr>
          <w:p>
            <w:pPr>
              <w:jc w:val="center"/>
              <w:spacing w:after="0"/>
              <w:rPr>
                <w:sz w:val="20"/>
                <w:szCs w:val="20"/>
                <w:color w:val="auto"/>
              </w:rPr>
            </w:pPr>
            <w:r>
              <w:rPr>
                <w:rFonts w:ascii="Verdana" w:cs="Verdana" w:eastAsia="Verdana" w:hAnsi="Verdana"/>
                <w:sz w:val="18"/>
                <w:szCs w:val="18"/>
                <w:color w:val="auto"/>
                <w:w w:val="99"/>
              </w:rPr>
              <w:t>Appraisal of collateral or</w:t>
            </w:r>
          </w:p>
        </w:tc>
        <w:tc>
          <w:tcPr>
            <w:tcW w:w="1580" w:type="dxa"/>
            <w:vAlign w:val="bottom"/>
          </w:tcPr>
          <w:p>
            <w:pPr>
              <w:jc w:val="center"/>
              <w:spacing w:after="0"/>
              <w:rPr>
                <w:sz w:val="20"/>
                <w:szCs w:val="20"/>
                <w:color w:val="auto"/>
              </w:rPr>
            </w:pPr>
            <w:r>
              <w:rPr>
                <w:rFonts w:ascii="Verdana" w:cs="Verdana" w:eastAsia="Verdana" w:hAnsi="Verdana"/>
                <w:sz w:val="18"/>
                <w:szCs w:val="18"/>
                <w:color w:val="auto"/>
                <w:w w:val="98"/>
              </w:rPr>
              <w:t>Appraisal</w:t>
            </w:r>
          </w:p>
        </w:tc>
        <w:tc>
          <w:tcPr>
            <w:tcW w:w="1800" w:type="dxa"/>
            <w:vAlign w:val="bottom"/>
          </w:tcPr>
          <w:p>
            <w:pPr>
              <w:jc w:val="center"/>
              <w:ind w:left="150"/>
              <w:spacing w:after="0"/>
              <w:rPr>
                <w:sz w:val="20"/>
                <w:szCs w:val="20"/>
                <w:color w:val="auto"/>
              </w:rPr>
            </w:pPr>
            <w:r>
              <w:rPr>
                <w:rFonts w:ascii="Verdana" w:cs="Verdana" w:eastAsia="Verdana" w:hAnsi="Verdana"/>
                <w:sz w:val="18"/>
                <w:szCs w:val="18"/>
                <w:color w:val="auto"/>
                <w:w w:val="99"/>
              </w:rPr>
              <w:t>-6.2% to -64.9%</w:t>
            </w:r>
          </w:p>
        </w:tc>
      </w:tr>
      <w:tr>
        <w:trPr>
          <w:trHeight w:val="235"/>
        </w:trPr>
        <w:tc>
          <w:tcPr>
            <w:tcW w:w="72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Verdana" w:cs="Verdana" w:eastAsia="Verdana" w:hAnsi="Verdana"/>
                <w:sz w:val="18"/>
                <w:szCs w:val="18"/>
                <w:color w:val="auto"/>
                <w:w w:val="99"/>
              </w:rPr>
              <w:t>real estate listing price</w:t>
            </w:r>
          </w:p>
        </w:tc>
        <w:tc>
          <w:tcPr>
            <w:tcW w:w="1580" w:type="dxa"/>
            <w:vAlign w:val="bottom"/>
          </w:tcPr>
          <w:p>
            <w:pPr>
              <w:jc w:val="center"/>
              <w:spacing w:after="0"/>
              <w:rPr>
                <w:sz w:val="20"/>
                <w:szCs w:val="20"/>
                <w:color w:val="auto"/>
              </w:rPr>
            </w:pPr>
            <w:r>
              <w:rPr>
                <w:rFonts w:ascii="Verdana" w:cs="Verdana" w:eastAsia="Verdana" w:hAnsi="Verdana"/>
                <w:sz w:val="18"/>
                <w:szCs w:val="18"/>
                <w:color w:val="auto"/>
                <w:w w:val="99"/>
              </w:rPr>
              <w:t>adjustments</w:t>
            </w:r>
          </w:p>
        </w:tc>
        <w:tc>
          <w:tcPr>
            <w:tcW w:w="1800" w:type="dxa"/>
            <w:vAlign w:val="bottom"/>
          </w:tcPr>
          <w:p>
            <w:pPr>
              <w:jc w:val="right"/>
              <w:ind w:right="270"/>
              <w:spacing w:after="0"/>
              <w:rPr>
                <w:sz w:val="20"/>
                <w:szCs w:val="20"/>
                <w:color w:val="auto"/>
              </w:rPr>
            </w:pPr>
            <w:r>
              <w:rPr>
                <w:rFonts w:ascii="Verdana" w:cs="Verdana" w:eastAsia="Verdana" w:hAnsi="Verdana"/>
                <w:sz w:val="18"/>
                <w:szCs w:val="18"/>
                <w:color w:val="auto"/>
              </w:rPr>
              <w:t>(-38.4)%</w:t>
            </w:r>
          </w:p>
        </w:tc>
      </w:tr>
    </w:tbl>
    <w:p>
      <w:pPr>
        <w:spacing w:after="0" w:line="212" w:lineRule="exact"/>
        <w:rPr>
          <w:sz w:val="20"/>
          <w:szCs w:val="20"/>
          <w:color w:val="auto"/>
        </w:rPr>
      </w:pPr>
    </w:p>
    <w:p>
      <w:pPr>
        <w:sectPr>
          <w:pgSz w:w="11900" w:h="16838" w:orient="portrait"/>
          <w:cols w:equalWidth="0" w:num="2">
            <w:col w:w="3660" w:space="720"/>
            <w:col w:w="6860"/>
          </w:cols>
          <w:pgMar w:left="320" w:top="307" w:right="33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ind w:left="7940"/>
        <w:spacing w:after="0"/>
        <w:rPr>
          <w:sz w:val="20"/>
          <w:szCs w:val="20"/>
          <w:color w:val="auto"/>
        </w:rPr>
      </w:pPr>
      <w:r>
        <w:rPr>
          <w:rFonts w:ascii="Verdana" w:cs="Verdana" w:eastAsia="Verdana" w:hAnsi="Verdana"/>
          <w:sz w:val="17"/>
          <w:szCs w:val="17"/>
          <w:color w:val="808285"/>
        </w:rPr>
        <w:t xml:space="preserve">First Busey Corporation (BUSE) | </w:t>
      </w:r>
      <w:r>
        <w:rPr>
          <w:rFonts w:ascii="Verdana" w:cs="Verdana" w:eastAsia="Verdana" w:hAnsi="Verdana"/>
          <w:sz w:val="17"/>
          <w:szCs w:val="17"/>
          <w:b w:val="1"/>
          <w:bCs w:val="1"/>
          <w:color w:val="376484"/>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type w:val="continuous"/>
        </w:sectPr>
      </w:pPr>
    </w:p>
    <w:bookmarkStart w:id="62" w:name="page63"/>
    <w:bookmarkEnd w:id="62"/>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Financial Assets and Financial Liabilities That Are Not Carried at Fair Value</w:t>
      </w:r>
    </w:p>
    <w:p>
      <w:pPr>
        <w:spacing w:after="0" w:line="170"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Fair values of financial instruments that are not carried at fair value on Busey’s </w:t>
      </w:r>
      <w:r>
        <w:rPr>
          <w:rFonts w:ascii="Verdana" w:cs="Verdana" w:eastAsia="Verdana" w:hAnsi="Verdana"/>
          <w:sz w:val="18"/>
          <w:szCs w:val="18"/>
          <w:u w:val="single" w:color="auto"/>
          <w:color w:val="0000FF"/>
        </w:rPr>
        <w:t>Consolidated Balance Sheets (Unaudited)</w:t>
      </w:r>
    </w:p>
    <w:p>
      <w:pPr>
        <w:spacing w:after="0"/>
        <w:rPr>
          <w:sz w:val="20"/>
          <w:szCs w:val="20"/>
          <w:color w:val="auto"/>
        </w:rPr>
      </w:pPr>
      <w:r>
        <w:rPr>
          <w:rFonts w:ascii="Verdana" w:cs="Verdana" w:eastAsia="Verdana" w:hAnsi="Verdana"/>
          <w:sz w:val="18"/>
          <w:szCs w:val="18"/>
          <w:color w:val="auto"/>
        </w:rPr>
        <w:t xml:space="preserve">were estimated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80" w:type="dxa"/>
            <w:vAlign w:val="bottom"/>
            <w:gridSpan w:val="5"/>
          </w:tcPr>
          <w:p>
            <w:pPr>
              <w:ind w:left="340"/>
              <w:spacing w:after="0"/>
              <w:rPr>
                <w:sz w:val="20"/>
                <w:szCs w:val="20"/>
                <w:color w:val="auto"/>
              </w:rPr>
            </w:pPr>
            <w:r>
              <w:rPr>
                <w:rFonts w:ascii="Verdana" w:cs="Verdana" w:eastAsia="Verdana" w:hAnsi="Verdana"/>
                <w:sz w:val="13"/>
                <w:szCs w:val="13"/>
                <w:b w:val="1"/>
                <w:bCs w:val="1"/>
                <w:color w:val="auto"/>
              </w:rPr>
              <w:t>As of September 30, 2024</w:t>
            </w:r>
          </w:p>
        </w:tc>
        <w:tc>
          <w:tcPr>
            <w:tcW w:w="300" w:type="dxa"/>
            <w:vAlign w:val="bottom"/>
          </w:tcPr>
          <w:p>
            <w:pPr>
              <w:spacing w:after="0"/>
              <w:rPr>
                <w:sz w:val="15"/>
                <w:szCs w:val="15"/>
                <w:color w:val="auto"/>
              </w:rPr>
            </w:pPr>
          </w:p>
        </w:tc>
        <w:tc>
          <w:tcPr>
            <w:tcW w:w="2800" w:type="dxa"/>
            <w:vAlign w:val="bottom"/>
            <w:gridSpan w:val="4"/>
          </w:tcPr>
          <w:p>
            <w:pPr>
              <w:jc w:val="right"/>
              <w:ind w:right="573"/>
              <w:spacing w:after="0"/>
              <w:rPr>
                <w:sz w:val="20"/>
                <w:szCs w:val="20"/>
                <w:color w:val="auto"/>
              </w:rPr>
            </w:pPr>
            <w:r>
              <w:rPr>
                <w:rFonts w:ascii="Verdana" w:cs="Verdana" w:eastAsia="Verdana" w:hAnsi="Verdana"/>
                <w:sz w:val="13"/>
                <w:szCs w:val="13"/>
                <w:b w:val="1"/>
                <w:bCs w:val="1"/>
                <w:color w:val="auto"/>
              </w:rPr>
              <w:t>As of December 31, 2023</w:t>
            </w:r>
          </w:p>
        </w:tc>
      </w:tr>
      <w:tr>
        <w:trPr>
          <w:trHeight w:val="122"/>
        </w:trPr>
        <w:tc>
          <w:tcPr>
            <w:tcW w:w="496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ind w:left="160"/>
              <w:spacing w:after="0" w:line="122" w:lineRule="exact"/>
              <w:rPr>
                <w:sz w:val="20"/>
                <w:szCs w:val="20"/>
                <w:color w:val="auto"/>
              </w:rPr>
            </w:pPr>
            <w:r>
              <w:rPr>
                <w:rFonts w:ascii="Verdana" w:cs="Verdana" w:eastAsia="Verdana" w:hAnsi="Verdana"/>
                <w:sz w:val="13"/>
                <w:szCs w:val="13"/>
                <w:b w:val="1"/>
                <w:bCs w:val="1"/>
                <w:color w:val="auto"/>
              </w:rPr>
              <w:t>Carrying</w:t>
            </w:r>
          </w:p>
        </w:tc>
        <w:tc>
          <w:tcPr>
            <w:tcW w:w="3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233"/>
              <w:spacing w:after="0" w:line="122" w:lineRule="exact"/>
              <w:rPr>
                <w:sz w:val="20"/>
                <w:szCs w:val="20"/>
                <w:color w:val="auto"/>
              </w:rPr>
            </w:pPr>
            <w:r>
              <w:rPr>
                <w:rFonts w:ascii="Verdana" w:cs="Verdana" w:eastAsia="Verdana" w:hAnsi="Verdana"/>
                <w:sz w:val="13"/>
                <w:szCs w:val="13"/>
                <w:b w:val="1"/>
                <w:bCs w:val="1"/>
                <w:color w:val="auto"/>
                <w:w w:val="99"/>
              </w:rPr>
              <w:t>Fair</w:t>
            </w:r>
          </w:p>
        </w:tc>
        <w:tc>
          <w:tcPr>
            <w:tcW w:w="8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ind w:left="160"/>
              <w:spacing w:after="0" w:line="122" w:lineRule="exact"/>
              <w:rPr>
                <w:sz w:val="20"/>
                <w:szCs w:val="20"/>
                <w:color w:val="auto"/>
              </w:rPr>
            </w:pPr>
            <w:r>
              <w:rPr>
                <w:rFonts w:ascii="Verdana" w:cs="Verdana" w:eastAsia="Verdana" w:hAnsi="Verdana"/>
                <w:sz w:val="13"/>
                <w:szCs w:val="13"/>
                <w:b w:val="1"/>
                <w:bCs w:val="1"/>
                <w:color w:val="auto"/>
              </w:rPr>
              <w:t>Carrying</w:t>
            </w:r>
          </w:p>
        </w:tc>
        <w:tc>
          <w:tcPr>
            <w:tcW w:w="3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533"/>
              <w:spacing w:after="0" w:line="122" w:lineRule="exact"/>
              <w:rPr>
                <w:sz w:val="20"/>
                <w:szCs w:val="20"/>
                <w:color w:val="auto"/>
              </w:rPr>
            </w:pPr>
            <w:r>
              <w:rPr>
                <w:rFonts w:ascii="Verdana" w:cs="Verdana" w:eastAsia="Verdana" w:hAnsi="Verdana"/>
                <w:sz w:val="13"/>
                <w:szCs w:val="13"/>
                <w:b w:val="1"/>
                <w:bCs w:val="1"/>
                <w:color w:val="auto"/>
              </w:rPr>
              <w:t>Fair</w:t>
            </w:r>
          </w:p>
        </w:tc>
      </w:tr>
      <w:tr>
        <w:trPr>
          <w:trHeight w:val="170"/>
        </w:trPr>
        <w:tc>
          <w:tcPr>
            <w:tcW w:w="4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Verdana" w:cs="Verdana" w:eastAsia="Verdana" w:hAnsi="Verdana"/>
                <w:sz w:val="13"/>
                <w:szCs w:val="13"/>
                <w:b w:val="1"/>
                <w:bCs w:val="1"/>
                <w:color w:val="auto"/>
              </w:rPr>
              <w:t>Amount</w:t>
            </w:r>
          </w:p>
        </w:tc>
        <w:tc>
          <w:tcPr>
            <w:tcW w:w="3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Verdana" w:cs="Verdana" w:eastAsia="Verdana" w:hAnsi="Verdana"/>
                <w:sz w:val="13"/>
                <w:szCs w:val="13"/>
                <w:b w:val="1"/>
                <w:bCs w:val="1"/>
                <w:color w:val="auto"/>
                <w:w w:val="97"/>
              </w:rPr>
              <w:t>Value</w:t>
            </w: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Verdana" w:cs="Verdana" w:eastAsia="Verdana" w:hAnsi="Verdana"/>
                <w:sz w:val="13"/>
                <w:szCs w:val="13"/>
                <w:b w:val="1"/>
                <w:bCs w:val="1"/>
                <w:color w:val="auto"/>
              </w:rPr>
              <w:t>Amount</w:t>
            </w:r>
          </w:p>
        </w:tc>
        <w:tc>
          <w:tcPr>
            <w:tcW w:w="300" w:type="dxa"/>
            <w:vAlign w:val="bottom"/>
          </w:tcPr>
          <w:p>
            <w:pPr>
              <w:spacing w:after="0"/>
              <w:rPr>
                <w:sz w:val="14"/>
                <w:szCs w:val="14"/>
                <w:color w:val="auto"/>
              </w:rPr>
            </w:pPr>
          </w:p>
        </w:tc>
        <w:tc>
          <w:tcPr>
            <w:tcW w:w="1200" w:type="dxa"/>
            <w:vAlign w:val="bottom"/>
          </w:tcPr>
          <w:p>
            <w:pPr>
              <w:jc w:val="right"/>
              <w:ind w:right="473"/>
              <w:spacing w:after="0"/>
              <w:rPr>
                <w:sz w:val="20"/>
                <w:szCs w:val="20"/>
                <w:color w:val="auto"/>
              </w:rPr>
            </w:pPr>
            <w:r>
              <w:rPr>
                <w:rFonts w:ascii="Verdana" w:cs="Verdana" w:eastAsia="Verdana" w:hAnsi="Verdana"/>
                <w:sz w:val="13"/>
                <w:szCs w:val="13"/>
                <w:b w:val="1"/>
                <w:bCs w:val="1"/>
                <w:color w:val="auto"/>
              </w:rPr>
              <w:t>Value</w:t>
            </w:r>
          </w:p>
        </w:tc>
      </w:tr>
      <w:tr>
        <w:trPr>
          <w:trHeight w:val="255"/>
        </w:trPr>
        <w:tc>
          <w:tcPr>
            <w:tcW w:w="4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Financial assets</w:t>
            </w: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Level 1 inputs:</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7"/>
        </w:trPr>
        <w:tc>
          <w:tcPr>
            <w:tcW w:w="49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Cash and cash equivalents</w:t>
            </w: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553,709</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2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553,709</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719,581</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719,581</w:t>
            </w: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Level 2 inputs:</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7"/>
        </w:trPr>
        <w:tc>
          <w:tcPr>
            <w:tcW w:w="49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Debt securities held to maturity</w:t>
            </w: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838,883</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712,369</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872,628</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730,397</w:t>
            </w:r>
          </w:p>
        </w:tc>
      </w:tr>
      <w:tr>
        <w:trPr>
          <w:trHeight w:val="263"/>
        </w:trPr>
        <w:tc>
          <w:tcPr>
            <w:tcW w:w="4960" w:type="dxa"/>
            <w:vAlign w:val="bottom"/>
          </w:tcPr>
          <w:p>
            <w:pPr>
              <w:ind w:left="360"/>
              <w:spacing w:after="0"/>
              <w:rPr>
                <w:sz w:val="20"/>
                <w:szCs w:val="20"/>
                <w:color w:val="auto"/>
              </w:rPr>
            </w:pPr>
            <w:r>
              <w:rPr>
                <w:rFonts w:ascii="Verdana" w:cs="Verdana" w:eastAsia="Verdana" w:hAnsi="Verdana"/>
                <w:sz w:val="18"/>
                <w:szCs w:val="18"/>
                <w:color w:val="auto"/>
              </w:rPr>
              <w:t>Loans held for sale</w:t>
            </w: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11,523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Verdana" w:cs="Verdana" w:eastAsia="Verdana" w:hAnsi="Verdana"/>
                <w:sz w:val="18"/>
                <w:szCs w:val="18"/>
                <w:color w:val="auto"/>
              </w:rPr>
              <w:t>11,810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2,379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Verdana" w:cs="Verdana" w:eastAsia="Verdana" w:hAnsi="Verdana"/>
                <w:sz w:val="18"/>
                <w:szCs w:val="18"/>
                <w:color w:val="auto"/>
              </w:rPr>
              <w:t>2,401</w:t>
            </w:r>
          </w:p>
        </w:tc>
      </w:tr>
      <w:tr>
        <w:trPr>
          <w:trHeight w:val="277"/>
        </w:trPr>
        <w:tc>
          <w:tcPr>
            <w:tcW w:w="49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Accrued interest receivable</w:t>
            </w: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48,822</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48,822</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45,288</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45,288</w:t>
            </w: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Level 3 inputs:</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7"/>
        </w:trPr>
        <w:tc>
          <w:tcPr>
            <w:tcW w:w="49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Portfolio loans, net</w:t>
            </w: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7,724,116</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7,597,736</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7,559,294</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7,276,905</w:t>
            </w:r>
          </w:p>
        </w:tc>
      </w:tr>
      <w:tr>
        <w:trPr>
          <w:trHeight w:val="263"/>
        </w:trPr>
        <w:tc>
          <w:tcPr>
            <w:tcW w:w="4960" w:type="dxa"/>
            <w:vAlign w:val="bottom"/>
          </w:tcPr>
          <w:p>
            <w:pPr>
              <w:ind w:left="360"/>
              <w:spacing w:after="0"/>
              <w:rPr>
                <w:sz w:val="20"/>
                <w:szCs w:val="20"/>
                <w:color w:val="auto"/>
              </w:rPr>
            </w:pPr>
            <w:r>
              <w:rPr>
                <w:rFonts w:ascii="Verdana" w:cs="Verdana" w:eastAsia="Verdana" w:hAnsi="Verdana"/>
                <w:sz w:val="18"/>
                <w:szCs w:val="18"/>
                <w:color w:val="auto"/>
              </w:rPr>
              <w:t>Mortgage servicing rights</w:t>
            </w: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1,008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Verdana" w:cs="Verdana" w:eastAsia="Verdana" w:hAnsi="Verdana"/>
                <w:sz w:val="18"/>
                <w:szCs w:val="18"/>
                <w:color w:val="auto"/>
              </w:rPr>
              <w:t>4,963</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3,289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18,079</w:t>
            </w:r>
          </w:p>
        </w:tc>
      </w:tr>
      <w:tr>
        <w:trPr>
          <w:trHeight w:val="277"/>
        </w:trPr>
        <w:tc>
          <w:tcPr>
            <w:tcW w:w="49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Other servicing rights</w:t>
            </w: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1,479</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1,505</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1,597</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2,062</w:t>
            </w:r>
          </w:p>
        </w:tc>
      </w:tr>
      <w:tr>
        <w:trPr>
          <w:trHeight w:val="270"/>
        </w:trPr>
        <w:tc>
          <w:tcPr>
            <w:tcW w:w="4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49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Financial liabilities</w:t>
            </w:r>
          </w:p>
        </w:tc>
        <w:tc>
          <w:tcPr>
            <w:tcW w:w="300" w:type="dxa"/>
            <w:vAlign w:val="bottom"/>
            <w:shd w:val="clear" w:color="auto" w:fill="E0E7ED"/>
          </w:tcPr>
          <w:p>
            <w:pPr>
              <w:spacing w:after="0"/>
              <w:rPr>
                <w:sz w:val="23"/>
                <w:szCs w:val="23"/>
                <w:color w:val="auto"/>
              </w:rPr>
            </w:pPr>
          </w:p>
        </w:tc>
        <w:tc>
          <w:tcPr>
            <w:tcW w:w="12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20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2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200" w:type="dxa"/>
            <w:vAlign w:val="bottom"/>
            <w:shd w:val="clear" w:color="auto" w:fill="E0E7ED"/>
          </w:tcPr>
          <w:p>
            <w:pPr>
              <w:spacing w:after="0"/>
              <w:rPr>
                <w:sz w:val="23"/>
                <w:szCs w:val="23"/>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Level 2 inputs:</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7"/>
        </w:trPr>
        <w:tc>
          <w:tcPr>
            <w:tcW w:w="49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Time deposits</w:t>
            </w: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1,519,925</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2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1,511,069</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1,819,274</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1,804,905</w:t>
            </w:r>
          </w:p>
        </w:tc>
      </w:tr>
      <w:tr>
        <w:trPr>
          <w:trHeight w:val="263"/>
        </w:trPr>
        <w:tc>
          <w:tcPr>
            <w:tcW w:w="4960" w:type="dxa"/>
            <w:vAlign w:val="bottom"/>
          </w:tcPr>
          <w:p>
            <w:pPr>
              <w:ind w:left="360"/>
              <w:spacing w:after="0"/>
              <w:rPr>
                <w:sz w:val="20"/>
                <w:szCs w:val="20"/>
                <w:color w:val="auto"/>
              </w:rPr>
            </w:pPr>
            <w:r>
              <w:rPr>
                <w:rFonts w:ascii="Verdana" w:cs="Verdana" w:eastAsia="Verdana" w:hAnsi="Verdana"/>
                <w:sz w:val="18"/>
                <w:szCs w:val="18"/>
                <w:color w:val="auto"/>
              </w:rPr>
              <w:t>Securities sold under agreements to repurchase</w:t>
            </w: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128,429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Verdana" w:cs="Verdana" w:eastAsia="Verdana" w:hAnsi="Verdana"/>
                <w:sz w:val="18"/>
                <w:szCs w:val="18"/>
                <w:color w:val="auto"/>
              </w:rPr>
              <w:t>128,429</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187,396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187,396</w:t>
            </w:r>
          </w:p>
        </w:tc>
      </w:tr>
      <w:tr>
        <w:trPr>
          <w:trHeight w:val="277"/>
        </w:trPr>
        <w:tc>
          <w:tcPr>
            <w:tcW w:w="49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Short-term borrowings</w:t>
            </w:r>
          </w:p>
        </w:tc>
        <w:tc>
          <w:tcPr>
            <w:tcW w:w="300" w:type="dxa"/>
            <w:vAlign w:val="bottom"/>
            <w:shd w:val="clear" w:color="auto" w:fill="E0E7ED"/>
          </w:tcPr>
          <w:p>
            <w:pPr>
              <w:spacing w:after="0"/>
              <w:rPr>
                <w:sz w:val="24"/>
                <w:szCs w:val="24"/>
                <w:color w:val="auto"/>
              </w:rPr>
            </w:pPr>
          </w:p>
        </w:tc>
        <w:tc>
          <w:tcPr>
            <w:tcW w:w="13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00" w:type="dxa"/>
            <w:vAlign w:val="bottom"/>
            <w:shd w:val="clear" w:color="auto" w:fill="E0E7ED"/>
          </w:tcPr>
          <w:p>
            <w:pPr>
              <w:spacing w:after="0"/>
              <w:rPr>
                <w:sz w:val="24"/>
                <w:szCs w:val="24"/>
                <w:color w:val="auto"/>
              </w:rPr>
            </w:pPr>
          </w:p>
        </w:tc>
        <w:tc>
          <w:tcPr>
            <w:tcW w:w="128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12,000</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12,034</w:t>
            </w:r>
          </w:p>
        </w:tc>
      </w:tr>
      <w:tr>
        <w:trPr>
          <w:trHeight w:val="263"/>
        </w:trPr>
        <w:tc>
          <w:tcPr>
            <w:tcW w:w="4960" w:type="dxa"/>
            <w:vAlign w:val="bottom"/>
          </w:tcPr>
          <w:p>
            <w:pPr>
              <w:ind w:left="360"/>
              <w:spacing w:after="0"/>
              <w:rPr>
                <w:sz w:val="20"/>
                <w:szCs w:val="20"/>
                <w:color w:val="auto"/>
              </w:rPr>
            </w:pPr>
            <w:r>
              <w:rPr>
                <w:rFonts w:ascii="Verdana" w:cs="Verdana" w:eastAsia="Verdana" w:hAnsi="Verdana"/>
                <w:sz w:val="18"/>
                <w:szCs w:val="18"/>
                <w:color w:val="auto"/>
              </w:rPr>
              <w:t>Long-term debt</w:t>
            </w:r>
          </w:p>
        </w:tc>
        <w:tc>
          <w:tcPr>
            <w:tcW w:w="30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00" w:type="dxa"/>
            <w:vAlign w:val="bottom"/>
          </w:tcPr>
          <w:p>
            <w:pPr>
              <w:spacing w:after="0"/>
              <w:rPr>
                <w:sz w:val="22"/>
                <w:szCs w:val="22"/>
                <w:color w:val="auto"/>
              </w:rPr>
            </w:pPr>
          </w:p>
        </w:tc>
        <w:tc>
          <w:tcPr>
            <w:tcW w:w="128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18,000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18,020</w:t>
            </w:r>
          </w:p>
        </w:tc>
      </w:tr>
      <w:tr>
        <w:trPr>
          <w:trHeight w:val="244"/>
        </w:trPr>
        <w:tc>
          <w:tcPr>
            <w:tcW w:w="49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Junior subordinated debt owed to unconsolidated</w:t>
            </w: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r>
      <w:tr>
        <w:trPr>
          <w:trHeight w:val="248"/>
        </w:trPr>
        <w:tc>
          <w:tcPr>
            <w:tcW w:w="49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trusts</w:t>
            </w: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74,754</w:t>
            </w: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61,840</w:t>
            </w: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71,993</w:t>
            </w: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57,153</w:t>
            </w:r>
          </w:p>
        </w:tc>
      </w:tr>
      <w:tr>
        <w:trPr>
          <w:trHeight w:val="263"/>
        </w:trPr>
        <w:tc>
          <w:tcPr>
            <w:tcW w:w="4960" w:type="dxa"/>
            <w:vAlign w:val="bottom"/>
          </w:tcPr>
          <w:p>
            <w:pPr>
              <w:ind w:left="360"/>
              <w:spacing w:after="0"/>
              <w:rPr>
                <w:sz w:val="20"/>
                <w:szCs w:val="20"/>
                <w:color w:val="auto"/>
              </w:rPr>
            </w:pPr>
            <w:r>
              <w:rPr>
                <w:rFonts w:ascii="Verdana" w:cs="Verdana" w:eastAsia="Verdana" w:hAnsi="Verdana"/>
                <w:sz w:val="18"/>
                <w:szCs w:val="18"/>
                <w:color w:val="auto"/>
              </w:rPr>
              <w:t>Accrued interest payable</w:t>
            </w: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33,447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Verdana" w:cs="Verdana" w:eastAsia="Verdana" w:hAnsi="Verdana"/>
                <w:sz w:val="18"/>
                <w:szCs w:val="18"/>
                <w:color w:val="auto"/>
              </w:rPr>
              <w:t>33,447</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28,418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28,418</w:t>
            </w:r>
          </w:p>
        </w:tc>
      </w:tr>
      <w:tr>
        <w:trPr>
          <w:trHeight w:val="277"/>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Level 3 inputs:</w:t>
            </w: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spacing w:after="0"/>
              <w:rPr>
                <w:sz w:val="24"/>
                <w:szCs w:val="24"/>
                <w:color w:val="auto"/>
              </w:rPr>
            </w:pPr>
          </w:p>
        </w:tc>
      </w:tr>
      <w:tr>
        <w:trPr>
          <w:trHeight w:val="238"/>
        </w:trPr>
        <w:tc>
          <w:tcPr>
            <w:tcW w:w="4960" w:type="dxa"/>
            <w:vAlign w:val="bottom"/>
          </w:tcPr>
          <w:p>
            <w:pPr>
              <w:ind w:left="360"/>
              <w:spacing w:after="0"/>
              <w:rPr>
                <w:sz w:val="20"/>
                <w:szCs w:val="20"/>
                <w:color w:val="auto"/>
              </w:rPr>
            </w:pPr>
            <w:r>
              <w:rPr>
                <w:rFonts w:ascii="Verdana" w:cs="Verdana" w:eastAsia="Verdana" w:hAnsi="Verdana"/>
                <w:sz w:val="18"/>
                <w:szCs w:val="18"/>
                <w:color w:val="auto"/>
              </w:rPr>
              <w:t>Subordinated notes, net of unamortized issuance</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5"/>
        </w:trPr>
        <w:tc>
          <w:tcPr>
            <w:tcW w:w="4960" w:type="dxa"/>
            <w:vAlign w:val="bottom"/>
          </w:tcPr>
          <w:p>
            <w:pPr>
              <w:ind w:left="360"/>
              <w:spacing w:after="0"/>
              <w:rPr>
                <w:sz w:val="20"/>
                <w:szCs w:val="20"/>
                <w:color w:val="auto"/>
              </w:rPr>
            </w:pPr>
            <w:r>
              <w:rPr>
                <w:rFonts w:ascii="Verdana" w:cs="Verdana" w:eastAsia="Verdana" w:hAnsi="Verdana"/>
                <w:sz w:val="18"/>
                <w:szCs w:val="18"/>
                <w:color w:val="auto"/>
              </w:rPr>
              <w:t>costs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227,482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Verdana" w:cs="Verdana" w:eastAsia="Verdana" w:hAnsi="Verdana"/>
                <w:sz w:val="18"/>
                <w:szCs w:val="18"/>
                <w:color w:val="auto"/>
              </w:rPr>
              <w:t>216,713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222,882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200,000</w:t>
            </w:r>
          </w:p>
        </w:tc>
      </w:tr>
    </w:tbl>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63" w:name="page64"/>
    <w:bookmarkEnd w:id="63"/>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14. EARNINGS PER COMMON SHARE</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Basic earnings per share is computed by dividing net income for the period by the weighted average number of common shares outstanding, which include DSUs that are vested but not delivered. Diluted earnings per common share is computed using the treasury stock method and reflects the potential dilution that could occur if Busey’s outstanding stock options and warrants were exercised, stock units were vested, and ESPP shares were issued.</w:t>
      </w:r>
    </w:p>
    <w:p>
      <w:pPr>
        <w:spacing w:after="0" w:line="171"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Earnings per common share have been computed as follows </w:t>
      </w:r>
      <w:r>
        <w:rPr>
          <w:rFonts w:ascii="Verdana" w:cs="Verdana" w:eastAsia="Verdana" w:hAnsi="Verdana"/>
          <w:sz w:val="18"/>
          <w:szCs w:val="18"/>
          <w:i w:val="1"/>
          <w:iCs w:val="1"/>
          <w:color w:val="auto"/>
        </w:rPr>
        <w:t>(dollars in thousands, except per share amounts)</w:t>
      </w:r>
      <w:r>
        <w:rPr>
          <w:rFonts w:ascii="Verdana" w:cs="Verdana" w:eastAsia="Verdana" w:hAnsi="Verdana"/>
          <w:sz w:val="18"/>
          <w:szCs w:val="18"/>
          <w:color w:val="auto"/>
        </w:rPr>
        <w: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60" w:type="dxa"/>
            <w:vAlign w:val="bottom"/>
            <w:gridSpan w:val="5"/>
          </w:tcPr>
          <w:p>
            <w:pPr>
              <w:ind w:left="60"/>
              <w:spacing w:after="0"/>
              <w:rPr>
                <w:sz w:val="20"/>
                <w:szCs w:val="20"/>
                <w:color w:val="auto"/>
              </w:rPr>
            </w:pPr>
            <w:r>
              <w:rPr>
                <w:rFonts w:ascii="Verdana" w:cs="Verdana" w:eastAsia="Verdana" w:hAnsi="Verdana"/>
                <w:sz w:val="13"/>
                <w:szCs w:val="13"/>
                <w:b w:val="1"/>
                <w:bCs w:val="1"/>
                <w:color w:val="auto"/>
              </w:rPr>
              <w:t>Three Months Ended September 30,</w:t>
            </w:r>
          </w:p>
        </w:tc>
        <w:tc>
          <w:tcPr>
            <w:tcW w:w="240" w:type="dxa"/>
            <w:vAlign w:val="bottom"/>
          </w:tcPr>
          <w:p>
            <w:pPr>
              <w:spacing w:after="0"/>
              <w:rPr>
                <w:sz w:val="15"/>
                <w:szCs w:val="15"/>
                <w:color w:val="auto"/>
              </w:rPr>
            </w:pPr>
          </w:p>
        </w:tc>
        <w:tc>
          <w:tcPr>
            <w:tcW w:w="2860" w:type="dxa"/>
            <w:vAlign w:val="bottom"/>
            <w:gridSpan w:val="4"/>
          </w:tcPr>
          <w:p>
            <w:pPr>
              <w:jc w:val="right"/>
              <w:ind w:right="232"/>
              <w:spacing w:after="0"/>
              <w:rPr>
                <w:sz w:val="20"/>
                <w:szCs w:val="20"/>
                <w:color w:val="auto"/>
              </w:rPr>
            </w:pPr>
            <w:r>
              <w:rPr>
                <w:rFonts w:ascii="Verdana" w:cs="Verdana" w:eastAsia="Verdana" w:hAnsi="Verdana"/>
                <w:sz w:val="13"/>
                <w:szCs w:val="13"/>
                <w:b w:val="1"/>
                <w:bCs w:val="1"/>
                <w:color w:val="auto"/>
                <w:w w:val="99"/>
              </w:rPr>
              <w:t>Nine Months Ended September 30,</w:t>
            </w:r>
          </w:p>
        </w:tc>
        <w:tc>
          <w:tcPr>
            <w:tcW w:w="0" w:type="dxa"/>
            <w:vAlign w:val="bottom"/>
          </w:tcPr>
          <w:p>
            <w:pPr>
              <w:spacing w:after="0"/>
              <w:rPr>
                <w:sz w:val="1"/>
                <w:szCs w:val="1"/>
                <w:color w:val="auto"/>
              </w:rPr>
            </w:pPr>
          </w:p>
        </w:tc>
      </w:tr>
      <w:tr>
        <w:trPr>
          <w:trHeight w:val="170"/>
        </w:trPr>
        <w:tc>
          <w:tcPr>
            <w:tcW w:w="4960" w:type="dxa"/>
            <w:vAlign w:val="bottom"/>
            <w:tcBorders>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474"/>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492"/>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E0E7ED"/>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474"/>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492"/>
              <w:spacing w:after="0"/>
              <w:rPr>
                <w:sz w:val="20"/>
                <w:szCs w:val="20"/>
                <w:color w:val="auto"/>
              </w:rPr>
            </w:pPr>
            <w:r>
              <w:rPr>
                <w:rFonts w:ascii="Verdana" w:cs="Verdana" w:eastAsia="Verdana" w:hAnsi="Verdana"/>
                <w:sz w:val="13"/>
                <w:szCs w:val="13"/>
                <w:b w:val="1"/>
                <w:bCs w:val="1"/>
                <w:color w:val="auto"/>
              </w:rPr>
              <w:t>2023</w:t>
            </w:r>
          </w:p>
        </w:tc>
        <w:tc>
          <w:tcPr>
            <w:tcW w:w="0" w:type="dxa"/>
            <w:vAlign w:val="bottom"/>
          </w:tcPr>
          <w:p>
            <w:pPr>
              <w:spacing w:after="0"/>
              <w:rPr>
                <w:sz w:val="1"/>
                <w:szCs w:val="1"/>
                <w:color w:val="auto"/>
              </w:rPr>
            </w:pPr>
          </w:p>
        </w:tc>
      </w:tr>
      <w:tr>
        <w:trPr>
          <w:trHeight w:val="294"/>
        </w:trPr>
        <w:tc>
          <w:tcPr>
            <w:tcW w:w="49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Net income</w:t>
            </w:r>
          </w:p>
        </w:tc>
        <w:tc>
          <w:tcPr>
            <w:tcW w:w="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32,004</w:t>
            </w:r>
          </w:p>
        </w:tc>
        <w:tc>
          <w:tcPr>
            <w:tcW w:w="100" w:type="dxa"/>
            <w:vAlign w:val="bottom"/>
            <w:tcBorders>
              <w:bottom w:val="single" w:sz="8" w:color="E0E7ED"/>
            </w:tcBorders>
            <w:shd w:val="clear" w:color="auto" w:fill="E0E7ED"/>
          </w:tcPr>
          <w:p>
            <w:pPr>
              <w:spacing w:after="0"/>
              <w:rPr>
                <w:sz w:val="24"/>
                <w:szCs w:val="24"/>
                <w:color w:val="auto"/>
              </w:rPr>
            </w:pPr>
          </w:p>
        </w:tc>
        <w:tc>
          <w:tcPr>
            <w:tcW w:w="280" w:type="dxa"/>
            <w:vAlign w:val="bottom"/>
            <w:tcBorders>
              <w:bottom w:val="single" w:sz="8" w:color="auto"/>
            </w:tcBorders>
            <w:shd w:val="clear" w:color="auto" w:fill="E0E7ED"/>
          </w:tcPr>
          <w:p>
            <w:pPr>
              <w:jc w:val="right"/>
              <w:ind w:right="70"/>
              <w:spacing w:after="0"/>
              <w:rPr>
                <w:sz w:val="20"/>
                <w:szCs w:val="20"/>
                <w:color w:val="auto"/>
              </w:rPr>
            </w:pPr>
            <w:r>
              <w:rPr>
                <w:rFonts w:ascii="Verdana" w:cs="Verdana" w:eastAsia="Verdana" w:hAnsi="Verdana"/>
                <w:sz w:val="18"/>
                <w:szCs w:val="18"/>
                <w:color w:val="auto"/>
                <w:w w:val="86"/>
              </w:rPr>
              <w:t>$</w:t>
            </w:r>
          </w:p>
        </w:tc>
        <w:tc>
          <w:tcPr>
            <w:tcW w:w="122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30,666</w:t>
            </w:r>
          </w:p>
        </w:tc>
        <w:tc>
          <w:tcPr>
            <w:tcW w:w="80" w:type="dxa"/>
            <w:vAlign w:val="bottom"/>
            <w:tcBorders>
              <w:bottom w:val="single" w:sz="8" w:color="E0E7ED"/>
            </w:tcBorders>
            <w:shd w:val="clear" w:color="auto" w:fill="E0E7ED"/>
          </w:tcPr>
          <w:p>
            <w:pPr>
              <w:spacing w:after="0"/>
              <w:rPr>
                <w:sz w:val="24"/>
                <w:szCs w:val="24"/>
                <w:color w:val="auto"/>
              </w:rPr>
            </w:pPr>
          </w:p>
        </w:tc>
        <w:tc>
          <w:tcPr>
            <w:tcW w:w="240" w:type="dxa"/>
            <w:vAlign w:val="bottom"/>
            <w:tcBorders>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85,586</w:t>
            </w:r>
          </w:p>
        </w:tc>
        <w:tc>
          <w:tcPr>
            <w:tcW w:w="100" w:type="dxa"/>
            <w:vAlign w:val="bottom"/>
            <w:tcBorders>
              <w:bottom w:val="single" w:sz="8" w:color="E0E7ED"/>
            </w:tcBorders>
            <w:shd w:val="clear" w:color="auto" w:fill="E0E7ED"/>
          </w:tcPr>
          <w:p>
            <w:pPr>
              <w:spacing w:after="0"/>
              <w:rPr>
                <w:sz w:val="24"/>
                <w:szCs w:val="24"/>
                <w:color w:val="auto"/>
              </w:rPr>
            </w:pPr>
          </w:p>
        </w:tc>
        <w:tc>
          <w:tcPr>
            <w:tcW w:w="280" w:type="dxa"/>
            <w:vAlign w:val="bottom"/>
            <w:tcBorders>
              <w:bottom w:val="single" w:sz="8" w:color="auto"/>
            </w:tcBorders>
            <w:shd w:val="clear" w:color="auto" w:fill="E0E7ED"/>
          </w:tcPr>
          <w:p>
            <w:pPr>
              <w:jc w:val="right"/>
              <w:ind w:right="50"/>
              <w:spacing w:after="0"/>
              <w:rPr>
                <w:sz w:val="20"/>
                <w:szCs w:val="20"/>
                <w:color w:val="auto"/>
              </w:rPr>
            </w:pPr>
            <w:r>
              <w:rPr>
                <w:rFonts w:ascii="Verdana" w:cs="Verdana" w:eastAsia="Verdana" w:hAnsi="Verdana"/>
                <w:sz w:val="18"/>
                <w:szCs w:val="18"/>
                <w:color w:val="auto"/>
              </w:rPr>
              <w:t>$</w:t>
            </w: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96,816</w:t>
            </w:r>
          </w:p>
        </w:tc>
        <w:tc>
          <w:tcPr>
            <w:tcW w:w="0" w:type="dxa"/>
            <w:vAlign w:val="bottom"/>
          </w:tcPr>
          <w:p>
            <w:pPr>
              <w:spacing w:after="0"/>
              <w:rPr>
                <w:sz w:val="1"/>
                <w:szCs w:val="1"/>
                <w:color w:val="auto"/>
              </w:rPr>
            </w:pPr>
          </w:p>
        </w:tc>
      </w:tr>
      <w:tr>
        <w:trPr>
          <w:trHeight w:val="20"/>
        </w:trPr>
        <w:tc>
          <w:tcPr>
            <w:tcW w:w="496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E0E7ED"/>
              <w:bottom w:val="single" w:sz="8" w:color="auto"/>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2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E0E7ED"/>
              <w:bottom w:val="single" w:sz="8" w:color="auto"/>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9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Weighted average number of common shares</w:t>
            </w:r>
          </w:p>
        </w:tc>
        <w:tc>
          <w:tcPr>
            <w:tcW w:w="220" w:type="dxa"/>
            <w:vAlign w:val="bottom"/>
            <w:shd w:val="clear" w:color="auto" w:fill="E0E7ED"/>
          </w:tcPr>
          <w:p>
            <w:pPr>
              <w:spacing w:after="0"/>
              <w:rPr>
                <w:sz w:val="20"/>
                <w:szCs w:val="20"/>
                <w:color w:val="auto"/>
              </w:rPr>
            </w:pPr>
          </w:p>
        </w:tc>
        <w:tc>
          <w:tcPr>
            <w:tcW w:w="12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80" w:type="dxa"/>
            <w:vAlign w:val="bottom"/>
            <w:shd w:val="clear" w:color="auto" w:fill="E0E7ED"/>
          </w:tcPr>
          <w:p>
            <w:pPr>
              <w:spacing w:after="0"/>
              <w:rPr>
                <w:sz w:val="20"/>
                <w:szCs w:val="20"/>
                <w:color w:val="auto"/>
              </w:rPr>
            </w:pPr>
          </w:p>
        </w:tc>
        <w:tc>
          <w:tcPr>
            <w:tcW w:w="122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126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80" w:type="dxa"/>
            <w:vAlign w:val="bottom"/>
            <w:shd w:val="clear" w:color="auto" w:fill="E0E7ED"/>
          </w:tcPr>
          <w:p>
            <w:pPr>
              <w:spacing w:after="0"/>
              <w:rPr>
                <w:sz w:val="20"/>
                <w:szCs w:val="20"/>
                <w:color w:val="auto"/>
              </w:rPr>
            </w:pPr>
          </w:p>
        </w:tc>
        <w:tc>
          <w:tcPr>
            <w:tcW w:w="122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9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outstanding, basic</w:t>
            </w:r>
          </w:p>
        </w:tc>
        <w:tc>
          <w:tcPr>
            <w:tcW w:w="220" w:type="dxa"/>
            <w:vAlign w:val="bottom"/>
            <w:shd w:val="clear" w:color="auto" w:fill="E0E7ED"/>
          </w:tcPr>
          <w:p>
            <w:pPr>
              <w:spacing w:after="0"/>
              <w:rPr>
                <w:sz w:val="21"/>
                <w:szCs w:val="21"/>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57,033,359</w:t>
            </w: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55,486,700</w:t>
            </w: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56,458,430</w:t>
            </w: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55,441,980</w:t>
            </w:r>
          </w:p>
        </w:tc>
        <w:tc>
          <w:tcPr>
            <w:tcW w:w="0" w:type="dxa"/>
            <w:vAlign w:val="bottom"/>
          </w:tcPr>
          <w:p>
            <w:pPr>
              <w:spacing w:after="0"/>
              <w:rPr>
                <w:sz w:val="1"/>
                <w:szCs w:val="1"/>
                <w:color w:val="auto"/>
              </w:rPr>
            </w:pPr>
          </w:p>
        </w:tc>
      </w:tr>
      <w:tr>
        <w:trPr>
          <w:trHeight w:val="263"/>
        </w:trPr>
        <w:tc>
          <w:tcPr>
            <w:tcW w:w="4960" w:type="dxa"/>
            <w:vAlign w:val="bottom"/>
          </w:tcPr>
          <w:p>
            <w:pPr>
              <w:ind w:left="20"/>
              <w:spacing w:after="0"/>
              <w:rPr>
                <w:sz w:val="20"/>
                <w:szCs w:val="20"/>
                <w:color w:val="auto"/>
              </w:rPr>
            </w:pPr>
            <w:r>
              <w:rPr>
                <w:rFonts w:ascii="Verdana" w:cs="Verdana" w:eastAsia="Verdana" w:hAnsi="Verdana"/>
                <w:sz w:val="18"/>
                <w:szCs w:val="18"/>
                <w:color w:val="auto"/>
              </w:rPr>
              <w:t>Dilutive effect of common stock equivalents:</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Options</w:t>
            </w:r>
          </w:p>
        </w:tc>
        <w:tc>
          <w:tcPr>
            <w:tcW w:w="22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1,714</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300" w:type="dxa"/>
            <w:vAlign w:val="bottom"/>
            <w:gridSpan w:val="2"/>
            <w:shd w:val="clear" w:color="auto" w:fill="E0E7ED"/>
          </w:tcPr>
          <w:p>
            <w:pPr>
              <w:jc w:val="right"/>
              <w:ind w:right="100"/>
              <w:spacing w:after="0"/>
              <w:rPr>
                <w:sz w:val="20"/>
                <w:szCs w:val="20"/>
                <w:color w:val="auto"/>
              </w:rPr>
            </w:pPr>
            <w:r>
              <w:rPr>
                <w:rFonts w:ascii="Verdana" w:cs="Verdana" w:eastAsia="Verdana" w:hAnsi="Verdana"/>
                <w:sz w:val="18"/>
                <w:szCs w:val="18"/>
                <w:color w:val="auto"/>
              </w:rPr>
              <w:t>—</w:t>
            </w: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572</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0" w:type="dxa"/>
            <w:vAlign w:val="bottom"/>
          </w:tcPr>
          <w:p>
            <w:pPr>
              <w:spacing w:after="0"/>
              <w:rPr>
                <w:sz w:val="1"/>
                <w:szCs w:val="1"/>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Warrants</w:t>
            </w:r>
          </w:p>
        </w:tc>
        <w:tc>
          <w:tcPr>
            <w:tcW w:w="220" w:type="dxa"/>
            <w:vAlign w:val="bottom"/>
          </w:tcPr>
          <w:p>
            <w:pPr>
              <w:spacing w:after="0"/>
              <w:rPr>
                <w:sz w:val="22"/>
                <w:szCs w:val="22"/>
                <w:color w:val="auto"/>
              </w:rPr>
            </w:pPr>
          </w:p>
        </w:tc>
        <w:tc>
          <w:tcPr>
            <w:tcW w:w="1380" w:type="dxa"/>
            <w:vAlign w:val="bottom"/>
            <w:gridSpan w:val="2"/>
          </w:tcPr>
          <w:p>
            <w:pPr>
              <w:jc w:val="right"/>
              <w:ind w:right="120"/>
              <w:spacing w:after="0"/>
              <w:rPr>
                <w:sz w:val="20"/>
                <w:szCs w:val="20"/>
                <w:color w:val="auto"/>
              </w:rPr>
            </w:pPr>
            <w:r>
              <w:rPr>
                <w:rFonts w:ascii="Verdana" w:cs="Verdana" w:eastAsia="Verdana" w:hAnsi="Verdana"/>
                <w:sz w:val="18"/>
                <w:szCs w:val="18"/>
                <w:color w:val="auto"/>
              </w:rPr>
              <w:t>—</w:t>
            </w:r>
          </w:p>
        </w:tc>
        <w:tc>
          <w:tcPr>
            <w:tcW w:w="280" w:type="dxa"/>
            <w:vAlign w:val="bottom"/>
          </w:tcPr>
          <w:p>
            <w:pPr>
              <w:spacing w:after="0"/>
              <w:rPr>
                <w:sz w:val="22"/>
                <w:szCs w:val="22"/>
                <w:color w:val="auto"/>
              </w:rPr>
            </w:pPr>
          </w:p>
        </w:tc>
        <w:tc>
          <w:tcPr>
            <w:tcW w:w="1300" w:type="dxa"/>
            <w:vAlign w:val="bottom"/>
            <w:gridSpan w:val="2"/>
          </w:tcPr>
          <w:p>
            <w:pPr>
              <w:jc w:val="right"/>
              <w:ind w:right="100"/>
              <w:spacing w:after="0"/>
              <w:rPr>
                <w:sz w:val="20"/>
                <w:szCs w:val="20"/>
                <w:color w:val="auto"/>
              </w:rPr>
            </w:pPr>
            <w:r>
              <w:rPr>
                <w:rFonts w:ascii="Verdana" w:cs="Verdana" w:eastAsia="Verdana" w:hAnsi="Verdana"/>
                <w:sz w:val="18"/>
                <w:szCs w:val="18"/>
                <w:color w:val="auto"/>
              </w:rPr>
              <w:t>—</w:t>
            </w:r>
          </w:p>
        </w:tc>
        <w:tc>
          <w:tcPr>
            <w:tcW w:w="240" w:type="dxa"/>
            <w:vAlign w:val="bottom"/>
          </w:tcPr>
          <w:p>
            <w:pPr>
              <w:spacing w:after="0"/>
              <w:rPr>
                <w:sz w:val="22"/>
                <w:szCs w:val="22"/>
                <w:color w:val="auto"/>
              </w:rPr>
            </w:pPr>
          </w:p>
        </w:tc>
        <w:tc>
          <w:tcPr>
            <w:tcW w:w="1360" w:type="dxa"/>
            <w:vAlign w:val="bottom"/>
            <w:gridSpan w:val="2"/>
          </w:tcPr>
          <w:p>
            <w:pPr>
              <w:jc w:val="right"/>
              <w:ind w:right="120"/>
              <w:spacing w:after="0"/>
              <w:rPr>
                <w:sz w:val="20"/>
                <w:szCs w:val="20"/>
                <w:color w:val="auto"/>
              </w:rPr>
            </w:pPr>
            <w:r>
              <w:rPr>
                <w:rFonts w:ascii="Verdana" w:cs="Verdana" w:eastAsia="Verdana" w:hAnsi="Verdana"/>
                <w:sz w:val="18"/>
                <w:szCs w:val="18"/>
                <w:color w:val="auto"/>
              </w:rPr>
              <w:t>—</w:t>
            </w: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432</w:t>
            </w:r>
          </w:p>
        </w:tc>
        <w:tc>
          <w:tcPr>
            <w:tcW w:w="0" w:type="dxa"/>
            <w:vAlign w:val="bottom"/>
          </w:tcPr>
          <w:p>
            <w:pPr>
              <w:spacing w:after="0"/>
              <w:rPr>
                <w:sz w:val="1"/>
                <w:szCs w:val="1"/>
                <w:color w:val="auto"/>
              </w:rPr>
            </w:pPr>
          </w:p>
        </w:tc>
      </w:tr>
      <w:tr>
        <w:trPr>
          <w:trHeight w:val="277"/>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RSU awards</w:t>
            </w:r>
          </w:p>
        </w:tc>
        <w:tc>
          <w:tcPr>
            <w:tcW w:w="22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655,224</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640,714</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662,609</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638,495</w:t>
            </w:r>
          </w:p>
        </w:tc>
        <w:tc>
          <w:tcPr>
            <w:tcW w:w="0" w:type="dxa"/>
            <w:vAlign w:val="bottom"/>
          </w:tcPr>
          <w:p>
            <w:pPr>
              <w:spacing w:after="0"/>
              <w:rPr>
                <w:sz w:val="1"/>
                <w:szCs w:val="1"/>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PSU awards</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254,365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165,868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264,451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126,787</w:t>
            </w:r>
          </w:p>
        </w:tc>
        <w:tc>
          <w:tcPr>
            <w:tcW w:w="0" w:type="dxa"/>
            <w:vAlign w:val="bottom"/>
          </w:tcPr>
          <w:p>
            <w:pPr>
              <w:spacing w:after="0"/>
              <w:rPr>
                <w:sz w:val="1"/>
                <w:szCs w:val="1"/>
                <w:color w:val="auto"/>
              </w:rPr>
            </w:pPr>
          </w:p>
        </w:tc>
      </w:tr>
      <w:tr>
        <w:trPr>
          <w:trHeight w:val="277"/>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DSU awards</w:t>
            </w:r>
          </w:p>
        </w:tc>
        <w:tc>
          <w:tcPr>
            <w:tcW w:w="22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16,766</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16,792</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18,390</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14,996</w:t>
            </w:r>
          </w:p>
        </w:tc>
        <w:tc>
          <w:tcPr>
            <w:tcW w:w="0" w:type="dxa"/>
            <w:vAlign w:val="bottom"/>
          </w:tcPr>
          <w:p>
            <w:pPr>
              <w:spacing w:after="0"/>
              <w:rPr>
                <w:sz w:val="1"/>
                <w:szCs w:val="1"/>
                <w:color w:val="auto"/>
              </w:rPr>
            </w:pPr>
          </w:p>
        </w:tc>
      </w:tr>
      <w:tr>
        <w:trPr>
          <w:trHeight w:val="263"/>
        </w:trPr>
        <w:tc>
          <w:tcPr>
            <w:tcW w:w="49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ESPP</w:t>
            </w: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6,420</w:t>
            </w:r>
          </w:p>
        </w:tc>
        <w:tc>
          <w:tcPr>
            <w:tcW w:w="100" w:type="dxa"/>
            <w:vAlign w:val="bottom"/>
            <w:tcBorders>
              <w:bottom w:val="single" w:sz="8" w:color="E0E7ED"/>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5,418</w:t>
            </w:r>
          </w:p>
        </w:tc>
        <w:tc>
          <w:tcPr>
            <w:tcW w:w="80" w:type="dxa"/>
            <w:vAlign w:val="bottom"/>
            <w:tcBorders>
              <w:bottom w:val="single" w:sz="8" w:color="E0E7ED"/>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6,847</w:t>
            </w:r>
          </w:p>
        </w:tc>
        <w:tc>
          <w:tcPr>
            <w:tcW w:w="100" w:type="dxa"/>
            <w:vAlign w:val="bottom"/>
            <w:tcBorders>
              <w:bottom w:val="single" w:sz="8" w:color="E0E7ED"/>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7,934</w:t>
            </w:r>
          </w:p>
        </w:tc>
        <w:tc>
          <w:tcPr>
            <w:tcW w:w="0" w:type="dxa"/>
            <w:vAlign w:val="bottom"/>
          </w:tcPr>
          <w:p>
            <w:pPr>
              <w:spacing w:after="0"/>
              <w:rPr>
                <w:sz w:val="1"/>
                <w:szCs w:val="1"/>
                <w:color w:val="auto"/>
              </w:rPr>
            </w:pPr>
          </w:p>
        </w:tc>
      </w:tr>
      <w:tr>
        <w:trPr>
          <w:trHeight w:val="224"/>
        </w:trPr>
        <w:tc>
          <w:tcPr>
            <w:tcW w:w="49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Weighted average number of common shares</w:t>
            </w:r>
          </w:p>
        </w:tc>
        <w:tc>
          <w:tcPr>
            <w:tcW w:w="220" w:type="dxa"/>
            <w:vAlign w:val="bottom"/>
            <w:shd w:val="clear" w:color="auto" w:fill="E0E7ED"/>
          </w:tcPr>
          <w:p>
            <w:pPr>
              <w:spacing w:after="0"/>
              <w:rPr>
                <w:sz w:val="19"/>
                <w:szCs w:val="19"/>
                <w:color w:val="auto"/>
              </w:rPr>
            </w:pPr>
          </w:p>
        </w:tc>
        <w:tc>
          <w:tcPr>
            <w:tcW w:w="128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57,967,848</w:t>
            </w:r>
          </w:p>
        </w:tc>
        <w:tc>
          <w:tcPr>
            <w:tcW w:w="10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22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56,315,492</w:t>
            </w:r>
          </w:p>
        </w:tc>
        <w:tc>
          <w:tcPr>
            <w:tcW w:w="80" w:type="dxa"/>
            <w:vAlign w:val="bottom"/>
            <w:shd w:val="clear" w:color="auto" w:fill="E0E7ED"/>
          </w:tcPr>
          <w:p>
            <w:pPr>
              <w:spacing w:after="0"/>
              <w:rPr>
                <w:sz w:val="19"/>
                <w:szCs w:val="19"/>
                <w:color w:val="auto"/>
              </w:rPr>
            </w:pPr>
          </w:p>
        </w:tc>
        <w:tc>
          <w:tcPr>
            <w:tcW w:w="240" w:type="dxa"/>
            <w:vAlign w:val="bottom"/>
            <w:shd w:val="clear" w:color="auto" w:fill="E0E7ED"/>
          </w:tcPr>
          <w:p>
            <w:pPr>
              <w:spacing w:after="0"/>
              <w:rPr>
                <w:sz w:val="19"/>
                <w:szCs w:val="19"/>
                <w:color w:val="auto"/>
              </w:rPr>
            </w:pPr>
          </w:p>
        </w:tc>
        <w:tc>
          <w:tcPr>
            <w:tcW w:w="126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57,411,299</w:t>
            </w:r>
          </w:p>
        </w:tc>
        <w:tc>
          <w:tcPr>
            <w:tcW w:w="10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22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56,230,624</w:t>
            </w:r>
          </w:p>
        </w:tc>
        <w:tc>
          <w:tcPr>
            <w:tcW w:w="0" w:type="dxa"/>
            <w:vAlign w:val="bottom"/>
          </w:tcPr>
          <w:p>
            <w:pPr>
              <w:spacing w:after="0"/>
              <w:rPr>
                <w:sz w:val="1"/>
                <w:szCs w:val="1"/>
                <w:color w:val="auto"/>
              </w:rPr>
            </w:pPr>
          </w:p>
        </w:tc>
      </w:tr>
      <w:tr>
        <w:trPr>
          <w:trHeight w:val="241"/>
        </w:trPr>
        <w:tc>
          <w:tcPr>
            <w:tcW w:w="49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outstanding, diluted</w:t>
            </w:r>
          </w:p>
        </w:tc>
        <w:tc>
          <w:tcPr>
            <w:tcW w:w="220" w:type="dxa"/>
            <w:vAlign w:val="bottom"/>
            <w:tcBorders>
              <w:bottom w:val="single" w:sz="8" w:color="auto"/>
            </w:tcBorders>
            <w:shd w:val="clear" w:color="auto" w:fill="E0E7ED"/>
          </w:tcPr>
          <w:p>
            <w:pPr>
              <w:spacing w:after="0"/>
              <w:rPr>
                <w:sz w:val="20"/>
                <w:szCs w:val="20"/>
                <w:color w:val="auto"/>
              </w:rPr>
            </w:pPr>
          </w:p>
        </w:tc>
        <w:tc>
          <w:tcPr>
            <w:tcW w:w="1280" w:type="dxa"/>
            <w:vAlign w:val="bottom"/>
            <w:tcBorders>
              <w:bottom w:val="single" w:sz="8" w:color="auto"/>
            </w:tcBorders>
            <w:vMerge w:val="continue"/>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280" w:type="dxa"/>
            <w:vAlign w:val="bottom"/>
            <w:tcBorders>
              <w:bottom w:val="single" w:sz="8" w:color="auto"/>
            </w:tcBorders>
            <w:shd w:val="clear" w:color="auto" w:fill="E0E7ED"/>
          </w:tcPr>
          <w:p>
            <w:pPr>
              <w:spacing w:after="0"/>
              <w:rPr>
                <w:sz w:val="20"/>
                <w:szCs w:val="20"/>
                <w:color w:val="auto"/>
              </w:rPr>
            </w:pPr>
          </w:p>
        </w:tc>
        <w:tc>
          <w:tcPr>
            <w:tcW w:w="122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240" w:type="dxa"/>
            <w:vAlign w:val="bottom"/>
            <w:tcBorders>
              <w:bottom w:val="single" w:sz="8" w:color="auto"/>
            </w:tcBorders>
            <w:shd w:val="clear" w:color="auto" w:fill="E0E7ED"/>
          </w:tcPr>
          <w:p>
            <w:pPr>
              <w:spacing w:after="0"/>
              <w:rPr>
                <w:sz w:val="20"/>
                <w:szCs w:val="20"/>
                <w:color w:val="auto"/>
              </w:rPr>
            </w:pPr>
          </w:p>
        </w:tc>
        <w:tc>
          <w:tcPr>
            <w:tcW w:w="1260" w:type="dxa"/>
            <w:vAlign w:val="bottom"/>
            <w:tcBorders>
              <w:bottom w:val="single" w:sz="8" w:color="auto"/>
            </w:tcBorders>
            <w:vMerge w:val="continue"/>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280" w:type="dxa"/>
            <w:vAlign w:val="bottom"/>
            <w:tcBorders>
              <w:bottom w:val="single" w:sz="8" w:color="auto"/>
            </w:tcBorders>
            <w:shd w:val="clear" w:color="auto" w:fill="E0E7ED"/>
          </w:tcPr>
          <w:p>
            <w:pPr>
              <w:spacing w:after="0"/>
              <w:rPr>
                <w:sz w:val="20"/>
                <w:szCs w:val="20"/>
                <w:color w:val="auto"/>
              </w:rPr>
            </w:pPr>
          </w:p>
        </w:tc>
        <w:tc>
          <w:tcPr>
            <w:tcW w:w="1220" w:type="dxa"/>
            <w:vAlign w:val="bottom"/>
            <w:tcBorders>
              <w:bottom w:val="single" w:sz="8" w:color="auto"/>
            </w:tcBorders>
            <w:vMerge w:val="continue"/>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E0E7ED"/>
              <w:bottom w:val="single" w:sz="8" w:color="auto"/>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2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E0E7ED"/>
              <w:bottom w:val="single" w:sz="8" w:color="auto"/>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9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Basic earnings per common share</w:t>
            </w:r>
          </w:p>
        </w:tc>
        <w:tc>
          <w:tcPr>
            <w:tcW w:w="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0.56</w:t>
            </w:r>
          </w:p>
        </w:tc>
        <w:tc>
          <w:tcPr>
            <w:tcW w:w="100" w:type="dxa"/>
            <w:vAlign w:val="bottom"/>
            <w:shd w:val="clear" w:color="auto" w:fill="E0E7ED"/>
          </w:tcPr>
          <w:p>
            <w:pPr>
              <w:spacing w:after="0"/>
              <w:rPr>
                <w:sz w:val="23"/>
                <w:szCs w:val="23"/>
                <w:color w:val="auto"/>
              </w:rPr>
            </w:pPr>
          </w:p>
        </w:tc>
        <w:tc>
          <w:tcPr>
            <w:tcW w:w="28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w w:val="86"/>
              </w:rPr>
              <w:t>$</w:t>
            </w:r>
          </w:p>
        </w:tc>
        <w:tc>
          <w:tcPr>
            <w:tcW w:w="122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0.55</w:t>
            </w:r>
          </w:p>
        </w:tc>
        <w:tc>
          <w:tcPr>
            <w:tcW w:w="80" w:type="dxa"/>
            <w:vAlign w:val="bottom"/>
            <w:shd w:val="clear" w:color="auto" w:fill="E0E7ED"/>
          </w:tcPr>
          <w:p>
            <w:pPr>
              <w:spacing w:after="0"/>
              <w:rPr>
                <w:sz w:val="23"/>
                <w:szCs w:val="23"/>
                <w:color w:val="auto"/>
              </w:rPr>
            </w:pPr>
          </w:p>
        </w:tc>
        <w:tc>
          <w:tcPr>
            <w:tcW w:w="24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1.52</w:t>
            </w:r>
          </w:p>
        </w:tc>
        <w:tc>
          <w:tcPr>
            <w:tcW w:w="100" w:type="dxa"/>
            <w:vAlign w:val="bottom"/>
            <w:shd w:val="clear" w:color="auto" w:fill="E0E7ED"/>
          </w:tcPr>
          <w:p>
            <w:pPr>
              <w:spacing w:after="0"/>
              <w:rPr>
                <w:sz w:val="23"/>
                <w:szCs w:val="23"/>
                <w:color w:val="auto"/>
              </w:rPr>
            </w:pPr>
          </w:p>
        </w:tc>
        <w:tc>
          <w:tcPr>
            <w:tcW w:w="280" w:type="dxa"/>
            <w:vAlign w:val="bottom"/>
            <w:shd w:val="clear" w:color="auto" w:fill="E0E7ED"/>
          </w:tcPr>
          <w:p>
            <w:pPr>
              <w:jc w:val="right"/>
              <w:ind w:right="50"/>
              <w:spacing w:after="0"/>
              <w:rPr>
                <w:sz w:val="20"/>
                <w:szCs w:val="20"/>
                <w:color w:val="auto"/>
              </w:rPr>
            </w:pPr>
            <w:r>
              <w:rPr>
                <w:rFonts w:ascii="Verdana" w:cs="Verdana" w:eastAsia="Verdana" w:hAnsi="Verdana"/>
                <w:sz w:val="18"/>
                <w:szCs w:val="18"/>
                <w:color w:val="auto"/>
              </w:rPr>
              <w:t>$</w:t>
            </w:r>
          </w:p>
        </w:tc>
        <w:tc>
          <w:tcPr>
            <w:tcW w:w="122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1.75</w:t>
            </w:r>
          </w:p>
        </w:tc>
        <w:tc>
          <w:tcPr>
            <w:tcW w:w="0" w:type="dxa"/>
            <w:vAlign w:val="bottom"/>
          </w:tcPr>
          <w:p>
            <w:pPr>
              <w:spacing w:after="0"/>
              <w:rPr>
                <w:sz w:val="1"/>
                <w:szCs w:val="1"/>
                <w:color w:val="auto"/>
              </w:rPr>
            </w:pPr>
          </w:p>
        </w:tc>
      </w:tr>
      <w:tr>
        <w:trPr>
          <w:trHeight w:val="257"/>
        </w:trPr>
        <w:tc>
          <w:tcPr>
            <w:tcW w:w="4960" w:type="dxa"/>
            <w:vAlign w:val="bottom"/>
          </w:tcPr>
          <w:p>
            <w:pPr>
              <w:ind w:left="20"/>
              <w:spacing w:after="0"/>
              <w:rPr>
                <w:sz w:val="20"/>
                <w:szCs w:val="20"/>
                <w:color w:val="auto"/>
              </w:rPr>
            </w:pPr>
            <w:r>
              <w:rPr>
                <w:rFonts w:ascii="Verdana" w:cs="Verdana" w:eastAsia="Verdana" w:hAnsi="Verdana"/>
                <w:sz w:val="18"/>
                <w:szCs w:val="18"/>
                <w:color w:val="auto"/>
              </w:rPr>
              <w:t>Diluted earnings per common share</w:t>
            </w: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0.55</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ind w:right="12"/>
              <w:spacing w:after="0"/>
              <w:rPr>
                <w:sz w:val="20"/>
                <w:szCs w:val="20"/>
                <w:color w:val="auto"/>
              </w:rPr>
            </w:pPr>
            <w:r>
              <w:rPr>
                <w:rFonts w:ascii="Verdana" w:cs="Verdana" w:eastAsia="Verdana" w:hAnsi="Verdana"/>
                <w:sz w:val="18"/>
                <w:szCs w:val="18"/>
                <w:color w:val="auto"/>
              </w:rPr>
              <w:t>0.54</w:t>
            </w:r>
          </w:p>
        </w:tc>
        <w:tc>
          <w:tcPr>
            <w:tcW w:w="8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spacing w:after="0"/>
              <w:rPr>
                <w:sz w:val="20"/>
                <w:szCs w:val="20"/>
                <w:color w:val="auto"/>
              </w:rPr>
            </w:pPr>
            <w:r>
              <w:rPr>
                <w:rFonts w:ascii="Verdana" w:cs="Verdana" w:eastAsia="Verdana" w:hAnsi="Verdana"/>
                <w:sz w:val="18"/>
                <w:szCs w:val="18"/>
                <w:color w:val="auto"/>
              </w:rPr>
              <w:t>1.49</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12"/>
              <w:spacing w:after="0"/>
              <w:rPr>
                <w:sz w:val="20"/>
                <w:szCs w:val="20"/>
                <w:color w:val="auto"/>
              </w:rPr>
            </w:pPr>
            <w:r>
              <w:rPr>
                <w:rFonts w:ascii="Verdana" w:cs="Verdana" w:eastAsia="Verdana" w:hAnsi="Verdana"/>
                <w:sz w:val="18"/>
                <w:szCs w:val="18"/>
                <w:color w:val="auto"/>
              </w:rPr>
              <w:t>1.72</w:t>
            </w: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Average shares that were excluded from the computation of diluted earnings per common share because their effect would have been anti-dilutive are summarized in the table below for the periods presented: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20" w:type="dxa"/>
            <w:vAlign w:val="bottom"/>
          </w:tcPr>
          <w:p>
            <w:pPr>
              <w:spacing w:after="0"/>
              <w:rPr>
                <w:sz w:val="15"/>
                <w:szCs w:val="15"/>
                <w:color w:val="auto"/>
              </w:rPr>
            </w:pPr>
          </w:p>
        </w:tc>
        <w:tc>
          <w:tcPr>
            <w:tcW w:w="3160" w:type="dxa"/>
            <w:vAlign w:val="bottom"/>
            <w:gridSpan w:val="4"/>
          </w:tcPr>
          <w:p>
            <w:pPr>
              <w:ind w:left="280"/>
              <w:spacing w:after="0"/>
              <w:rPr>
                <w:sz w:val="20"/>
                <w:szCs w:val="20"/>
                <w:color w:val="auto"/>
              </w:rPr>
            </w:pPr>
            <w:r>
              <w:rPr>
                <w:rFonts w:ascii="Verdana" w:cs="Verdana" w:eastAsia="Verdana" w:hAnsi="Verdana"/>
                <w:sz w:val="13"/>
                <w:szCs w:val="13"/>
                <w:b w:val="1"/>
                <w:bCs w:val="1"/>
                <w:color w:val="auto"/>
              </w:rPr>
              <w:t>Three Months Ended September 30,</w:t>
            </w:r>
          </w:p>
        </w:tc>
        <w:tc>
          <w:tcPr>
            <w:tcW w:w="3060" w:type="dxa"/>
            <w:vAlign w:val="bottom"/>
            <w:gridSpan w:val="3"/>
          </w:tcPr>
          <w:p>
            <w:pPr>
              <w:jc w:val="right"/>
              <w:ind w:right="235"/>
              <w:spacing w:after="0"/>
              <w:rPr>
                <w:sz w:val="20"/>
                <w:szCs w:val="20"/>
                <w:color w:val="auto"/>
              </w:rPr>
            </w:pPr>
            <w:r>
              <w:rPr>
                <w:rFonts w:ascii="Verdana" w:cs="Verdana" w:eastAsia="Verdana" w:hAnsi="Verdana"/>
                <w:sz w:val="13"/>
                <w:szCs w:val="13"/>
                <w:b w:val="1"/>
                <w:bCs w:val="1"/>
                <w:color w:val="auto"/>
              </w:rPr>
              <w:t>Nine Months Ended September 30,</w:t>
            </w:r>
          </w:p>
        </w:tc>
      </w:tr>
      <w:tr>
        <w:trPr>
          <w:trHeight w:val="170"/>
        </w:trPr>
        <w:tc>
          <w:tcPr>
            <w:tcW w:w="5020" w:type="dxa"/>
            <w:vAlign w:val="bottom"/>
            <w:tcBorders>
              <w:bottom w:val="single" w:sz="8" w:color="E0E7ED"/>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479"/>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475"/>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479"/>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475"/>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50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Anti-dilutive common stock equivalents</w:t>
            </w:r>
          </w:p>
        </w:tc>
        <w:tc>
          <w:tcPr>
            <w:tcW w:w="14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14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14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1480" w:type="dxa"/>
            <w:vAlign w:val="bottom"/>
            <w:shd w:val="clear" w:color="auto" w:fill="E0E7ED"/>
          </w:tcPr>
          <w:p>
            <w:pPr>
              <w:spacing w:after="0"/>
              <w:rPr>
                <w:sz w:val="22"/>
                <w:szCs w:val="22"/>
                <w:color w:val="auto"/>
              </w:rPr>
            </w:pPr>
          </w:p>
        </w:tc>
      </w:tr>
      <w:tr>
        <w:trPr>
          <w:trHeight w:val="263"/>
        </w:trPr>
        <w:tc>
          <w:tcPr>
            <w:tcW w:w="5020" w:type="dxa"/>
            <w:vAlign w:val="bottom"/>
          </w:tcPr>
          <w:p>
            <w:pPr>
              <w:ind w:left="180"/>
              <w:spacing w:after="0"/>
              <w:rPr>
                <w:sz w:val="20"/>
                <w:szCs w:val="20"/>
                <w:color w:val="auto"/>
              </w:rPr>
            </w:pPr>
            <w:r>
              <w:rPr>
                <w:rFonts w:ascii="Verdana" w:cs="Verdana" w:eastAsia="Verdana" w:hAnsi="Verdana"/>
                <w:sz w:val="18"/>
                <w:szCs w:val="18"/>
                <w:color w:val="auto"/>
              </w:rPr>
              <w:t>Options</w:t>
            </w:r>
          </w:p>
        </w:tc>
        <w:tc>
          <w:tcPr>
            <w:tcW w:w="1580" w:type="dxa"/>
            <w:vAlign w:val="bottom"/>
            <w:gridSpan w:val="2"/>
          </w:tcPr>
          <w:p>
            <w:pPr>
              <w:jc w:val="right"/>
              <w:ind w:right="120"/>
              <w:spacing w:after="0"/>
              <w:rPr>
                <w:sz w:val="20"/>
                <w:szCs w:val="20"/>
                <w:color w:val="auto"/>
              </w:rPr>
            </w:pPr>
            <w:r>
              <w:rPr>
                <w:rFonts w:ascii="Verdana" w:cs="Verdana" w:eastAsia="Verdana" w:hAnsi="Verdana"/>
                <w:sz w:val="18"/>
                <w:szCs w:val="18"/>
                <w:color w:val="auto"/>
              </w:rPr>
              <w:t>—</w:t>
            </w:r>
          </w:p>
        </w:tc>
        <w:tc>
          <w:tcPr>
            <w:tcW w:w="1480" w:type="dxa"/>
            <w:vAlign w:val="bottom"/>
          </w:tcPr>
          <w:p>
            <w:pPr>
              <w:jc w:val="right"/>
              <w:spacing w:after="0"/>
              <w:rPr>
                <w:sz w:val="20"/>
                <w:szCs w:val="20"/>
                <w:color w:val="auto"/>
              </w:rPr>
            </w:pPr>
            <w:r>
              <w:rPr>
                <w:rFonts w:ascii="Verdana" w:cs="Verdana" w:eastAsia="Verdana" w:hAnsi="Verdana"/>
                <w:sz w:val="18"/>
                <w:szCs w:val="18"/>
                <w:color w:val="auto"/>
              </w:rPr>
              <w:t>21,926</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Verdana" w:cs="Verdana" w:eastAsia="Verdana" w:hAnsi="Verdana"/>
                <w:sz w:val="18"/>
                <w:szCs w:val="18"/>
                <w:color w:val="auto"/>
              </w:rPr>
              <w:t>12,784</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Verdana" w:cs="Verdana" w:eastAsia="Verdana" w:hAnsi="Verdana"/>
                <w:sz w:val="18"/>
                <w:szCs w:val="18"/>
                <w:color w:val="auto"/>
              </w:rPr>
              <w:t>22,219</w:t>
            </w:r>
          </w:p>
        </w:tc>
      </w:tr>
      <w:tr>
        <w:trPr>
          <w:trHeight w:val="277"/>
        </w:trPr>
        <w:tc>
          <w:tcPr>
            <w:tcW w:w="50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RSU awards</w:t>
            </w:r>
          </w:p>
        </w:tc>
        <w:tc>
          <w:tcPr>
            <w:tcW w:w="15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8"/>
                <w:szCs w:val="18"/>
                <w:color w:val="auto"/>
              </w:rPr>
              <w:t>—</w:t>
            </w:r>
          </w:p>
        </w:tc>
        <w:tc>
          <w:tcPr>
            <w:tcW w:w="15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8"/>
                <w:szCs w:val="18"/>
                <w:color w:val="auto"/>
              </w:rPr>
              <w:t>—</w:t>
            </w:r>
          </w:p>
        </w:tc>
        <w:tc>
          <w:tcPr>
            <w:tcW w:w="14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4,288</w:t>
            </w:r>
          </w:p>
        </w:tc>
        <w:tc>
          <w:tcPr>
            <w:tcW w:w="100" w:type="dxa"/>
            <w:vAlign w:val="bottom"/>
            <w:shd w:val="clear" w:color="auto" w:fill="E0E7ED"/>
          </w:tcPr>
          <w:p>
            <w:pPr>
              <w:spacing w:after="0"/>
              <w:rPr>
                <w:sz w:val="24"/>
                <w:szCs w:val="24"/>
                <w:color w:val="auto"/>
              </w:rPr>
            </w:pPr>
          </w:p>
        </w:tc>
        <w:tc>
          <w:tcPr>
            <w:tcW w:w="14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52,594</w:t>
            </w:r>
          </w:p>
        </w:tc>
      </w:tr>
      <w:tr>
        <w:trPr>
          <w:trHeight w:val="264"/>
        </w:trPr>
        <w:tc>
          <w:tcPr>
            <w:tcW w:w="50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PSU awards</w:t>
            </w:r>
          </w:p>
        </w:tc>
        <w:tc>
          <w:tcPr>
            <w:tcW w:w="14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107,065</w:t>
            </w:r>
          </w:p>
        </w:tc>
        <w:tc>
          <w:tcPr>
            <w:tcW w:w="100" w:type="dxa"/>
            <w:vAlign w:val="bottom"/>
            <w:tcBorders>
              <w:bottom w:val="single" w:sz="8" w:color="E0E7ED"/>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85,074</w:t>
            </w:r>
          </w:p>
        </w:tc>
        <w:tc>
          <w:tcPr>
            <w:tcW w:w="100" w:type="dxa"/>
            <w:vAlign w:val="bottom"/>
            <w:tcBorders>
              <w:bottom w:val="single" w:sz="8" w:color="E0E7ED"/>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103,001</w:t>
            </w:r>
          </w:p>
        </w:tc>
        <w:tc>
          <w:tcPr>
            <w:tcW w:w="100" w:type="dxa"/>
            <w:vAlign w:val="bottom"/>
            <w:tcBorders>
              <w:bottom w:val="single" w:sz="8" w:color="E0E7ED"/>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137,918</w:t>
            </w:r>
          </w:p>
        </w:tc>
      </w:tr>
      <w:tr>
        <w:trPr>
          <w:trHeight w:val="295"/>
        </w:trPr>
        <w:tc>
          <w:tcPr>
            <w:tcW w:w="50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anti-dilutive common stock equivalents</w:t>
            </w:r>
          </w:p>
        </w:tc>
        <w:tc>
          <w:tcPr>
            <w:tcW w:w="14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107,065</w:t>
            </w:r>
          </w:p>
        </w:tc>
        <w:tc>
          <w:tcPr>
            <w:tcW w:w="100" w:type="dxa"/>
            <w:vAlign w:val="bottom"/>
            <w:tcBorders>
              <w:bottom w:val="single" w:sz="8" w:color="E0E7ED"/>
            </w:tcBorders>
            <w:shd w:val="clear" w:color="auto" w:fill="E0E7ED"/>
          </w:tcPr>
          <w:p>
            <w:pPr>
              <w:spacing w:after="0"/>
              <w:rPr>
                <w:sz w:val="24"/>
                <w:szCs w:val="24"/>
                <w:color w:val="auto"/>
              </w:rPr>
            </w:pPr>
          </w:p>
        </w:tc>
        <w:tc>
          <w:tcPr>
            <w:tcW w:w="14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107,000</w:t>
            </w:r>
          </w:p>
        </w:tc>
        <w:tc>
          <w:tcPr>
            <w:tcW w:w="100" w:type="dxa"/>
            <w:vAlign w:val="bottom"/>
            <w:tcBorders>
              <w:bottom w:val="single" w:sz="8" w:color="E0E7ED"/>
            </w:tcBorders>
            <w:shd w:val="clear" w:color="auto" w:fill="E0E7ED"/>
          </w:tcPr>
          <w:p>
            <w:pPr>
              <w:spacing w:after="0"/>
              <w:rPr>
                <w:sz w:val="24"/>
                <w:szCs w:val="24"/>
                <w:color w:val="auto"/>
              </w:rPr>
            </w:pPr>
          </w:p>
        </w:tc>
        <w:tc>
          <w:tcPr>
            <w:tcW w:w="14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120,073</w:t>
            </w:r>
          </w:p>
        </w:tc>
        <w:tc>
          <w:tcPr>
            <w:tcW w:w="100" w:type="dxa"/>
            <w:vAlign w:val="bottom"/>
            <w:tcBorders>
              <w:bottom w:val="single" w:sz="8" w:color="E0E7ED"/>
            </w:tcBorders>
            <w:shd w:val="clear" w:color="auto" w:fill="E0E7ED"/>
          </w:tcPr>
          <w:p>
            <w:pPr>
              <w:spacing w:after="0"/>
              <w:rPr>
                <w:sz w:val="24"/>
                <w:szCs w:val="24"/>
                <w:color w:val="auto"/>
              </w:rPr>
            </w:pPr>
          </w:p>
        </w:tc>
        <w:tc>
          <w:tcPr>
            <w:tcW w:w="14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212,731</w:t>
            </w:r>
          </w:p>
        </w:tc>
      </w:tr>
      <w:tr>
        <w:trPr>
          <w:trHeight w:val="20"/>
        </w:trPr>
        <w:tc>
          <w:tcPr>
            <w:tcW w:w="5020" w:type="dxa"/>
            <w:vAlign w:val="bottom"/>
            <w:tcBorders>
              <w:top w:val="single" w:sz="8" w:color="E0E7ED"/>
            </w:tcBorders>
          </w:tcPr>
          <w:p>
            <w:pPr>
              <w:spacing w:after="0" w:line="20" w:lineRule="exact"/>
              <w:rPr>
                <w:sz w:val="1"/>
                <w:szCs w:val="1"/>
                <w:color w:val="auto"/>
              </w:rPr>
            </w:pPr>
          </w:p>
        </w:tc>
        <w:tc>
          <w:tcPr>
            <w:tcW w:w="14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4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4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480" w:type="dxa"/>
            <w:vAlign w:val="bottom"/>
            <w:tcBorders>
              <w:top w:val="single" w:sz="8" w:color="E0E7ED"/>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64" w:name="page65"/>
    <w:bookmarkEnd w:id="64"/>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15. ACCUMULATED OTHER COMPREHENSIVE INCOME (LOSS)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The following tables present changes in AOCI by component, net of tax, for the periods indicated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8"/>
          </w:tcPr>
          <w:p>
            <w:pPr>
              <w:jc w:val="right"/>
              <w:ind w:right="50"/>
              <w:spacing w:after="0"/>
              <w:rPr>
                <w:sz w:val="20"/>
                <w:szCs w:val="20"/>
                <w:color w:val="auto"/>
              </w:rPr>
            </w:pPr>
            <w:r>
              <w:rPr>
                <w:rFonts w:ascii="Verdana" w:cs="Verdana" w:eastAsia="Verdana" w:hAnsi="Verdana"/>
                <w:sz w:val="13"/>
                <w:szCs w:val="13"/>
                <w:b w:val="1"/>
                <w:bCs w:val="1"/>
                <w:color w:val="auto"/>
                <w:w w:val="95"/>
              </w:rPr>
              <w:t>Three Months Ended September 30,</w:t>
            </w: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70"/>
        </w:trPr>
        <w:tc>
          <w:tcPr>
            <w:tcW w:w="4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5"/>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5"/>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69"/>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Verdana" w:cs="Verdana" w:eastAsia="Verdana" w:hAnsi="Verdana"/>
                <w:sz w:val="13"/>
                <w:szCs w:val="13"/>
                <w:b w:val="1"/>
                <w:bCs w:val="1"/>
                <w:color w:val="auto"/>
              </w:rPr>
              <w:t>Before Tax</w:t>
            </w:r>
          </w:p>
        </w:tc>
        <w:tc>
          <w:tcPr>
            <w:tcW w:w="160" w:type="dxa"/>
            <w:vAlign w:val="bottom"/>
          </w:tcPr>
          <w:p>
            <w:pPr>
              <w:spacing w:after="0"/>
              <w:rPr>
                <w:sz w:val="14"/>
                <w:szCs w:val="14"/>
                <w:color w:val="auto"/>
              </w:rPr>
            </w:pPr>
          </w:p>
        </w:tc>
        <w:tc>
          <w:tcPr>
            <w:tcW w:w="920" w:type="dxa"/>
            <w:vAlign w:val="bottom"/>
          </w:tcPr>
          <w:p>
            <w:pPr>
              <w:jc w:val="right"/>
              <w:ind w:right="95"/>
              <w:spacing w:after="0"/>
              <w:rPr>
                <w:sz w:val="20"/>
                <w:szCs w:val="20"/>
                <w:color w:val="auto"/>
              </w:rPr>
            </w:pPr>
            <w:r>
              <w:rPr>
                <w:rFonts w:ascii="Verdana" w:cs="Verdana" w:eastAsia="Verdana" w:hAnsi="Verdana"/>
                <w:sz w:val="13"/>
                <w:szCs w:val="13"/>
                <w:b w:val="1"/>
                <w:bCs w:val="1"/>
                <w:color w:val="auto"/>
                <w:w w:val="98"/>
              </w:rPr>
              <w:t>Tax Effect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92"/>
              <w:spacing w:after="0"/>
              <w:rPr>
                <w:sz w:val="20"/>
                <w:szCs w:val="20"/>
                <w:color w:val="auto"/>
              </w:rPr>
            </w:pPr>
            <w:r>
              <w:rPr>
                <w:rFonts w:ascii="Verdana" w:cs="Verdana" w:eastAsia="Verdana" w:hAnsi="Verdana"/>
                <w:sz w:val="13"/>
                <w:szCs w:val="13"/>
                <w:b w:val="1"/>
                <w:bCs w:val="1"/>
                <w:color w:val="auto"/>
              </w:rPr>
              <w:t>Net of Tax</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Verdana" w:cs="Verdana" w:eastAsia="Verdana" w:hAnsi="Verdana"/>
                <w:sz w:val="13"/>
                <w:szCs w:val="13"/>
                <w:b w:val="1"/>
                <w:bCs w:val="1"/>
                <w:color w:val="auto"/>
              </w:rPr>
              <w:t>Before Tax</w:t>
            </w:r>
          </w:p>
        </w:tc>
        <w:tc>
          <w:tcPr>
            <w:tcW w:w="16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Verdana" w:cs="Verdana" w:eastAsia="Verdana" w:hAnsi="Verdana"/>
                <w:sz w:val="13"/>
                <w:szCs w:val="13"/>
                <w:b w:val="1"/>
                <w:bCs w:val="1"/>
                <w:color w:val="auto"/>
              </w:rPr>
              <w:t>Tax Effect</w:t>
            </w:r>
          </w:p>
        </w:tc>
        <w:tc>
          <w:tcPr>
            <w:tcW w:w="160" w:type="dxa"/>
            <w:vAlign w:val="bottom"/>
          </w:tcPr>
          <w:p>
            <w:pPr>
              <w:spacing w:after="0"/>
              <w:rPr>
                <w:sz w:val="14"/>
                <w:szCs w:val="14"/>
                <w:color w:val="auto"/>
              </w:rPr>
            </w:pPr>
          </w:p>
        </w:tc>
        <w:tc>
          <w:tcPr>
            <w:tcW w:w="960" w:type="dxa"/>
            <w:vAlign w:val="bottom"/>
          </w:tcPr>
          <w:p>
            <w:pPr>
              <w:jc w:val="right"/>
              <w:ind w:right="112"/>
              <w:spacing w:after="0"/>
              <w:rPr>
                <w:sz w:val="20"/>
                <w:szCs w:val="20"/>
                <w:color w:val="auto"/>
              </w:rPr>
            </w:pPr>
            <w:r>
              <w:rPr>
                <w:rFonts w:ascii="Verdana" w:cs="Verdana" w:eastAsia="Verdana" w:hAnsi="Verdana"/>
                <w:sz w:val="13"/>
                <w:szCs w:val="13"/>
                <w:b w:val="1"/>
                <w:bCs w:val="1"/>
                <w:color w:val="auto"/>
                <w:w w:val="98"/>
              </w:rPr>
              <w:t>Net of Tax</w:t>
            </w:r>
          </w:p>
        </w:tc>
      </w:tr>
      <w:tr>
        <w:trPr>
          <w:trHeight w:val="223"/>
        </w:trPr>
        <w:tc>
          <w:tcPr>
            <w:tcW w:w="41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Unrealized/Unrecognized gains (losses)</w:t>
            </w:r>
          </w:p>
        </w:tc>
        <w:tc>
          <w:tcPr>
            <w:tcW w:w="160" w:type="dxa"/>
            <w:vAlign w:val="bottom"/>
            <w:tcBorders>
              <w:top w:val="single" w:sz="8" w:color="auto"/>
            </w:tcBorders>
            <w:shd w:val="clear" w:color="auto" w:fill="E0E7ED"/>
          </w:tcPr>
          <w:p>
            <w:pPr>
              <w:spacing w:after="0"/>
              <w:rPr>
                <w:sz w:val="19"/>
                <w:szCs w:val="19"/>
                <w:color w:val="auto"/>
              </w:rPr>
            </w:pPr>
          </w:p>
        </w:tc>
        <w:tc>
          <w:tcPr>
            <w:tcW w:w="96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160" w:type="dxa"/>
            <w:vAlign w:val="bottom"/>
            <w:tcBorders>
              <w:top w:val="single" w:sz="8" w:color="auto"/>
            </w:tcBorders>
            <w:shd w:val="clear" w:color="auto" w:fill="E0E7ED"/>
          </w:tcPr>
          <w:p>
            <w:pPr>
              <w:spacing w:after="0"/>
              <w:rPr>
                <w:sz w:val="19"/>
                <w:szCs w:val="19"/>
                <w:color w:val="auto"/>
              </w:rPr>
            </w:pPr>
          </w:p>
        </w:tc>
        <w:tc>
          <w:tcPr>
            <w:tcW w:w="92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160" w:type="dxa"/>
            <w:vAlign w:val="bottom"/>
            <w:tcBorders>
              <w:top w:val="single" w:sz="8" w:color="auto"/>
            </w:tcBorders>
            <w:shd w:val="clear" w:color="auto" w:fill="E0E7ED"/>
          </w:tcPr>
          <w:p>
            <w:pPr>
              <w:spacing w:after="0"/>
              <w:rPr>
                <w:sz w:val="19"/>
                <w:szCs w:val="19"/>
                <w:color w:val="auto"/>
              </w:rPr>
            </w:pPr>
          </w:p>
        </w:tc>
        <w:tc>
          <w:tcPr>
            <w:tcW w:w="96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160" w:type="dxa"/>
            <w:vAlign w:val="bottom"/>
            <w:tcBorders>
              <w:top w:val="single" w:sz="8" w:color="auto"/>
            </w:tcBorders>
            <w:shd w:val="clear" w:color="auto" w:fill="E0E7ED"/>
          </w:tcPr>
          <w:p>
            <w:pPr>
              <w:spacing w:after="0"/>
              <w:rPr>
                <w:sz w:val="19"/>
                <w:szCs w:val="19"/>
                <w:color w:val="auto"/>
              </w:rPr>
            </w:pPr>
          </w:p>
        </w:tc>
        <w:tc>
          <w:tcPr>
            <w:tcW w:w="98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160" w:type="dxa"/>
            <w:vAlign w:val="bottom"/>
            <w:tcBorders>
              <w:top w:val="single" w:sz="8" w:color="auto"/>
            </w:tcBorders>
            <w:shd w:val="clear" w:color="auto" w:fill="E0E7ED"/>
          </w:tcPr>
          <w:p>
            <w:pPr>
              <w:spacing w:after="0"/>
              <w:rPr>
                <w:sz w:val="19"/>
                <w:szCs w:val="19"/>
                <w:color w:val="auto"/>
              </w:rPr>
            </w:pPr>
          </w:p>
        </w:tc>
        <w:tc>
          <w:tcPr>
            <w:tcW w:w="94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160" w:type="dxa"/>
            <w:vAlign w:val="bottom"/>
            <w:tcBorders>
              <w:top w:val="single" w:sz="8" w:color="auto"/>
            </w:tcBorders>
            <w:shd w:val="clear" w:color="auto" w:fill="E0E7ED"/>
          </w:tcPr>
          <w:p>
            <w:pPr>
              <w:spacing w:after="0"/>
              <w:rPr>
                <w:sz w:val="19"/>
                <w:szCs w:val="19"/>
                <w:color w:val="auto"/>
              </w:rPr>
            </w:pPr>
          </w:p>
        </w:tc>
        <w:tc>
          <w:tcPr>
            <w:tcW w:w="960" w:type="dxa"/>
            <w:vAlign w:val="bottom"/>
            <w:tcBorders>
              <w:top w:val="single" w:sz="8" w:color="auto"/>
            </w:tcBorders>
            <w:shd w:val="clear" w:color="auto" w:fill="E0E7ED"/>
          </w:tcPr>
          <w:p>
            <w:pPr>
              <w:spacing w:after="0"/>
              <w:rPr>
                <w:sz w:val="19"/>
                <w:szCs w:val="19"/>
                <w:color w:val="auto"/>
              </w:rPr>
            </w:pPr>
          </w:p>
        </w:tc>
      </w:tr>
      <w:tr>
        <w:trPr>
          <w:trHeight w:val="248"/>
        </w:trPr>
        <w:tc>
          <w:tcPr>
            <w:tcW w:w="41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on debt securities</w:t>
            </w: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r>
      <w:tr>
        <w:trPr>
          <w:trHeight w:val="263"/>
        </w:trPr>
        <w:tc>
          <w:tcPr>
            <w:tcW w:w="4160" w:type="dxa"/>
            <w:vAlign w:val="bottom"/>
          </w:tcPr>
          <w:p>
            <w:pPr>
              <w:ind w:left="20"/>
              <w:spacing w:after="0"/>
              <w:rPr>
                <w:sz w:val="20"/>
                <w:szCs w:val="20"/>
                <w:color w:val="auto"/>
              </w:rPr>
            </w:pPr>
            <w:r>
              <w:rPr>
                <w:rFonts w:ascii="Verdana" w:cs="Verdana" w:eastAsia="Verdana" w:hAnsi="Verdana"/>
                <w:sz w:val="18"/>
                <w:szCs w:val="18"/>
                <w:color w:val="auto"/>
              </w:rPr>
              <w:t>Balance at beginning of period</w:t>
            </w: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(279,334)</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20" w:type="dxa"/>
            <w:vAlign w:val="bottom"/>
          </w:tcPr>
          <w:p>
            <w:pPr>
              <w:jc w:val="right"/>
              <w:spacing w:after="0"/>
              <w:rPr>
                <w:sz w:val="20"/>
                <w:szCs w:val="20"/>
                <w:color w:val="auto"/>
              </w:rPr>
            </w:pPr>
            <w:r>
              <w:rPr>
                <w:rFonts w:ascii="Verdana" w:cs="Verdana" w:eastAsia="Verdana" w:hAnsi="Verdana"/>
                <w:sz w:val="18"/>
                <w:szCs w:val="18"/>
                <w:color w:val="auto"/>
              </w:rPr>
              <w:t>79,624</w:t>
            </w:r>
          </w:p>
        </w:tc>
        <w:tc>
          <w:tcPr>
            <w:tcW w:w="240" w:type="dxa"/>
            <w:vAlign w:val="bottom"/>
            <w:gridSpan w:val="2"/>
          </w:tcPr>
          <w:p>
            <w:pPr>
              <w:jc w:val="right"/>
              <w:ind w:right="20"/>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(199,710)</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80" w:type="dxa"/>
            <w:vAlign w:val="bottom"/>
          </w:tcPr>
          <w:p>
            <w:pPr>
              <w:jc w:val="right"/>
              <w:spacing w:after="0"/>
              <w:rPr>
                <w:sz w:val="20"/>
                <w:szCs w:val="20"/>
                <w:color w:val="auto"/>
              </w:rPr>
            </w:pPr>
            <w:r>
              <w:rPr>
                <w:rFonts w:ascii="Verdana" w:cs="Verdana" w:eastAsia="Verdana" w:hAnsi="Verdana"/>
                <w:sz w:val="18"/>
                <w:szCs w:val="18"/>
                <w:color w:val="auto"/>
              </w:rPr>
              <w:t>(335,359)</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940" w:type="dxa"/>
            <w:vAlign w:val="bottom"/>
          </w:tcPr>
          <w:p>
            <w:pPr>
              <w:jc w:val="right"/>
              <w:ind w:right="15"/>
              <w:spacing w:after="0"/>
              <w:rPr>
                <w:sz w:val="20"/>
                <w:szCs w:val="20"/>
                <w:color w:val="auto"/>
              </w:rPr>
            </w:pPr>
            <w:r>
              <w:rPr>
                <w:rFonts w:ascii="Verdana" w:cs="Verdana" w:eastAsia="Verdana" w:hAnsi="Verdana"/>
                <w:sz w:val="18"/>
                <w:szCs w:val="18"/>
                <w:color w:val="auto"/>
              </w:rPr>
              <w:t>95,591</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(239,768)</w:t>
            </w:r>
          </w:p>
        </w:tc>
      </w:tr>
      <w:tr>
        <w:trPr>
          <w:trHeight w:val="244"/>
        </w:trPr>
        <w:tc>
          <w:tcPr>
            <w:tcW w:w="41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Unrealized holding gains (losses) on debt</w:t>
            </w: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r>
      <w:tr>
        <w:trPr>
          <w:trHeight w:val="248"/>
        </w:trPr>
        <w:tc>
          <w:tcPr>
            <w:tcW w:w="41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securities available for sale, net</w:t>
            </w: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54,950</w:t>
            </w: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(15,664)</w:t>
            </w: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39,286</w:t>
            </w: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(37,696)</w:t>
            </w: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10,746</w:t>
            </w: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(26,950)</w:t>
            </w:r>
          </w:p>
        </w:tc>
      </w:tr>
      <w:tr>
        <w:trPr>
          <w:trHeight w:val="263"/>
        </w:trPr>
        <w:tc>
          <w:tcPr>
            <w:tcW w:w="4160" w:type="dxa"/>
            <w:vAlign w:val="bottom"/>
          </w:tcPr>
          <w:p>
            <w:pPr>
              <w:ind w:left="180"/>
              <w:spacing w:after="0"/>
              <w:rPr>
                <w:sz w:val="20"/>
                <w:szCs w:val="20"/>
                <w:color w:val="auto"/>
              </w:rPr>
            </w:pPr>
            <w:r>
              <w:rPr>
                <w:rFonts w:ascii="Verdana" w:cs="Verdana" w:eastAsia="Verdana" w:hAnsi="Verdana"/>
                <w:sz w:val="18"/>
                <w:szCs w:val="18"/>
                <w:color w:val="auto"/>
              </w:rPr>
              <w:t>Amounts reclassified from AOCI, net</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Verdana" w:cs="Verdana" w:eastAsia="Verdana" w:hAnsi="Verdana"/>
                <w:sz w:val="18"/>
                <w:szCs w:val="18"/>
                <w:color w:val="auto"/>
              </w:rPr>
              <w:t>11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Verdana" w:cs="Verdana" w:eastAsia="Verdana" w:hAnsi="Verdana"/>
                <w:sz w:val="18"/>
                <w:szCs w:val="18"/>
                <w:color w:val="auto"/>
              </w:rPr>
              <w:t>(3)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Verdana" w:cs="Verdana" w:eastAsia="Verdana" w:hAnsi="Verdana"/>
                <w:sz w:val="18"/>
                <w:szCs w:val="18"/>
                <w:color w:val="auto"/>
              </w:rPr>
              <w:t>8</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Verdana" w:cs="Verdana" w:eastAsia="Verdana" w:hAnsi="Verdana"/>
                <w:sz w:val="18"/>
                <w:szCs w:val="18"/>
                <w:color w:val="auto"/>
              </w:rPr>
              <w:t>33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Verdana" w:cs="Verdana" w:eastAsia="Verdana" w:hAnsi="Verdana"/>
                <w:sz w:val="18"/>
                <w:szCs w:val="18"/>
                <w:color w:val="auto"/>
              </w:rPr>
              <w:t>(9)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Verdana" w:cs="Verdana" w:eastAsia="Verdana" w:hAnsi="Verdana"/>
                <w:sz w:val="18"/>
                <w:szCs w:val="18"/>
                <w:color w:val="auto"/>
              </w:rPr>
              <w:t>24</w:t>
            </w:r>
          </w:p>
        </w:tc>
      </w:tr>
      <w:tr>
        <w:trPr>
          <w:trHeight w:val="244"/>
        </w:trPr>
        <w:tc>
          <w:tcPr>
            <w:tcW w:w="41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Amortization of unrecognized losses on</w:t>
            </w: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r>
      <w:tr>
        <w:trPr>
          <w:trHeight w:val="242"/>
        </w:trPr>
        <w:tc>
          <w:tcPr>
            <w:tcW w:w="41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securities transferred to held to maturity</w:t>
            </w:r>
          </w:p>
        </w:tc>
        <w:tc>
          <w:tcPr>
            <w:tcW w:w="160" w:type="dxa"/>
            <w:vAlign w:val="bottom"/>
            <w:tcBorders>
              <w:bottom w:val="single" w:sz="8" w:color="auto"/>
            </w:tcBorders>
            <w:shd w:val="clear" w:color="auto" w:fill="E0E7ED"/>
          </w:tcPr>
          <w:p>
            <w:pPr>
              <w:spacing w:after="0"/>
              <w:rPr>
                <w:sz w:val="21"/>
                <w:szCs w:val="21"/>
                <w:color w:val="auto"/>
              </w:rPr>
            </w:pPr>
          </w:p>
        </w:tc>
        <w:tc>
          <w:tcPr>
            <w:tcW w:w="9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1,384</w:t>
            </w:r>
          </w:p>
        </w:tc>
        <w:tc>
          <w:tcPr>
            <w:tcW w:w="80" w:type="dxa"/>
            <w:vAlign w:val="bottom"/>
            <w:shd w:val="clear" w:color="auto" w:fill="E0E7ED"/>
          </w:tcPr>
          <w:p>
            <w:pPr>
              <w:spacing w:after="0"/>
              <w:rPr>
                <w:sz w:val="21"/>
                <w:szCs w:val="21"/>
                <w:color w:val="auto"/>
              </w:rPr>
            </w:pPr>
          </w:p>
        </w:tc>
        <w:tc>
          <w:tcPr>
            <w:tcW w:w="160" w:type="dxa"/>
            <w:vAlign w:val="bottom"/>
            <w:tcBorders>
              <w:bottom w:val="single" w:sz="8" w:color="auto"/>
            </w:tcBorders>
            <w:shd w:val="clear" w:color="auto" w:fill="E0E7ED"/>
          </w:tcPr>
          <w:p>
            <w:pPr>
              <w:spacing w:after="0"/>
              <w:rPr>
                <w:sz w:val="21"/>
                <w:szCs w:val="21"/>
                <w:color w:val="auto"/>
              </w:rPr>
            </w:pPr>
          </w:p>
        </w:tc>
        <w:tc>
          <w:tcPr>
            <w:tcW w:w="9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(394)</w:t>
            </w:r>
          </w:p>
        </w:tc>
        <w:tc>
          <w:tcPr>
            <w:tcW w:w="80" w:type="dxa"/>
            <w:vAlign w:val="bottom"/>
            <w:shd w:val="clear" w:color="auto" w:fill="E0E7ED"/>
          </w:tcPr>
          <w:p>
            <w:pPr>
              <w:spacing w:after="0"/>
              <w:rPr>
                <w:sz w:val="21"/>
                <w:szCs w:val="21"/>
                <w:color w:val="auto"/>
              </w:rPr>
            </w:pPr>
          </w:p>
        </w:tc>
        <w:tc>
          <w:tcPr>
            <w:tcW w:w="160" w:type="dxa"/>
            <w:vAlign w:val="bottom"/>
            <w:tcBorders>
              <w:bottom w:val="single" w:sz="8" w:color="auto"/>
            </w:tcBorders>
            <w:shd w:val="clear" w:color="auto" w:fill="E0E7ED"/>
          </w:tcPr>
          <w:p>
            <w:pPr>
              <w:spacing w:after="0"/>
              <w:rPr>
                <w:sz w:val="21"/>
                <w:szCs w:val="21"/>
                <w:color w:val="auto"/>
              </w:rPr>
            </w:pPr>
          </w:p>
        </w:tc>
        <w:tc>
          <w:tcPr>
            <w:tcW w:w="9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990</w:t>
            </w:r>
          </w:p>
        </w:tc>
        <w:tc>
          <w:tcPr>
            <w:tcW w:w="80" w:type="dxa"/>
            <w:vAlign w:val="bottom"/>
            <w:shd w:val="clear" w:color="auto" w:fill="E0E7ED"/>
          </w:tcPr>
          <w:p>
            <w:pPr>
              <w:spacing w:after="0"/>
              <w:rPr>
                <w:sz w:val="21"/>
                <w:szCs w:val="21"/>
                <w:color w:val="auto"/>
              </w:rPr>
            </w:pPr>
          </w:p>
        </w:tc>
        <w:tc>
          <w:tcPr>
            <w:tcW w:w="160" w:type="dxa"/>
            <w:vAlign w:val="bottom"/>
            <w:tcBorders>
              <w:bottom w:val="single" w:sz="8" w:color="auto"/>
            </w:tcBorders>
            <w:shd w:val="clear" w:color="auto" w:fill="E0E7ED"/>
          </w:tcPr>
          <w:p>
            <w:pPr>
              <w:spacing w:after="0"/>
              <w:rPr>
                <w:sz w:val="21"/>
                <w:szCs w:val="21"/>
                <w:color w:val="auto"/>
              </w:rPr>
            </w:pPr>
          </w:p>
        </w:tc>
        <w:tc>
          <w:tcPr>
            <w:tcW w:w="98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1,476</w:t>
            </w:r>
          </w:p>
        </w:tc>
        <w:tc>
          <w:tcPr>
            <w:tcW w:w="80" w:type="dxa"/>
            <w:vAlign w:val="bottom"/>
            <w:shd w:val="clear" w:color="auto" w:fill="E0E7ED"/>
          </w:tcPr>
          <w:p>
            <w:pPr>
              <w:spacing w:after="0"/>
              <w:rPr>
                <w:sz w:val="21"/>
                <w:szCs w:val="21"/>
                <w:color w:val="auto"/>
              </w:rPr>
            </w:pPr>
          </w:p>
        </w:tc>
        <w:tc>
          <w:tcPr>
            <w:tcW w:w="160" w:type="dxa"/>
            <w:vAlign w:val="bottom"/>
            <w:tcBorders>
              <w:bottom w:val="single" w:sz="8" w:color="auto"/>
            </w:tcBorders>
            <w:shd w:val="clear" w:color="auto" w:fill="E0E7ED"/>
          </w:tcPr>
          <w:p>
            <w:pPr>
              <w:spacing w:after="0"/>
              <w:rPr>
                <w:sz w:val="21"/>
                <w:szCs w:val="21"/>
                <w:color w:val="auto"/>
              </w:rPr>
            </w:pP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(420)</w:t>
            </w:r>
          </w:p>
        </w:tc>
        <w:tc>
          <w:tcPr>
            <w:tcW w:w="80" w:type="dxa"/>
            <w:vAlign w:val="bottom"/>
            <w:shd w:val="clear" w:color="auto" w:fill="E0E7ED"/>
          </w:tcPr>
          <w:p>
            <w:pPr>
              <w:spacing w:after="0"/>
              <w:rPr>
                <w:sz w:val="21"/>
                <w:szCs w:val="21"/>
                <w:color w:val="auto"/>
              </w:rPr>
            </w:pPr>
          </w:p>
        </w:tc>
        <w:tc>
          <w:tcPr>
            <w:tcW w:w="160" w:type="dxa"/>
            <w:vAlign w:val="bottom"/>
            <w:tcBorders>
              <w:bottom w:val="single" w:sz="8" w:color="auto"/>
            </w:tcBorders>
            <w:shd w:val="clear" w:color="auto" w:fill="E0E7ED"/>
          </w:tcPr>
          <w:p>
            <w:pPr>
              <w:spacing w:after="0"/>
              <w:rPr>
                <w:sz w:val="21"/>
                <w:szCs w:val="21"/>
                <w:color w:val="auto"/>
              </w:rPr>
            </w:pPr>
          </w:p>
        </w:tc>
        <w:tc>
          <w:tcPr>
            <w:tcW w:w="96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1,056</w:t>
            </w:r>
          </w:p>
        </w:tc>
      </w:tr>
      <w:tr>
        <w:trPr>
          <w:trHeight w:val="270"/>
        </w:trPr>
        <w:tc>
          <w:tcPr>
            <w:tcW w:w="4160" w:type="dxa"/>
            <w:vAlign w:val="bottom"/>
          </w:tcPr>
          <w:p>
            <w:pPr>
              <w:ind w:left="20"/>
              <w:spacing w:after="0"/>
              <w:rPr>
                <w:sz w:val="20"/>
                <w:szCs w:val="20"/>
                <w:color w:val="auto"/>
              </w:rPr>
            </w:pPr>
            <w:r>
              <w:rPr>
                <w:rFonts w:ascii="Verdana" w:cs="Verdana" w:eastAsia="Verdana" w:hAnsi="Verdana"/>
                <w:sz w:val="18"/>
                <w:szCs w:val="18"/>
                <w:color w:val="auto"/>
              </w:rPr>
              <w:t>Balance at end of period</w:t>
            </w: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(222,989)</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20" w:type="dxa"/>
            <w:vAlign w:val="bottom"/>
          </w:tcPr>
          <w:p>
            <w:pPr>
              <w:jc w:val="right"/>
              <w:spacing w:after="0"/>
              <w:rPr>
                <w:sz w:val="20"/>
                <w:szCs w:val="20"/>
                <w:color w:val="auto"/>
              </w:rPr>
            </w:pPr>
            <w:r>
              <w:rPr>
                <w:rFonts w:ascii="Verdana" w:cs="Verdana" w:eastAsia="Verdana" w:hAnsi="Verdana"/>
                <w:sz w:val="18"/>
                <w:szCs w:val="18"/>
                <w:color w:val="auto"/>
              </w:rPr>
              <w:t>63,563</w:t>
            </w:r>
          </w:p>
        </w:tc>
        <w:tc>
          <w:tcPr>
            <w:tcW w:w="240" w:type="dxa"/>
            <w:vAlign w:val="bottom"/>
            <w:gridSpan w:val="2"/>
          </w:tcPr>
          <w:p>
            <w:pPr>
              <w:jc w:val="right"/>
              <w:ind w:right="20"/>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(159,426)</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80" w:type="dxa"/>
            <w:vAlign w:val="bottom"/>
          </w:tcPr>
          <w:p>
            <w:pPr>
              <w:jc w:val="right"/>
              <w:spacing w:after="0"/>
              <w:rPr>
                <w:sz w:val="20"/>
                <w:szCs w:val="20"/>
                <w:color w:val="auto"/>
              </w:rPr>
            </w:pPr>
            <w:r>
              <w:rPr>
                <w:rFonts w:ascii="Verdana" w:cs="Verdana" w:eastAsia="Verdana" w:hAnsi="Verdana"/>
                <w:sz w:val="18"/>
                <w:szCs w:val="18"/>
                <w:color w:val="auto"/>
              </w:rPr>
              <w:t>(371,546)</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940" w:type="dxa"/>
            <w:vAlign w:val="bottom"/>
          </w:tcPr>
          <w:p>
            <w:pPr>
              <w:jc w:val="right"/>
              <w:ind w:right="15"/>
              <w:spacing w:after="0"/>
              <w:rPr>
                <w:sz w:val="20"/>
                <w:szCs w:val="20"/>
                <w:color w:val="auto"/>
              </w:rPr>
            </w:pPr>
            <w:r>
              <w:rPr>
                <w:rFonts w:ascii="Verdana" w:cs="Verdana" w:eastAsia="Verdana" w:hAnsi="Verdana"/>
                <w:sz w:val="18"/>
                <w:szCs w:val="18"/>
                <w:color w:val="auto"/>
              </w:rPr>
              <w:t>105,908</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(265,638)</w:t>
            </w:r>
          </w:p>
        </w:tc>
      </w:tr>
      <w:tr>
        <w:trPr>
          <w:trHeight w:val="20"/>
        </w:trPr>
        <w:tc>
          <w:tcPr>
            <w:tcW w:w="4160" w:type="dxa"/>
            <w:vAlign w:val="bottom"/>
            <w:tcBorders>
              <w:bottom w:val="single" w:sz="8" w:color="E0E7E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4160" w:type="dxa"/>
            <w:vAlign w:val="bottom"/>
            <w:shd w:val="clear" w:color="auto" w:fill="E0E7ED"/>
          </w:tcPr>
          <w:p>
            <w:pPr>
              <w:spacing w:after="0"/>
              <w:rPr>
                <w:sz w:val="20"/>
                <w:szCs w:val="20"/>
                <w:color w:val="auto"/>
              </w:rPr>
            </w:pPr>
          </w:p>
        </w:tc>
        <w:tc>
          <w:tcPr>
            <w:tcW w:w="160" w:type="dxa"/>
            <w:vAlign w:val="bottom"/>
            <w:shd w:val="clear" w:color="auto" w:fill="E0E7ED"/>
          </w:tcPr>
          <w:p>
            <w:pPr>
              <w:spacing w:after="0"/>
              <w:rPr>
                <w:sz w:val="20"/>
                <w:szCs w:val="20"/>
                <w:color w:val="auto"/>
              </w:rPr>
            </w:pPr>
          </w:p>
        </w:tc>
        <w:tc>
          <w:tcPr>
            <w:tcW w:w="96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60" w:type="dxa"/>
            <w:vAlign w:val="bottom"/>
            <w:shd w:val="clear" w:color="auto" w:fill="E0E7ED"/>
          </w:tcPr>
          <w:p>
            <w:pPr>
              <w:spacing w:after="0"/>
              <w:rPr>
                <w:sz w:val="20"/>
                <w:szCs w:val="20"/>
                <w:color w:val="auto"/>
              </w:rPr>
            </w:pPr>
          </w:p>
        </w:tc>
        <w:tc>
          <w:tcPr>
            <w:tcW w:w="92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60" w:type="dxa"/>
            <w:vAlign w:val="bottom"/>
            <w:shd w:val="clear" w:color="auto" w:fill="E0E7ED"/>
          </w:tcPr>
          <w:p>
            <w:pPr>
              <w:spacing w:after="0"/>
              <w:rPr>
                <w:sz w:val="20"/>
                <w:szCs w:val="20"/>
                <w:color w:val="auto"/>
              </w:rPr>
            </w:pPr>
          </w:p>
        </w:tc>
        <w:tc>
          <w:tcPr>
            <w:tcW w:w="96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60" w:type="dxa"/>
            <w:vAlign w:val="bottom"/>
            <w:shd w:val="clear" w:color="auto" w:fill="E0E7ED"/>
          </w:tcPr>
          <w:p>
            <w:pPr>
              <w:spacing w:after="0"/>
              <w:rPr>
                <w:sz w:val="20"/>
                <w:szCs w:val="20"/>
                <w:color w:val="auto"/>
              </w:rPr>
            </w:pPr>
          </w:p>
        </w:tc>
        <w:tc>
          <w:tcPr>
            <w:tcW w:w="98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60" w:type="dxa"/>
            <w:vAlign w:val="bottom"/>
            <w:shd w:val="clear" w:color="auto" w:fill="E0E7ED"/>
          </w:tcPr>
          <w:p>
            <w:pPr>
              <w:spacing w:after="0"/>
              <w:rPr>
                <w:sz w:val="20"/>
                <w:szCs w:val="20"/>
                <w:color w:val="auto"/>
              </w:rPr>
            </w:pPr>
          </w:p>
        </w:tc>
        <w:tc>
          <w:tcPr>
            <w:tcW w:w="94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60" w:type="dxa"/>
            <w:vAlign w:val="bottom"/>
            <w:shd w:val="clear" w:color="auto" w:fill="E0E7ED"/>
          </w:tcPr>
          <w:p>
            <w:pPr>
              <w:spacing w:after="0"/>
              <w:rPr>
                <w:sz w:val="20"/>
                <w:szCs w:val="20"/>
                <w:color w:val="auto"/>
              </w:rPr>
            </w:pPr>
          </w:p>
        </w:tc>
        <w:tc>
          <w:tcPr>
            <w:tcW w:w="960" w:type="dxa"/>
            <w:vAlign w:val="bottom"/>
            <w:shd w:val="clear" w:color="auto" w:fill="E0E7ED"/>
          </w:tcPr>
          <w:p>
            <w:pPr>
              <w:spacing w:after="0"/>
              <w:rPr>
                <w:sz w:val="20"/>
                <w:szCs w:val="20"/>
                <w:color w:val="auto"/>
              </w:rPr>
            </w:pPr>
          </w:p>
        </w:tc>
      </w:tr>
      <w:tr>
        <w:trPr>
          <w:trHeight w:val="238"/>
        </w:trPr>
        <w:tc>
          <w:tcPr>
            <w:tcW w:w="4160" w:type="dxa"/>
            <w:vAlign w:val="bottom"/>
          </w:tcPr>
          <w:p>
            <w:pPr>
              <w:ind w:left="20"/>
              <w:spacing w:after="0"/>
              <w:rPr>
                <w:sz w:val="20"/>
                <w:szCs w:val="20"/>
                <w:color w:val="auto"/>
              </w:rPr>
            </w:pPr>
            <w:r>
              <w:rPr>
                <w:rFonts w:ascii="Verdana" w:cs="Verdana" w:eastAsia="Verdana" w:hAnsi="Verdana"/>
                <w:sz w:val="18"/>
                <w:szCs w:val="18"/>
                <w:b w:val="1"/>
                <w:bCs w:val="1"/>
                <w:color w:val="auto"/>
              </w:rPr>
              <w:t>Unrealized gains (losses) on cash flow</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2"/>
        </w:trPr>
        <w:tc>
          <w:tcPr>
            <w:tcW w:w="4160" w:type="dxa"/>
            <w:vAlign w:val="bottom"/>
          </w:tcPr>
          <w:p>
            <w:pPr>
              <w:ind w:left="20"/>
              <w:spacing w:after="0"/>
              <w:rPr>
                <w:sz w:val="20"/>
                <w:szCs w:val="20"/>
                <w:color w:val="auto"/>
              </w:rPr>
            </w:pPr>
            <w:r>
              <w:rPr>
                <w:rFonts w:ascii="Verdana" w:cs="Verdana" w:eastAsia="Verdana" w:hAnsi="Verdana"/>
                <w:sz w:val="18"/>
                <w:szCs w:val="18"/>
                <w:b w:val="1"/>
                <w:bCs w:val="1"/>
                <w:color w:val="auto"/>
              </w:rPr>
              <w:t>hedges</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7"/>
        </w:trPr>
        <w:tc>
          <w:tcPr>
            <w:tcW w:w="41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Balance at beginning of period</w:t>
            </w:r>
          </w:p>
        </w:tc>
        <w:tc>
          <w:tcPr>
            <w:tcW w:w="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(28,833)</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8,217</w:t>
            </w:r>
          </w:p>
        </w:tc>
        <w:tc>
          <w:tcPr>
            <w:tcW w:w="240" w:type="dxa"/>
            <w:vAlign w:val="bottom"/>
            <w:gridSpan w:val="2"/>
            <w:shd w:val="clear" w:color="auto" w:fill="E0E7ED"/>
          </w:tcPr>
          <w:p>
            <w:pPr>
              <w:jc w:val="right"/>
              <w:ind w:right="20"/>
              <w:spacing w:after="0"/>
              <w:rPr>
                <w:sz w:val="20"/>
                <w:szCs w:val="20"/>
                <w:color w:val="auto"/>
              </w:rPr>
            </w:pPr>
            <w:r>
              <w:rPr>
                <w:rFonts w:ascii="Verdana" w:cs="Verdana" w:eastAsia="Verdana" w:hAnsi="Verdana"/>
                <w:sz w:val="18"/>
                <w:szCs w:val="18"/>
                <w:color w:val="auto"/>
              </w:rPr>
              <w:t>$</w:t>
            </w: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(20,616)</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(29,586)</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9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8,433</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(21,153)</w:t>
            </w:r>
          </w:p>
        </w:tc>
      </w:tr>
      <w:tr>
        <w:trPr>
          <w:trHeight w:val="238"/>
        </w:trPr>
        <w:tc>
          <w:tcPr>
            <w:tcW w:w="4160" w:type="dxa"/>
            <w:vAlign w:val="bottom"/>
          </w:tcPr>
          <w:p>
            <w:pPr>
              <w:ind w:left="180"/>
              <w:spacing w:after="0"/>
              <w:rPr>
                <w:sz w:val="20"/>
                <w:szCs w:val="20"/>
                <w:color w:val="auto"/>
              </w:rPr>
            </w:pPr>
            <w:r>
              <w:rPr>
                <w:rFonts w:ascii="Verdana" w:cs="Verdana" w:eastAsia="Verdana" w:hAnsi="Verdana"/>
                <w:sz w:val="18"/>
                <w:szCs w:val="18"/>
                <w:color w:val="auto"/>
              </w:rPr>
              <w:t>Unrealized holding gains (losses) on cash</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2"/>
        </w:trPr>
        <w:tc>
          <w:tcPr>
            <w:tcW w:w="4160" w:type="dxa"/>
            <w:vAlign w:val="bottom"/>
          </w:tcPr>
          <w:p>
            <w:pPr>
              <w:ind w:left="180"/>
              <w:spacing w:after="0"/>
              <w:rPr>
                <w:sz w:val="20"/>
                <w:szCs w:val="20"/>
                <w:color w:val="auto"/>
              </w:rPr>
            </w:pPr>
            <w:r>
              <w:rPr>
                <w:rFonts w:ascii="Verdana" w:cs="Verdana" w:eastAsia="Verdana" w:hAnsi="Verdana"/>
                <w:sz w:val="18"/>
                <w:szCs w:val="18"/>
                <w:color w:val="auto"/>
              </w:rPr>
              <w:t>flow hedges, net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Verdana" w:cs="Verdana" w:eastAsia="Verdana" w:hAnsi="Verdana"/>
                <w:sz w:val="18"/>
                <w:szCs w:val="18"/>
                <w:color w:val="auto"/>
              </w:rPr>
              <w:t>10,404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Verdana" w:cs="Verdana" w:eastAsia="Verdana" w:hAnsi="Verdana"/>
                <w:sz w:val="18"/>
                <w:szCs w:val="18"/>
                <w:color w:val="auto"/>
              </w:rPr>
              <w:t>(2,965)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Verdana" w:cs="Verdana" w:eastAsia="Verdana" w:hAnsi="Verdana"/>
                <w:sz w:val="18"/>
                <w:szCs w:val="18"/>
                <w:color w:val="auto"/>
              </w:rPr>
              <w:t>7,439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Verdana" w:cs="Verdana" w:eastAsia="Verdana" w:hAnsi="Verdana"/>
                <w:sz w:val="18"/>
                <w:szCs w:val="18"/>
                <w:color w:val="auto"/>
              </w:rPr>
              <w:t>(7,797)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Verdana" w:cs="Verdana" w:eastAsia="Verdana" w:hAnsi="Verdana"/>
                <w:sz w:val="18"/>
                <w:szCs w:val="18"/>
                <w:color w:val="auto"/>
              </w:rPr>
              <w:t>2,220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Verdana" w:cs="Verdana" w:eastAsia="Verdana" w:hAnsi="Verdana"/>
                <w:sz w:val="18"/>
                <w:szCs w:val="18"/>
                <w:color w:val="auto"/>
              </w:rPr>
              <w:t>(5,577)</w:t>
            </w:r>
          </w:p>
        </w:tc>
      </w:tr>
      <w:tr>
        <w:trPr>
          <w:trHeight w:val="270"/>
        </w:trPr>
        <w:tc>
          <w:tcPr>
            <w:tcW w:w="41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Amounts reclassified from AOCI, net</w:t>
            </w:r>
          </w:p>
        </w:tc>
        <w:tc>
          <w:tcPr>
            <w:tcW w:w="160" w:type="dxa"/>
            <w:vAlign w:val="bottom"/>
            <w:tcBorders>
              <w:bottom w:val="single" w:sz="8" w:color="auto"/>
            </w:tcBorders>
            <w:shd w:val="clear" w:color="auto" w:fill="E0E7ED"/>
          </w:tcPr>
          <w:p>
            <w:pPr>
              <w:spacing w:after="0"/>
              <w:rPr>
                <w:sz w:val="23"/>
                <w:szCs w:val="23"/>
                <w:color w:val="auto"/>
              </w:rPr>
            </w:pPr>
          </w:p>
        </w:tc>
        <w:tc>
          <w:tcPr>
            <w:tcW w:w="9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2,364</w:t>
            </w:r>
          </w:p>
        </w:tc>
        <w:tc>
          <w:tcPr>
            <w:tcW w:w="80" w:type="dxa"/>
            <w:vAlign w:val="bottom"/>
            <w:shd w:val="clear" w:color="auto" w:fill="E0E7ED"/>
          </w:tcPr>
          <w:p>
            <w:pPr>
              <w:spacing w:after="0"/>
              <w:rPr>
                <w:sz w:val="23"/>
                <w:szCs w:val="23"/>
                <w:color w:val="auto"/>
              </w:rPr>
            </w:pPr>
          </w:p>
        </w:tc>
        <w:tc>
          <w:tcPr>
            <w:tcW w:w="160" w:type="dxa"/>
            <w:vAlign w:val="bottom"/>
            <w:tcBorders>
              <w:bottom w:val="single" w:sz="8" w:color="auto"/>
            </w:tcBorders>
            <w:shd w:val="clear" w:color="auto" w:fill="E0E7ED"/>
          </w:tcPr>
          <w:p>
            <w:pPr>
              <w:spacing w:after="0"/>
              <w:rPr>
                <w:sz w:val="23"/>
                <w:szCs w:val="23"/>
                <w:color w:val="auto"/>
              </w:rPr>
            </w:pPr>
          </w:p>
        </w:tc>
        <w:tc>
          <w:tcPr>
            <w:tcW w:w="9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(674)</w:t>
            </w:r>
          </w:p>
        </w:tc>
        <w:tc>
          <w:tcPr>
            <w:tcW w:w="80" w:type="dxa"/>
            <w:vAlign w:val="bottom"/>
            <w:shd w:val="clear" w:color="auto" w:fill="E0E7ED"/>
          </w:tcPr>
          <w:p>
            <w:pPr>
              <w:spacing w:after="0"/>
              <w:rPr>
                <w:sz w:val="23"/>
                <w:szCs w:val="23"/>
                <w:color w:val="auto"/>
              </w:rPr>
            </w:pPr>
          </w:p>
        </w:tc>
        <w:tc>
          <w:tcPr>
            <w:tcW w:w="160" w:type="dxa"/>
            <w:vAlign w:val="bottom"/>
            <w:tcBorders>
              <w:bottom w:val="single" w:sz="8" w:color="auto"/>
            </w:tcBorders>
            <w:shd w:val="clear" w:color="auto" w:fill="E0E7ED"/>
          </w:tcPr>
          <w:p>
            <w:pPr>
              <w:spacing w:after="0"/>
              <w:rPr>
                <w:sz w:val="23"/>
                <w:szCs w:val="23"/>
                <w:color w:val="auto"/>
              </w:rPr>
            </w:pPr>
          </w:p>
        </w:tc>
        <w:tc>
          <w:tcPr>
            <w:tcW w:w="9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1,690</w:t>
            </w:r>
          </w:p>
        </w:tc>
        <w:tc>
          <w:tcPr>
            <w:tcW w:w="80" w:type="dxa"/>
            <w:vAlign w:val="bottom"/>
            <w:shd w:val="clear" w:color="auto" w:fill="E0E7ED"/>
          </w:tcPr>
          <w:p>
            <w:pPr>
              <w:spacing w:after="0"/>
              <w:rPr>
                <w:sz w:val="23"/>
                <w:szCs w:val="23"/>
                <w:color w:val="auto"/>
              </w:rPr>
            </w:pPr>
          </w:p>
        </w:tc>
        <w:tc>
          <w:tcPr>
            <w:tcW w:w="160" w:type="dxa"/>
            <w:vAlign w:val="bottom"/>
            <w:tcBorders>
              <w:bottom w:val="single" w:sz="8" w:color="auto"/>
            </w:tcBorders>
            <w:shd w:val="clear" w:color="auto" w:fill="E0E7ED"/>
          </w:tcPr>
          <w:p>
            <w:pPr>
              <w:spacing w:after="0"/>
              <w:rPr>
                <w:sz w:val="23"/>
                <w:szCs w:val="23"/>
                <w:color w:val="auto"/>
              </w:rPr>
            </w:pPr>
          </w:p>
        </w:tc>
        <w:tc>
          <w:tcPr>
            <w:tcW w:w="98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2,290</w:t>
            </w:r>
          </w:p>
        </w:tc>
        <w:tc>
          <w:tcPr>
            <w:tcW w:w="80" w:type="dxa"/>
            <w:vAlign w:val="bottom"/>
            <w:shd w:val="clear" w:color="auto" w:fill="E0E7ED"/>
          </w:tcPr>
          <w:p>
            <w:pPr>
              <w:spacing w:after="0"/>
              <w:rPr>
                <w:sz w:val="23"/>
                <w:szCs w:val="23"/>
                <w:color w:val="auto"/>
              </w:rPr>
            </w:pPr>
          </w:p>
        </w:tc>
        <w:tc>
          <w:tcPr>
            <w:tcW w:w="160" w:type="dxa"/>
            <w:vAlign w:val="bottom"/>
            <w:tcBorders>
              <w:bottom w:val="single" w:sz="8" w:color="auto"/>
            </w:tcBorders>
            <w:shd w:val="clear" w:color="auto" w:fill="E0E7ED"/>
          </w:tcPr>
          <w:p>
            <w:pPr>
              <w:spacing w:after="0"/>
              <w:rPr>
                <w:sz w:val="23"/>
                <w:szCs w:val="23"/>
                <w:color w:val="auto"/>
              </w:rPr>
            </w:pP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(652)</w:t>
            </w:r>
          </w:p>
        </w:tc>
        <w:tc>
          <w:tcPr>
            <w:tcW w:w="80" w:type="dxa"/>
            <w:vAlign w:val="bottom"/>
            <w:shd w:val="clear" w:color="auto" w:fill="E0E7ED"/>
          </w:tcPr>
          <w:p>
            <w:pPr>
              <w:spacing w:after="0"/>
              <w:rPr>
                <w:sz w:val="23"/>
                <w:szCs w:val="23"/>
                <w:color w:val="auto"/>
              </w:rPr>
            </w:pPr>
          </w:p>
        </w:tc>
        <w:tc>
          <w:tcPr>
            <w:tcW w:w="160" w:type="dxa"/>
            <w:vAlign w:val="bottom"/>
            <w:tcBorders>
              <w:bottom w:val="single" w:sz="8" w:color="auto"/>
            </w:tcBorders>
            <w:shd w:val="clear" w:color="auto" w:fill="E0E7ED"/>
          </w:tcPr>
          <w:p>
            <w:pPr>
              <w:spacing w:after="0"/>
              <w:rPr>
                <w:sz w:val="23"/>
                <w:szCs w:val="23"/>
                <w:color w:val="auto"/>
              </w:rPr>
            </w:pPr>
          </w:p>
        </w:tc>
        <w:tc>
          <w:tcPr>
            <w:tcW w:w="96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1,638</w:t>
            </w:r>
          </w:p>
        </w:tc>
      </w:tr>
      <w:tr>
        <w:trPr>
          <w:trHeight w:val="263"/>
        </w:trPr>
        <w:tc>
          <w:tcPr>
            <w:tcW w:w="4160" w:type="dxa"/>
            <w:vAlign w:val="bottom"/>
          </w:tcPr>
          <w:p>
            <w:pPr>
              <w:ind w:left="20"/>
              <w:spacing w:after="0"/>
              <w:rPr>
                <w:sz w:val="20"/>
                <w:szCs w:val="20"/>
                <w:color w:val="auto"/>
              </w:rPr>
            </w:pPr>
            <w:r>
              <w:rPr>
                <w:rFonts w:ascii="Verdana" w:cs="Verdana" w:eastAsia="Verdana" w:hAnsi="Verdana"/>
                <w:sz w:val="18"/>
                <w:szCs w:val="18"/>
                <w:color w:val="auto"/>
              </w:rPr>
              <w:t>Balance at end of period</w:t>
            </w: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(16,065)</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20" w:type="dxa"/>
            <w:vAlign w:val="bottom"/>
          </w:tcPr>
          <w:p>
            <w:pPr>
              <w:jc w:val="right"/>
              <w:spacing w:after="0"/>
              <w:rPr>
                <w:sz w:val="20"/>
                <w:szCs w:val="20"/>
                <w:color w:val="auto"/>
              </w:rPr>
            </w:pPr>
            <w:r>
              <w:rPr>
                <w:rFonts w:ascii="Verdana" w:cs="Verdana" w:eastAsia="Verdana" w:hAnsi="Verdana"/>
                <w:sz w:val="18"/>
                <w:szCs w:val="18"/>
                <w:color w:val="auto"/>
              </w:rPr>
              <w:t>4,578</w:t>
            </w:r>
          </w:p>
        </w:tc>
        <w:tc>
          <w:tcPr>
            <w:tcW w:w="240" w:type="dxa"/>
            <w:vAlign w:val="bottom"/>
            <w:gridSpan w:val="2"/>
          </w:tcPr>
          <w:p>
            <w:pPr>
              <w:jc w:val="right"/>
              <w:ind w:right="20"/>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(11,487)</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80" w:type="dxa"/>
            <w:vAlign w:val="bottom"/>
          </w:tcPr>
          <w:p>
            <w:pPr>
              <w:jc w:val="right"/>
              <w:spacing w:after="0"/>
              <w:rPr>
                <w:sz w:val="20"/>
                <w:szCs w:val="20"/>
                <w:color w:val="auto"/>
              </w:rPr>
            </w:pPr>
            <w:r>
              <w:rPr>
                <w:rFonts w:ascii="Verdana" w:cs="Verdana" w:eastAsia="Verdana" w:hAnsi="Verdana"/>
                <w:sz w:val="18"/>
                <w:szCs w:val="18"/>
                <w:color w:val="auto"/>
              </w:rPr>
              <w:t>(35,093)</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940" w:type="dxa"/>
            <w:vAlign w:val="bottom"/>
          </w:tcPr>
          <w:p>
            <w:pPr>
              <w:jc w:val="right"/>
              <w:ind w:right="15"/>
              <w:spacing w:after="0"/>
              <w:rPr>
                <w:sz w:val="20"/>
                <w:szCs w:val="20"/>
                <w:color w:val="auto"/>
              </w:rPr>
            </w:pPr>
            <w:r>
              <w:rPr>
                <w:rFonts w:ascii="Verdana" w:cs="Verdana" w:eastAsia="Verdana" w:hAnsi="Verdana"/>
                <w:sz w:val="18"/>
                <w:szCs w:val="18"/>
                <w:color w:val="auto"/>
              </w:rPr>
              <w:t>10,001</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(25,092)</w:t>
            </w:r>
          </w:p>
        </w:tc>
      </w:tr>
      <w:tr>
        <w:trPr>
          <w:trHeight w:val="257"/>
        </w:trPr>
        <w:tc>
          <w:tcPr>
            <w:tcW w:w="416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9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9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9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98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94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960" w:type="dxa"/>
            <w:vAlign w:val="bottom"/>
            <w:tcBorders>
              <w:top w:val="single" w:sz="8" w:color="auto"/>
            </w:tcBorders>
            <w:shd w:val="clear" w:color="auto" w:fill="E0E7ED"/>
          </w:tcPr>
          <w:p>
            <w:pPr>
              <w:spacing w:after="0"/>
              <w:rPr>
                <w:sz w:val="22"/>
                <w:szCs w:val="22"/>
                <w:color w:val="auto"/>
              </w:rPr>
            </w:pPr>
          </w:p>
        </w:tc>
      </w:tr>
      <w:tr>
        <w:trPr>
          <w:trHeight w:val="270"/>
        </w:trPr>
        <w:tc>
          <w:tcPr>
            <w:tcW w:w="4160" w:type="dxa"/>
            <w:vAlign w:val="bottom"/>
          </w:tcPr>
          <w:p>
            <w:pPr>
              <w:ind w:left="20"/>
              <w:spacing w:after="0"/>
              <w:rPr>
                <w:sz w:val="20"/>
                <w:szCs w:val="20"/>
                <w:color w:val="auto"/>
              </w:rPr>
            </w:pPr>
            <w:r>
              <w:rPr>
                <w:rFonts w:ascii="Verdana" w:cs="Verdana" w:eastAsia="Verdana" w:hAnsi="Verdana"/>
                <w:sz w:val="18"/>
                <w:szCs w:val="18"/>
                <w:color w:val="auto"/>
              </w:rPr>
              <w:t>Total AOCI</w:t>
            </w: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(239,054)</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20" w:type="dxa"/>
            <w:vAlign w:val="bottom"/>
          </w:tcPr>
          <w:p>
            <w:pPr>
              <w:jc w:val="right"/>
              <w:spacing w:after="0"/>
              <w:rPr>
                <w:sz w:val="20"/>
                <w:szCs w:val="20"/>
                <w:color w:val="auto"/>
              </w:rPr>
            </w:pPr>
            <w:r>
              <w:rPr>
                <w:rFonts w:ascii="Verdana" w:cs="Verdana" w:eastAsia="Verdana" w:hAnsi="Verdana"/>
                <w:sz w:val="18"/>
                <w:szCs w:val="18"/>
                <w:color w:val="auto"/>
              </w:rPr>
              <w:t>68,141</w:t>
            </w:r>
          </w:p>
        </w:tc>
        <w:tc>
          <w:tcPr>
            <w:tcW w:w="240" w:type="dxa"/>
            <w:vAlign w:val="bottom"/>
            <w:gridSpan w:val="2"/>
          </w:tcPr>
          <w:p>
            <w:pPr>
              <w:jc w:val="right"/>
              <w:ind w:right="20"/>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(170,913)</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80" w:type="dxa"/>
            <w:vAlign w:val="bottom"/>
          </w:tcPr>
          <w:p>
            <w:pPr>
              <w:jc w:val="right"/>
              <w:spacing w:after="0"/>
              <w:rPr>
                <w:sz w:val="20"/>
                <w:szCs w:val="20"/>
                <w:color w:val="auto"/>
              </w:rPr>
            </w:pPr>
            <w:r>
              <w:rPr>
                <w:rFonts w:ascii="Verdana" w:cs="Verdana" w:eastAsia="Verdana" w:hAnsi="Verdana"/>
                <w:sz w:val="18"/>
                <w:szCs w:val="18"/>
                <w:color w:val="auto"/>
              </w:rPr>
              <w:t>(406,639)</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940" w:type="dxa"/>
            <w:vAlign w:val="bottom"/>
          </w:tcPr>
          <w:p>
            <w:pPr>
              <w:jc w:val="right"/>
              <w:ind w:right="15"/>
              <w:spacing w:after="0"/>
              <w:rPr>
                <w:sz w:val="20"/>
                <w:szCs w:val="20"/>
                <w:color w:val="auto"/>
              </w:rPr>
            </w:pPr>
            <w:r>
              <w:rPr>
                <w:rFonts w:ascii="Verdana" w:cs="Verdana" w:eastAsia="Verdana" w:hAnsi="Verdana"/>
                <w:sz w:val="18"/>
                <w:szCs w:val="18"/>
                <w:color w:val="auto"/>
              </w:rPr>
              <w:t>115,909</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(290,730)</w:t>
            </w:r>
          </w:p>
        </w:tc>
      </w:tr>
      <w:tr>
        <w:trPr>
          <w:trHeight w:val="20"/>
        </w:trPr>
        <w:tc>
          <w:tcPr>
            <w:tcW w:w="4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65" w:name="page66"/>
    <w:bookmarkEnd w:id="65"/>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7"/>
          </w:tcPr>
          <w:p>
            <w:pPr>
              <w:ind w:left="40"/>
              <w:spacing w:after="0"/>
              <w:rPr>
                <w:sz w:val="20"/>
                <w:szCs w:val="20"/>
                <w:color w:val="auto"/>
              </w:rPr>
            </w:pPr>
            <w:r>
              <w:rPr>
                <w:rFonts w:ascii="Verdana" w:cs="Verdana" w:eastAsia="Verdana" w:hAnsi="Verdana"/>
                <w:sz w:val="13"/>
                <w:szCs w:val="13"/>
                <w:b w:val="1"/>
                <w:bCs w:val="1"/>
                <w:color w:val="auto"/>
                <w:w w:val="96"/>
              </w:rPr>
              <w:t>Nine Months Ended September 30,</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70"/>
        </w:trPr>
        <w:tc>
          <w:tcPr>
            <w:tcW w:w="4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5"/>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5"/>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69"/>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Verdana" w:cs="Verdana" w:eastAsia="Verdana" w:hAnsi="Verdana"/>
                <w:sz w:val="13"/>
                <w:szCs w:val="13"/>
                <w:b w:val="1"/>
                <w:bCs w:val="1"/>
                <w:color w:val="auto"/>
              </w:rPr>
              <w:t>Before Tax</w:t>
            </w:r>
          </w:p>
        </w:tc>
        <w:tc>
          <w:tcPr>
            <w:tcW w:w="160" w:type="dxa"/>
            <w:vAlign w:val="bottom"/>
          </w:tcPr>
          <w:p>
            <w:pPr>
              <w:spacing w:after="0"/>
              <w:rPr>
                <w:sz w:val="14"/>
                <w:szCs w:val="14"/>
                <w:color w:val="auto"/>
              </w:rPr>
            </w:pPr>
          </w:p>
        </w:tc>
        <w:tc>
          <w:tcPr>
            <w:tcW w:w="920" w:type="dxa"/>
            <w:vAlign w:val="bottom"/>
          </w:tcPr>
          <w:p>
            <w:pPr>
              <w:jc w:val="right"/>
              <w:ind w:right="95"/>
              <w:spacing w:after="0"/>
              <w:rPr>
                <w:sz w:val="20"/>
                <w:szCs w:val="20"/>
                <w:color w:val="auto"/>
              </w:rPr>
            </w:pPr>
            <w:r>
              <w:rPr>
                <w:rFonts w:ascii="Verdana" w:cs="Verdana" w:eastAsia="Verdana" w:hAnsi="Verdana"/>
                <w:sz w:val="13"/>
                <w:szCs w:val="13"/>
                <w:b w:val="1"/>
                <w:bCs w:val="1"/>
                <w:color w:val="auto"/>
                <w:w w:val="98"/>
              </w:rPr>
              <w:t>Tax Effect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92"/>
              <w:spacing w:after="0"/>
              <w:rPr>
                <w:sz w:val="20"/>
                <w:szCs w:val="20"/>
                <w:color w:val="auto"/>
              </w:rPr>
            </w:pPr>
            <w:r>
              <w:rPr>
                <w:rFonts w:ascii="Verdana" w:cs="Verdana" w:eastAsia="Verdana" w:hAnsi="Verdana"/>
                <w:sz w:val="13"/>
                <w:szCs w:val="13"/>
                <w:b w:val="1"/>
                <w:bCs w:val="1"/>
                <w:color w:val="auto"/>
              </w:rPr>
              <w:t>Net of Tax</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Verdana" w:cs="Verdana" w:eastAsia="Verdana" w:hAnsi="Verdana"/>
                <w:sz w:val="13"/>
                <w:szCs w:val="13"/>
                <w:b w:val="1"/>
                <w:bCs w:val="1"/>
                <w:color w:val="auto"/>
              </w:rPr>
              <w:t>Before Tax</w:t>
            </w:r>
          </w:p>
        </w:tc>
        <w:tc>
          <w:tcPr>
            <w:tcW w:w="16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Verdana" w:cs="Verdana" w:eastAsia="Verdana" w:hAnsi="Verdana"/>
                <w:sz w:val="13"/>
                <w:szCs w:val="13"/>
                <w:b w:val="1"/>
                <w:bCs w:val="1"/>
                <w:color w:val="auto"/>
              </w:rPr>
              <w:t>Tax Effect</w:t>
            </w:r>
          </w:p>
        </w:tc>
        <w:tc>
          <w:tcPr>
            <w:tcW w:w="160" w:type="dxa"/>
            <w:vAlign w:val="bottom"/>
          </w:tcPr>
          <w:p>
            <w:pPr>
              <w:spacing w:after="0"/>
              <w:rPr>
                <w:sz w:val="14"/>
                <w:szCs w:val="14"/>
                <w:color w:val="auto"/>
              </w:rPr>
            </w:pPr>
          </w:p>
        </w:tc>
        <w:tc>
          <w:tcPr>
            <w:tcW w:w="960" w:type="dxa"/>
            <w:vAlign w:val="bottom"/>
          </w:tcPr>
          <w:p>
            <w:pPr>
              <w:jc w:val="right"/>
              <w:ind w:right="112"/>
              <w:spacing w:after="0"/>
              <w:rPr>
                <w:sz w:val="20"/>
                <w:szCs w:val="20"/>
                <w:color w:val="auto"/>
              </w:rPr>
            </w:pPr>
            <w:r>
              <w:rPr>
                <w:rFonts w:ascii="Verdana" w:cs="Verdana" w:eastAsia="Verdana" w:hAnsi="Verdana"/>
                <w:sz w:val="13"/>
                <w:szCs w:val="13"/>
                <w:b w:val="1"/>
                <w:bCs w:val="1"/>
                <w:color w:val="auto"/>
                <w:w w:val="98"/>
              </w:rPr>
              <w:t>Net of Tax</w:t>
            </w:r>
          </w:p>
        </w:tc>
      </w:tr>
      <w:tr>
        <w:trPr>
          <w:trHeight w:val="223"/>
        </w:trPr>
        <w:tc>
          <w:tcPr>
            <w:tcW w:w="41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Unrealized/Unrecognized gains (losses)</w:t>
            </w:r>
          </w:p>
        </w:tc>
        <w:tc>
          <w:tcPr>
            <w:tcW w:w="160" w:type="dxa"/>
            <w:vAlign w:val="bottom"/>
            <w:tcBorders>
              <w:top w:val="single" w:sz="8" w:color="auto"/>
            </w:tcBorders>
            <w:shd w:val="clear" w:color="auto" w:fill="E0E7ED"/>
          </w:tcPr>
          <w:p>
            <w:pPr>
              <w:spacing w:after="0"/>
              <w:rPr>
                <w:sz w:val="19"/>
                <w:szCs w:val="19"/>
                <w:color w:val="auto"/>
              </w:rPr>
            </w:pPr>
          </w:p>
        </w:tc>
        <w:tc>
          <w:tcPr>
            <w:tcW w:w="96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160" w:type="dxa"/>
            <w:vAlign w:val="bottom"/>
            <w:tcBorders>
              <w:top w:val="single" w:sz="8" w:color="auto"/>
            </w:tcBorders>
            <w:shd w:val="clear" w:color="auto" w:fill="E0E7ED"/>
          </w:tcPr>
          <w:p>
            <w:pPr>
              <w:spacing w:after="0"/>
              <w:rPr>
                <w:sz w:val="19"/>
                <w:szCs w:val="19"/>
                <w:color w:val="auto"/>
              </w:rPr>
            </w:pPr>
          </w:p>
        </w:tc>
        <w:tc>
          <w:tcPr>
            <w:tcW w:w="92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160" w:type="dxa"/>
            <w:vAlign w:val="bottom"/>
            <w:tcBorders>
              <w:top w:val="single" w:sz="8" w:color="auto"/>
            </w:tcBorders>
            <w:shd w:val="clear" w:color="auto" w:fill="E0E7ED"/>
          </w:tcPr>
          <w:p>
            <w:pPr>
              <w:spacing w:after="0"/>
              <w:rPr>
                <w:sz w:val="19"/>
                <w:szCs w:val="19"/>
                <w:color w:val="auto"/>
              </w:rPr>
            </w:pPr>
          </w:p>
        </w:tc>
        <w:tc>
          <w:tcPr>
            <w:tcW w:w="96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160" w:type="dxa"/>
            <w:vAlign w:val="bottom"/>
            <w:tcBorders>
              <w:top w:val="single" w:sz="8" w:color="auto"/>
            </w:tcBorders>
            <w:shd w:val="clear" w:color="auto" w:fill="E0E7ED"/>
          </w:tcPr>
          <w:p>
            <w:pPr>
              <w:spacing w:after="0"/>
              <w:rPr>
                <w:sz w:val="19"/>
                <w:szCs w:val="19"/>
                <w:color w:val="auto"/>
              </w:rPr>
            </w:pPr>
          </w:p>
        </w:tc>
        <w:tc>
          <w:tcPr>
            <w:tcW w:w="98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160" w:type="dxa"/>
            <w:vAlign w:val="bottom"/>
            <w:tcBorders>
              <w:top w:val="single" w:sz="8" w:color="auto"/>
            </w:tcBorders>
            <w:shd w:val="clear" w:color="auto" w:fill="E0E7ED"/>
          </w:tcPr>
          <w:p>
            <w:pPr>
              <w:spacing w:after="0"/>
              <w:rPr>
                <w:sz w:val="19"/>
                <w:szCs w:val="19"/>
                <w:color w:val="auto"/>
              </w:rPr>
            </w:pPr>
          </w:p>
        </w:tc>
        <w:tc>
          <w:tcPr>
            <w:tcW w:w="94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160" w:type="dxa"/>
            <w:vAlign w:val="bottom"/>
            <w:tcBorders>
              <w:top w:val="single" w:sz="8" w:color="auto"/>
            </w:tcBorders>
            <w:shd w:val="clear" w:color="auto" w:fill="E0E7ED"/>
          </w:tcPr>
          <w:p>
            <w:pPr>
              <w:spacing w:after="0"/>
              <w:rPr>
                <w:sz w:val="19"/>
                <w:szCs w:val="19"/>
                <w:color w:val="auto"/>
              </w:rPr>
            </w:pPr>
          </w:p>
        </w:tc>
        <w:tc>
          <w:tcPr>
            <w:tcW w:w="960" w:type="dxa"/>
            <w:vAlign w:val="bottom"/>
            <w:tcBorders>
              <w:top w:val="single" w:sz="8" w:color="auto"/>
            </w:tcBorders>
            <w:shd w:val="clear" w:color="auto" w:fill="E0E7ED"/>
          </w:tcPr>
          <w:p>
            <w:pPr>
              <w:spacing w:after="0"/>
              <w:rPr>
                <w:sz w:val="19"/>
                <w:szCs w:val="19"/>
                <w:color w:val="auto"/>
              </w:rPr>
            </w:pPr>
          </w:p>
        </w:tc>
      </w:tr>
      <w:tr>
        <w:trPr>
          <w:trHeight w:val="248"/>
        </w:trPr>
        <w:tc>
          <w:tcPr>
            <w:tcW w:w="41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on debt securities</w:t>
            </w: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r>
      <w:tr>
        <w:trPr>
          <w:trHeight w:val="263"/>
        </w:trPr>
        <w:tc>
          <w:tcPr>
            <w:tcW w:w="4160" w:type="dxa"/>
            <w:vAlign w:val="bottom"/>
          </w:tcPr>
          <w:p>
            <w:pPr>
              <w:ind w:left="20"/>
              <w:spacing w:after="0"/>
              <w:rPr>
                <w:sz w:val="20"/>
                <w:szCs w:val="20"/>
                <w:color w:val="auto"/>
              </w:rPr>
            </w:pPr>
            <w:r>
              <w:rPr>
                <w:rFonts w:ascii="Verdana" w:cs="Verdana" w:eastAsia="Verdana" w:hAnsi="Verdana"/>
                <w:sz w:val="18"/>
                <w:szCs w:val="18"/>
                <w:color w:val="auto"/>
              </w:rPr>
              <w:t>Balance at beginning of period</w:t>
            </w: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(282,688)</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20" w:type="dxa"/>
            <w:vAlign w:val="bottom"/>
          </w:tcPr>
          <w:p>
            <w:pPr>
              <w:jc w:val="right"/>
              <w:spacing w:after="0"/>
              <w:rPr>
                <w:sz w:val="20"/>
                <w:szCs w:val="20"/>
                <w:color w:val="auto"/>
              </w:rPr>
            </w:pPr>
            <w:r>
              <w:rPr>
                <w:rFonts w:ascii="Verdana" w:cs="Verdana" w:eastAsia="Verdana" w:hAnsi="Verdana"/>
                <w:sz w:val="18"/>
                <w:szCs w:val="18"/>
                <w:color w:val="auto"/>
              </w:rPr>
              <w:t>80,579</w:t>
            </w:r>
          </w:p>
        </w:tc>
        <w:tc>
          <w:tcPr>
            <w:tcW w:w="240" w:type="dxa"/>
            <w:vAlign w:val="bottom"/>
            <w:gridSpan w:val="2"/>
          </w:tcPr>
          <w:p>
            <w:pPr>
              <w:jc w:val="right"/>
              <w:ind w:right="20"/>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(202,109)</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80" w:type="dxa"/>
            <w:vAlign w:val="bottom"/>
          </w:tcPr>
          <w:p>
            <w:pPr>
              <w:jc w:val="right"/>
              <w:spacing w:after="0"/>
              <w:rPr>
                <w:sz w:val="20"/>
                <w:szCs w:val="20"/>
                <w:color w:val="auto"/>
              </w:rPr>
            </w:pPr>
            <w:r>
              <w:rPr>
                <w:rFonts w:ascii="Verdana" w:cs="Verdana" w:eastAsia="Verdana" w:hAnsi="Verdana"/>
                <w:sz w:val="18"/>
                <w:szCs w:val="18"/>
                <w:color w:val="auto"/>
              </w:rPr>
              <w:t>(352,878)</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940" w:type="dxa"/>
            <w:vAlign w:val="bottom"/>
          </w:tcPr>
          <w:p>
            <w:pPr>
              <w:jc w:val="right"/>
              <w:ind w:right="15"/>
              <w:spacing w:after="0"/>
              <w:rPr>
                <w:sz w:val="20"/>
                <w:szCs w:val="20"/>
                <w:color w:val="auto"/>
              </w:rPr>
            </w:pPr>
            <w:r>
              <w:rPr>
                <w:rFonts w:ascii="Verdana" w:cs="Verdana" w:eastAsia="Verdana" w:hAnsi="Verdana"/>
                <w:sz w:val="18"/>
                <w:szCs w:val="18"/>
                <w:color w:val="auto"/>
              </w:rPr>
              <w:t>100,585</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(252,293)</w:t>
            </w:r>
          </w:p>
        </w:tc>
      </w:tr>
      <w:tr>
        <w:trPr>
          <w:trHeight w:val="244"/>
        </w:trPr>
        <w:tc>
          <w:tcPr>
            <w:tcW w:w="41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Unrealized holding gains (losses) on debt</w:t>
            </w: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r>
      <w:tr>
        <w:trPr>
          <w:trHeight w:val="248"/>
        </w:trPr>
        <w:tc>
          <w:tcPr>
            <w:tcW w:w="41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securities available for sale, net</w:t>
            </w: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48,688</w:t>
            </w: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(13,878)</w:t>
            </w: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34,810</w:t>
            </w: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(23,600)</w:t>
            </w: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6,728</w:t>
            </w: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(16,872)</w:t>
            </w:r>
          </w:p>
        </w:tc>
      </w:tr>
      <w:tr>
        <w:trPr>
          <w:trHeight w:val="263"/>
        </w:trPr>
        <w:tc>
          <w:tcPr>
            <w:tcW w:w="4160" w:type="dxa"/>
            <w:vAlign w:val="bottom"/>
          </w:tcPr>
          <w:p>
            <w:pPr>
              <w:ind w:left="180"/>
              <w:spacing w:after="0"/>
              <w:rPr>
                <w:sz w:val="20"/>
                <w:szCs w:val="20"/>
                <w:color w:val="auto"/>
              </w:rPr>
            </w:pPr>
            <w:r>
              <w:rPr>
                <w:rFonts w:ascii="Verdana" w:cs="Verdana" w:eastAsia="Verdana" w:hAnsi="Verdana"/>
                <w:sz w:val="18"/>
                <w:szCs w:val="18"/>
                <w:color w:val="auto"/>
              </w:rPr>
              <w:t>Amounts reclassified from AOCI, net</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Verdana" w:cs="Verdana" w:eastAsia="Verdana" w:hAnsi="Verdana"/>
                <w:sz w:val="18"/>
                <w:szCs w:val="18"/>
                <w:color w:val="auto"/>
              </w:rPr>
              <w:t>6,817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Verdana" w:cs="Verdana" w:eastAsia="Verdana" w:hAnsi="Verdana"/>
                <w:sz w:val="18"/>
                <w:szCs w:val="18"/>
                <w:color w:val="auto"/>
              </w:rPr>
              <w:t>(1,943)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Verdana" w:cs="Verdana" w:eastAsia="Verdana" w:hAnsi="Verdana"/>
                <w:sz w:val="18"/>
                <w:szCs w:val="18"/>
                <w:color w:val="auto"/>
              </w:rPr>
              <w:t>4,874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Verdana" w:cs="Verdana" w:eastAsia="Verdana" w:hAnsi="Verdana"/>
                <w:sz w:val="18"/>
                <w:szCs w:val="18"/>
                <w:color w:val="auto"/>
              </w:rPr>
              <w:t>207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Verdana" w:cs="Verdana" w:eastAsia="Verdana" w:hAnsi="Verdana"/>
                <w:sz w:val="18"/>
                <w:szCs w:val="18"/>
                <w:color w:val="auto"/>
              </w:rPr>
              <w:t>(59)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Verdana" w:cs="Verdana" w:eastAsia="Verdana" w:hAnsi="Verdana"/>
                <w:sz w:val="18"/>
                <w:szCs w:val="18"/>
                <w:color w:val="auto"/>
              </w:rPr>
              <w:t>148</w:t>
            </w:r>
          </w:p>
        </w:tc>
      </w:tr>
      <w:tr>
        <w:trPr>
          <w:trHeight w:val="244"/>
        </w:trPr>
        <w:tc>
          <w:tcPr>
            <w:tcW w:w="41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Amortization of unrecognized losses on</w:t>
            </w: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r>
      <w:tr>
        <w:trPr>
          <w:trHeight w:val="242"/>
        </w:trPr>
        <w:tc>
          <w:tcPr>
            <w:tcW w:w="41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securities transferred to held to maturity</w:t>
            </w:r>
          </w:p>
        </w:tc>
        <w:tc>
          <w:tcPr>
            <w:tcW w:w="160" w:type="dxa"/>
            <w:vAlign w:val="bottom"/>
            <w:tcBorders>
              <w:bottom w:val="single" w:sz="8" w:color="auto"/>
            </w:tcBorders>
            <w:shd w:val="clear" w:color="auto" w:fill="E0E7ED"/>
          </w:tcPr>
          <w:p>
            <w:pPr>
              <w:spacing w:after="0"/>
              <w:rPr>
                <w:sz w:val="21"/>
                <w:szCs w:val="21"/>
                <w:color w:val="auto"/>
              </w:rPr>
            </w:pPr>
          </w:p>
        </w:tc>
        <w:tc>
          <w:tcPr>
            <w:tcW w:w="9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4,194</w:t>
            </w:r>
          </w:p>
        </w:tc>
        <w:tc>
          <w:tcPr>
            <w:tcW w:w="80" w:type="dxa"/>
            <w:vAlign w:val="bottom"/>
            <w:shd w:val="clear" w:color="auto" w:fill="E0E7ED"/>
          </w:tcPr>
          <w:p>
            <w:pPr>
              <w:spacing w:after="0"/>
              <w:rPr>
                <w:sz w:val="21"/>
                <w:szCs w:val="21"/>
                <w:color w:val="auto"/>
              </w:rPr>
            </w:pPr>
          </w:p>
        </w:tc>
        <w:tc>
          <w:tcPr>
            <w:tcW w:w="160" w:type="dxa"/>
            <w:vAlign w:val="bottom"/>
            <w:tcBorders>
              <w:bottom w:val="single" w:sz="8" w:color="auto"/>
            </w:tcBorders>
            <w:shd w:val="clear" w:color="auto" w:fill="E0E7ED"/>
          </w:tcPr>
          <w:p>
            <w:pPr>
              <w:spacing w:after="0"/>
              <w:rPr>
                <w:sz w:val="21"/>
                <w:szCs w:val="21"/>
                <w:color w:val="auto"/>
              </w:rPr>
            </w:pPr>
          </w:p>
        </w:tc>
        <w:tc>
          <w:tcPr>
            <w:tcW w:w="9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(1,195)</w:t>
            </w:r>
          </w:p>
        </w:tc>
        <w:tc>
          <w:tcPr>
            <w:tcW w:w="80" w:type="dxa"/>
            <w:vAlign w:val="bottom"/>
            <w:shd w:val="clear" w:color="auto" w:fill="E0E7ED"/>
          </w:tcPr>
          <w:p>
            <w:pPr>
              <w:spacing w:after="0"/>
              <w:rPr>
                <w:sz w:val="21"/>
                <w:szCs w:val="21"/>
                <w:color w:val="auto"/>
              </w:rPr>
            </w:pPr>
          </w:p>
        </w:tc>
        <w:tc>
          <w:tcPr>
            <w:tcW w:w="160" w:type="dxa"/>
            <w:vAlign w:val="bottom"/>
            <w:tcBorders>
              <w:bottom w:val="single" w:sz="8" w:color="auto"/>
            </w:tcBorders>
            <w:shd w:val="clear" w:color="auto" w:fill="E0E7ED"/>
          </w:tcPr>
          <w:p>
            <w:pPr>
              <w:spacing w:after="0"/>
              <w:rPr>
                <w:sz w:val="21"/>
                <w:szCs w:val="21"/>
                <w:color w:val="auto"/>
              </w:rPr>
            </w:pPr>
          </w:p>
        </w:tc>
        <w:tc>
          <w:tcPr>
            <w:tcW w:w="9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2,999</w:t>
            </w:r>
          </w:p>
        </w:tc>
        <w:tc>
          <w:tcPr>
            <w:tcW w:w="80" w:type="dxa"/>
            <w:vAlign w:val="bottom"/>
            <w:shd w:val="clear" w:color="auto" w:fill="E0E7ED"/>
          </w:tcPr>
          <w:p>
            <w:pPr>
              <w:spacing w:after="0"/>
              <w:rPr>
                <w:sz w:val="21"/>
                <w:szCs w:val="21"/>
                <w:color w:val="auto"/>
              </w:rPr>
            </w:pPr>
          </w:p>
        </w:tc>
        <w:tc>
          <w:tcPr>
            <w:tcW w:w="160" w:type="dxa"/>
            <w:vAlign w:val="bottom"/>
            <w:tcBorders>
              <w:bottom w:val="single" w:sz="8" w:color="auto"/>
            </w:tcBorders>
            <w:shd w:val="clear" w:color="auto" w:fill="E0E7ED"/>
          </w:tcPr>
          <w:p>
            <w:pPr>
              <w:spacing w:after="0"/>
              <w:rPr>
                <w:sz w:val="21"/>
                <w:szCs w:val="21"/>
                <w:color w:val="auto"/>
              </w:rPr>
            </w:pPr>
          </w:p>
        </w:tc>
        <w:tc>
          <w:tcPr>
            <w:tcW w:w="98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4,725</w:t>
            </w:r>
          </w:p>
        </w:tc>
        <w:tc>
          <w:tcPr>
            <w:tcW w:w="80" w:type="dxa"/>
            <w:vAlign w:val="bottom"/>
            <w:shd w:val="clear" w:color="auto" w:fill="E0E7ED"/>
          </w:tcPr>
          <w:p>
            <w:pPr>
              <w:spacing w:after="0"/>
              <w:rPr>
                <w:sz w:val="21"/>
                <w:szCs w:val="21"/>
                <w:color w:val="auto"/>
              </w:rPr>
            </w:pPr>
          </w:p>
        </w:tc>
        <w:tc>
          <w:tcPr>
            <w:tcW w:w="160" w:type="dxa"/>
            <w:vAlign w:val="bottom"/>
            <w:tcBorders>
              <w:bottom w:val="single" w:sz="8" w:color="auto"/>
            </w:tcBorders>
            <w:shd w:val="clear" w:color="auto" w:fill="E0E7ED"/>
          </w:tcPr>
          <w:p>
            <w:pPr>
              <w:spacing w:after="0"/>
              <w:rPr>
                <w:sz w:val="21"/>
                <w:szCs w:val="21"/>
                <w:color w:val="auto"/>
              </w:rPr>
            </w:pP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(1,346)</w:t>
            </w:r>
          </w:p>
        </w:tc>
        <w:tc>
          <w:tcPr>
            <w:tcW w:w="80" w:type="dxa"/>
            <w:vAlign w:val="bottom"/>
            <w:shd w:val="clear" w:color="auto" w:fill="E0E7ED"/>
          </w:tcPr>
          <w:p>
            <w:pPr>
              <w:spacing w:after="0"/>
              <w:rPr>
                <w:sz w:val="21"/>
                <w:szCs w:val="21"/>
                <w:color w:val="auto"/>
              </w:rPr>
            </w:pPr>
          </w:p>
        </w:tc>
        <w:tc>
          <w:tcPr>
            <w:tcW w:w="160" w:type="dxa"/>
            <w:vAlign w:val="bottom"/>
            <w:tcBorders>
              <w:bottom w:val="single" w:sz="8" w:color="auto"/>
            </w:tcBorders>
            <w:shd w:val="clear" w:color="auto" w:fill="E0E7ED"/>
          </w:tcPr>
          <w:p>
            <w:pPr>
              <w:spacing w:after="0"/>
              <w:rPr>
                <w:sz w:val="21"/>
                <w:szCs w:val="21"/>
                <w:color w:val="auto"/>
              </w:rPr>
            </w:pPr>
          </w:p>
        </w:tc>
        <w:tc>
          <w:tcPr>
            <w:tcW w:w="96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3,379</w:t>
            </w:r>
          </w:p>
        </w:tc>
      </w:tr>
      <w:tr>
        <w:trPr>
          <w:trHeight w:val="270"/>
        </w:trPr>
        <w:tc>
          <w:tcPr>
            <w:tcW w:w="4160" w:type="dxa"/>
            <w:vAlign w:val="bottom"/>
          </w:tcPr>
          <w:p>
            <w:pPr>
              <w:ind w:left="20"/>
              <w:spacing w:after="0"/>
              <w:rPr>
                <w:sz w:val="20"/>
                <w:szCs w:val="20"/>
                <w:color w:val="auto"/>
              </w:rPr>
            </w:pPr>
            <w:r>
              <w:rPr>
                <w:rFonts w:ascii="Verdana" w:cs="Verdana" w:eastAsia="Verdana" w:hAnsi="Verdana"/>
                <w:sz w:val="18"/>
                <w:szCs w:val="18"/>
                <w:color w:val="auto"/>
              </w:rPr>
              <w:t>Balance at end of period</w:t>
            </w: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(222,989)</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20" w:type="dxa"/>
            <w:vAlign w:val="bottom"/>
          </w:tcPr>
          <w:p>
            <w:pPr>
              <w:jc w:val="right"/>
              <w:spacing w:after="0"/>
              <w:rPr>
                <w:sz w:val="20"/>
                <w:szCs w:val="20"/>
                <w:color w:val="auto"/>
              </w:rPr>
            </w:pPr>
            <w:r>
              <w:rPr>
                <w:rFonts w:ascii="Verdana" w:cs="Verdana" w:eastAsia="Verdana" w:hAnsi="Verdana"/>
                <w:sz w:val="18"/>
                <w:szCs w:val="18"/>
                <w:color w:val="auto"/>
              </w:rPr>
              <w:t>63,563</w:t>
            </w:r>
          </w:p>
        </w:tc>
        <w:tc>
          <w:tcPr>
            <w:tcW w:w="240" w:type="dxa"/>
            <w:vAlign w:val="bottom"/>
            <w:gridSpan w:val="2"/>
          </w:tcPr>
          <w:p>
            <w:pPr>
              <w:jc w:val="right"/>
              <w:ind w:right="20"/>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(159,426)</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80" w:type="dxa"/>
            <w:vAlign w:val="bottom"/>
          </w:tcPr>
          <w:p>
            <w:pPr>
              <w:jc w:val="right"/>
              <w:spacing w:after="0"/>
              <w:rPr>
                <w:sz w:val="20"/>
                <w:szCs w:val="20"/>
                <w:color w:val="auto"/>
              </w:rPr>
            </w:pPr>
            <w:r>
              <w:rPr>
                <w:rFonts w:ascii="Verdana" w:cs="Verdana" w:eastAsia="Verdana" w:hAnsi="Verdana"/>
                <w:sz w:val="18"/>
                <w:szCs w:val="18"/>
                <w:color w:val="auto"/>
              </w:rPr>
              <w:t>(371,546)</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940" w:type="dxa"/>
            <w:vAlign w:val="bottom"/>
          </w:tcPr>
          <w:p>
            <w:pPr>
              <w:jc w:val="right"/>
              <w:ind w:right="15"/>
              <w:spacing w:after="0"/>
              <w:rPr>
                <w:sz w:val="20"/>
                <w:szCs w:val="20"/>
                <w:color w:val="auto"/>
              </w:rPr>
            </w:pPr>
            <w:r>
              <w:rPr>
                <w:rFonts w:ascii="Verdana" w:cs="Verdana" w:eastAsia="Verdana" w:hAnsi="Verdana"/>
                <w:sz w:val="18"/>
                <w:szCs w:val="18"/>
                <w:color w:val="auto"/>
              </w:rPr>
              <w:t>105,908</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(265,638)</w:t>
            </w:r>
          </w:p>
        </w:tc>
      </w:tr>
      <w:tr>
        <w:trPr>
          <w:trHeight w:val="20"/>
        </w:trPr>
        <w:tc>
          <w:tcPr>
            <w:tcW w:w="4160" w:type="dxa"/>
            <w:vAlign w:val="bottom"/>
            <w:tcBorders>
              <w:bottom w:val="single" w:sz="8" w:color="E0E7E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4160" w:type="dxa"/>
            <w:vAlign w:val="bottom"/>
            <w:shd w:val="clear" w:color="auto" w:fill="E0E7ED"/>
          </w:tcPr>
          <w:p>
            <w:pPr>
              <w:spacing w:after="0"/>
              <w:rPr>
                <w:sz w:val="20"/>
                <w:szCs w:val="20"/>
                <w:color w:val="auto"/>
              </w:rPr>
            </w:pPr>
          </w:p>
        </w:tc>
        <w:tc>
          <w:tcPr>
            <w:tcW w:w="160" w:type="dxa"/>
            <w:vAlign w:val="bottom"/>
            <w:shd w:val="clear" w:color="auto" w:fill="E0E7ED"/>
          </w:tcPr>
          <w:p>
            <w:pPr>
              <w:spacing w:after="0"/>
              <w:rPr>
                <w:sz w:val="20"/>
                <w:szCs w:val="20"/>
                <w:color w:val="auto"/>
              </w:rPr>
            </w:pPr>
          </w:p>
        </w:tc>
        <w:tc>
          <w:tcPr>
            <w:tcW w:w="96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60" w:type="dxa"/>
            <w:vAlign w:val="bottom"/>
            <w:shd w:val="clear" w:color="auto" w:fill="E0E7ED"/>
          </w:tcPr>
          <w:p>
            <w:pPr>
              <w:spacing w:after="0"/>
              <w:rPr>
                <w:sz w:val="20"/>
                <w:szCs w:val="20"/>
                <w:color w:val="auto"/>
              </w:rPr>
            </w:pPr>
          </w:p>
        </w:tc>
        <w:tc>
          <w:tcPr>
            <w:tcW w:w="92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60" w:type="dxa"/>
            <w:vAlign w:val="bottom"/>
            <w:shd w:val="clear" w:color="auto" w:fill="E0E7ED"/>
          </w:tcPr>
          <w:p>
            <w:pPr>
              <w:spacing w:after="0"/>
              <w:rPr>
                <w:sz w:val="20"/>
                <w:szCs w:val="20"/>
                <w:color w:val="auto"/>
              </w:rPr>
            </w:pPr>
          </w:p>
        </w:tc>
        <w:tc>
          <w:tcPr>
            <w:tcW w:w="96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60" w:type="dxa"/>
            <w:vAlign w:val="bottom"/>
            <w:shd w:val="clear" w:color="auto" w:fill="E0E7ED"/>
          </w:tcPr>
          <w:p>
            <w:pPr>
              <w:spacing w:after="0"/>
              <w:rPr>
                <w:sz w:val="20"/>
                <w:szCs w:val="20"/>
                <w:color w:val="auto"/>
              </w:rPr>
            </w:pPr>
          </w:p>
        </w:tc>
        <w:tc>
          <w:tcPr>
            <w:tcW w:w="98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60" w:type="dxa"/>
            <w:vAlign w:val="bottom"/>
            <w:shd w:val="clear" w:color="auto" w:fill="E0E7ED"/>
          </w:tcPr>
          <w:p>
            <w:pPr>
              <w:spacing w:after="0"/>
              <w:rPr>
                <w:sz w:val="20"/>
                <w:szCs w:val="20"/>
                <w:color w:val="auto"/>
              </w:rPr>
            </w:pPr>
          </w:p>
        </w:tc>
        <w:tc>
          <w:tcPr>
            <w:tcW w:w="94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60" w:type="dxa"/>
            <w:vAlign w:val="bottom"/>
            <w:shd w:val="clear" w:color="auto" w:fill="E0E7ED"/>
          </w:tcPr>
          <w:p>
            <w:pPr>
              <w:spacing w:after="0"/>
              <w:rPr>
                <w:sz w:val="20"/>
                <w:szCs w:val="20"/>
                <w:color w:val="auto"/>
              </w:rPr>
            </w:pPr>
          </w:p>
        </w:tc>
        <w:tc>
          <w:tcPr>
            <w:tcW w:w="960" w:type="dxa"/>
            <w:vAlign w:val="bottom"/>
            <w:shd w:val="clear" w:color="auto" w:fill="E0E7ED"/>
          </w:tcPr>
          <w:p>
            <w:pPr>
              <w:spacing w:after="0"/>
              <w:rPr>
                <w:sz w:val="20"/>
                <w:szCs w:val="20"/>
                <w:color w:val="auto"/>
              </w:rPr>
            </w:pPr>
          </w:p>
        </w:tc>
      </w:tr>
      <w:tr>
        <w:trPr>
          <w:trHeight w:val="238"/>
        </w:trPr>
        <w:tc>
          <w:tcPr>
            <w:tcW w:w="4160" w:type="dxa"/>
            <w:vAlign w:val="bottom"/>
          </w:tcPr>
          <w:p>
            <w:pPr>
              <w:ind w:left="20"/>
              <w:spacing w:after="0"/>
              <w:rPr>
                <w:sz w:val="20"/>
                <w:szCs w:val="20"/>
                <w:color w:val="auto"/>
              </w:rPr>
            </w:pPr>
            <w:r>
              <w:rPr>
                <w:rFonts w:ascii="Verdana" w:cs="Verdana" w:eastAsia="Verdana" w:hAnsi="Verdana"/>
                <w:sz w:val="18"/>
                <w:szCs w:val="18"/>
                <w:b w:val="1"/>
                <w:bCs w:val="1"/>
                <w:color w:val="auto"/>
              </w:rPr>
              <w:t>Unrealized gains (losses) on cash flow</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2"/>
        </w:trPr>
        <w:tc>
          <w:tcPr>
            <w:tcW w:w="4160" w:type="dxa"/>
            <w:vAlign w:val="bottom"/>
          </w:tcPr>
          <w:p>
            <w:pPr>
              <w:ind w:left="20"/>
              <w:spacing w:after="0"/>
              <w:rPr>
                <w:sz w:val="20"/>
                <w:szCs w:val="20"/>
                <w:color w:val="auto"/>
              </w:rPr>
            </w:pPr>
            <w:r>
              <w:rPr>
                <w:rFonts w:ascii="Verdana" w:cs="Verdana" w:eastAsia="Verdana" w:hAnsi="Verdana"/>
                <w:sz w:val="18"/>
                <w:szCs w:val="18"/>
                <w:b w:val="1"/>
                <w:bCs w:val="1"/>
                <w:color w:val="auto"/>
              </w:rPr>
              <w:t>hedges</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7"/>
        </w:trPr>
        <w:tc>
          <w:tcPr>
            <w:tcW w:w="41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Balance at beginning of period</w:t>
            </w:r>
          </w:p>
        </w:tc>
        <w:tc>
          <w:tcPr>
            <w:tcW w:w="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(23,348)</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6,654</w:t>
            </w:r>
          </w:p>
        </w:tc>
        <w:tc>
          <w:tcPr>
            <w:tcW w:w="240" w:type="dxa"/>
            <w:vAlign w:val="bottom"/>
            <w:gridSpan w:val="2"/>
            <w:shd w:val="clear" w:color="auto" w:fill="E0E7ED"/>
          </w:tcPr>
          <w:p>
            <w:pPr>
              <w:jc w:val="right"/>
              <w:ind w:right="20"/>
              <w:spacing w:after="0"/>
              <w:rPr>
                <w:sz w:val="20"/>
                <w:szCs w:val="20"/>
                <w:color w:val="auto"/>
              </w:rPr>
            </w:pPr>
            <w:r>
              <w:rPr>
                <w:rFonts w:ascii="Verdana" w:cs="Verdana" w:eastAsia="Verdana" w:hAnsi="Verdana"/>
                <w:sz w:val="18"/>
                <w:szCs w:val="18"/>
                <w:color w:val="auto"/>
              </w:rPr>
              <w:t>$</w:t>
            </w: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(16,694)</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(29,350)</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9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8,365</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(20,985)</w:t>
            </w:r>
          </w:p>
        </w:tc>
      </w:tr>
      <w:tr>
        <w:trPr>
          <w:trHeight w:val="238"/>
        </w:trPr>
        <w:tc>
          <w:tcPr>
            <w:tcW w:w="4160" w:type="dxa"/>
            <w:vAlign w:val="bottom"/>
          </w:tcPr>
          <w:p>
            <w:pPr>
              <w:ind w:left="180"/>
              <w:spacing w:after="0"/>
              <w:rPr>
                <w:sz w:val="20"/>
                <w:szCs w:val="20"/>
                <w:color w:val="auto"/>
              </w:rPr>
            </w:pPr>
            <w:r>
              <w:rPr>
                <w:rFonts w:ascii="Verdana" w:cs="Verdana" w:eastAsia="Verdana" w:hAnsi="Verdana"/>
                <w:sz w:val="18"/>
                <w:szCs w:val="18"/>
                <w:color w:val="auto"/>
              </w:rPr>
              <w:t>Unrealized holding gains (losses) on cash</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2"/>
        </w:trPr>
        <w:tc>
          <w:tcPr>
            <w:tcW w:w="4160" w:type="dxa"/>
            <w:vAlign w:val="bottom"/>
          </w:tcPr>
          <w:p>
            <w:pPr>
              <w:ind w:left="180"/>
              <w:spacing w:after="0"/>
              <w:rPr>
                <w:sz w:val="20"/>
                <w:szCs w:val="20"/>
                <w:color w:val="auto"/>
              </w:rPr>
            </w:pPr>
            <w:r>
              <w:rPr>
                <w:rFonts w:ascii="Verdana" w:cs="Verdana" w:eastAsia="Verdana" w:hAnsi="Verdana"/>
                <w:sz w:val="18"/>
                <w:szCs w:val="18"/>
                <w:color w:val="auto"/>
              </w:rPr>
              <w:t>flow hedges, net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Verdana" w:cs="Verdana" w:eastAsia="Verdana" w:hAnsi="Verdana"/>
                <w:sz w:val="18"/>
                <w:szCs w:val="18"/>
                <w:color w:val="auto"/>
              </w:rPr>
              <w:t>295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Verdana" w:cs="Verdana" w:eastAsia="Verdana" w:hAnsi="Verdana"/>
                <w:sz w:val="18"/>
                <w:szCs w:val="18"/>
                <w:color w:val="auto"/>
              </w:rPr>
              <w:t>(84)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Verdana" w:cs="Verdana" w:eastAsia="Verdana" w:hAnsi="Verdana"/>
                <w:sz w:val="18"/>
                <w:szCs w:val="18"/>
                <w:color w:val="auto"/>
              </w:rPr>
              <w:t>211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Verdana" w:cs="Verdana" w:eastAsia="Verdana" w:hAnsi="Verdana"/>
                <w:sz w:val="18"/>
                <w:szCs w:val="18"/>
                <w:color w:val="auto"/>
              </w:rPr>
              <w:t>(11,975)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Verdana" w:cs="Verdana" w:eastAsia="Verdana" w:hAnsi="Verdana"/>
                <w:sz w:val="18"/>
                <w:szCs w:val="18"/>
                <w:color w:val="auto"/>
              </w:rPr>
              <w:t>3,412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Verdana" w:cs="Verdana" w:eastAsia="Verdana" w:hAnsi="Verdana"/>
                <w:sz w:val="18"/>
                <w:szCs w:val="18"/>
                <w:color w:val="auto"/>
              </w:rPr>
              <w:t>(8,563)</w:t>
            </w:r>
          </w:p>
        </w:tc>
      </w:tr>
      <w:tr>
        <w:trPr>
          <w:trHeight w:val="270"/>
        </w:trPr>
        <w:tc>
          <w:tcPr>
            <w:tcW w:w="41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Amounts reclassified from AOCI, net</w:t>
            </w:r>
          </w:p>
        </w:tc>
        <w:tc>
          <w:tcPr>
            <w:tcW w:w="160" w:type="dxa"/>
            <w:vAlign w:val="bottom"/>
            <w:tcBorders>
              <w:bottom w:val="single" w:sz="8" w:color="auto"/>
            </w:tcBorders>
            <w:shd w:val="clear" w:color="auto" w:fill="E0E7ED"/>
          </w:tcPr>
          <w:p>
            <w:pPr>
              <w:spacing w:after="0"/>
              <w:rPr>
                <w:sz w:val="23"/>
                <w:szCs w:val="23"/>
                <w:color w:val="auto"/>
              </w:rPr>
            </w:pPr>
          </w:p>
        </w:tc>
        <w:tc>
          <w:tcPr>
            <w:tcW w:w="9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6,988</w:t>
            </w:r>
          </w:p>
        </w:tc>
        <w:tc>
          <w:tcPr>
            <w:tcW w:w="80" w:type="dxa"/>
            <w:vAlign w:val="bottom"/>
            <w:shd w:val="clear" w:color="auto" w:fill="E0E7ED"/>
          </w:tcPr>
          <w:p>
            <w:pPr>
              <w:spacing w:after="0"/>
              <w:rPr>
                <w:sz w:val="23"/>
                <w:szCs w:val="23"/>
                <w:color w:val="auto"/>
              </w:rPr>
            </w:pPr>
          </w:p>
        </w:tc>
        <w:tc>
          <w:tcPr>
            <w:tcW w:w="160" w:type="dxa"/>
            <w:vAlign w:val="bottom"/>
            <w:tcBorders>
              <w:bottom w:val="single" w:sz="8" w:color="auto"/>
            </w:tcBorders>
            <w:shd w:val="clear" w:color="auto" w:fill="E0E7ED"/>
          </w:tcPr>
          <w:p>
            <w:pPr>
              <w:spacing w:after="0"/>
              <w:rPr>
                <w:sz w:val="23"/>
                <w:szCs w:val="23"/>
                <w:color w:val="auto"/>
              </w:rPr>
            </w:pPr>
          </w:p>
        </w:tc>
        <w:tc>
          <w:tcPr>
            <w:tcW w:w="9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(1,992)</w:t>
            </w:r>
          </w:p>
        </w:tc>
        <w:tc>
          <w:tcPr>
            <w:tcW w:w="80" w:type="dxa"/>
            <w:vAlign w:val="bottom"/>
            <w:shd w:val="clear" w:color="auto" w:fill="E0E7ED"/>
          </w:tcPr>
          <w:p>
            <w:pPr>
              <w:spacing w:after="0"/>
              <w:rPr>
                <w:sz w:val="23"/>
                <w:szCs w:val="23"/>
                <w:color w:val="auto"/>
              </w:rPr>
            </w:pPr>
          </w:p>
        </w:tc>
        <w:tc>
          <w:tcPr>
            <w:tcW w:w="160" w:type="dxa"/>
            <w:vAlign w:val="bottom"/>
            <w:tcBorders>
              <w:bottom w:val="single" w:sz="8" w:color="auto"/>
            </w:tcBorders>
            <w:shd w:val="clear" w:color="auto" w:fill="E0E7ED"/>
          </w:tcPr>
          <w:p>
            <w:pPr>
              <w:spacing w:after="0"/>
              <w:rPr>
                <w:sz w:val="23"/>
                <w:szCs w:val="23"/>
                <w:color w:val="auto"/>
              </w:rPr>
            </w:pPr>
          </w:p>
        </w:tc>
        <w:tc>
          <w:tcPr>
            <w:tcW w:w="9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4,996</w:t>
            </w:r>
          </w:p>
        </w:tc>
        <w:tc>
          <w:tcPr>
            <w:tcW w:w="80" w:type="dxa"/>
            <w:vAlign w:val="bottom"/>
            <w:shd w:val="clear" w:color="auto" w:fill="E0E7ED"/>
          </w:tcPr>
          <w:p>
            <w:pPr>
              <w:spacing w:after="0"/>
              <w:rPr>
                <w:sz w:val="23"/>
                <w:szCs w:val="23"/>
                <w:color w:val="auto"/>
              </w:rPr>
            </w:pPr>
          </w:p>
        </w:tc>
        <w:tc>
          <w:tcPr>
            <w:tcW w:w="160" w:type="dxa"/>
            <w:vAlign w:val="bottom"/>
            <w:tcBorders>
              <w:bottom w:val="single" w:sz="8" w:color="auto"/>
            </w:tcBorders>
            <w:shd w:val="clear" w:color="auto" w:fill="E0E7ED"/>
          </w:tcPr>
          <w:p>
            <w:pPr>
              <w:spacing w:after="0"/>
              <w:rPr>
                <w:sz w:val="23"/>
                <w:szCs w:val="23"/>
                <w:color w:val="auto"/>
              </w:rPr>
            </w:pPr>
          </w:p>
        </w:tc>
        <w:tc>
          <w:tcPr>
            <w:tcW w:w="98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6,232</w:t>
            </w:r>
          </w:p>
        </w:tc>
        <w:tc>
          <w:tcPr>
            <w:tcW w:w="80" w:type="dxa"/>
            <w:vAlign w:val="bottom"/>
            <w:shd w:val="clear" w:color="auto" w:fill="E0E7ED"/>
          </w:tcPr>
          <w:p>
            <w:pPr>
              <w:spacing w:after="0"/>
              <w:rPr>
                <w:sz w:val="23"/>
                <w:szCs w:val="23"/>
                <w:color w:val="auto"/>
              </w:rPr>
            </w:pPr>
          </w:p>
        </w:tc>
        <w:tc>
          <w:tcPr>
            <w:tcW w:w="160" w:type="dxa"/>
            <w:vAlign w:val="bottom"/>
            <w:tcBorders>
              <w:bottom w:val="single" w:sz="8" w:color="auto"/>
            </w:tcBorders>
            <w:shd w:val="clear" w:color="auto" w:fill="E0E7ED"/>
          </w:tcPr>
          <w:p>
            <w:pPr>
              <w:spacing w:after="0"/>
              <w:rPr>
                <w:sz w:val="23"/>
                <w:szCs w:val="23"/>
                <w:color w:val="auto"/>
              </w:rPr>
            </w:pP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(1,776)</w:t>
            </w:r>
          </w:p>
        </w:tc>
        <w:tc>
          <w:tcPr>
            <w:tcW w:w="80" w:type="dxa"/>
            <w:vAlign w:val="bottom"/>
            <w:shd w:val="clear" w:color="auto" w:fill="E0E7ED"/>
          </w:tcPr>
          <w:p>
            <w:pPr>
              <w:spacing w:after="0"/>
              <w:rPr>
                <w:sz w:val="23"/>
                <w:szCs w:val="23"/>
                <w:color w:val="auto"/>
              </w:rPr>
            </w:pPr>
          </w:p>
        </w:tc>
        <w:tc>
          <w:tcPr>
            <w:tcW w:w="160" w:type="dxa"/>
            <w:vAlign w:val="bottom"/>
            <w:tcBorders>
              <w:bottom w:val="single" w:sz="8" w:color="auto"/>
            </w:tcBorders>
            <w:shd w:val="clear" w:color="auto" w:fill="E0E7ED"/>
          </w:tcPr>
          <w:p>
            <w:pPr>
              <w:spacing w:after="0"/>
              <w:rPr>
                <w:sz w:val="23"/>
                <w:szCs w:val="23"/>
                <w:color w:val="auto"/>
              </w:rPr>
            </w:pPr>
          </w:p>
        </w:tc>
        <w:tc>
          <w:tcPr>
            <w:tcW w:w="96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4,456</w:t>
            </w:r>
          </w:p>
        </w:tc>
      </w:tr>
      <w:tr>
        <w:trPr>
          <w:trHeight w:val="263"/>
        </w:trPr>
        <w:tc>
          <w:tcPr>
            <w:tcW w:w="4160" w:type="dxa"/>
            <w:vAlign w:val="bottom"/>
          </w:tcPr>
          <w:p>
            <w:pPr>
              <w:ind w:left="20"/>
              <w:spacing w:after="0"/>
              <w:rPr>
                <w:sz w:val="20"/>
                <w:szCs w:val="20"/>
                <w:color w:val="auto"/>
              </w:rPr>
            </w:pPr>
            <w:r>
              <w:rPr>
                <w:rFonts w:ascii="Verdana" w:cs="Verdana" w:eastAsia="Verdana" w:hAnsi="Verdana"/>
                <w:sz w:val="18"/>
                <w:szCs w:val="18"/>
                <w:color w:val="auto"/>
              </w:rPr>
              <w:t>Balance at end of period</w:t>
            </w: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(16,065)</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20" w:type="dxa"/>
            <w:vAlign w:val="bottom"/>
          </w:tcPr>
          <w:p>
            <w:pPr>
              <w:jc w:val="right"/>
              <w:spacing w:after="0"/>
              <w:rPr>
                <w:sz w:val="20"/>
                <w:szCs w:val="20"/>
                <w:color w:val="auto"/>
              </w:rPr>
            </w:pPr>
            <w:r>
              <w:rPr>
                <w:rFonts w:ascii="Verdana" w:cs="Verdana" w:eastAsia="Verdana" w:hAnsi="Verdana"/>
                <w:sz w:val="18"/>
                <w:szCs w:val="18"/>
                <w:color w:val="auto"/>
              </w:rPr>
              <w:t>4,578</w:t>
            </w:r>
          </w:p>
        </w:tc>
        <w:tc>
          <w:tcPr>
            <w:tcW w:w="240" w:type="dxa"/>
            <w:vAlign w:val="bottom"/>
            <w:gridSpan w:val="2"/>
          </w:tcPr>
          <w:p>
            <w:pPr>
              <w:jc w:val="right"/>
              <w:ind w:right="20"/>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(11,487)</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80" w:type="dxa"/>
            <w:vAlign w:val="bottom"/>
          </w:tcPr>
          <w:p>
            <w:pPr>
              <w:jc w:val="right"/>
              <w:spacing w:after="0"/>
              <w:rPr>
                <w:sz w:val="20"/>
                <w:szCs w:val="20"/>
                <w:color w:val="auto"/>
              </w:rPr>
            </w:pPr>
            <w:r>
              <w:rPr>
                <w:rFonts w:ascii="Verdana" w:cs="Verdana" w:eastAsia="Verdana" w:hAnsi="Verdana"/>
                <w:sz w:val="18"/>
                <w:szCs w:val="18"/>
                <w:color w:val="auto"/>
              </w:rPr>
              <w:t>(35,093)</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940" w:type="dxa"/>
            <w:vAlign w:val="bottom"/>
          </w:tcPr>
          <w:p>
            <w:pPr>
              <w:jc w:val="right"/>
              <w:ind w:right="15"/>
              <w:spacing w:after="0"/>
              <w:rPr>
                <w:sz w:val="20"/>
                <w:szCs w:val="20"/>
                <w:color w:val="auto"/>
              </w:rPr>
            </w:pPr>
            <w:r>
              <w:rPr>
                <w:rFonts w:ascii="Verdana" w:cs="Verdana" w:eastAsia="Verdana" w:hAnsi="Verdana"/>
                <w:sz w:val="18"/>
                <w:szCs w:val="18"/>
                <w:color w:val="auto"/>
              </w:rPr>
              <w:t>10,001</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(25,092)</w:t>
            </w:r>
          </w:p>
        </w:tc>
      </w:tr>
      <w:tr>
        <w:trPr>
          <w:trHeight w:val="257"/>
        </w:trPr>
        <w:tc>
          <w:tcPr>
            <w:tcW w:w="416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9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9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9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98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94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960" w:type="dxa"/>
            <w:vAlign w:val="bottom"/>
            <w:tcBorders>
              <w:top w:val="single" w:sz="8" w:color="auto"/>
            </w:tcBorders>
            <w:shd w:val="clear" w:color="auto" w:fill="E0E7ED"/>
          </w:tcPr>
          <w:p>
            <w:pPr>
              <w:spacing w:after="0"/>
              <w:rPr>
                <w:sz w:val="22"/>
                <w:szCs w:val="22"/>
                <w:color w:val="auto"/>
              </w:rPr>
            </w:pPr>
          </w:p>
        </w:tc>
      </w:tr>
      <w:tr>
        <w:trPr>
          <w:trHeight w:val="270"/>
        </w:trPr>
        <w:tc>
          <w:tcPr>
            <w:tcW w:w="4160" w:type="dxa"/>
            <w:vAlign w:val="bottom"/>
          </w:tcPr>
          <w:p>
            <w:pPr>
              <w:ind w:left="20"/>
              <w:spacing w:after="0"/>
              <w:rPr>
                <w:sz w:val="20"/>
                <w:szCs w:val="20"/>
                <w:color w:val="auto"/>
              </w:rPr>
            </w:pPr>
            <w:r>
              <w:rPr>
                <w:rFonts w:ascii="Verdana" w:cs="Verdana" w:eastAsia="Verdana" w:hAnsi="Verdana"/>
                <w:sz w:val="18"/>
                <w:szCs w:val="18"/>
                <w:color w:val="auto"/>
              </w:rPr>
              <w:t>Total AOCI</w:t>
            </w: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(239,054)</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20" w:type="dxa"/>
            <w:vAlign w:val="bottom"/>
          </w:tcPr>
          <w:p>
            <w:pPr>
              <w:jc w:val="right"/>
              <w:spacing w:after="0"/>
              <w:rPr>
                <w:sz w:val="20"/>
                <w:szCs w:val="20"/>
                <w:color w:val="auto"/>
              </w:rPr>
            </w:pPr>
            <w:r>
              <w:rPr>
                <w:rFonts w:ascii="Verdana" w:cs="Verdana" w:eastAsia="Verdana" w:hAnsi="Verdana"/>
                <w:sz w:val="18"/>
                <w:szCs w:val="18"/>
                <w:color w:val="auto"/>
              </w:rPr>
              <w:t>68,141</w:t>
            </w:r>
          </w:p>
        </w:tc>
        <w:tc>
          <w:tcPr>
            <w:tcW w:w="240" w:type="dxa"/>
            <w:vAlign w:val="bottom"/>
            <w:gridSpan w:val="2"/>
          </w:tcPr>
          <w:p>
            <w:pPr>
              <w:jc w:val="right"/>
              <w:ind w:right="20"/>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(170,913)</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80" w:type="dxa"/>
            <w:vAlign w:val="bottom"/>
          </w:tcPr>
          <w:p>
            <w:pPr>
              <w:jc w:val="right"/>
              <w:spacing w:after="0"/>
              <w:rPr>
                <w:sz w:val="20"/>
                <w:szCs w:val="20"/>
                <w:color w:val="auto"/>
              </w:rPr>
            </w:pPr>
            <w:r>
              <w:rPr>
                <w:rFonts w:ascii="Verdana" w:cs="Verdana" w:eastAsia="Verdana" w:hAnsi="Verdana"/>
                <w:sz w:val="18"/>
                <w:szCs w:val="18"/>
                <w:color w:val="auto"/>
              </w:rPr>
              <w:t>(406,639)</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940" w:type="dxa"/>
            <w:vAlign w:val="bottom"/>
          </w:tcPr>
          <w:p>
            <w:pPr>
              <w:jc w:val="right"/>
              <w:ind w:right="15"/>
              <w:spacing w:after="0"/>
              <w:rPr>
                <w:sz w:val="20"/>
                <w:szCs w:val="20"/>
                <w:color w:val="auto"/>
              </w:rPr>
            </w:pPr>
            <w:r>
              <w:rPr>
                <w:rFonts w:ascii="Verdana" w:cs="Verdana" w:eastAsia="Verdana" w:hAnsi="Verdana"/>
                <w:sz w:val="18"/>
                <w:szCs w:val="18"/>
                <w:color w:val="auto"/>
              </w:rPr>
              <w:t>115,909</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(290,730)</w:t>
            </w:r>
          </w:p>
        </w:tc>
      </w:tr>
      <w:tr>
        <w:trPr>
          <w:trHeight w:val="20"/>
        </w:trPr>
        <w:tc>
          <w:tcPr>
            <w:tcW w:w="4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66" w:name="page67"/>
    <w:bookmarkEnd w:id="66"/>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16. OPERATING SEGMENTS AND RELATED INFORMATION</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Busey has three reportable operating segments: Banking, Wealth Management, and FirsTech. Busey’s three operating segments are strategic business units that are separately managed, as they offer different products and services and have different marketing strategies.</w:t>
      </w:r>
    </w:p>
    <w:p>
      <w:pPr>
        <w:spacing w:after="0" w:line="167"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The Banking Operating Segment</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The Banking operating segment provides a full range of banking services to individual and corporate customers through First Busey Corporation’s wholly-owned bank subsidiary, Busey Bank, with 62 banking centers in Illinois; the St. Louis, Missouri, metropolitan area; southwest Florida; and Indianapolis, Indiana.</w:t>
      </w:r>
    </w:p>
    <w:p>
      <w:pPr>
        <w:spacing w:after="0" w:line="154"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Banking services offered to individual customers include customary types of demand and savings deposits, money transfers, safe deposit services, individual retirement accounts and other fiduciary services, automated teller machines, and technology-based networks, as well as a variety of loan products including residential real estate, home equity lines of credit, and consumer loans. Banking services offered to corporate customers include commercial, commercial real estate, real estate construction, and agricultural loans, as well as commercial depository services such as cash management.</w:t>
      </w:r>
    </w:p>
    <w:p>
      <w:pPr>
        <w:spacing w:after="0" w:line="171"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The Wealth Management Operating Segment</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The Wealth Management operating segment provides a full range of asset management, investment, brokerage, fiduciary, philanthropic advisory, tax preparation, and farm management services to individuals, businesses, and foundations. Services are provided through Busey Capital Management, Inc., a wholly-owned subsidiary of Busey Bank, and Busey Wealth Management, a division of Busey Bank.</w:t>
      </w:r>
    </w:p>
    <w:p>
      <w:pPr>
        <w:spacing w:after="0" w:line="157"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Wealth management services tailored to individuals include trust and estate advisory services and financial planning. Business services include business succession planning and employee retirement plan services. Services for foundations include investment strategy consulting and fiduciary services.</w:t>
      </w:r>
    </w:p>
    <w:p>
      <w:pPr>
        <w:spacing w:after="0" w:line="167"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The FirsTech Operating Segment</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The FirsTech operating segment provides comprehensive and innovative payment technology solutions through Busey Bank’s wholly-owned subsidiary, FirsTech. FirsTech's multi-channel payment platform allows businesses to collect payments from their customers in a variety of ways to enable fast, frictionless payments. Payment method vehicles include, but are not limited to, text-based mobile bill pay; interactive voice response; electronic payment concentration delivered to Automated Clearing House networks, money management, and credit card networks; walk-in payment processing for customers at retail pay agents; customer service payments made over a telephone; direct debit services; merchant services referral solutions serving partner Financial Institutions and their business customers; and lockbox remittance processing for customers to make payments by mail. FirsTech also provides additional tools to help clients with billing, reconciliation, bill reminders, and treasury services.</w:t>
      </w:r>
    </w:p>
    <w:p>
      <w:pPr>
        <w:spacing w:after="0" w:line="159"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FirsTech's client base represents a diverse set of industries, with a higher concentration in highly regulated industries, such as financial institutions, utility, insurance, and telecommunications industries.</w:t>
      </w:r>
    </w:p>
    <w:p>
      <w:pPr>
        <w:spacing w:after="0" w:line="158"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Segment Financial Information</w:t>
      </w:r>
    </w:p>
    <w:p>
      <w:pPr>
        <w:spacing w:after="0" w:line="173" w:lineRule="exact"/>
        <w:rPr>
          <w:sz w:val="20"/>
          <w:szCs w:val="20"/>
          <w:color w:val="auto"/>
        </w:rPr>
      </w:pPr>
    </w:p>
    <w:p>
      <w:pPr>
        <w:jc w:val="both"/>
        <w:spacing w:after="0" w:line="242" w:lineRule="auto"/>
        <w:rPr>
          <w:rFonts w:ascii="Verdana" w:cs="Verdana" w:eastAsia="Verdana" w:hAnsi="Verdana"/>
          <w:sz w:val="18"/>
          <w:szCs w:val="18"/>
          <w:color w:val="0000FF"/>
        </w:rPr>
      </w:pPr>
      <w:r>
        <w:rPr>
          <w:rFonts w:ascii="Verdana" w:cs="Verdana" w:eastAsia="Verdana" w:hAnsi="Verdana"/>
          <w:sz w:val="18"/>
          <w:szCs w:val="18"/>
          <w:color w:val="auto"/>
        </w:rPr>
        <w:t xml:space="preserve">The segment financial information provided below has been derived from information used by management to monitor and manage Busey’s financial performance. The accounting policies of the three operating segments are the same as those </w:t>
      </w:r>
      <w:hyperlink r:id="rId25">
        <w:r>
          <w:rPr>
            <w:rFonts w:ascii="Verdana" w:cs="Verdana" w:eastAsia="Verdana" w:hAnsi="Verdana"/>
            <w:sz w:val="18"/>
            <w:szCs w:val="18"/>
            <w:color w:val="auto"/>
          </w:rPr>
          <w:t>described in the summary of significant accounting policies in “</w:t>
        </w:r>
        <w:r>
          <w:rPr>
            <w:rFonts w:ascii="Verdana" w:cs="Verdana" w:eastAsia="Verdana" w:hAnsi="Verdana"/>
            <w:sz w:val="18"/>
            <w:szCs w:val="18"/>
            <w:i w:val="1"/>
            <w:iCs w:val="1"/>
            <w:u w:val="single" w:color="auto"/>
            <w:color w:val="0000FF"/>
          </w:rPr>
          <w:t>Note 1. Significant Accounting Policies</w:t>
        </w:r>
        <w:r>
          <w:rPr>
            <w:rFonts w:ascii="Verdana" w:cs="Verdana" w:eastAsia="Verdana" w:hAnsi="Verdana"/>
            <w:sz w:val="18"/>
            <w:szCs w:val="18"/>
            <w:color w:val="auto"/>
          </w:rPr>
          <w:t xml:space="preserve">” of </w:t>
        </w:r>
        <w:r>
          <w:rPr>
            <w:rFonts w:ascii="Verdana" w:cs="Verdana" w:eastAsia="Verdana" w:hAnsi="Verdana"/>
            <w:sz w:val="18"/>
            <w:szCs w:val="18"/>
            <w:u w:val="single" w:color="auto"/>
            <w:color w:val="0000FF"/>
          </w:rPr>
          <w:t>Busey’s 2023</w:t>
        </w:r>
      </w:hyperlink>
      <w:r>
        <w:rPr>
          <w:rFonts w:ascii="Verdana" w:cs="Verdana" w:eastAsia="Verdana" w:hAnsi="Verdana"/>
          <w:sz w:val="18"/>
          <w:szCs w:val="18"/>
          <w:color w:val="auto"/>
        </w:rPr>
        <w:t xml:space="preserve"> </w:t>
      </w:r>
      <w:hyperlink r:id="rId25">
        <w:r>
          <w:rPr>
            <w:rFonts w:ascii="Verdana" w:cs="Verdana" w:eastAsia="Verdana" w:hAnsi="Verdana"/>
            <w:sz w:val="18"/>
            <w:szCs w:val="18"/>
            <w:u w:val="single" w:color="auto"/>
            <w:color w:val="0000FF"/>
          </w:rPr>
          <w:t>Annual Report</w:t>
        </w:r>
        <w:r>
          <w:rPr>
            <w:rFonts w:ascii="Verdana" w:cs="Verdana" w:eastAsia="Verdana" w:hAnsi="Verdana"/>
            <w:sz w:val="18"/>
            <w:szCs w:val="18"/>
            <w:color w:val="000000"/>
          </w:rPr>
          <w:t>. Busey accounts for intersegment revenue and transfers at current market value.</w:t>
        </w:r>
      </w:hyperlink>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67" w:name="page68"/>
    <w:bookmarkEnd w:id="67"/>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Following is a summary of selected financial information for Busey’s operating segments. The “other” category included in the tables below consists of the parent company, First Busey Risk Management, Inc. until its dissolution on December 18, 2023, and the elimination of intercompany transactions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Goodwill</w:t>
            </w: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4"/>
          </w:tcPr>
          <w:p>
            <w:pPr>
              <w:jc w:val="right"/>
              <w:ind w:right="1038"/>
              <w:spacing w:after="0"/>
              <w:rPr>
                <w:sz w:val="20"/>
                <w:szCs w:val="20"/>
                <w:color w:val="auto"/>
              </w:rPr>
            </w:pPr>
            <w:r>
              <w:rPr>
                <w:rFonts w:ascii="Verdana" w:cs="Verdana" w:eastAsia="Verdana" w:hAnsi="Verdana"/>
                <w:sz w:val="13"/>
                <w:szCs w:val="13"/>
                <w:b w:val="1"/>
                <w:bCs w:val="1"/>
                <w:color w:val="auto"/>
              </w:rPr>
              <w:t>Total Assets</w:t>
            </w:r>
          </w:p>
        </w:tc>
      </w:tr>
      <w:tr>
        <w:trPr>
          <w:trHeight w:val="170"/>
        </w:trPr>
        <w:tc>
          <w:tcPr>
            <w:tcW w:w="4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30"/>
              <w:spacing w:after="0"/>
              <w:rPr>
                <w:sz w:val="20"/>
                <w:szCs w:val="20"/>
                <w:color w:val="auto"/>
              </w:rPr>
            </w:pPr>
            <w:r>
              <w:rPr>
                <w:rFonts w:ascii="Verdana" w:cs="Verdana" w:eastAsia="Verdana" w:hAnsi="Verdana"/>
                <w:sz w:val="13"/>
                <w:szCs w:val="13"/>
                <w:b w:val="1"/>
                <w:bCs w:val="1"/>
                <w:color w:val="auto"/>
              </w:rPr>
              <w:t>As of</w:t>
            </w: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4"/>
                <w:szCs w:val="14"/>
                <w:color w:val="auto"/>
              </w:rPr>
            </w:pPr>
          </w:p>
        </w:tc>
      </w:tr>
      <w:tr>
        <w:trPr>
          <w:trHeight w:val="120"/>
        </w:trPr>
        <w:tc>
          <w:tcPr>
            <w:tcW w:w="4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gridSpan w:val="2"/>
          </w:tcPr>
          <w:p>
            <w:pPr>
              <w:ind w:left="40"/>
              <w:spacing w:after="0" w:line="120" w:lineRule="exact"/>
              <w:rPr>
                <w:sz w:val="20"/>
                <w:szCs w:val="20"/>
                <w:color w:val="auto"/>
              </w:rPr>
            </w:pPr>
            <w:r>
              <w:rPr>
                <w:rFonts w:ascii="Verdana" w:cs="Verdana" w:eastAsia="Verdana" w:hAnsi="Verdana"/>
                <w:sz w:val="13"/>
                <w:szCs w:val="13"/>
                <w:b w:val="1"/>
                <w:bCs w:val="1"/>
                <w:color w:val="auto"/>
              </w:rPr>
              <w:t>September 30,</w:t>
            </w:r>
          </w:p>
        </w:tc>
        <w:tc>
          <w:tcPr>
            <w:tcW w:w="260" w:type="dxa"/>
            <w:vAlign w:val="bottom"/>
          </w:tcPr>
          <w:p>
            <w:pPr>
              <w:spacing w:after="0"/>
              <w:rPr>
                <w:sz w:val="10"/>
                <w:szCs w:val="10"/>
                <w:color w:val="auto"/>
              </w:rPr>
            </w:pPr>
          </w:p>
        </w:tc>
        <w:tc>
          <w:tcPr>
            <w:tcW w:w="1240" w:type="dxa"/>
            <w:vAlign w:val="bottom"/>
          </w:tcPr>
          <w:p>
            <w:pPr>
              <w:jc w:val="right"/>
              <w:ind w:right="178"/>
              <w:spacing w:after="0" w:line="120" w:lineRule="exact"/>
              <w:rPr>
                <w:sz w:val="20"/>
                <w:szCs w:val="20"/>
                <w:color w:val="auto"/>
              </w:rPr>
            </w:pPr>
            <w:r>
              <w:rPr>
                <w:rFonts w:ascii="Verdana" w:cs="Verdana" w:eastAsia="Verdana" w:hAnsi="Verdana"/>
                <w:sz w:val="13"/>
                <w:szCs w:val="13"/>
                <w:b w:val="1"/>
                <w:bCs w:val="1"/>
                <w:color w:val="auto"/>
                <w:w w:val="94"/>
              </w:rPr>
              <w:t>December 31,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gridSpan w:val="2"/>
          </w:tcPr>
          <w:p>
            <w:pPr>
              <w:ind w:left="60"/>
              <w:spacing w:after="0" w:line="120" w:lineRule="exact"/>
              <w:rPr>
                <w:sz w:val="20"/>
                <w:szCs w:val="20"/>
                <w:color w:val="auto"/>
              </w:rPr>
            </w:pPr>
            <w:r>
              <w:rPr>
                <w:rFonts w:ascii="Verdana" w:cs="Verdana" w:eastAsia="Verdana" w:hAnsi="Verdana"/>
                <w:sz w:val="13"/>
                <w:szCs w:val="13"/>
                <w:b w:val="1"/>
                <w:bCs w:val="1"/>
                <w:color w:val="auto"/>
              </w:rPr>
              <w:t>September 30,</w:t>
            </w:r>
          </w:p>
        </w:tc>
        <w:tc>
          <w:tcPr>
            <w:tcW w:w="200" w:type="dxa"/>
            <w:vAlign w:val="bottom"/>
          </w:tcPr>
          <w:p>
            <w:pPr>
              <w:spacing w:after="0"/>
              <w:rPr>
                <w:sz w:val="10"/>
                <w:szCs w:val="10"/>
                <w:color w:val="auto"/>
              </w:rPr>
            </w:pPr>
          </w:p>
        </w:tc>
        <w:tc>
          <w:tcPr>
            <w:tcW w:w="1320" w:type="dxa"/>
            <w:vAlign w:val="bottom"/>
          </w:tcPr>
          <w:p>
            <w:pPr>
              <w:jc w:val="right"/>
              <w:ind w:right="178"/>
              <w:spacing w:after="0" w:line="120"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494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02"/>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78"/>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02"/>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98"/>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49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Operating segment</w:t>
            </w:r>
          </w:p>
        </w:tc>
        <w:tc>
          <w:tcPr>
            <w:tcW w:w="18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6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180" w:type="dxa"/>
            <w:vAlign w:val="bottom"/>
            <w:shd w:val="clear" w:color="auto" w:fill="E0E7ED"/>
          </w:tcPr>
          <w:p>
            <w:pPr>
              <w:spacing w:after="0"/>
              <w:rPr>
                <w:sz w:val="22"/>
                <w:szCs w:val="22"/>
                <w:color w:val="auto"/>
              </w:rPr>
            </w:pPr>
          </w:p>
        </w:tc>
        <w:tc>
          <w:tcPr>
            <w:tcW w:w="13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r>
      <w:tr>
        <w:trPr>
          <w:trHeight w:val="263"/>
        </w:trPr>
        <w:tc>
          <w:tcPr>
            <w:tcW w:w="4940" w:type="dxa"/>
            <w:vAlign w:val="bottom"/>
          </w:tcPr>
          <w:p>
            <w:pPr>
              <w:ind w:left="180"/>
              <w:spacing w:after="0"/>
              <w:rPr>
                <w:sz w:val="20"/>
                <w:szCs w:val="20"/>
                <w:color w:val="auto"/>
              </w:rPr>
            </w:pPr>
            <w:r>
              <w:rPr>
                <w:rFonts w:ascii="Verdana" w:cs="Verdana" w:eastAsia="Verdana" w:hAnsi="Verdana"/>
                <w:sz w:val="18"/>
                <w:szCs w:val="18"/>
                <w:color w:val="auto"/>
              </w:rPr>
              <w:t>Banking</w:t>
            </w:r>
          </w:p>
        </w:tc>
        <w:tc>
          <w:tcPr>
            <w:tcW w:w="18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320" w:type="dxa"/>
            <w:vAlign w:val="bottom"/>
          </w:tcPr>
          <w:p>
            <w:pPr>
              <w:jc w:val="right"/>
              <w:ind w:right="22"/>
              <w:spacing w:after="0"/>
              <w:rPr>
                <w:sz w:val="20"/>
                <w:szCs w:val="20"/>
                <w:color w:val="auto"/>
              </w:rPr>
            </w:pPr>
            <w:r>
              <w:rPr>
                <w:rFonts w:ascii="Verdana" w:cs="Verdana" w:eastAsia="Verdana" w:hAnsi="Verdana"/>
                <w:sz w:val="18"/>
                <w:szCs w:val="18"/>
                <w:color w:val="auto"/>
              </w:rPr>
              <w:t>310,398</w:t>
            </w:r>
          </w:p>
        </w:tc>
        <w:tc>
          <w:tcPr>
            <w:tcW w:w="8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294,773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40" w:type="dxa"/>
            <w:vAlign w:val="bottom"/>
          </w:tcPr>
          <w:p>
            <w:pPr>
              <w:jc w:val="right"/>
              <w:ind w:right="22"/>
              <w:spacing w:after="0"/>
              <w:rPr>
                <w:sz w:val="20"/>
                <w:szCs w:val="20"/>
                <w:color w:val="auto"/>
              </w:rPr>
            </w:pPr>
            <w:r>
              <w:rPr>
                <w:rFonts w:ascii="Verdana" w:cs="Verdana" w:eastAsia="Verdana" w:hAnsi="Verdana"/>
                <w:sz w:val="18"/>
                <w:szCs w:val="18"/>
                <w:color w:val="auto"/>
              </w:rPr>
              <w:t>11,806,647</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spacing w:after="0"/>
              <w:rPr>
                <w:sz w:val="20"/>
                <w:szCs w:val="20"/>
                <w:color w:val="auto"/>
              </w:rPr>
            </w:pPr>
            <w:r>
              <w:rPr>
                <w:rFonts w:ascii="Verdana" w:cs="Verdana" w:eastAsia="Verdana" w:hAnsi="Verdana"/>
                <w:sz w:val="18"/>
                <w:szCs w:val="18"/>
                <w:color w:val="auto"/>
              </w:rPr>
              <w:t>12,125,298</w:t>
            </w:r>
          </w:p>
        </w:tc>
      </w:tr>
      <w:tr>
        <w:trPr>
          <w:trHeight w:val="277"/>
        </w:trPr>
        <w:tc>
          <w:tcPr>
            <w:tcW w:w="49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Wealth Management</w:t>
            </w:r>
          </w:p>
        </w:tc>
        <w:tc>
          <w:tcPr>
            <w:tcW w:w="18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22"/>
              <w:spacing w:after="0"/>
              <w:rPr>
                <w:sz w:val="20"/>
                <w:szCs w:val="20"/>
                <w:color w:val="auto"/>
              </w:rPr>
            </w:pPr>
            <w:r>
              <w:rPr>
                <w:rFonts w:ascii="Verdana" w:cs="Verdana" w:eastAsia="Verdana" w:hAnsi="Verdana"/>
                <w:sz w:val="18"/>
                <w:szCs w:val="18"/>
                <w:color w:val="auto"/>
              </w:rPr>
              <w:t>14,108</w:t>
            </w:r>
          </w:p>
        </w:tc>
        <w:tc>
          <w:tcPr>
            <w:tcW w:w="8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14,108</w:t>
            </w:r>
          </w:p>
        </w:tc>
        <w:tc>
          <w:tcPr>
            <w:tcW w:w="10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1340" w:type="dxa"/>
            <w:vAlign w:val="bottom"/>
            <w:shd w:val="clear" w:color="auto" w:fill="E0E7ED"/>
          </w:tcPr>
          <w:p>
            <w:pPr>
              <w:jc w:val="right"/>
              <w:ind w:right="22"/>
              <w:spacing w:after="0"/>
              <w:rPr>
                <w:sz w:val="20"/>
                <w:szCs w:val="20"/>
                <w:color w:val="auto"/>
              </w:rPr>
            </w:pPr>
            <w:r>
              <w:rPr>
                <w:rFonts w:ascii="Verdana" w:cs="Verdana" w:eastAsia="Verdana" w:hAnsi="Verdana"/>
                <w:sz w:val="18"/>
                <w:szCs w:val="18"/>
                <w:color w:val="auto"/>
              </w:rPr>
              <w:t>119,801</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103,147</w:t>
            </w:r>
          </w:p>
        </w:tc>
      </w:tr>
      <w:tr>
        <w:trPr>
          <w:trHeight w:val="263"/>
        </w:trPr>
        <w:tc>
          <w:tcPr>
            <w:tcW w:w="4940" w:type="dxa"/>
            <w:vAlign w:val="bottom"/>
          </w:tcPr>
          <w:p>
            <w:pPr>
              <w:ind w:left="180"/>
              <w:spacing w:after="0"/>
              <w:rPr>
                <w:sz w:val="20"/>
                <w:szCs w:val="20"/>
                <w:color w:val="auto"/>
              </w:rPr>
            </w:pPr>
            <w:r>
              <w:rPr>
                <w:rFonts w:ascii="Verdana" w:cs="Verdana" w:eastAsia="Verdana" w:hAnsi="Verdana"/>
                <w:sz w:val="18"/>
                <w:szCs w:val="18"/>
                <w:color w:val="auto"/>
              </w:rPr>
              <w:t>FirsTech</w:t>
            </w:r>
          </w:p>
        </w:tc>
        <w:tc>
          <w:tcPr>
            <w:tcW w:w="180" w:type="dxa"/>
            <w:vAlign w:val="bottom"/>
          </w:tcPr>
          <w:p>
            <w:pPr>
              <w:spacing w:after="0"/>
              <w:rPr>
                <w:sz w:val="22"/>
                <w:szCs w:val="22"/>
                <w:color w:val="auto"/>
              </w:rPr>
            </w:pPr>
          </w:p>
        </w:tc>
        <w:tc>
          <w:tcPr>
            <w:tcW w:w="1320" w:type="dxa"/>
            <w:vAlign w:val="bottom"/>
          </w:tcPr>
          <w:p>
            <w:pPr>
              <w:jc w:val="right"/>
              <w:ind w:right="22"/>
              <w:spacing w:after="0"/>
              <w:rPr>
                <w:sz w:val="20"/>
                <w:szCs w:val="20"/>
                <w:color w:val="auto"/>
              </w:rPr>
            </w:pPr>
            <w:r>
              <w:rPr>
                <w:rFonts w:ascii="Verdana" w:cs="Verdana" w:eastAsia="Verdana" w:hAnsi="Verdana"/>
                <w:sz w:val="18"/>
                <w:szCs w:val="18"/>
                <w:color w:val="auto"/>
              </w:rPr>
              <w:t>8,992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8,992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right"/>
              <w:ind w:right="22"/>
              <w:spacing w:after="0"/>
              <w:rPr>
                <w:sz w:val="20"/>
                <w:szCs w:val="20"/>
                <w:color w:val="auto"/>
              </w:rPr>
            </w:pPr>
            <w:r>
              <w:rPr>
                <w:rFonts w:ascii="Verdana" w:cs="Verdana" w:eastAsia="Verdana" w:hAnsi="Verdana"/>
                <w:sz w:val="18"/>
                <w:szCs w:val="18"/>
                <w:color w:val="auto"/>
              </w:rPr>
              <w:t>51,474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51,600</w:t>
            </w:r>
          </w:p>
        </w:tc>
      </w:tr>
      <w:tr>
        <w:trPr>
          <w:trHeight w:val="270"/>
        </w:trPr>
        <w:tc>
          <w:tcPr>
            <w:tcW w:w="49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Other</w:t>
            </w:r>
          </w:p>
        </w:tc>
        <w:tc>
          <w:tcPr>
            <w:tcW w:w="180" w:type="dxa"/>
            <w:vAlign w:val="bottom"/>
            <w:shd w:val="clear" w:color="auto" w:fill="E0E7ED"/>
          </w:tcPr>
          <w:p>
            <w:pPr>
              <w:spacing w:after="0"/>
              <w:rPr>
                <w:sz w:val="23"/>
                <w:szCs w:val="23"/>
                <w:color w:val="auto"/>
              </w:rPr>
            </w:pPr>
          </w:p>
        </w:tc>
        <w:tc>
          <w:tcPr>
            <w:tcW w:w="14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shd w:val="clear" w:color="auto" w:fill="E0E7ED"/>
          </w:tcPr>
          <w:p>
            <w:pPr>
              <w:spacing w:after="0"/>
              <w:rPr>
                <w:sz w:val="23"/>
                <w:szCs w:val="23"/>
                <w:color w:val="auto"/>
              </w:rPr>
            </w:pPr>
          </w:p>
        </w:tc>
        <w:tc>
          <w:tcPr>
            <w:tcW w:w="13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180" w:type="dxa"/>
            <w:vAlign w:val="bottom"/>
            <w:shd w:val="clear" w:color="auto" w:fill="E0E7ED"/>
          </w:tcPr>
          <w:p>
            <w:pPr>
              <w:spacing w:after="0"/>
              <w:rPr>
                <w:sz w:val="23"/>
                <w:szCs w:val="23"/>
                <w:color w:val="auto"/>
              </w:rPr>
            </w:pPr>
          </w:p>
        </w:tc>
        <w:tc>
          <w:tcPr>
            <w:tcW w:w="1340" w:type="dxa"/>
            <w:vAlign w:val="bottom"/>
            <w:shd w:val="clear" w:color="auto" w:fill="E0E7ED"/>
          </w:tcPr>
          <w:p>
            <w:pPr>
              <w:jc w:val="right"/>
              <w:ind w:right="22"/>
              <w:spacing w:after="0"/>
              <w:rPr>
                <w:sz w:val="20"/>
                <w:szCs w:val="20"/>
                <w:color w:val="auto"/>
              </w:rPr>
            </w:pPr>
            <w:r>
              <w:rPr>
                <w:rFonts w:ascii="Verdana" w:cs="Verdana" w:eastAsia="Verdana" w:hAnsi="Verdana"/>
                <w:sz w:val="18"/>
                <w:szCs w:val="18"/>
                <w:color w:val="auto"/>
              </w:rPr>
              <w:t>8,917</w:t>
            </w:r>
          </w:p>
        </w:tc>
        <w:tc>
          <w:tcPr>
            <w:tcW w:w="8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320" w:type="dxa"/>
            <w:vAlign w:val="bottom"/>
            <w:shd w:val="clear" w:color="auto" w:fill="E0E7ED"/>
          </w:tcPr>
          <w:p>
            <w:pPr>
              <w:jc w:val="right"/>
              <w:ind w:right="18"/>
              <w:spacing w:after="0"/>
              <w:rPr>
                <w:sz w:val="20"/>
                <w:szCs w:val="20"/>
                <w:color w:val="auto"/>
              </w:rPr>
            </w:pPr>
            <w:r>
              <w:rPr>
                <w:rFonts w:ascii="Verdana" w:cs="Verdana" w:eastAsia="Verdana" w:hAnsi="Verdana"/>
                <w:sz w:val="18"/>
                <w:szCs w:val="18"/>
                <w:color w:val="auto"/>
              </w:rPr>
              <w:t>3,370</w:t>
            </w:r>
          </w:p>
        </w:tc>
      </w:tr>
      <w:tr>
        <w:trPr>
          <w:trHeight w:val="270"/>
        </w:trPr>
        <w:tc>
          <w:tcPr>
            <w:tcW w:w="4940" w:type="dxa"/>
            <w:vAlign w:val="bottom"/>
          </w:tcPr>
          <w:p>
            <w:pPr>
              <w:ind w:left="20"/>
              <w:spacing w:after="0"/>
              <w:rPr>
                <w:sz w:val="20"/>
                <w:szCs w:val="20"/>
                <w:color w:val="auto"/>
              </w:rPr>
            </w:pPr>
            <w:r>
              <w:rPr>
                <w:rFonts w:ascii="Verdana" w:cs="Verdana" w:eastAsia="Verdana" w:hAnsi="Verdana"/>
                <w:sz w:val="18"/>
                <w:szCs w:val="18"/>
                <w:color w:val="auto"/>
              </w:rPr>
              <w:t>Consolidated total</w:t>
            </w:r>
          </w:p>
        </w:tc>
        <w:tc>
          <w:tcPr>
            <w:tcW w:w="18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w w:val="86"/>
              </w:rPr>
              <w:t>$</w:t>
            </w:r>
          </w:p>
        </w:tc>
        <w:tc>
          <w:tcPr>
            <w:tcW w:w="1320" w:type="dxa"/>
            <w:vAlign w:val="bottom"/>
            <w:tcBorders>
              <w:top w:val="single" w:sz="8" w:color="auto"/>
              <w:bottom w:val="single" w:sz="8" w:color="auto"/>
            </w:tcBorders>
          </w:tcPr>
          <w:p>
            <w:pPr>
              <w:jc w:val="right"/>
              <w:ind w:right="22"/>
              <w:spacing w:after="0"/>
              <w:rPr>
                <w:sz w:val="20"/>
                <w:szCs w:val="20"/>
                <w:color w:val="auto"/>
              </w:rPr>
            </w:pPr>
            <w:r>
              <w:rPr>
                <w:rFonts w:ascii="Verdana" w:cs="Verdana" w:eastAsia="Verdana" w:hAnsi="Verdana"/>
                <w:sz w:val="18"/>
                <w:szCs w:val="18"/>
                <w:color w:val="auto"/>
              </w:rPr>
              <w:t>333,498</w:t>
            </w:r>
          </w:p>
        </w:tc>
        <w:tc>
          <w:tcPr>
            <w:tcW w:w="80" w:type="dxa"/>
            <w:vAlign w:val="bottom"/>
          </w:tcPr>
          <w:p>
            <w:pPr>
              <w:spacing w:after="0"/>
              <w:rPr>
                <w:sz w:val="23"/>
                <w:szCs w:val="23"/>
                <w:color w:val="auto"/>
              </w:rPr>
            </w:pP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Verdana" w:cs="Verdana" w:eastAsia="Verdana" w:hAnsi="Verdana"/>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317,873</w:t>
            </w:r>
          </w:p>
        </w:tc>
        <w:tc>
          <w:tcPr>
            <w:tcW w:w="100" w:type="dxa"/>
            <w:vAlign w:val="bottom"/>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40" w:type="dxa"/>
            <w:vAlign w:val="bottom"/>
            <w:tcBorders>
              <w:top w:val="single" w:sz="8" w:color="auto"/>
              <w:bottom w:val="single" w:sz="8" w:color="auto"/>
            </w:tcBorders>
          </w:tcPr>
          <w:p>
            <w:pPr>
              <w:jc w:val="right"/>
              <w:ind w:right="22"/>
              <w:spacing w:after="0"/>
              <w:rPr>
                <w:sz w:val="20"/>
                <w:szCs w:val="20"/>
                <w:color w:val="auto"/>
              </w:rPr>
            </w:pPr>
            <w:r>
              <w:rPr>
                <w:rFonts w:ascii="Verdana" w:cs="Verdana" w:eastAsia="Verdana" w:hAnsi="Verdana"/>
                <w:sz w:val="18"/>
                <w:szCs w:val="18"/>
                <w:color w:val="auto"/>
              </w:rPr>
              <w:t>11,986,839</w:t>
            </w:r>
          </w:p>
        </w:tc>
        <w:tc>
          <w:tcPr>
            <w:tcW w:w="80" w:type="dxa"/>
            <w:vAlign w:val="bottom"/>
          </w:tcPr>
          <w:p>
            <w:pPr>
              <w:spacing w:after="0"/>
              <w:rPr>
                <w:sz w:val="23"/>
                <w:szCs w:val="23"/>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12,283,415</w:t>
            </w:r>
          </w:p>
        </w:tc>
      </w:tr>
      <w:tr>
        <w:trPr>
          <w:trHeight w:val="20"/>
        </w:trPr>
        <w:tc>
          <w:tcPr>
            <w:tcW w:w="4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68" w:name="page69"/>
    <w:bookmarkEnd w:id="68"/>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60" w:type="dxa"/>
            <w:vAlign w:val="bottom"/>
            <w:gridSpan w:val="5"/>
          </w:tcPr>
          <w:p>
            <w:pPr>
              <w:ind w:left="60"/>
              <w:spacing w:after="0"/>
              <w:rPr>
                <w:sz w:val="20"/>
                <w:szCs w:val="20"/>
                <w:color w:val="auto"/>
              </w:rPr>
            </w:pPr>
            <w:r>
              <w:rPr>
                <w:rFonts w:ascii="Verdana" w:cs="Verdana" w:eastAsia="Verdana" w:hAnsi="Verdana"/>
                <w:sz w:val="13"/>
                <w:szCs w:val="13"/>
                <w:b w:val="1"/>
                <w:bCs w:val="1"/>
                <w:color w:val="auto"/>
              </w:rPr>
              <w:t>Three Months Ended September 30,</w:t>
            </w:r>
          </w:p>
        </w:tc>
        <w:tc>
          <w:tcPr>
            <w:tcW w:w="240" w:type="dxa"/>
            <w:vAlign w:val="bottom"/>
          </w:tcPr>
          <w:p>
            <w:pPr>
              <w:spacing w:after="0"/>
              <w:rPr>
                <w:sz w:val="15"/>
                <w:szCs w:val="15"/>
                <w:color w:val="auto"/>
              </w:rPr>
            </w:pPr>
          </w:p>
        </w:tc>
        <w:tc>
          <w:tcPr>
            <w:tcW w:w="2860" w:type="dxa"/>
            <w:vAlign w:val="bottom"/>
            <w:gridSpan w:val="4"/>
          </w:tcPr>
          <w:p>
            <w:pPr>
              <w:jc w:val="right"/>
              <w:ind w:right="231"/>
              <w:spacing w:after="0"/>
              <w:rPr>
                <w:sz w:val="20"/>
                <w:szCs w:val="20"/>
                <w:color w:val="auto"/>
              </w:rPr>
            </w:pPr>
            <w:r>
              <w:rPr>
                <w:rFonts w:ascii="Verdana" w:cs="Verdana" w:eastAsia="Verdana" w:hAnsi="Verdana"/>
                <w:sz w:val="13"/>
                <w:szCs w:val="13"/>
                <w:b w:val="1"/>
                <w:bCs w:val="1"/>
                <w:color w:val="auto"/>
                <w:w w:val="99"/>
              </w:rPr>
              <w:t>Nine Months Ended September 30,</w:t>
            </w:r>
          </w:p>
        </w:tc>
      </w:tr>
      <w:tr>
        <w:trPr>
          <w:trHeight w:val="170"/>
        </w:trPr>
        <w:tc>
          <w:tcPr>
            <w:tcW w:w="4960" w:type="dxa"/>
            <w:vAlign w:val="bottom"/>
            <w:tcBorders>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472"/>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E0E7ED"/>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472"/>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49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Net interest income</w:t>
            </w:r>
          </w:p>
        </w:tc>
        <w:tc>
          <w:tcPr>
            <w:tcW w:w="220" w:type="dxa"/>
            <w:vAlign w:val="bottom"/>
            <w:shd w:val="clear" w:color="auto" w:fill="E0E7ED"/>
          </w:tcPr>
          <w:p>
            <w:pPr>
              <w:spacing w:after="0"/>
              <w:rPr>
                <w:sz w:val="22"/>
                <w:szCs w:val="22"/>
                <w:color w:val="auto"/>
              </w:rPr>
            </w:pPr>
          </w:p>
        </w:tc>
        <w:tc>
          <w:tcPr>
            <w:tcW w:w="12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40" w:type="dxa"/>
            <w:vAlign w:val="bottom"/>
            <w:shd w:val="clear" w:color="auto" w:fill="E0E7ED"/>
          </w:tcPr>
          <w:p>
            <w:pPr>
              <w:spacing w:after="0"/>
              <w:rPr>
                <w:sz w:val="22"/>
                <w:szCs w:val="22"/>
                <w:color w:val="auto"/>
              </w:rPr>
            </w:pPr>
          </w:p>
        </w:tc>
        <w:tc>
          <w:tcPr>
            <w:tcW w:w="116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40" w:type="dxa"/>
            <w:vAlign w:val="bottom"/>
            <w:shd w:val="clear" w:color="auto" w:fill="E0E7ED"/>
          </w:tcPr>
          <w:p>
            <w:pPr>
              <w:spacing w:after="0"/>
              <w:rPr>
                <w:sz w:val="22"/>
                <w:szCs w:val="22"/>
                <w:color w:val="auto"/>
              </w:rPr>
            </w:pPr>
          </w:p>
        </w:tc>
        <w:tc>
          <w:tcPr>
            <w:tcW w:w="12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1140" w:type="dxa"/>
            <w:vAlign w:val="bottom"/>
            <w:shd w:val="clear" w:color="auto" w:fill="E0E7ED"/>
          </w:tcPr>
          <w:p>
            <w:pPr>
              <w:spacing w:after="0"/>
              <w:rPr>
                <w:sz w:val="22"/>
                <w:szCs w:val="22"/>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Banking</w:t>
            </w: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86,425</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tcPr>
          <w:p>
            <w:pPr>
              <w:jc w:val="right"/>
              <w:ind w:right="11"/>
              <w:spacing w:after="0"/>
              <w:rPr>
                <w:sz w:val="20"/>
                <w:szCs w:val="20"/>
                <w:color w:val="auto"/>
              </w:rPr>
            </w:pPr>
            <w:r>
              <w:rPr>
                <w:rFonts w:ascii="Verdana" w:cs="Verdana" w:eastAsia="Verdana" w:hAnsi="Verdana"/>
                <w:sz w:val="18"/>
                <w:szCs w:val="18"/>
                <w:color w:val="auto"/>
              </w:rPr>
              <w:t>81,794</w:t>
            </w:r>
          </w:p>
        </w:tc>
        <w:tc>
          <w:tcPr>
            <w:tcW w:w="8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spacing w:after="0"/>
              <w:rPr>
                <w:sz w:val="20"/>
                <w:szCs w:val="20"/>
                <w:color w:val="auto"/>
              </w:rPr>
            </w:pPr>
            <w:r>
              <w:rPr>
                <w:rFonts w:ascii="Verdana" w:cs="Verdana" w:eastAsia="Verdana" w:hAnsi="Verdana"/>
                <w:sz w:val="18"/>
                <w:szCs w:val="18"/>
                <w:color w:val="auto"/>
              </w:rPr>
              <w:t>252,200</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Pr>
          <w:p>
            <w:pPr>
              <w:jc w:val="right"/>
              <w:spacing w:after="0"/>
              <w:rPr>
                <w:sz w:val="20"/>
                <w:szCs w:val="20"/>
                <w:color w:val="auto"/>
              </w:rPr>
            </w:pPr>
            <w:r>
              <w:rPr>
                <w:rFonts w:ascii="Verdana" w:cs="Verdana" w:eastAsia="Verdana" w:hAnsi="Verdana"/>
                <w:sz w:val="18"/>
                <w:szCs w:val="18"/>
                <w:color w:val="auto"/>
              </w:rPr>
              <w:t>254,394</w:t>
            </w:r>
          </w:p>
        </w:tc>
      </w:tr>
      <w:tr>
        <w:trPr>
          <w:trHeight w:val="277"/>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FirsTech</w:t>
            </w:r>
          </w:p>
        </w:tc>
        <w:tc>
          <w:tcPr>
            <w:tcW w:w="22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8"/>
                <w:szCs w:val="18"/>
                <w:color w:val="auto"/>
              </w:rPr>
              <w:t>14</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37</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41</w:t>
            </w:r>
          </w:p>
        </w:tc>
      </w:tr>
      <w:tr>
        <w:trPr>
          <w:trHeight w:val="263"/>
        </w:trPr>
        <w:tc>
          <w:tcPr>
            <w:tcW w:w="49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Other</w:t>
            </w: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(3,896)</w:t>
            </w:r>
          </w:p>
        </w:tc>
        <w:tc>
          <w:tcPr>
            <w:tcW w:w="10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(4,017)</w:t>
            </w:r>
          </w:p>
        </w:tc>
        <w:tc>
          <w:tcPr>
            <w:tcW w:w="80" w:type="dxa"/>
            <w:vAlign w:val="bottom"/>
            <w:tcBorders>
              <w:bottom w:val="single" w:sz="8" w:color="E0E7ED"/>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(11,495)</w:t>
            </w:r>
          </w:p>
        </w:tc>
        <w:tc>
          <w:tcPr>
            <w:tcW w:w="100" w:type="dxa"/>
            <w:vAlign w:val="bottom"/>
            <w:tcBorders>
              <w:bottom w:val="single" w:sz="8" w:color="E0E7E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(12,117)</w:t>
            </w:r>
          </w:p>
        </w:tc>
      </w:tr>
      <w:tr>
        <w:trPr>
          <w:trHeight w:val="295"/>
        </w:trPr>
        <w:tc>
          <w:tcPr>
            <w:tcW w:w="49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Net interest income</w:t>
            </w:r>
          </w:p>
        </w:tc>
        <w:tc>
          <w:tcPr>
            <w:tcW w:w="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82,541</w:t>
            </w:r>
          </w:p>
        </w:tc>
        <w:tc>
          <w:tcPr>
            <w:tcW w:w="100" w:type="dxa"/>
            <w:vAlign w:val="bottom"/>
            <w:tcBorders>
              <w:bottom w:val="single" w:sz="8" w:color="E0E7ED"/>
            </w:tcBorders>
            <w:shd w:val="clear" w:color="auto" w:fill="E0E7ED"/>
          </w:tcPr>
          <w:p>
            <w:pPr>
              <w:spacing w:after="0"/>
              <w:rPr>
                <w:sz w:val="24"/>
                <w:szCs w:val="24"/>
                <w:color w:val="auto"/>
              </w:rPr>
            </w:pPr>
          </w:p>
        </w:tc>
        <w:tc>
          <w:tcPr>
            <w:tcW w:w="340" w:type="dxa"/>
            <w:vAlign w:val="bottom"/>
            <w:tcBorders>
              <w:bottom w:val="single" w:sz="8" w:color="auto"/>
            </w:tcBorders>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8"/>
                <w:szCs w:val="18"/>
                <w:color w:val="auto"/>
              </w:rPr>
              <w:t>77,791</w:t>
            </w:r>
          </w:p>
        </w:tc>
        <w:tc>
          <w:tcPr>
            <w:tcW w:w="80" w:type="dxa"/>
            <w:vAlign w:val="bottom"/>
            <w:tcBorders>
              <w:bottom w:val="single" w:sz="8" w:color="E0E7ED"/>
            </w:tcBorders>
            <w:shd w:val="clear" w:color="auto" w:fill="E0E7ED"/>
          </w:tcPr>
          <w:p>
            <w:pPr>
              <w:spacing w:after="0"/>
              <w:rPr>
                <w:sz w:val="24"/>
                <w:szCs w:val="24"/>
                <w:color w:val="auto"/>
              </w:rPr>
            </w:pPr>
          </w:p>
        </w:tc>
        <w:tc>
          <w:tcPr>
            <w:tcW w:w="240" w:type="dxa"/>
            <w:vAlign w:val="bottom"/>
            <w:tcBorders>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240,742</w:t>
            </w:r>
          </w:p>
        </w:tc>
        <w:tc>
          <w:tcPr>
            <w:tcW w:w="100" w:type="dxa"/>
            <w:vAlign w:val="bottom"/>
            <w:tcBorders>
              <w:bottom w:val="single" w:sz="8" w:color="E0E7ED"/>
            </w:tcBorders>
            <w:shd w:val="clear" w:color="auto" w:fill="E0E7ED"/>
          </w:tcPr>
          <w:p>
            <w:pPr>
              <w:spacing w:after="0"/>
              <w:rPr>
                <w:sz w:val="24"/>
                <w:szCs w:val="24"/>
                <w:color w:val="auto"/>
              </w:rPr>
            </w:pPr>
          </w:p>
        </w:tc>
        <w:tc>
          <w:tcPr>
            <w:tcW w:w="360" w:type="dxa"/>
            <w:vAlign w:val="bottom"/>
            <w:tcBorders>
              <w:bottom w:val="single" w:sz="8" w:color="auto"/>
            </w:tcBorders>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242,318</w:t>
            </w:r>
          </w:p>
        </w:tc>
      </w:tr>
      <w:tr>
        <w:trPr>
          <w:trHeight w:val="20"/>
        </w:trPr>
        <w:tc>
          <w:tcPr>
            <w:tcW w:w="496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2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r>
      <w:tr>
        <w:trPr>
          <w:trHeight w:val="217"/>
        </w:trPr>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70"/>
        </w:trPr>
        <w:tc>
          <w:tcPr>
            <w:tcW w:w="49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Noninterest income</w:t>
            </w:r>
          </w:p>
        </w:tc>
        <w:tc>
          <w:tcPr>
            <w:tcW w:w="220" w:type="dxa"/>
            <w:vAlign w:val="bottom"/>
            <w:shd w:val="clear" w:color="auto" w:fill="E0E7ED"/>
          </w:tcPr>
          <w:p>
            <w:pPr>
              <w:spacing w:after="0"/>
              <w:rPr>
                <w:sz w:val="23"/>
                <w:szCs w:val="23"/>
                <w:color w:val="auto"/>
              </w:rPr>
            </w:pPr>
          </w:p>
        </w:tc>
        <w:tc>
          <w:tcPr>
            <w:tcW w:w="12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spacing w:after="0"/>
              <w:rPr>
                <w:sz w:val="23"/>
                <w:szCs w:val="23"/>
                <w:color w:val="auto"/>
              </w:rPr>
            </w:pPr>
          </w:p>
        </w:tc>
        <w:tc>
          <w:tcPr>
            <w:tcW w:w="116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26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60" w:type="dxa"/>
            <w:vAlign w:val="bottom"/>
            <w:shd w:val="clear" w:color="auto" w:fill="E0E7ED"/>
          </w:tcPr>
          <w:p>
            <w:pPr>
              <w:spacing w:after="0"/>
              <w:rPr>
                <w:sz w:val="23"/>
                <w:szCs w:val="23"/>
                <w:color w:val="auto"/>
              </w:rPr>
            </w:pPr>
          </w:p>
        </w:tc>
        <w:tc>
          <w:tcPr>
            <w:tcW w:w="1140" w:type="dxa"/>
            <w:vAlign w:val="bottom"/>
            <w:shd w:val="clear" w:color="auto" w:fill="E0E7ED"/>
          </w:tcPr>
          <w:p>
            <w:pPr>
              <w:spacing w:after="0"/>
              <w:rPr>
                <w:sz w:val="23"/>
                <w:szCs w:val="23"/>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Banking</w:t>
            </w: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14,056</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tcPr>
          <w:p>
            <w:pPr>
              <w:jc w:val="right"/>
              <w:ind w:right="11"/>
              <w:spacing w:after="0"/>
              <w:rPr>
                <w:sz w:val="20"/>
                <w:szCs w:val="20"/>
                <w:color w:val="auto"/>
              </w:rPr>
            </w:pPr>
            <w:r>
              <w:rPr>
                <w:rFonts w:ascii="Verdana" w:cs="Verdana" w:eastAsia="Verdana" w:hAnsi="Verdana"/>
                <w:sz w:val="18"/>
                <w:szCs w:val="18"/>
                <w:color w:val="auto"/>
              </w:rPr>
              <w:t>11,983</w:t>
            </w:r>
          </w:p>
        </w:tc>
        <w:tc>
          <w:tcPr>
            <w:tcW w:w="8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spacing w:after="0"/>
              <w:rPr>
                <w:sz w:val="20"/>
                <w:szCs w:val="20"/>
                <w:color w:val="auto"/>
              </w:rPr>
            </w:pPr>
            <w:r>
              <w:rPr>
                <w:rFonts w:ascii="Verdana" w:cs="Verdana" w:eastAsia="Verdana" w:hAnsi="Verdana"/>
                <w:sz w:val="18"/>
                <w:szCs w:val="18"/>
                <w:color w:val="auto"/>
              </w:rPr>
              <w:t>39,962</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Pr>
          <w:p>
            <w:pPr>
              <w:jc w:val="right"/>
              <w:spacing w:after="0"/>
              <w:rPr>
                <w:sz w:val="20"/>
                <w:szCs w:val="20"/>
                <w:color w:val="auto"/>
              </w:rPr>
            </w:pPr>
            <w:r>
              <w:rPr>
                <w:rFonts w:ascii="Verdana" w:cs="Verdana" w:eastAsia="Verdana" w:hAnsi="Verdana"/>
                <w:sz w:val="18"/>
                <w:szCs w:val="18"/>
                <w:color w:val="auto"/>
              </w:rPr>
              <w:t>34,716</w:t>
            </w:r>
          </w:p>
        </w:tc>
      </w:tr>
      <w:tr>
        <w:trPr>
          <w:trHeight w:val="277"/>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Wealth Management</w:t>
            </w:r>
          </w:p>
        </w:tc>
        <w:tc>
          <w:tcPr>
            <w:tcW w:w="22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16,169</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8"/>
                <w:szCs w:val="18"/>
                <w:color w:val="auto"/>
              </w:rPr>
              <w:t>14,350</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47,989</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43,993</w:t>
            </w: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FirsTech</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5,551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Verdana" w:cs="Verdana" w:eastAsia="Verdana" w:hAnsi="Verdana"/>
                <w:sz w:val="18"/>
                <w:szCs w:val="18"/>
                <w:color w:val="auto"/>
              </w:rPr>
              <w:t>5,665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17,700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16,954</w:t>
            </w:r>
          </w:p>
        </w:tc>
      </w:tr>
      <w:tr>
        <w:trPr>
          <w:trHeight w:val="270"/>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Other</w:t>
            </w:r>
          </w:p>
        </w:tc>
        <w:tc>
          <w:tcPr>
            <w:tcW w:w="220" w:type="dxa"/>
            <w:vAlign w:val="bottom"/>
            <w:tcBorders>
              <w:bottom w:val="single" w:sz="8" w:color="auto"/>
            </w:tcBorders>
            <w:shd w:val="clear" w:color="auto" w:fill="E0E7ED"/>
          </w:tcPr>
          <w:p>
            <w:pPr>
              <w:spacing w:after="0"/>
              <w:rPr>
                <w:sz w:val="23"/>
                <w:szCs w:val="23"/>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175</w:t>
            </w:r>
          </w:p>
        </w:tc>
        <w:tc>
          <w:tcPr>
            <w:tcW w:w="100" w:type="dxa"/>
            <w:vAlign w:val="bottom"/>
            <w:shd w:val="clear" w:color="auto" w:fill="E0E7ED"/>
          </w:tcPr>
          <w:p>
            <w:pPr>
              <w:spacing w:after="0"/>
              <w:rPr>
                <w:sz w:val="23"/>
                <w:szCs w:val="23"/>
                <w:color w:val="auto"/>
              </w:rPr>
            </w:pPr>
          </w:p>
        </w:tc>
        <w:tc>
          <w:tcPr>
            <w:tcW w:w="340" w:type="dxa"/>
            <w:vAlign w:val="bottom"/>
            <w:tcBorders>
              <w:bottom w:val="single" w:sz="8" w:color="auto"/>
            </w:tcBorders>
            <w:shd w:val="clear" w:color="auto" w:fill="E0E7ED"/>
          </w:tcPr>
          <w:p>
            <w:pPr>
              <w:spacing w:after="0"/>
              <w:rPr>
                <w:sz w:val="23"/>
                <w:szCs w:val="23"/>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(990)</w:t>
            </w:r>
          </w:p>
        </w:tc>
        <w:tc>
          <w:tcPr>
            <w:tcW w:w="8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(899)</w:t>
            </w:r>
          </w:p>
        </w:tc>
        <w:tc>
          <w:tcPr>
            <w:tcW w:w="100" w:type="dxa"/>
            <w:vAlign w:val="bottom"/>
            <w:shd w:val="clear" w:color="auto" w:fill="E0E7ED"/>
          </w:tcPr>
          <w:p>
            <w:pPr>
              <w:spacing w:after="0"/>
              <w:rPr>
                <w:sz w:val="23"/>
                <w:szCs w:val="23"/>
                <w:color w:val="auto"/>
              </w:rPr>
            </w:pPr>
          </w:p>
        </w:tc>
        <w:tc>
          <w:tcPr>
            <w:tcW w:w="360" w:type="dxa"/>
            <w:vAlign w:val="bottom"/>
            <w:tcBorders>
              <w:bottom w:val="single" w:sz="8" w:color="auto"/>
            </w:tcBorders>
            <w:shd w:val="clear" w:color="auto" w:fill="E0E7ED"/>
          </w:tcPr>
          <w:p>
            <w:pPr>
              <w:spacing w:after="0"/>
              <w:rPr>
                <w:sz w:val="23"/>
                <w:szCs w:val="23"/>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(4,795)</w:t>
            </w:r>
          </w:p>
        </w:tc>
      </w:tr>
      <w:tr>
        <w:trPr>
          <w:trHeight w:val="270"/>
        </w:trPr>
        <w:tc>
          <w:tcPr>
            <w:tcW w:w="4960" w:type="dxa"/>
            <w:vAlign w:val="bottom"/>
          </w:tcPr>
          <w:p>
            <w:pPr>
              <w:ind w:left="20"/>
              <w:spacing w:after="0"/>
              <w:rPr>
                <w:sz w:val="20"/>
                <w:szCs w:val="20"/>
                <w:color w:val="auto"/>
              </w:rPr>
            </w:pPr>
            <w:r>
              <w:rPr>
                <w:rFonts w:ascii="Verdana" w:cs="Verdana" w:eastAsia="Verdana" w:hAnsi="Verdana"/>
                <w:sz w:val="18"/>
                <w:szCs w:val="18"/>
                <w:color w:val="auto"/>
              </w:rPr>
              <w:t>Total noninterest income</w:t>
            </w:r>
          </w:p>
        </w:tc>
        <w:tc>
          <w:tcPr>
            <w:tcW w:w="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35,951</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8"/>
                <w:szCs w:val="18"/>
                <w:color w:val="auto"/>
              </w:rPr>
              <w:t>31,008</w:t>
            </w:r>
          </w:p>
        </w:tc>
        <w:tc>
          <w:tcPr>
            <w:tcW w:w="80" w:type="dxa"/>
            <w:vAlign w:val="bottom"/>
          </w:tcPr>
          <w:p>
            <w:pPr>
              <w:spacing w:after="0"/>
              <w:rPr>
                <w:sz w:val="23"/>
                <w:szCs w:val="23"/>
                <w:color w:val="auto"/>
              </w:rPr>
            </w:pPr>
          </w:p>
        </w:tc>
        <w:tc>
          <w:tcPr>
            <w:tcW w:w="24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104,752</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90,868</w:t>
            </w:r>
          </w:p>
        </w:tc>
      </w:tr>
      <w:tr>
        <w:trPr>
          <w:trHeight w:val="20"/>
        </w:trPr>
        <w:tc>
          <w:tcPr>
            <w:tcW w:w="4960" w:type="dxa"/>
            <w:vAlign w:val="bottom"/>
            <w:tcBorders>
              <w:bottom w:val="single" w:sz="8" w:color="E0E7E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496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12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40" w:type="dxa"/>
            <w:vAlign w:val="bottom"/>
            <w:shd w:val="clear" w:color="auto" w:fill="E0E7ED"/>
          </w:tcPr>
          <w:p>
            <w:pPr>
              <w:spacing w:after="0"/>
              <w:rPr>
                <w:sz w:val="20"/>
                <w:szCs w:val="20"/>
                <w:color w:val="auto"/>
              </w:rPr>
            </w:pPr>
          </w:p>
        </w:tc>
        <w:tc>
          <w:tcPr>
            <w:tcW w:w="116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126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60" w:type="dxa"/>
            <w:vAlign w:val="bottom"/>
            <w:shd w:val="clear" w:color="auto" w:fill="E0E7ED"/>
          </w:tcPr>
          <w:p>
            <w:pPr>
              <w:spacing w:after="0"/>
              <w:rPr>
                <w:sz w:val="20"/>
                <w:szCs w:val="20"/>
                <w:color w:val="auto"/>
              </w:rPr>
            </w:pPr>
          </w:p>
        </w:tc>
        <w:tc>
          <w:tcPr>
            <w:tcW w:w="1140" w:type="dxa"/>
            <w:vAlign w:val="bottom"/>
            <w:shd w:val="clear" w:color="auto" w:fill="E0E7ED"/>
          </w:tcPr>
          <w:p>
            <w:pPr>
              <w:spacing w:after="0"/>
              <w:rPr>
                <w:sz w:val="20"/>
                <w:szCs w:val="20"/>
                <w:color w:val="auto"/>
              </w:rPr>
            </w:pPr>
          </w:p>
        </w:tc>
      </w:tr>
      <w:tr>
        <w:trPr>
          <w:trHeight w:val="263"/>
        </w:trPr>
        <w:tc>
          <w:tcPr>
            <w:tcW w:w="4960" w:type="dxa"/>
            <w:vAlign w:val="bottom"/>
          </w:tcPr>
          <w:p>
            <w:pPr>
              <w:ind w:left="20"/>
              <w:spacing w:after="0"/>
              <w:rPr>
                <w:sz w:val="20"/>
                <w:szCs w:val="20"/>
                <w:color w:val="auto"/>
              </w:rPr>
            </w:pPr>
            <w:r>
              <w:rPr>
                <w:rFonts w:ascii="Verdana" w:cs="Verdana" w:eastAsia="Verdana" w:hAnsi="Verdana"/>
                <w:sz w:val="18"/>
                <w:szCs w:val="18"/>
                <w:b w:val="1"/>
                <w:bCs w:val="1"/>
                <w:color w:val="auto"/>
              </w:rPr>
              <w:t>Noninterest expense</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Banking</w:t>
            </w:r>
          </w:p>
        </w:tc>
        <w:tc>
          <w:tcPr>
            <w:tcW w:w="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56,740</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8"/>
                <w:szCs w:val="18"/>
                <w:color w:val="auto"/>
              </w:rPr>
              <w:t>55,172</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167,724</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163,314</w:t>
            </w: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Wealth Management</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8,777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Verdana" w:cs="Verdana" w:eastAsia="Verdana" w:hAnsi="Verdana"/>
                <w:sz w:val="18"/>
                <w:szCs w:val="18"/>
                <w:color w:val="auto"/>
              </w:rPr>
              <w:t>8,059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26,704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24,821</w:t>
            </w:r>
          </w:p>
        </w:tc>
      </w:tr>
      <w:tr>
        <w:trPr>
          <w:trHeight w:val="277"/>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FirsTech</w:t>
            </w:r>
          </w:p>
        </w:tc>
        <w:tc>
          <w:tcPr>
            <w:tcW w:w="22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5,648</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8"/>
                <w:szCs w:val="18"/>
                <w:color w:val="auto"/>
              </w:rPr>
              <w:t>5,245</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17,666</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16,303</w:t>
            </w:r>
          </w:p>
        </w:tc>
      </w:tr>
      <w:tr>
        <w:trPr>
          <w:trHeight w:val="264"/>
        </w:trPr>
        <w:tc>
          <w:tcPr>
            <w:tcW w:w="49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Other</w:t>
            </w: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4,761</w:t>
            </w:r>
          </w:p>
        </w:tc>
        <w:tc>
          <w:tcPr>
            <w:tcW w:w="10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8"/>
                <w:szCs w:val="18"/>
                <w:color w:val="auto"/>
              </w:rPr>
              <w:t>2,469</w:t>
            </w:r>
          </w:p>
        </w:tc>
        <w:tc>
          <w:tcPr>
            <w:tcW w:w="80" w:type="dxa"/>
            <w:vAlign w:val="bottom"/>
            <w:tcBorders>
              <w:bottom w:val="single" w:sz="8" w:color="E0E7ED"/>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10,138</w:t>
            </w:r>
          </w:p>
        </w:tc>
        <w:tc>
          <w:tcPr>
            <w:tcW w:w="100" w:type="dxa"/>
            <w:vAlign w:val="bottom"/>
            <w:tcBorders>
              <w:bottom w:val="single" w:sz="8" w:color="E0E7E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8"/>
                <w:szCs w:val="18"/>
                <w:color w:val="auto"/>
              </w:rPr>
              <w:t>6,115</w:t>
            </w:r>
          </w:p>
        </w:tc>
      </w:tr>
      <w:tr>
        <w:trPr>
          <w:trHeight w:val="295"/>
        </w:trPr>
        <w:tc>
          <w:tcPr>
            <w:tcW w:w="49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noninterest expense</w:t>
            </w:r>
          </w:p>
        </w:tc>
        <w:tc>
          <w:tcPr>
            <w:tcW w:w="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75,926</w:t>
            </w:r>
          </w:p>
        </w:tc>
        <w:tc>
          <w:tcPr>
            <w:tcW w:w="100" w:type="dxa"/>
            <w:vAlign w:val="bottom"/>
            <w:tcBorders>
              <w:bottom w:val="single" w:sz="8" w:color="E0E7ED"/>
            </w:tcBorders>
            <w:shd w:val="clear" w:color="auto" w:fill="E0E7ED"/>
          </w:tcPr>
          <w:p>
            <w:pPr>
              <w:spacing w:after="0"/>
              <w:rPr>
                <w:sz w:val="24"/>
                <w:szCs w:val="24"/>
                <w:color w:val="auto"/>
              </w:rPr>
            </w:pPr>
          </w:p>
        </w:tc>
        <w:tc>
          <w:tcPr>
            <w:tcW w:w="340" w:type="dxa"/>
            <w:vAlign w:val="bottom"/>
            <w:tcBorders>
              <w:bottom w:val="single" w:sz="8" w:color="auto"/>
            </w:tcBorders>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8"/>
                <w:szCs w:val="18"/>
                <w:color w:val="auto"/>
              </w:rPr>
              <w:t>70,945</w:t>
            </w:r>
          </w:p>
        </w:tc>
        <w:tc>
          <w:tcPr>
            <w:tcW w:w="80" w:type="dxa"/>
            <w:vAlign w:val="bottom"/>
            <w:tcBorders>
              <w:bottom w:val="single" w:sz="8" w:color="E0E7ED"/>
            </w:tcBorders>
            <w:shd w:val="clear" w:color="auto" w:fill="E0E7ED"/>
          </w:tcPr>
          <w:p>
            <w:pPr>
              <w:spacing w:after="0"/>
              <w:rPr>
                <w:sz w:val="24"/>
                <w:szCs w:val="24"/>
                <w:color w:val="auto"/>
              </w:rPr>
            </w:pPr>
          </w:p>
        </w:tc>
        <w:tc>
          <w:tcPr>
            <w:tcW w:w="240" w:type="dxa"/>
            <w:vAlign w:val="bottom"/>
            <w:tcBorders>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222,232</w:t>
            </w:r>
          </w:p>
        </w:tc>
        <w:tc>
          <w:tcPr>
            <w:tcW w:w="100" w:type="dxa"/>
            <w:vAlign w:val="bottom"/>
            <w:tcBorders>
              <w:bottom w:val="single" w:sz="8" w:color="E0E7ED"/>
            </w:tcBorders>
            <w:shd w:val="clear" w:color="auto" w:fill="E0E7ED"/>
          </w:tcPr>
          <w:p>
            <w:pPr>
              <w:spacing w:after="0"/>
              <w:rPr>
                <w:sz w:val="24"/>
                <w:szCs w:val="24"/>
                <w:color w:val="auto"/>
              </w:rPr>
            </w:pPr>
          </w:p>
        </w:tc>
        <w:tc>
          <w:tcPr>
            <w:tcW w:w="360" w:type="dxa"/>
            <w:vAlign w:val="bottom"/>
            <w:tcBorders>
              <w:bottom w:val="single" w:sz="8" w:color="auto"/>
            </w:tcBorders>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210,553</w:t>
            </w:r>
          </w:p>
        </w:tc>
      </w:tr>
      <w:tr>
        <w:trPr>
          <w:trHeight w:val="20"/>
        </w:trPr>
        <w:tc>
          <w:tcPr>
            <w:tcW w:w="496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2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r>
      <w:tr>
        <w:trPr>
          <w:trHeight w:val="217"/>
        </w:trPr>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70"/>
        </w:trPr>
        <w:tc>
          <w:tcPr>
            <w:tcW w:w="49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Income before income taxes</w:t>
            </w:r>
          </w:p>
        </w:tc>
        <w:tc>
          <w:tcPr>
            <w:tcW w:w="220" w:type="dxa"/>
            <w:vAlign w:val="bottom"/>
            <w:shd w:val="clear" w:color="auto" w:fill="E0E7ED"/>
          </w:tcPr>
          <w:p>
            <w:pPr>
              <w:spacing w:after="0"/>
              <w:rPr>
                <w:sz w:val="23"/>
                <w:szCs w:val="23"/>
                <w:color w:val="auto"/>
              </w:rPr>
            </w:pPr>
          </w:p>
        </w:tc>
        <w:tc>
          <w:tcPr>
            <w:tcW w:w="12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spacing w:after="0"/>
              <w:rPr>
                <w:sz w:val="23"/>
                <w:szCs w:val="23"/>
                <w:color w:val="auto"/>
              </w:rPr>
            </w:pPr>
          </w:p>
        </w:tc>
        <w:tc>
          <w:tcPr>
            <w:tcW w:w="116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26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60" w:type="dxa"/>
            <w:vAlign w:val="bottom"/>
            <w:shd w:val="clear" w:color="auto" w:fill="E0E7ED"/>
          </w:tcPr>
          <w:p>
            <w:pPr>
              <w:spacing w:after="0"/>
              <w:rPr>
                <w:sz w:val="23"/>
                <w:szCs w:val="23"/>
                <w:color w:val="auto"/>
              </w:rPr>
            </w:pPr>
          </w:p>
        </w:tc>
        <w:tc>
          <w:tcPr>
            <w:tcW w:w="1140" w:type="dxa"/>
            <w:vAlign w:val="bottom"/>
            <w:shd w:val="clear" w:color="auto" w:fill="E0E7ED"/>
          </w:tcPr>
          <w:p>
            <w:pPr>
              <w:spacing w:after="0"/>
              <w:rPr>
                <w:sz w:val="23"/>
                <w:szCs w:val="23"/>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Banking</w:t>
            </w: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43,739</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tcPr>
          <w:p>
            <w:pPr>
              <w:jc w:val="right"/>
              <w:ind w:right="11"/>
              <w:spacing w:after="0"/>
              <w:rPr>
                <w:sz w:val="20"/>
                <w:szCs w:val="20"/>
                <w:color w:val="auto"/>
              </w:rPr>
            </w:pPr>
            <w:r>
              <w:rPr>
                <w:rFonts w:ascii="Verdana" w:cs="Verdana" w:eastAsia="Verdana" w:hAnsi="Verdana"/>
                <w:sz w:val="18"/>
                <w:szCs w:val="18"/>
                <w:color w:val="auto"/>
              </w:rPr>
              <w:t>38,241</w:t>
            </w:r>
          </w:p>
        </w:tc>
        <w:tc>
          <w:tcPr>
            <w:tcW w:w="8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spacing w:after="0"/>
              <w:rPr>
                <w:sz w:val="20"/>
                <w:szCs w:val="20"/>
                <w:color w:val="auto"/>
              </w:rPr>
            </w:pPr>
            <w:r>
              <w:rPr>
                <w:rFonts w:ascii="Verdana" w:cs="Verdana" w:eastAsia="Verdana" w:hAnsi="Verdana"/>
                <w:sz w:val="18"/>
                <w:szCs w:val="18"/>
                <w:color w:val="auto"/>
              </w:rPr>
              <w:t>117,121</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Pr>
          <w:p>
            <w:pPr>
              <w:jc w:val="right"/>
              <w:spacing w:after="0"/>
              <w:rPr>
                <w:sz w:val="20"/>
                <w:szCs w:val="20"/>
                <w:color w:val="auto"/>
              </w:rPr>
            </w:pPr>
            <w:r>
              <w:rPr>
                <w:rFonts w:ascii="Verdana" w:cs="Verdana" w:eastAsia="Verdana" w:hAnsi="Verdana"/>
                <w:sz w:val="18"/>
                <w:szCs w:val="18"/>
                <w:color w:val="auto"/>
              </w:rPr>
              <w:t>123,852</w:t>
            </w:r>
          </w:p>
        </w:tc>
      </w:tr>
      <w:tr>
        <w:trPr>
          <w:trHeight w:val="277"/>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Wealth Management</w:t>
            </w:r>
          </w:p>
        </w:tc>
        <w:tc>
          <w:tcPr>
            <w:tcW w:w="22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7,392</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8"/>
                <w:szCs w:val="18"/>
                <w:color w:val="auto"/>
              </w:rPr>
              <w:t>6,291</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21,285</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19,172</w:t>
            </w: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FirsTech</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(85)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Verdana" w:cs="Verdana" w:eastAsia="Verdana" w:hAnsi="Verdana"/>
                <w:sz w:val="18"/>
                <w:szCs w:val="18"/>
                <w:color w:val="auto"/>
              </w:rPr>
              <w:t>434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71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692</w:t>
            </w:r>
          </w:p>
        </w:tc>
      </w:tr>
      <w:tr>
        <w:trPr>
          <w:trHeight w:val="270"/>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Other</w:t>
            </w:r>
          </w:p>
        </w:tc>
        <w:tc>
          <w:tcPr>
            <w:tcW w:w="220" w:type="dxa"/>
            <w:vAlign w:val="bottom"/>
            <w:tcBorders>
              <w:bottom w:val="single" w:sz="8" w:color="auto"/>
            </w:tcBorders>
            <w:shd w:val="clear" w:color="auto" w:fill="E0E7ED"/>
          </w:tcPr>
          <w:p>
            <w:pPr>
              <w:spacing w:after="0"/>
              <w:rPr>
                <w:sz w:val="23"/>
                <w:szCs w:val="23"/>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(8,482)</w:t>
            </w:r>
          </w:p>
        </w:tc>
        <w:tc>
          <w:tcPr>
            <w:tcW w:w="100" w:type="dxa"/>
            <w:vAlign w:val="bottom"/>
            <w:shd w:val="clear" w:color="auto" w:fill="E0E7ED"/>
          </w:tcPr>
          <w:p>
            <w:pPr>
              <w:spacing w:after="0"/>
              <w:rPr>
                <w:sz w:val="23"/>
                <w:szCs w:val="23"/>
                <w:color w:val="auto"/>
              </w:rPr>
            </w:pPr>
          </w:p>
        </w:tc>
        <w:tc>
          <w:tcPr>
            <w:tcW w:w="340" w:type="dxa"/>
            <w:vAlign w:val="bottom"/>
            <w:tcBorders>
              <w:bottom w:val="single" w:sz="8" w:color="auto"/>
            </w:tcBorders>
            <w:shd w:val="clear" w:color="auto" w:fill="E0E7ED"/>
          </w:tcPr>
          <w:p>
            <w:pPr>
              <w:spacing w:after="0"/>
              <w:rPr>
                <w:sz w:val="23"/>
                <w:szCs w:val="23"/>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(7,476)</w:t>
            </w:r>
          </w:p>
        </w:tc>
        <w:tc>
          <w:tcPr>
            <w:tcW w:w="8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(22,532)</w:t>
            </w:r>
          </w:p>
        </w:tc>
        <w:tc>
          <w:tcPr>
            <w:tcW w:w="100" w:type="dxa"/>
            <w:vAlign w:val="bottom"/>
            <w:shd w:val="clear" w:color="auto" w:fill="E0E7ED"/>
          </w:tcPr>
          <w:p>
            <w:pPr>
              <w:spacing w:after="0"/>
              <w:rPr>
                <w:sz w:val="23"/>
                <w:szCs w:val="23"/>
                <w:color w:val="auto"/>
              </w:rPr>
            </w:pPr>
          </w:p>
        </w:tc>
        <w:tc>
          <w:tcPr>
            <w:tcW w:w="360" w:type="dxa"/>
            <w:vAlign w:val="bottom"/>
            <w:tcBorders>
              <w:bottom w:val="single" w:sz="8" w:color="auto"/>
            </w:tcBorders>
            <w:shd w:val="clear" w:color="auto" w:fill="E0E7ED"/>
          </w:tcPr>
          <w:p>
            <w:pPr>
              <w:spacing w:after="0"/>
              <w:rPr>
                <w:sz w:val="23"/>
                <w:szCs w:val="23"/>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(23,027)</w:t>
            </w:r>
          </w:p>
        </w:tc>
      </w:tr>
      <w:tr>
        <w:trPr>
          <w:trHeight w:val="270"/>
        </w:trPr>
        <w:tc>
          <w:tcPr>
            <w:tcW w:w="4960" w:type="dxa"/>
            <w:vAlign w:val="bottom"/>
          </w:tcPr>
          <w:p>
            <w:pPr>
              <w:ind w:left="20"/>
              <w:spacing w:after="0"/>
              <w:rPr>
                <w:sz w:val="20"/>
                <w:szCs w:val="20"/>
                <w:color w:val="auto"/>
              </w:rPr>
            </w:pPr>
            <w:r>
              <w:rPr>
                <w:rFonts w:ascii="Verdana" w:cs="Verdana" w:eastAsia="Verdana" w:hAnsi="Verdana"/>
                <w:sz w:val="18"/>
                <w:szCs w:val="18"/>
                <w:color w:val="auto"/>
              </w:rPr>
              <w:t>Income before income taxes</w:t>
            </w:r>
          </w:p>
        </w:tc>
        <w:tc>
          <w:tcPr>
            <w:tcW w:w="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42,564</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8"/>
                <w:szCs w:val="18"/>
                <w:color w:val="auto"/>
              </w:rPr>
              <w:t>37,490</w:t>
            </w:r>
          </w:p>
        </w:tc>
        <w:tc>
          <w:tcPr>
            <w:tcW w:w="80" w:type="dxa"/>
            <w:vAlign w:val="bottom"/>
          </w:tcPr>
          <w:p>
            <w:pPr>
              <w:spacing w:after="0"/>
              <w:rPr>
                <w:sz w:val="23"/>
                <w:szCs w:val="23"/>
                <w:color w:val="auto"/>
              </w:rPr>
            </w:pPr>
          </w:p>
        </w:tc>
        <w:tc>
          <w:tcPr>
            <w:tcW w:w="24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115,945</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120,689</w:t>
            </w:r>
          </w:p>
        </w:tc>
      </w:tr>
      <w:tr>
        <w:trPr>
          <w:trHeight w:val="20"/>
        </w:trPr>
        <w:tc>
          <w:tcPr>
            <w:tcW w:w="4960" w:type="dxa"/>
            <w:vAlign w:val="bottom"/>
            <w:tcBorders>
              <w:bottom w:val="single" w:sz="8" w:color="E0E7E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496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12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40" w:type="dxa"/>
            <w:vAlign w:val="bottom"/>
            <w:shd w:val="clear" w:color="auto" w:fill="E0E7ED"/>
          </w:tcPr>
          <w:p>
            <w:pPr>
              <w:spacing w:after="0"/>
              <w:rPr>
                <w:sz w:val="20"/>
                <w:szCs w:val="20"/>
                <w:color w:val="auto"/>
              </w:rPr>
            </w:pPr>
          </w:p>
        </w:tc>
        <w:tc>
          <w:tcPr>
            <w:tcW w:w="116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126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60" w:type="dxa"/>
            <w:vAlign w:val="bottom"/>
            <w:shd w:val="clear" w:color="auto" w:fill="E0E7ED"/>
          </w:tcPr>
          <w:p>
            <w:pPr>
              <w:spacing w:after="0"/>
              <w:rPr>
                <w:sz w:val="20"/>
                <w:szCs w:val="20"/>
                <w:color w:val="auto"/>
              </w:rPr>
            </w:pPr>
          </w:p>
        </w:tc>
        <w:tc>
          <w:tcPr>
            <w:tcW w:w="1140" w:type="dxa"/>
            <w:vAlign w:val="bottom"/>
            <w:shd w:val="clear" w:color="auto" w:fill="E0E7ED"/>
          </w:tcPr>
          <w:p>
            <w:pPr>
              <w:spacing w:after="0"/>
              <w:rPr>
                <w:sz w:val="20"/>
                <w:szCs w:val="20"/>
                <w:color w:val="auto"/>
              </w:rPr>
            </w:pPr>
          </w:p>
        </w:tc>
      </w:tr>
      <w:tr>
        <w:trPr>
          <w:trHeight w:val="263"/>
        </w:trPr>
        <w:tc>
          <w:tcPr>
            <w:tcW w:w="4960" w:type="dxa"/>
            <w:vAlign w:val="bottom"/>
          </w:tcPr>
          <w:p>
            <w:pPr>
              <w:ind w:left="20"/>
              <w:spacing w:after="0"/>
              <w:rPr>
                <w:sz w:val="20"/>
                <w:szCs w:val="20"/>
                <w:color w:val="auto"/>
              </w:rPr>
            </w:pPr>
            <w:r>
              <w:rPr>
                <w:rFonts w:ascii="Verdana" w:cs="Verdana" w:eastAsia="Verdana" w:hAnsi="Verdana"/>
                <w:sz w:val="18"/>
                <w:szCs w:val="18"/>
                <w:b w:val="1"/>
                <w:bCs w:val="1"/>
                <w:color w:val="auto"/>
              </w:rPr>
              <w:t>Net income</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Banking</w:t>
            </w:r>
          </w:p>
        </w:tc>
        <w:tc>
          <w:tcPr>
            <w:tcW w:w="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33,221</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8"/>
                <w:szCs w:val="18"/>
                <w:color w:val="auto"/>
              </w:rPr>
              <w:t>31,189</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86,410</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98,689</w:t>
            </w: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Wealth Management</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5,618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Verdana" w:cs="Verdana" w:eastAsia="Verdana" w:hAnsi="Verdana"/>
                <w:sz w:val="18"/>
                <w:szCs w:val="18"/>
                <w:color w:val="auto"/>
              </w:rPr>
              <w:t>4,781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16,177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14,571</w:t>
            </w:r>
          </w:p>
        </w:tc>
      </w:tr>
      <w:tr>
        <w:trPr>
          <w:trHeight w:val="277"/>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FirsTech</w:t>
            </w:r>
          </w:p>
        </w:tc>
        <w:tc>
          <w:tcPr>
            <w:tcW w:w="22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(61)</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8"/>
                <w:szCs w:val="18"/>
                <w:color w:val="auto"/>
              </w:rPr>
              <w:t>317</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53</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505</w:t>
            </w:r>
          </w:p>
        </w:tc>
      </w:tr>
      <w:tr>
        <w:trPr>
          <w:trHeight w:val="263"/>
        </w:trPr>
        <w:tc>
          <w:tcPr>
            <w:tcW w:w="49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Other</w:t>
            </w: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(6,774)</w:t>
            </w:r>
          </w:p>
        </w:tc>
        <w:tc>
          <w:tcPr>
            <w:tcW w:w="10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(5,621)</w:t>
            </w:r>
          </w:p>
        </w:tc>
        <w:tc>
          <w:tcPr>
            <w:tcW w:w="80" w:type="dxa"/>
            <w:vAlign w:val="bottom"/>
            <w:tcBorders>
              <w:bottom w:val="single" w:sz="8" w:color="E0E7ED"/>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(17,054)</w:t>
            </w:r>
          </w:p>
        </w:tc>
        <w:tc>
          <w:tcPr>
            <w:tcW w:w="100" w:type="dxa"/>
            <w:vAlign w:val="bottom"/>
            <w:tcBorders>
              <w:bottom w:val="single" w:sz="8" w:color="E0E7E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(16,949)</w:t>
            </w:r>
          </w:p>
        </w:tc>
      </w:tr>
      <w:tr>
        <w:trPr>
          <w:trHeight w:val="295"/>
        </w:trPr>
        <w:tc>
          <w:tcPr>
            <w:tcW w:w="49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Net income</w:t>
            </w:r>
          </w:p>
        </w:tc>
        <w:tc>
          <w:tcPr>
            <w:tcW w:w="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32,004</w:t>
            </w:r>
          </w:p>
        </w:tc>
        <w:tc>
          <w:tcPr>
            <w:tcW w:w="100" w:type="dxa"/>
            <w:vAlign w:val="bottom"/>
            <w:tcBorders>
              <w:bottom w:val="single" w:sz="8" w:color="E0E7ED"/>
            </w:tcBorders>
            <w:shd w:val="clear" w:color="auto" w:fill="E0E7ED"/>
          </w:tcPr>
          <w:p>
            <w:pPr>
              <w:spacing w:after="0"/>
              <w:rPr>
                <w:sz w:val="24"/>
                <w:szCs w:val="24"/>
                <w:color w:val="auto"/>
              </w:rPr>
            </w:pPr>
          </w:p>
        </w:tc>
        <w:tc>
          <w:tcPr>
            <w:tcW w:w="340" w:type="dxa"/>
            <w:vAlign w:val="bottom"/>
            <w:tcBorders>
              <w:bottom w:val="single" w:sz="8" w:color="auto"/>
            </w:tcBorders>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8"/>
                <w:szCs w:val="18"/>
                <w:color w:val="auto"/>
              </w:rPr>
              <w:t>30,666</w:t>
            </w:r>
          </w:p>
        </w:tc>
        <w:tc>
          <w:tcPr>
            <w:tcW w:w="80" w:type="dxa"/>
            <w:vAlign w:val="bottom"/>
            <w:tcBorders>
              <w:bottom w:val="single" w:sz="8" w:color="E0E7ED"/>
            </w:tcBorders>
            <w:shd w:val="clear" w:color="auto" w:fill="E0E7ED"/>
          </w:tcPr>
          <w:p>
            <w:pPr>
              <w:spacing w:after="0"/>
              <w:rPr>
                <w:sz w:val="24"/>
                <w:szCs w:val="24"/>
                <w:color w:val="auto"/>
              </w:rPr>
            </w:pPr>
          </w:p>
        </w:tc>
        <w:tc>
          <w:tcPr>
            <w:tcW w:w="240" w:type="dxa"/>
            <w:vAlign w:val="bottom"/>
            <w:tcBorders>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85,586</w:t>
            </w:r>
          </w:p>
        </w:tc>
        <w:tc>
          <w:tcPr>
            <w:tcW w:w="100" w:type="dxa"/>
            <w:vAlign w:val="bottom"/>
            <w:tcBorders>
              <w:bottom w:val="single" w:sz="8" w:color="E0E7ED"/>
            </w:tcBorders>
            <w:shd w:val="clear" w:color="auto" w:fill="E0E7ED"/>
          </w:tcPr>
          <w:p>
            <w:pPr>
              <w:spacing w:after="0"/>
              <w:rPr>
                <w:sz w:val="24"/>
                <w:szCs w:val="24"/>
                <w:color w:val="auto"/>
              </w:rPr>
            </w:pPr>
          </w:p>
        </w:tc>
        <w:tc>
          <w:tcPr>
            <w:tcW w:w="360" w:type="dxa"/>
            <w:vAlign w:val="bottom"/>
            <w:tcBorders>
              <w:bottom w:val="single" w:sz="8" w:color="auto"/>
            </w:tcBorders>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96,816</w:t>
            </w:r>
          </w:p>
        </w:tc>
      </w:tr>
      <w:tr>
        <w:trPr>
          <w:trHeight w:val="20"/>
        </w:trPr>
        <w:tc>
          <w:tcPr>
            <w:tcW w:w="496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2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69" w:name="page70"/>
    <w:bookmarkEnd w:id="69"/>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line="254" w:lineRule="auto"/>
        <w:rPr>
          <w:sz w:val="20"/>
          <w:szCs w:val="20"/>
          <w:color w:val="auto"/>
        </w:rPr>
      </w:pPr>
      <w:r>
        <w:rPr>
          <w:rFonts w:ascii="Verdana" w:cs="Verdana" w:eastAsia="Verdana" w:hAnsi="Verdana"/>
          <w:sz w:val="18"/>
          <w:szCs w:val="18"/>
          <w:b w:val="1"/>
          <w:bCs w:val="1"/>
          <w:color w:val="auto"/>
        </w:rPr>
        <w:t>ITEM 2. MANAGEMENT’S DISCUSSION AND ANALYSIS OF FINANCIAL CONDITION AND RESULTS OF OPERATIONS (Unaudited)</w:t>
      </w:r>
    </w:p>
    <w:p>
      <w:pPr>
        <w:spacing w:after="0" w:line="144" w:lineRule="exact"/>
        <w:rPr>
          <w:sz w:val="20"/>
          <w:szCs w:val="20"/>
          <w:color w:val="auto"/>
        </w:rPr>
      </w:pPr>
    </w:p>
    <w:p>
      <w:pPr>
        <w:spacing w:after="0" w:line="254" w:lineRule="auto"/>
        <w:rPr>
          <w:sz w:val="20"/>
          <w:szCs w:val="20"/>
          <w:color w:val="auto"/>
        </w:rPr>
      </w:pPr>
      <w:r>
        <w:rPr>
          <w:rFonts w:ascii="Verdana" w:cs="Verdana" w:eastAsia="Verdana" w:hAnsi="Verdana"/>
          <w:sz w:val="18"/>
          <w:szCs w:val="18"/>
          <w:b w:val="1"/>
          <w:bCs w:val="1"/>
          <w:color w:val="auto"/>
        </w:rPr>
        <w:t>Contents of Item 2. Management’s Discussion and Analysis of Financial Condition and Results of Operations (Unaudited) (“MD&amp;A”)</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9360" w:type="dxa"/>
            <w:vAlign w:val="bottom"/>
          </w:tcPr>
          <w:p>
            <w:pPr>
              <w:spacing w:after="0"/>
              <w:rPr>
                <w:sz w:val="20"/>
                <w:szCs w:val="20"/>
                <w:color w:val="auto"/>
              </w:rPr>
            </w:pPr>
            <w:r>
              <w:rPr>
                <w:rFonts w:ascii="Verdana" w:cs="Verdana" w:eastAsia="Verdana" w:hAnsi="Verdana"/>
                <w:sz w:val="18"/>
                <w:szCs w:val="18"/>
                <w:color w:val="auto"/>
              </w:rPr>
              <w:t>SCOPE OF DISCUSSION</w:t>
            </w:r>
          </w:p>
        </w:tc>
        <w:tc>
          <w:tcPr>
            <w:tcW w:w="1840" w:type="dxa"/>
            <w:vAlign w:val="bottom"/>
          </w:tcPr>
          <w:p>
            <w:pPr>
              <w:jc w:val="right"/>
              <w:spacing w:after="0"/>
              <w:rPr>
                <w:sz w:val="20"/>
                <w:szCs w:val="20"/>
                <w:color w:val="auto"/>
              </w:rPr>
            </w:pPr>
            <w:r>
              <w:rPr>
                <w:rFonts w:ascii="Verdana" w:cs="Verdana" w:eastAsia="Verdana" w:hAnsi="Verdana"/>
                <w:sz w:val="18"/>
                <w:szCs w:val="18"/>
                <w:color w:val="auto"/>
              </w:rPr>
              <w:t>71</w:t>
            </w:r>
          </w:p>
        </w:tc>
      </w:tr>
      <w:tr>
        <w:trPr>
          <w:trHeight w:val="283"/>
        </w:trPr>
        <w:tc>
          <w:tcPr>
            <w:tcW w:w="9360" w:type="dxa"/>
            <w:vAlign w:val="bottom"/>
          </w:tcPr>
          <w:p>
            <w:pPr>
              <w:spacing w:after="0"/>
              <w:rPr>
                <w:sz w:val="20"/>
                <w:szCs w:val="20"/>
                <w:color w:val="auto"/>
              </w:rPr>
            </w:pPr>
            <w:r>
              <w:rPr>
                <w:rFonts w:ascii="Verdana" w:cs="Verdana" w:eastAsia="Verdana" w:hAnsi="Verdana"/>
                <w:sz w:val="18"/>
                <w:szCs w:val="18"/>
                <w:color w:val="auto"/>
              </w:rPr>
              <w:t>BUSINESS</w:t>
            </w:r>
          </w:p>
        </w:tc>
        <w:tc>
          <w:tcPr>
            <w:tcW w:w="1840" w:type="dxa"/>
            <w:vAlign w:val="bottom"/>
          </w:tcPr>
          <w:p>
            <w:pPr>
              <w:jc w:val="right"/>
              <w:spacing w:after="0"/>
              <w:rPr>
                <w:sz w:val="20"/>
                <w:szCs w:val="20"/>
                <w:color w:val="auto"/>
              </w:rPr>
            </w:pPr>
            <w:r>
              <w:rPr>
                <w:rFonts w:ascii="Verdana" w:cs="Verdana" w:eastAsia="Verdana" w:hAnsi="Verdana"/>
                <w:sz w:val="18"/>
                <w:szCs w:val="18"/>
                <w:color w:val="auto"/>
              </w:rPr>
              <w:t>71</w:t>
            </w:r>
          </w:p>
        </w:tc>
      </w:tr>
      <w:tr>
        <w:trPr>
          <w:trHeight w:val="283"/>
        </w:trPr>
        <w:tc>
          <w:tcPr>
            <w:tcW w:w="9360" w:type="dxa"/>
            <w:vAlign w:val="bottom"/>
          </w:tcPr>
          <w:p>
            <w:pPr>
              <w:ind w:left="340"/>
              <w:spacing w:after="0"/>
              <w:rPr>
                <w:sz w:val="20"/>
                <w:szCs w:val="20"/>
                <w:color w:val="auto"/>
              </w:rPr>
            </w:pPr>
            <w:r>
              <w:rPr>
                <w:rFonts w:ascii="Verdana" w:cs="Verdana" w:eastAsia="Verdana" w:hAnsi="Verdana"/>
                <w:sz w:val="18"/>
                <w:szCs w:val="18"/>
                <w:color w:val="auto"/>
              </w:rPr>
              <w:t>Banking Center Markets</w:t>
            </w:r>
          </w:p>
        </w:tc>
        <w:tc>
          <w:tcPr>
            <w:tcW w:w="1840" w:type="dxa"/>
            <w:vAlign w:val="bottom"/>
          </w:tcPr>
          <w:p>
            <w:pPr>
              <w:jc w:val="right"/>
              <w:spacing w:after="0"/>
              <w:rPr>
                <w:sz w:val="20"/>
                <w:szCs w:val="20"/>
                <w:color w:val="auto"/>
              </w:rPr>
            </w:pPr>
            <w:r>
              <w:rPr>
                <w:rFonts w:ascii="Verdana" w:cs="Verdana" w:eastAsia="Verdana" w:hAnsi="Verdana"/>
                <w:sz w:val="18"/>
                <w:szCs w:val="18"/>
                <w:color w:val="auto"/>
              </w:rPr>
              <w:t>71</w:t>
            </w:r>
          </w:p>
        </w:tc>
      </w:tr>
      <w:tr>
        <w:trPr>
          <w:trHeight w:val="270"/>
        </w:trPr>
        <w:tc>
          <w:tcPr>
            <w:tcW w:w="9360" w:type="dxa"/>
            <w:vAlign w:val="bottom"/>
          </w:tcPr>
          <w:p>
            <w:pPr>
              <w:ind w:left="340"/>
              <w:spacing w:after="0"/>
              <w:rPr>
                <w:sz w:val="20"/>
                <w:szCs w:val="20"/>
                <w:color w:val="auto"/>
              </w:rPr>
            </w:pPr>
            <w:r>
              <w:rPr>
                <w:rFonts w:ascii="Verdana" w:cs="Verdana" w:eastAsia="Verdana" w:hAnsi="Verdana"/>
                <w:sz w:val="18"/>
                <w:szCs w:val="18"/>
                <w:color w:val="auto"/>
              </w:rPr>
              <w:t>Busey's Conservative Banking Strategy</w:t>
            </w:r>
          </w:p>
        </w:tc>
        <w:tc>
          <w:tcPr>
            <w:tcW w:w="1840" w:type="dxa"/>
            <w:vAlign w:val="bottom"/>
          </w:tcPr>
          <w:p>
            <w:pPr>
              <w:jc w:val="right"/>
              <w:spacing w:after="0"/>
              <w:rPr>
                <w:sz w:val="20"/>
                <w:szCs w:val="20"/>
                <w:color w:val="auto"/>
              </w:rPr>
            </w:pPr>
            <w:r>
              <w:rPr>
                <w:rFonts w:ascii="Verdana" w:cs="Verdana" w:eastAsia="Verdana" w:hAnsi="Verdana"/>
                <w:sz w:val="18"/>
                <w:szCs w:val="18"/>
                <w:color w:val="auto"/>
              </w:rPr>
              <w:t>71</w:t>
            </w:r>
          </w:p>
        </w:tc>
      </w:tr>
      <w:tr>
        <w:trPr>
          <w:trHeight w:val="270"/>
        </w:trPr>
        <w:tc>
          <w:tcPr>
            <w:tcW w:w="9360" w:type="dxa"/>
            <w:vAlign w:val="bottom"/>
          </w:tcPr>
          <w:p>
            <w:pPr>
              <w:ind w:left="340"/>
              <w:spacing w:after="0"/>
              <w:rPr>
                <w:sz w:val="20"/>
                <w:szCs w:val="20"/>
                <w:color w:val="auto"/>
              </w:rPr>
            </w:pPr>
            <w:r>
              <w:rPr>
                <w:rFonts w:ascii="Verdana" w:cs="Verdana" w:eastAsia="Verdana" w:hAnsi="Verdana"/>
                <w:sz w:val="18"/>
                <w:szCs w:val="18"/>
                <w:color w:val="auto"/>
              </w:rPr>
              <w:t>Mergers and Acquisitions</w:t>
            </w:r>
          </w:p>
        </w:tc>
        <w:tc>
          <w:tcPr>
            <w:tcW w:w="1840" w:type="dxa"/>
            <w:vAlign w:val="bottom"/>
          </w:tcPr>
          <w:p>
            <w:pPr>
              <w:jc w:val="right"/>
              <w:spacing w:after="0"/>
              <w:rPr>
                <w:sz w:val="20"/>
                <w:szCs w:val="20"/>
                <w:color w:val="auto"/>
              </w:rPr>
            </w:pPr>
            <w:r>
              <w:rPr>
                <w:rFonts w:ascii="Verdana" w:cs="Verdana" w:eastAsia="Verdana" w:hAnsi="Verdana"/>
                <w:sz w:val="18"/>
                <w:szCs w:val="18"/>
                <w:color w:val="auto"/>
              </w:rPr>
              <w:t>72</w:t>
            </w:r>
          </w:p>
        </w:tc>
      </w:tr>
      <w:tr>
        <w:trPr>
          <w:trHeight w:val="270"/>
        </w:trPr>
        <w:tc>
          <w:tcPr>
            <w:tcW w:w="9360" w:type="dxa"/>
            <w:vAlign w:val="bottom"/>
          </w:tcPr>
          <w:p>
            <w:pPr>
              <w:ind w:left="660"/>
              <w:spacing w:after="0"/>
              <w:rPr>
                <w:sz w:val="20"/>
                <w:szCs w:val="20"/>
                <w:color w:val="auto"/>
              </w:rPr>
            </w:pPr>
            <w:r>
              <w:rPr>
                <w:rFonts w:ascii="Verdana" w:cs="Verdana" w:eastAsia="Verdana" w:hAnsi="Verdana"/>
                <w:sz w:val="18"/>
                <w:szCs w:val="18"/>
                <w:color w:val="auto"/>
              </w:rPr>
              <w:t>CrossFirst Bankshares, Inc.</w:t>
            </w:r>
          </w:p>
        </w:tc>
        <w:tc>
          <w:tcPr>
            <w:tcW w:w="1840" w:type="dxa"/>
            <w:vAlign w:val="bottom"/>
          </w:tcPr>
          <w:p>
            <w:pPr>
              <w:jc w:val="right"/>
              <w:spacing w:after="0"/>
              <w:rPr>
                <w:sz w:val="20"/>
                <w:szCs w:val="20"/>
                <w:color w:val="auto"/>
              </w:rPr>
            </w:pPr>
            <w:r>
              <w:rPr>
                <w:rFonts w:ascii="Verdana" w:cs="Verdana" w:eastAsia="Verdana" w:hAnsi="Verdana"/>
                <w:sz w:val="18"/>
                <w:szCs w:val="18"/>
                <w:color w:val="auto"/>
              </w:rPr>
              <w:t>72</w:t>
            </w:r>
          </w:p>
        </w:tc>
      </w:tr>
      <w:tr>
        <w:trPr>
          <w:trHeight w:val="270"/>
        </w:trPr>
        <w:tc>
          <w:tcPr>
            <w:tcW w:w="9360" w:type="dxa"/>
            <w:vAlign w:val="bottom"/>
          </w:tcPr>
          <w:p>
            <w:pPr>
              <w:ind w:left="660"/>
              <w:spacing w:after="0"/>
              <w:rPr>
                <w:sz w:val="20"/>
                <w:szCs w:val="20"/>
                <w:color w:val="auto"/>
              </w:rPr>
            </w:pPr>
            <w:r>
              <w:rPr>
                <w:rFonts w:ascii="Verdana" w:cs="Verdana" w:eastAsia="Verdana" w:hAnsi="Verdana"/>
                <w:sz w:val="18"/>
                <w:szCs w:val="18"/>
                <w:color w:val="auto"/>
              </w:rPr>
              <w:t>Merchants and Manufacturers Bank Corporation</w:t>
            </w:r>
          </w:p>
        </w:tc>
        <w:tc>
          <w:tcPr>
            <w:tcW w:w="1840" w:type="dxa"/>
            <w:vAlign w:val="bottom"/>
          </w:tcPr>
          <w:p>
            <w:pPr>
              <w:jc w:val="right"/>
              <w:spacing w:after="0"/>
              <w:rPr>
                <w:sz w:val="20"/>
                <w:szCs w:val="20"/>
                <w:color w:val="auto"/>
              </w:rPr>
            </w:pPr>
            <w:r>
              <w:rPr>
                <w:rFonts w:ascii="Verdana" w:cs="Verdana" w:eastAsia="Verdana" w:hAnsi="Verdana"/>
                <w:sz w:val="18"/>
                <w:szCs w:val="18"/>
                <w:color w:val="auto"/>
              </w:rPr>
              <w:t>72</w:t>
            </w:r>
          </w:p>
        </w:tc>
      </w:tr>
      <w:tr>
        <w:trPr>
          <w:trHeight w:val="270"/>
        </w:trPr>
        <w:tc>
          <w:tcPr>
            <w:tcW w:w="9360" w:type="dxa"/>
            <w:vAlign w:val="bottom"/>
          </w:tcPr>
          <w:p>
            <w:pPr>
              <w:spacing w:after="0"/>
              <w:rPr>
                <w:sz w:val="20"/>
                <w:szCs w:val="20"/>
                <w:color w:val="auto"/>
              </w:rPr>
            </w:pPr>
            <w:r>
              <w:rPr>
                <w:rFonts w:ascii="Verdana" w:cs="Verdana" w:eastAsia="Verdana" w:hAnsi="Verdana"/>
                <w:sz w:val="18"/>
                <w:szCs w:val="18"/>
                <w:color w:val="auto"/>
              </w:rPr>
              <w:t>RESULTS OF OPERATIONS — THREE AND NINE MONTHS ENDED SEPTEMBER 30, 2024</w:t>
            </w:r>
          </w:p>
        </w:tc>
        <w:tc>
          <w:tcPr>
            <w:tcW w:w="1840" w:type="dxa"/>
            <w:vAlign w:val="bottom"/>
          </w:tcPr>
          <w:p>
            <w:pPr>
              <w:jc w:val="right"/>
              <w:spacing w:after="0"/>
              <w:rPr>
                <w:sz w:val="20"/>
                <w:szCs w:val="20"/>
                <w:color w:val="auto"/>
              </w:rPr>
            </w:pPr>
            <w:r>
              <w:rPr>
                <w:rFonts w:ascii="Verdana" w:cs="Verdana" w:eastAsia="Verdana" w:hAnsi="Verdana"/>
                <w:sz w:val="18"/>
                <w:szCs w:val="18"/>
                <w:color w:val="auto"/>
              </w:rPr>
              <w:t>73</w:t>
            </w:r>
          </w:p>
        </w:tc>
      </w:tr>
      <w:tr>
        <w:trPr>
          <w:trHeight w:val="283"/>
        </w:trPr>
        <w:tc>
          <w:tcPr>
            <w:tcW w:w="9360" w:type="dxa"/>
            <w:vAlign w:val="bottom"/>
          </w:tcPr>
          <w:p>
            <w:pPr>
              <w:ind w:left="340"/>
              <w:spacing w:after="0"/>
              <w:rPr>
                <w:sz w:val="20"/>
                <w:szCs w:val="20"/>
                <w:color w:val="auto"/>
              </w:rPr>
            </w:pPr>
            <w:r>
              <w:rPr>
                <w:rFonts w:ascii="Verdana" w:cs="Verdana" w:eastAsia="Verdana" w:hAnsi="Verdana"/>
                <w:sz w:val="18"/>
                <w:szCs w:val="18"/>
                <w:color w:val="auto"/>
              </w:rPr>
              <w:t>Net Income</w:t>
            </w:r>
          </w:p>
        </w:tc>
        <w:tc>
          <w:tcPr>
            <w:tcW w:w="1840" w:type="dxa"/>
            <w:vAlign w:val="bottom"/>
          </w:tcPr>
          <w:p>
            <w:pPr>
              <w:jc w:val="right"/>
              <w:spacing w:after="0"/>
              <w:rPr>
                <w:sz w:val="20"/>
                <w:szCs w:val="20"/>
                <w:color w:val="auto"/>
              </w:rPr>
            </w:pPr>
            <w:r>
              <w:rPr>
                <w:rFonts w:ascii="Verdana" w:cs="Verdana" w:eastAsia="Verdana" w:hAnsi="Verdana"/>
                <w:sz w:val="18"/>
                <w:szCs w:val="18"/>
                <w:color w:val="auto"/>
              </w:rPr>
              <w:t>73</w:t>
            </w:r>
          </w:p>
        </w:tc>
      </w:tr>
      <w:tr>
        <w:trPr>
          <w:trHeight w:val="270"/>
        </w:trPr>
        <w:tc>
          <w:tcPr>
            <w:tcW w:w="9360" w:type="dxa"/>
            <w:vAlign w:val="bottom"/>
          </w:tcPr>
          <w:p>
            <w:pPr>
              <w:ind w:left="340"/>
              <w:spacing w:after="0"/>
              <w:rPr>
                <w:sz w:val="20"/>
                <w:szCs w:val="20"/>
                <w:color w:val="auto"/>
              </w:rPr>
            </w:pPr>
            <w:r>
              <w:rPr>
                <w:rFonts w:ascii="Verdana" w:cs="Verdana" w:eastAsia="Verdana" w:hAnsi="Verdana"/>
                <w:sz w:val="18"/>
                <w:szCs w:val="18"/>
                <w:color w:val="auto"/>
              </w:rPr>
              <w:t>Operating Performance Metrics</w:t>
            </w:r>
          </w:p>
        </w:tc>
        <w:tc>
          <w:tcPr>
            <w:tcW w:w="1840" w:type="dxa"/>
            <w:vAlign w:val="bottom"/>
          </w:tcPr>
          <w:p>
            <w:pPr>
              <w:jc w:val="right"/>
              <w:spacing w:after="0"/>
              <w:rPr>
                <w:sz w:val="20"/>
                <w:szCs w:val="20"/>
                <w:color w:val="auto"/>
              </w:rPr>
            </w:pPr>
            <w:r>
              <w:rPr>
                <w:rFonts w:ascii="Verdana" w:cs="Verdana" w:eastAsia="Verdana" w:hAnsi="Verdana"/>
                <w:sz w:val="18"/>
                <w:szCs w:val="18"/>
                <w:color w:val="auto"/>
              </w:rPr>
              <w:t>73</w:t>
            </w:r>
          </w:p>
        </w:tc>
      </w:tr>
      <w:tr>
        <w:trPr>
          <w:trHeight w:val="270"/>
        </w:trPr>
        <w:tc>
          <w:tcPr>
            <w:tcW w:w="9360" w:type="dxa"/>
            <w:vAlign w:val="bottom"/>
          </w:tcPr>
          <w:p>
            <w:pPr>
              <w:ind w:left="660"/>
              <w:spacing w:after="0"/>
              <w:rPr>
                <w:sz w:val="20"/>
                <w:szCs w:val="20"/>
                <w:color w:val="auto"/>
              </w:rPr>
            </w:pPr>
            <w:r>
              <w:rPr>
                <w:rFonts w:ascii="Verdana" w:cs="Verdana" w:eastAsia="Verdana" w:hAnsi="Verdana"/>
                <w:sz w:val="18"/>
                <w:szCs w:val="18"/>
                <w:color w:val="auto"/>
              </w:rPr>
              <w:t>Non-Operating Expenses and Non-GAAP Measures</w:t>
            </w:r>
          </w:p>
        </w:tc>
        <w:tc>
          <w:tcPr>
            <w:tcW w:w="1840" w:type="dxa"/>
            <w:vAlign w:val="bottom"/>
          </w:tcPr>
          <w:p>
            <w:pPr>
              <w:jc w:val="right"/>
              <w:spacing w:after="0"/>
              <w:rPr>
                <w:sz w:val="20"/>
                <w:szCs w:val="20"/>
                <w:color w:val="auto"/>
              </w:rPr>
            </w:pPr>
            <w:r>
              <w:rPr>
                <w:rFonts w:ascii="Verdana" w:cs="Verdana" w:eastAsia="Verdana" w:hAnsi="Verdana"/>
                <w:sz w:val="18"/>
                <w:szCs w:val="18"/>
                <w:color w:val="auto"/>
              </w:rPr>
              <w:t>74</w:t>
            </w:r>
          </w:p>
        </w:tc>
      </w:tr>
      <w:tr>
        <w:trPr>
          <w:trHeight w:val="270"/>
        </w:trPr>
        <w:tc>
          <w:tcPr>
            <w:tcW w:w="9360" w:type="dxa"/>
            <w:vAlign w:val="bottom"/>
          </w:tcPr>
          <w:p>
            <w:pPr>
              <w:ind w:left="340"/>
              <w:spacing w:after="0"/>
              <w:rPr>
                <w:sz w:val="20"/>
                <w:szCs w:val="20"/>
                <w:color w:val="auto"/>
              </w:rPr>
            </w:pPr>
            <w:r>
              <w:rPr>
                <w:rFonts w:ascii="Verdana" w:cs="Verdana" w:eastAsia="Verdana" w:hAnsi="Verdana"/>
                <w:sz w:val="18"/>
                <w:szCs w:val="18"/>
                <w:color w:val="auto"/>
              </w:rPr>
              <w:t>Net Interest Income</w:t>
            </w:r>
          </w:p>
        </w:tc>
        <w:tc>
          <w:tcPr>
            <w:tcW w:w="1840" w:type="dxa"/>
            <w:vAlign w:val="bottom"/>
          </w:tcPr>
          <w:p>
            <w:pPr>
              <w:jc w:val="right"/>
              <w:spacing w:after="0"/>
              <w:rPr>
                <w:sz w:val="20"/>
                <w:szCs w:val="20"/>
                <w:color w:val="auto"/>
              </w:rPr>
            </w:pPr>
            <w:r>
              <w:rPr>
                <w:rFonts w:ascii="Verdana" w:cs="Verdana" w:eastAsia="Verdana" w:hAnsi="Verdana"/>
                <w:sz w:val="18"/>
                <w:szCs w:val="18"/>
                <w:color w:val="auto"/>
              </w:rPr>
              <w:t>74</w:t>
            </w:r>
          </w:p>
        </w:tc>
      </w:tr>
      <w:tr>
        <w:trPr>
          <w:trHeight w:val="270"/>
        </w:trPr>
        <w:tc>
          <w:tcPr>
            <w:tcW w:w="9360" w:type="dxa"/>
            <w:vAlign w:val="bottom"/>
          </w:tcPr>
          <w:p>
            <w:pPr>
              <w:ind w:left="660"/>
              <w:spacing w:after="0"/>
              <w:rPr>
                <w:sz w:val="20"/>
                <w:szCs w:val="20"/>
                <w:color w:val="auto"/>
              </w:rPr>
            </w:pPr>
            <w:r>
              <w:rPr>
                <w:rFonts w:ascii="Verdana" w:cs="Verdana" w:eastAsia="Verdana" w:hAnsi="Verdana"/>
                <w:sz w:val="18"/>
                <w:szCs w:val="18"/>
                <w:color w:val="auto"/>
              </w:rPr>
              <w:t>Consolidated Average Balance Sheets and Interest Rates</w:t>
            </w:r>
          </w:p>
        </w:tc>
        <w:tc>
          <w:tcPr>
            <w:tcW w:w="1840" w:type="dxa"/>
            <w:vAlign w:val="bottom"/>
          </w:tcPr>
          <w:p>
            <w:pPr>
              <w:jc w:val="right"/>
              <w:spacing w:after="0"/>
              <w:rPr>
                <w:sz w:val="20"/>
                <w:szCs w:val="20"/>
                <w:color w:val="auto"/>
              </w:rPr>
            </w:pPr>
            <w:r>
              <w:rPr>
                <w:rFonts w:ascii="Verdana" w:cs="Verdana" w:eastAsia="Verdana" w:hAnsi="Verdana"/>
                <w:sz w:val="18"/>
                <w:szCs w:val="18"/>
                <w:color w:val="auto"/>
              </w:rPr>
              <w:t>75</w:t>
            </w:r>
          </w:p>
        </w:tc>
      </w:tr>
      <w:tr>
        <w:trPr>
          <w:trHeight w:val="270"/>
        </w:trPr>
        <w:tc>
          <w:tcPr>
            <w:tcW w:w="9360" w:type="dxa"/>
            <w:vAlign w:val="bottom"/>
          </w:tcPr>
          <w:p>
            <w:pPr>
              <w:ind w:left="340"/>
              <w:spacing w:after="0"/>
              <w:rPr>
                <w:sz w:val="20"/>
                <w:szCs w:val="20"/>
                <w:color w:val="auto"/>
              </w:rPr>
            </w:pPr>
            <w:r>
              <w:rPr>
                <w:rFonts w:ascii="Verdana" w:cs="Verdana" w:eastAsia="Verdana" w:hAnsi="Verdana"/>
                <w:sz w:val="18"/>
                <w:szCs w:val="18"/>
                <w:color w:val="auto"/>
              </w:rPr>
              <w:t>Noninterest Income</w:t>
            </w:r>
          </w:p>
        </w:tc>
        <w:tc>
          <w:tcPr>
            <w:tcW w:w="1840" w:type="dxa"/>
            <w:vAlign w:val="bottom"/>
          </w:tcPr>
          <w:p>
            <w:pPr>
              <w:jc w:val="right"/>
              <w:spacing w:after="0"/>
              <w:rPr>
                <w:sz w:val="20"/>
                <w:szCs w:val="20"/>
                <w:color w:val="auto"/>
              </w:rPr>
            </w:pPr>
            <w:r>
              <w:rPr>
                <w:rFonts w:ascii="Verdana" w:cs="Verdana" w:eastAsia="Verdana" w:hAnsi="Verdana"/>
                <w:sz w:val="18"/>
                <w:szCs w:val="18"/>
                <w:color w:val="auto"/>
              </w:rPr>
              <w:t>79</w:t>
            </w:r>
          </w:p>
        </w:tc>
      </w:tr>
      <w:tr>
        <w:trPr>
          <w:trHeight w:val="270"/>
        </w:trPr>
        <w:tc>
          <w:tcPr>
            <w:tcW w:w="9360" w:type="dxa"/>
            <w:vAlign w:val="bottom"/>
          </w:tcPr>
          <w:p>
            <w:pPr>
              <w:ind w:left="340"/>
              <w:spacing w:after="0"/>
              <w:rPr>
                <w:sz w:val="20"/>
                <w:szCs w:val="20"/>
                <w:color w:val="auto"/>
              </w:rPr>
            </w:pPr>
            <w:r>
              <w:rPr>
                <w:rFonts w:ascii="Verdana" w:cs="Verdana" w:eastAsia="Verdana" w:hAnsi="Verdana"/>
                <w:sz w:val="18"/>
                <w:szCs w:val="18"/>
                <w:color w:val="auto"/>
              </w:rPr>
              <w:t>Noninterest Expense</w:t>
            </w:r>
          </w:p>
        </w:tc>
        <w:tc>
          <w:tcPr>
            <w:tcW w:w="1840" w:type="dxa"/>
            <w:vAlign w:val="bottom"/>
          </w:tcPr>
          <w:p>
            <w:pPr>
              <w:jc w:val="right"/>
              <w:spacing w:after="0"/>
              <w:rPr>
                <w:sz w:val="20"/>
                <w:szCs w:val="20"/>
                <w:color w:val="auto"/>
              </w:rPr>
            </w:pPr>
            <w:r>
              <w:rPr>
                <w:rFonts w:ascii="Verdana" w:cs="Verdana" w:eastAsia="Verdana" w:hAnsi="Verdana"/>
                <w:sz w:val="18"/>
                <w:szCs w:val="18"/>
                <w:color w:val="auto"/>
              </w:rPr>
              <w:t>82</w:t>
            </w:r>
          </w:p>
        </w:tc>
      </w:tr>
      <w:tr>
        <w:trPr>
          <w:trHeight w:val="270"/>
        </w:trPr>
        <w:tc>
          <w:tcPr>
            <w:tcW w:w="9360" w:type="dxa"/>
            <w:vAlign w:val="bottom"/>
          </w:tcPr>
          <w:p>
            <w:pPr>
              <w:ind w:left="660"/>
              <w:spacing w:after="0"/>
              <w:rPr>
                <w:sz w:val="20"/>
                <w:szCs w:val="20"/>
                <w:color w:val="auto"/>
              </w:rPr>
            </w:pPr>
            <w:r>
              <w:rPr>
                <w:rFonts w:ascii="Verdana" w:cs="Verdana" w:eastAsia="Verdana" w:hAnsi="Verdana"/>
                <w:sz w:val="18"/>
                <w:szCs w:val="18"/>
                <w:color w:val="auto"/>
              </w:rPr>
              <w:t>Efficiency Ratio</w:t>
            </w:r>
          </w:p>
        </w:tc>
        <w:tc>
          <w:tcPr>
            <w:tcW w:w="1840" w:type="dxa"/>
            <w:vAlign w:val="bottom"/>
          </w:tcPr>
          <w:p>
            <w:pPr>
              <w:jc w:val="right"/>
              <w:spacing w:after="0"/>
              <w:rPr>
                <w:sz w:val="20"/>
                <w:szCs w:val="20"/>
                <w:color w:val="auto"/>
              </w:rPr>
            </w:pPr>
            <w:r>
              <w:rPr>
                <w:rFonts w:ascii="Verdana" w:cs="Verdana" w:eastAsia="Verdana" w:hAnsi="Verdana"/>
                <w:sz w:val="18"/>
                <w:szCs w:val="18"/>
                <w:color w:val="auto"/>
              </w:rPr>
              <w:t>85</w:t>
            </w:r>
          </w:p>
        </w:tc>
      </w:tr>
      <w:tr>
        <w:trPr>
          <w:trHeight w:val="270"/>
        </w:trPr>
        <w:tc>
          <w:tcPr>
            <w:tcW w:w="9360" w:type="dxa"/>
            <w:vAlign w:val="bottom"/>
          </w:tcPr>
          <w:p>
            <w:pPr>
              <w:ind w:left="660"/>
              <w:spacing w:after="0"/>
              <w:rPr>
                <w:sz w:val="20"/>
                <w:szCs w:val="20"/>
                <w:color w:val="auto"/>
              </w:rPr>
            </w:pPr>
            <w:r>
              <w:rPr>
                <w:rFonts w:ascii="Verdana" w:cs="Verdana" w:eastAsia="Verdana" w:hAnsi="Verdana"/>
                <w:sz w:val="18"/>
                <w:szCs w:val="18"/>
                <w:color w:val="auto"/>
              </w:rPr>
              <w:t>Taxes</w:t>
            </w:r>
          </w:p>
        </w:tc>
        <w:tc>
          <w:tcPr>
            <w:tcW w:w="1840" w:type="dxa"/>
            <w:vAlign w:val="bottom"/>
          </w:tcPr>
          <w:p>
            <w:pPr>
              <w:jc w:val="right"/>
              <w:spacing w:after="0"/>
              <w:rPr>
                <w:sz w:val="20"/>
                <w:szCs w:val="20"/>
                <w:color w:val="auto"/>
              </w:rPr>
            </w:pPr>
            <w:r>
              <w:rPr>
                <w:rFonts w:ascii="Verdana" w:cs="Verdana" w:eastAsia="Verdana" w:hAnsi="Verdana"/>
                <w:sz w:val="18"/>
                <w:szCs w:val="18"/>
                <w:color w:val="auto"/>
              </w:rPr>
              <w:t>85</w:t>
            </w:r>
          </w:p>
        </w:tc>
      </w:tr>
      <w:tr>
        <w:trPr>
          <w:trHeight w:val="270"/>
        </w:trPr>
        <w:tc>
          <w:tcPr>
            <w:tcW w:w="9360" w:type="dxa"/>
            <w:vAlign w:val="bottom"/>
          </w:tcPr>
          <w:p>
            <w:pPr>
              <w:spacing w:after="0"/>
              <w:rPr>
                <w:sz w:val="20"/>
                <w:szCs w:val="20"/>
                <w:color w:val="auto"/>
              </w:rPr>
            </w:pPr>
            <w:r>
              <w:rPr>
                <w:rFonts w:ascii="Verdana" w:cs="Verdana" w:eastAsia="Verdana" w:hAnsi="Verdana"/>
                <w:sz w:val="18"/>
                <w:szCs w:val="18"/>
                <w:color w:val="auto"/>
              </w:rPr>
              <w:t>FINANCIAL CONDITION</w:t>
            </w:r>
          </w:p>
        </w:tc>
        <w:tc>
          <w:tcPr>
            <w:tcW w:w="1840" w:type="dxa"/>
            <w:vAlign w:val="bottom"/>
          </w:tcPr>
          <w:p>
            <w:pPr>
              <w:jc w:val="right"/>
              <w:spacing w:after="0"/>
              <w:rPr>
                <w:sz w:val="20"/>
                <w:szCs w:val="20"/>
                <w:color w:val="auto"/>
              </w:rPr>
            </w:pPr>
            <w:r>
              <w:rPr>
                <w:rFonts w:ascii="Verdana" w:cs="Verdana" w:eastAsia="Verdana" w:hAnsi="Verdana"/>
                <w:sz w:val="18"/>
                <w:szCs w:val="18"/>
                <w:color w:val="auto"/>
              </w:rPr>
              <w:t>86</w:t>
            </w:r>
          </w:p>
        </w:tc>
      </w:tr>
      <w:tr>
        <w:trPr>
          <w:trHeight w:val="283"/>
        </w:trPr>
        <w:tc>
          <w:tcPr>
            <w:tcW w:w="9360" w:type="dxa"/>
            <w:vAlign w:val="bottom"/>
          </w:tcPr>
          <w:p>
            <w:pPr>
              <w:ind w:left="340"/>
              <w:spacing w:after="0"/>
              <w:rPr>
                <w:sz w:val="20"/>
                <w:szCs w:val="20"/>
                <w:color w:val="auto"/>
              </w:rPr>
            </w:pPr>
            <w:r>
              <w:rPr>
                <w:rFonts w:ascii="Verdana" w:cs="Verdana" w:eastAsia="Verdana" w:hAnsi="Verdana"/>
                <w:sz w:val="18"/>
                <w:szCs w:val="18"/>
                <w:color w:val="auto"/>
              </w:rPr>
              <w:t>Balance Sheet</w:t>
            </w:r>
          </w:p>
        </w:tc>
        <w:tc>
          <w:tcPr>
            <w:tcW w:w="1840" w:type="dxa"/>
            <w:vAlign w:val="bottom"/>
          </w:tcPr>
          <w:p>
            <w:pPr>
              <w:jc w:val="right"/>
              <w:spacing w:after="0"/>
              <w:rPr>
                <w:sz w:val="20"/>
                <w:szCs w:val="20"/>
                <w:color w:val="auto"/>
              </w:rPr>
            </w:pPr>
            <w:r>
              <w:rPr>
                <w:rFonts w:ascii="Verdana" w:cs="Verdana" w:eastAsia="Verdana" w:hAnsi="Verdana"/>
                <w:sz w:val="18"/>
                <w:szCs w:val="18"/>
                <w:color w:val="auto"/>
              </w:rPr>
              <w:t>86</w:t>
            </w:r>
          </w:p>
        </w:tc>
      </w:tr>
      <w:tr>
        <w:trPr>
          <w:trHeight w:val="270"/>
        </w:trPr>
        <w:tc>
          <w:tcPr>
            <w:tcW w:w="9360" w:type="dxa"/>
            <w:vAlign w:val="bottom"/>
          </w:tcPr>
          <w:p>
            <w:pPr>
              <w:ind w:left="340"/>
              <w:spacing w:after="0"/>
              <w:rPr>
                <w:sz w:val="20"/>
                <w:szCs w:val="20"/>
                <w:color w:val="auto"/>
              </w:rPr>
            </w:pPr>
            <w:r>
              <w:rPr>
                <w:rFonts w:ascii="Verdana" w:cs="Verdana" w:eastAsia="Verdana" w:hAnsi="Verdana"/>
                <w:sz w:val="18"/>
                <w:szCs w:val="18"/>
                <w:color w:val="auto"/>
              </w:rPr>
              <w:t>Portfolio Loans</w:t>
            </w:r>
          </w:p>
        </w:tc>
        <w:tc>
          <w:tcPr>
            <w:tcW w:w="1840" w:type="dxa"/>
            <w:vAlign w:val="bottom"/>
          </w:tcPr>
          <w:p>
            <w:pPr>
              <w:jc w:val="right"/>
              <w:spacing w:after="0"/>
              <w:rPr>
                <w:sz w:val="20"/>
                <w:szCs w:val="20"/>
                <w:color w:val="auto"/>
              </w:rPr>
            </w:pPr>
            <w:r>
              <w:rPr>
                <w:rFonts w:ascii="Verdana" w:cs="Verdana" w:eastAsia="Verdana" w:hAnsi="Verdana"/>
                <w:sz w:val="18"/>
                <w:szCs w:val="18"/>
                <w:color w:val="auto"/>
              </w:rPr>
              <w:t>86</w:t>
            </w:r>
          </w:p>
        </w:tc>
      </w:tr>
      <w:tr>
        <w:trPr>
          <w:trHeight w:val="270"/>
        </w:trPr>
        <w:tc>
          <w:tcPr>
            <w:tcW w:w="9360" w:type="dxa"/>
            <w:vAlign w:val="bottom"/>
          </w:tcPr>
          <w:p>
            <w:pPr>
              <w:ind w:left="660"/>
              <w:spacing w:after="0"/>
              <w:rPr>
                <w:sz w:val="20"/>
                <w:szCs w:val="20"/>
                <w:color w:val="auto"/>
              </w:rPr>
            </w:pPr>
            <w:r>
              <w:rPr>
                <w:rFonts w:ascii="Verdana" w:cs="Verdana" w:eastAsia="Verdana" w:hAnsi="Verdana"/>
                <w:sz w:val="18"/>
                <w:szCs w:val="18"/>
                <w:color w:val="auto"/>
              </w:rPr>
              <w:t>Concentration of Credit Risk</w:t>
            </w:r>
          </w:p>
        </w:tc>
        <w:tc>
          <w:tcPr>
            <w:tcW w:w="1840" w:type="dxa"/>
            <w:vAlign w:val="bottom"/>
          </w:tcPr>
          <w:p>
            <w:pPr>
              <w:jc w:val="right"/>
              <w:spacing w:after="0"/>
              <w:rPr>
                <w:sz w:val="20"/>
                <w:szCs w:val="20"/>
                <w:color w:val="auto"/>
              </w:rPr>
            </w:pPr>
            <w:r>
              <w:rPr>
                <w:rFonts w:ascii="Verdana" w:cs="Verdana" w:eastAsia="Verdana" w:hAnsi="Verdana"/>
                <w:sz w:val="18"/>
                <w:szCs w:val="18"/>
                <w:color w:val="auto"/>
              </w:rPr>
              <w:t>88</w:t>
            </w:r>
          </w:p>
        </w:tc>
      </w:tr>
      <w:tr>
        <w:trPr>
          <w:trHeight w:val="270"/>
        </w:trPr>
        <w:tc>
          <w:tcPr>
            <w:tcW w:w="9360" w:type="dxa"/>
            <w:vAlign w:val="bottom"/>
          </w:tcPr>
          <w:p>
            <w:pPr>
              <w:ind w:left="660"/>
              <w:spacing w:after="0"/>
              <w:rPr>
                <w:sz w:val="20"/>
                <w:szCs w:val="20"/>
                <w:color w:val="auto"/>
              </w:rPr>
            </w:pPr>
            <w:r>
              <w:rPr>
                <w:rFonts w:ascii="Verdana" w:cs="Verdana" w:eastAsia="Verdana" w:hAnsi="Verdana"/>
                <w:sz w:val="18"/>
                <w:szCs w:val="18"/>
                <w:color w:val="auto"/>
              </w:rPr>
              <w:t>Allowance and Provision for Credit Losses</w:t>
            </w:r>
          </w:p>
        </w:tc>
        <w:tc>
          <w:tcPr>
            <w:tcW w:w="1840" w:type="dxa"/>
            <w:vAlign w:val="bottom"/>
          </w:tcPr>
          <w:p>
            <w:pPr>
              <w:jc w:val="right"/>
              <w:spacing w:after="0"/>
              <w:rPr>
                <w:sz w:val="20"/>
                <w:szCs w:val="20"/>
                <w:color w:val="auto"/>
              </w:rPr>
            </w:pPr>
            <w:r>
              <w:rPr>
                <w:rFonts w:ascii="Verdana" w:cs="Verdana" w:eastAsia="Verdana" w:hAnsi="Verdana"/>
                <w:sz w:val="18"/>
                <w:szCs w:val="18"/>
                <w:color w:val="auto"/>
              </w:rPr>
              <w:t>90</w:t>
            </w:r>
          </w:p>
        </w:tc>
      </w:tr>
      <w:tr>
        <w:trPr>
          <w:trHeight w:val="270"/>
        </w:trPr>
        <w:tc>
          <w:tcPr>
            <w:tcW w:w="9360" w:type="dxa"/>
            <w:vAlign w:val="bottom"/>
          </w:tcPr>
          <w:p>
            <w:pPr>
              <w:ind w:left="660"/>
              <w:spacing w:after="0"/>
              <w:rPr>
                <w:sz w:val="20"/>
                <w:szCs w:val="20"/>
                <w:color w:val="auto"/>
              </w:rPr>
            </w:pPr>
            <w:r>
              <w:rPr>
                <w:rFonts w:ascii="Verdana" w:cs="Verdana" w:eastAsia="Verdana" w:hAnsi="Verdana"/>
                <w:sz w:val="18"/>
                <w:szCs w:val="18"/>
                <w:color w:val="auto"/>
              </w:rPr>
              <w:t>Non-Performing Loans and Non-Performing Assets</w:t>
            </w:r>
          </w:p>
        </w:tc>
        <w:tc>
          <w:tcPr>
            <w:tcW w:w="1840" w:type="dxa"/>
            <w:vAlign w:val="bottom"/>
          </w:tcPr>
          <w:p>
            <w:pPr>
              <w:jc w:val="right"/>
              <w:spacing w:after="0"/>
              <w:rPr>
                <w:sz w:val="20"/>
                <w:szCs w:val="20"/>
                <w:color w:val="auto"/>
              </w:rPr>
            </w:pPr>
            <w:r>
              <w:rPr>
                <w:rFonts w:ascii="Verdana" w:cs="Verdana" w:eastAsia="Verdana" w:hAnsi="Verdana"/>
                <w:sz w:val="18"/>
                <w:szCs w:val="18"/>
                <w:color w:val="auto"/>
              </w:rPr>
              <w:t>91</w:t>
            </w:r>
          </w:p>
        </w:tc>
      </w:tr>
      <w:tr>
        <w:trPr>
          <w:trHeight w:val="270"/>
        </w:trPr>
        <w:tc>
          <w:tcPr>
            <w:tcW w:w="9360" w:type="dxa"/>
            <w:vAlign w:val="bottom"/>
          </w:tcPr>
          <w:p>
            <w:pPr>
              <w:ind w:left="660"/>
              <w:spacing w:after="0"/>
              <w:rPr>
                <w:sz w:val="20"/>
                <w:szCs w:val="20"/>
                <w:color w:val="auto"/>
              </w:rPr>
            </w:pPr>
            <w:r>
              <w:rPr>
                <w:rFonts w:ascii="Verdana" w:cs="Verdana" w:eastAsia="Verdana" w:hAnsi="Verdana"/>
                <w:sz w:val="18"/>
                <w:szCs w:val="18"/>
                <w:color w:val="auto"/>
              </w:rPr>
              <w:t>Potential Problem Loans</w:t>
            </w:r>
          </w:p>
        </w:tc>
        <w:tc>
          <w:tcPr>
            <w:tcW w:w="1840" w:type="dxa"/>
            <w:vAlign w:val="bottom"/>
          </w:tcPr>
          <w:p>
            <w:pPr>
              <w:jc w:val="right"/>
              <w:spacing w:after="0"/>
              <w:rPr>
                <w:sz w:val="20"/>
                <w:szCs w:val="20"/>
                <w:color w:val="auto"/>
              </w:rPr>
            </w:pPr>
            <w:r>
              <w:rPr>
                <w:rFonts w:ascii="Verdana" w:cs="Verdana" w:eastAsia="Verdana" w:hAnsi="Verdana"/>
                <w:sz w:val="18"/>
                <w:szCs w:val="18"/>
                <w:color w:val="auto"/>
              </w:rPr>
              <w:t>92</w:t>
            </w:r>
          </w:p>
        </w:tc>
      </w:tr>
      <w:tr>
        <w:trPr>
          <w:trHeight w:val="270"/>
        </w:trPr>
        <w:tc>
          <w:tcPr>
            <w:tcW w:w="9360" w:type="dxa"/>
            <w:vAlign w:val="bottom"/>
          </w:tcPr>
          <w:p>
            <w:pPr>
              <w:ind w:left="340"/>
              <w:spacing w:after="0"/>
              <w:rPr>
                <w:sz w:val="20"/>
                <w:szCs w:val="20"/>
                <w:color w:val="auto"/>
              </w:rPr>
            </w:pPr>
            <w:r>
              <w:rPr>
                <w:rFonts w:ascii="Verdana" w:cs="Verdana" w:eastAsia="Verdana" w:hAnsi="Verdana"/>
                <w:sz w:val="18"/>
                <w:szCs w:val="18"/>
                <w:color w:val="auto"/>
              </w:rPr>
              <w:t>Deposits</w:t>
            </w:r>
          </w:p>
        </w:tc>
        <w:tc>
          <w:tcPr>
            <w:tcW w:w="1840" w:type="dxa"/>
            <w:vAlign w:val="bottom"/>
          </w:tcPr>
          <w:p>
            <w:pPr>
              <w:jc w:val="right"/>
              <w:spacing w:after="0"/>
              <w:rPr>
                <w:sz w:val="20"/>
                <w:szCs w:val="20"/>
                <w:color w:val="auto"/>
              </w:rPr>
            </w:pPr>
            <w:r>
              <w:rPr>
                <w:rFonts w:ascii="Verdana" w:cs="Verdana" w:eastAsia="Verdana" w:hAnsi="Verdana"/>
                <w:sz w:val="18"/>
                <w:szCs w:val="18"/>
                <w:color w:val="auto"/>
              </w:rPr>
              <w:t>92</w:t>
            </w:r>
          </w:p>
        </w:tc>
      </w:tr>
      <w:tr>
        <w:trPr>
          <w:trHeight w:val="270"/>
        </w:trPr>
        <w:tc>
          <w:tcPr>
            <w:tcW w:w="9360" w:type="dxa"/>
            <w:vAlign w:val="bottom"/>
          </w:tcPr>
          <w:p>
            <w:pPr>
              <w:ind w:left="340"/>
              <w:spacing w:after="0"/>
              <w:rPr>
                <w:sz w:val="20"/>
                <w:szCs w:val="20"/>
                <w:color w:val="auto"/>
              </w:rPr>
            </w:pPr>
            <w:r>
              <w:rPr>
                <w:rFonts w:ascii="Verdana" w:cs="Verdana" w:eastAsia="Verdana" w:hAnsi="Verdana"/>
                <w:sz w:val="18"/>
                <w:szCs w:val="18"/>
                <w:color w:val="auto"/>
              </w:rPr>
              <w:t>Liquidity</w:t>
            </w:r>
          </w:p>
        </w:tc>
        <w:tc>
          <w:tcPr>
            <w:tcW w:w="1840" w:type="dxa"/>
            <w:vAlign w:val="bottom"/>
          </w:tcPr>
          <w:p>
            <w:pPr>
              <w:jc w:val="right"/>
              <w:spacing w:after="0"/>
              <w:rPr>
                <w:sz w:val="20"/>
                <w:szCs w:val="20"/>
                <w:color w:val="auto"/>
              </w:rPr>
            </w:pPr>
            <w:r>
              <w:rPr>
                <w:rFonts w:ascii="Verdana" w:cs="Verdana" w:eastAsia="Verdana" w:hAnsi="Verdana"/>
                <w:sz w:val="18"/>
                <w:szCs w:val="18"/>
                <w:color w:val="auto"/>
              </w:rPr>
              <w:t>93</w:t>
            </w:r>
          </w:p>
        </w:tc>
      </w:tr>
      <w:tr>
        <w:trPr>
          <w:trHeight w:val="270"/>
        </w:trPr>
        <w:tc>
          <w:tcPr>
            <w:tcW w:w="9360" w:type="dxa"/>
            <w:vAlign w:val="bottom"/>
          </w:tcPr>
          <w:p>
            <w:pPr>
              <w:ind w:left="340"/>
              <w:spacing w:after="0"/>
              <w:rPr>
                <w:sz w:val="20"/>
                <w:szCs w:val="20"/>
                <w:color w:val="auto"/>
              </w:rPr>
            </w:pPr>
            <w:r>
              <w:rPr>
                <w:rFonts w:ascii="Verdana" w:cs="Verdana" w:eastAsia="Verdana" w:hAnsi="Verdana"/>
                <w:sz w:val="18"/>
                <w:szCs w:val="18"/>
                <w:color w:val="auto"/>
              </w:rPr>
              <w:t>Off-Balance-Sheet Arrangements</w:t>
            </w:r>
          </w:p>
        </w:tc>
        <w:tc>
          <w:tcPr>
            <w:tcW w:w="1840" w:type="dxa"/>
            <w:vAlign w:val="bottom"/>
          </w:tcPr>
          <w:p>
            <w:pPr>
              <w:jc w:val="right"/>
              <w:spacing w:after="0"/>
              <w:rPr>
                <w:sz w:val="20"/>
                <w:szCs w:val="20"/>
                <w:color w:val="auto"/>
              </w:rPr>
            </w:pPr>
            <w:r>
              <w:rPr>
                <w:rFonts w:ascii="Verdana" w:cs="Verdana" w:eastAsia="Verdana" w:hAnsi="Verdana"/>
                <w:sz w:val="18"/>
                <w:szCs w:val="18"/>
                <w:color w:val="auto"/>
              </w:rPr>
              <w:t>94</w:t>
            </w:r>
          </w:p>
        </w:tc>
      </w:tr>
      <w:tr>
        <w:trPr>
          <w:trHeight w:val="270"/>
        </w:trPr>
        <w:tc>
          <w:tcPr>
            <w:tcW w:w="9360" w:type="dxa"/>
            <w:vAlign w:val="bottom"/>
          </w:tcPr>
          <w:p>
            <w:pPr>
              <w:ind w:left="340"/>
              <w:spacing w:after="0"/>
              <w:rPr>
                <w:sz w:val="20"/>
                <w:szCs w:val="20"/>
                <w:color w:val="auto"/>
              </w:rPr>
            </w:pPr>
            <w:r>
              <w:rPr>
                <w:rFonts w:ascii="Verdana" w:cs="Verdana" w:eastAsia="Verdana" w:hAnsi="Verdana"/>
                <w:sz w:val="18"/>
                <w:szCs w:val="18"/>
                <w:color w:val="auto"/>
              </w:rPr>
              <w:t>Capital Resources</w:t>
            </w:r>
          </w:p>
        </w:tc>
        <w:tc>
          <w:tcPr>
            <w:tcW w:w="1840" w:type="dxa"/>
            <w:vAlign w:val="bottom"/>
          </w:tcPr>
          <w:p>
            <w:pPr>
              <w:jc w:val="right"/>
              <w:spacing w:after="0"/>
              <w:rPr>
                <w:sz w:val="20"/>
                <w:szCs w:val="20"/>
                <w:color w:val="auto"/>
              </w:rPr>
            </w:pPr>
            <w:r>
              <w:rPr>
                <w:rFonts w:ascii="Verdana" w:cs="Verdana" w:eastAsia="Verdana" w:hAnsi="Verdana"/>
                <w:sz w:val="18"/>
                <w:szCs w:val="18"/>
                <w:color w:val="auto"/>
              </w:rPr>
              <w:t>94</w:t>
            </w:r>
          </w:p>
        </w:tc>
      </w:tr>
      <w:tr>
        <w:trPr>
          <w:trHeight w:val="270"/>
        </w:trPr>
        <w:tc>
          <w:tcPr>
            <w:tcW w:w="9360" w:type="dxa"/>
            <w:vAlign w:val="bottom"/>
          </w:tcPr>
          <w:p>
            <w:pPr>
              <w:spacing w:after="0"/>
              <w:rPr>
                <w:sz w:val="20"/>
                <w:szCs w:val="20"/>
                <w:color w:val="auto"/>
              </w:rPr>
            </w:pPr>
            <w:r>
              <w:rPr>
                <w:rFonts w:ascii="Verdana" w:cs="Verdana" w:eastAsia="Verdana" w:hAnsi="Verdana"/>
                <w:sz w:val="18"/>
                <w:szCs w:val="18"/>
                <w:color w:val="auto"/>
              </w:rPr>
              <w:t>NON-GAAP FINANCIAL INFORMATION</w:t>
            </w:r>
          </w:p>
        </w:tc>
        <w:tc>
          <w:tcPr>
            <w:tcW w:w="1840" w:type="dxa"/>
            <w:vAlign w:val="bottom"/>
          </w:tcPr>
          <w:p>
            <w:pPr>
              <w:jc w:val="right"/>
              <w:spacing w:after="0"/>
              <w:rPr>
                <w:sz w:val="20"/>
                <w:szCs w:val="20"/>
                <w:color w:val="auto"/>
              </w:rPr>
            </w:pPr>
            <w:r>
              <w:rPr>
                <w:rFonts w:ascii="Verdana" w:cs="Verdana" w:eastAsia="Verdana" w:hAnsi="Verdana"/>
                <w:sz w:val="18"/>
                <w:szCs w:val="18"/>
                <w:color w:val="auto"/>
              </w:rPr>
              <w:t>95</w:t>
            </w:r>
          </w:p>
        </w:tc>
      </w:tr>
      <w:tr>
        <w:trPr>
          <w:trHeight w:val="283"/>
        </w:trPr>
        <w:tc>
          <w:tcPr>
            <w:tcW w:w="9360" w:type="dxa"/>
            <w:vAlign w:val="bottom"/>
          </w:tcPr>
          <w:p>
            <w:pPr>
              <w:spacing w:after="0"/>
              <w:rPr>
                <w:sz w:val="20"/>
                <w:szCs w:val="20"/>
                <w:color w:val="auto"/>
              </w:rPr>
            </w:pPr>
            <w:r>
              <w:rPr>
                <w:rFonts w:ascii="Verdana" w:cs="Verdana" w:eastAsia="Verdana" w:hAnsi="Verdana"/>
                <w:sz w:val="18"/>
                <w:szCs w:val="18"/>
                <w:color w:val="auto"/>
              </w:rPr>
              <w:t>FORWARD-LOOKING STATEMENTS</w:t>
            </w:r>
          </w:p>
        </w:tc>
        <w:tc>
          <w:tcPr>
            <w:tcW w:w="1840" w:type="dxa"/>
            <w:vAlign w:val="bottom"/>
          </w:tcPr>
          <w:p>
            <w:pPr>
              <w:jc w:val="right"/>
              <w:spacing w:after="0"/>
              <w:rPr>
                <w:sz w:val="20"/>
                <w:szCs w:val="20"/>
                <w:color w:val="auto"/>
              </w:rPr>
            </w:pPr>
            <w:r>
              <w:rPr>
                <w:rFonts w:ascii="Verdana" w:cs="Verdana" w:eastAsia="Verdana" w:hAnsi="Verdana"/>
                <w:sz w:val="18"/>
                <w:szCs w:val="18"/>
                <w:color w:val="auto"/>
              </w:rPr>
              <w:t>104</w:t>
            </w:r>
          </w:p>
        </w:tc>
      </w:tr>
      <w:tr>
        <w:trPr>
          <w:trHeight w:val="283"/>
        </w:trPr>
        <w:tc>
          <w:tcPr>
            <w:tcW w:w="9360" w:type="dxa"/>
            <w:vAlign w:val="bottom"/>
          </w:tcPr>
          <w:p>
            <w:pPr>
              <w:spacing w:after="0"/>
              <w:rPr>
                <w:sz w:val="20"/>
                <w:szCs w:val="20"/>
                <w:color w:val="auto"/>
              </w:rPr>
            </w:pPr>
            <w:r>
              <w:rPr>
                <w:rFonts w:ascii="Verdana" w:cs="Verdana" w:eastAsia="Verdana" w:hAnsi="Verdana"/>
                <w:sz w:val="18"/>
                <w:szCs w:val="18"/>
                <w:color w:val="auto"/>
              </w:rPr>
              <w:t>CRITICAL ACCOUNTING ESTIMATES</w:t>
            </w:r>
          </w:p>
        </w:tc>
        <w:tc>
          <w:tcPr>
            <w:tcW w:w="1840" w:type="dxa"/>
            <w:vAlign w:val="bottom"/>
          </w:tcPr>
          <w:p>
            <w:pPr>
              <w:jc w:val="right"/>
              <w:spacing w:after="0"/>
              <w:rPr>
                <w:sz w:val="20"/>
                <w:szCs w:val="20"/>
                <w:color w:val="auto"/>
              </w:rPr>
            </w:pPr>
            <w:r>
              <w:rPr>
                <w:rFonts w:ascii="Verdana" w:cs="Verdana" w:eastAsia="Verdana" w:hAnsi="Verdana"/>
                <w:sz w:val="18"/>
                <w:szCs w:val="18"/>
                <w:color w:val="auto"/>
              </w:rPr>
              <w:t>105</w:t>
            </w:r>
          </w:p>
        </w:tc>
      </w:tr>
      <w:tr>
        <w:trPr>
          <w:trHeight w:val="284"/>
        </w:trPr>
        <w:tc>
          <w:tcPr>
            <w:tcW w:w="9360" w:type="dxa"/>
            <w:vAlign w:val="bottom"/>
          </w:tcPr>
          <w:p>
            <w:pPr>
              <w:ind w:left="340"/>
              <w:spacing w:after="0"/>
              <w:rPr>
                <w:sz w:val="20"/>
                <w:szCs w:val="20"/>
                <w:color w:val="auto"/>
              </w:rPr>
            </w:pPr>
            <w:r>
              <w:rPr>
                <w:rFonts w:ascii="Verdana" w:cs="Verdana" w:eastAsia="Verdana" w:hAnsi="Verdana"/>
                <w:sz w:val="18"/>
                <w:szCs w:val="18"/>
                <w:color w:val="auto"/>
              </w:rPr>
              <w:t>Fair Value of Debt Securities Available for Sale</w:t>
            </w:r>
          </w:p>
        </w:tc>
        <w:tc>
          <w:tcPr>
            <w:tcW w:w="1840" w:type="dxa"/>
            <w:vAlign w:val="bottom"/>
          </w:tcPr>
          <w:p>
            <w:pPr>
              <w:jc w:val="right"/>
              <w:spacing w:after="0"/>
              <w:rPr>
                <w:sz w:val="20"/>
                <w:szCs w:val="20"/>
                <w:color w:val="auto"/>
              </w:rPr>
            </w:pPr>
            <w:r>
              <w:rPr>
                <w:rFonts w:ascii="Verdana" w:cs="Verdana" w:eastAsia="Verdana" w:hAnsi="Verdana"/>
                <w:sz w:val="18"/>
                <w:szCs w:val="18"/>
                <w:color w:val="auto"/>
              </w:rPr>
              <w:t>105</w:t>
            </w:r>
          </w:p>
        </w:tc>
      </w:tr>
      <w:tr>
        <w:trPr>
          <w:trHeight w:val="270"/>
        </w:trPr>
        <w:tc>
          <w:tcPr>
            <w:tcW w:w="9360" w:type="dxa"/>
            <w:vAlign w:val="bottom"/>
          </w:tcPr>
          <w:p>
            <w:pPr>
              <w:ind w:left="340"/>
              <w:spacing w:after="0"/>
              <w:rPr>
                <w:sz w:val="20"/>
                <w:szCs w:val="20"/>
                <w:color w:val="auto"/>
              </w:rPr>
            </w:pPr>
            <w:r>
              <w:rPr>
                <w:rFonts w:ascii="Verdana" w:cs="Verdana" w:eastAsia="Verdana" w:hAnsi="Verdana"/>
                <w:sz w:val="18"/>
                <w:szCs w:val="18"/>
                <w:color w:val="auto"/>
              </w:rPr>
              <w:t>Fair Value of Assets Acquired and Liabilities Assumed in Business Combinations</w:t>
            </w:r>
          </w:p>
        </w:tc>
        <w:tc>
          <w:tcPr>
            <w:tcW w:w="1840" w:type="dxa"/>
            <w:vAlign w:val="bottom"/>
          </w:tcPr>
          <w:p>
            <w:pPr>
              <w:jc w:val="right"/>
              <w:spacing w:after="0"/>
              <w:rPr>
                <w:sz w:val="20"/>
                <w:szCs w:val="20"/>
                <w:color w:val="auto"/>
              </w:rPr>
            </w:pPr>
            <w:r>
              <w:rPr>
                <w:rFonts w:ascii="Verdana" w:cs="Verdana" w:eastAsia="Verdana" w:hAnsi="Verdana"/>
                <w:sz w:val="18"/>
                <w:szCs w:val="18"/>
                <w:color w:val="auto"/>
              </w:rPr>
              <w:t>106</w:t>
            </w:r>
          </w:p>
        </w:tc>
      </w:tr>
      <w:tr>
        <w:trPr>
          <w:trHeight w:val="270"/>
        </w:trPr>
        <w:tc>
          <w:tcPr>
            <w:tcW w:w="9360" w:type="dxa"/>
            <w:vAlign w:val="bottom"/>
          </w:tcPr>
          <w:p>
            <w:pPr>
              <w:ind w:left="340"/>
              <w:spacing w:after="0"/>
              <w:rPr>
                <w:sz w:val="20"/>
                <w:szCs w:val="20"/>
                <w:color w:val="auto"/>
              </w:rPr>
            </w:pPr>
            <w:r>
              <w:rPr>
                <w:rFonts w:ascii="Verdana" w:cs="Verdana" w:eastAsia="Verdana" w:hAnsi="Verdana"/>
                <w:sz w:val="18"/>
                <w:szCs w:val="18"/>
                <w:color w:val="auto"/>
              </w:rPr>
              <w:t>Goodwill</w:t>
            </w:r>
          </w:p>
        </w:tc>
        <w:tc>
          <w:tcPr>
            <w:tcW w:w="1840" w:type="dxa"/>
            <w:vAlign w:val="bottom"/>
          </w:tcPr>
          <w:p>
            <w:pPr>
              <w:jc w:val="right"/>
              <w:spacing w:after="0"/>
              <w:rPr>
                <w:sz w:val="20"/>
                <w:szCs w:val="20"/>
                <w:color w:val="auto"/>
              </w:rPr>
            </w:pPr>
            <w:r>
              <w:rPr>
                <w:rFonts w:ascii="Verdana" w:cs="Verdana" w:eastAsia="Verdana" w:hAnsi="Verdana"/>
                <w:sz w:val="18"/>
                <w:szCs w:val="18"/>
                <w:color w:val="auto"/>
              </w:rPr>
              <w:t>106</w:t>
            </w:r>
          </w:p>
        </w:tc>
      </w:tr>
      <w:tr>
        <w:trPr>
          <w:trHeight w:val="270"/>
        </w:trPr>
        <w:tc>
          <w:tcPr>
            <w:tcW w:w="9360" w:type="dxa"/>
            <w:vAlign w:val="bottom"/>
          </w:tcPr>
          <w:p>
            <w:pPr>
              <w:ind w:left="340"/>
              <w:spacing w:after="0"/>
              <w:rPr>
                <w:sz w:val="20"/>
                <w:szCs w:val="20"/>
                <w:color w:val="auto"/>
              </w:rPr>
            </w:pPr>
            <w:r>
              <w:rPr>
                <w:rFonts w:ascii="Verdana" w:cs="Verdana" w:eastAsia="Verdana" w:hAnsi="Verdana"/>
                <w:sz w:val="18"/>
                <w:szCs w:val="18"/>
                <w:color w:val="auto"/>
              </w:rPr>
              <w:t>Income Taxes</w:t>
            </w:r>
          </w:p>
        </w:tc>
        <w:tc>
          <w:tcPr>
            <w:tcW w:w="1840" w:type="dxa"/>
            <w:vAlign w:val="bottom"/>
          </w:tcPr>
          <w:p>
            <w:pPr>
              <w:jc w:val="right"/>
              <w:spacing w:after="0"/>
              <w:rPr>
                <w:sz w:val="20"/>
                <w:szCs w:val="20"/>
                <w:color w:val="auto"/>
              </w:rPr>
            </w:pPr>
            <w:r>
              <w:rPr>
                <w:rFonts w:ascii="Verdana" w:cs="Verdana" w:eastAsia="Verdana" w:hAnsi="Verdana"/>
                <w:sz w:val="18"/>
                <w:szCs w:val="18"/>
                <w:color w:val="auto"/>
              </w:rPr>
              <w:t>106</w:t>
            </w:r>
          </w:p>
        </w:tc>
      </w:tr>
      <w:tr>
        <w:trPr>
          <w:trHeight w:val="270"/>
        </w:trPr>
        <w:tc>
          <w:tcPr>
            <w:tcW w:w="9360" w:type="dxa"/>
            <w:vAlign w:val="bottom"/>
          </w:tcPr>
          <w:p>
            <w:pPr>
              <w:ind w:left="340"/>
              <w:spacing w:after="0"/>
              <w:rPr>
                <w:sz w:val="20"/>
                <w:szCs w:val="20"/>
                <w:color w:val="auto"/>
              </w:rPr>
            </w:pPr>
            <w:r>
              <w:rPr>
                <w:rFonts w:ascii="Verdana" w:cs="Verdana" w:eastAsia="Verdana" w:hAnsi="Verdana"/>
                <w:sz w:val="18"/>
                <w:szCs w:val="18"/>
                <w:color w:val="auto"/>
              </w:rPr>
              <w:t>Allowance for Credit Losses</w:t>
            </w:r>
          </w:p>
        </w:tc>
        <w:tc>
          <w:tcPr>
            <w:tcW w:w="1840" w:type="dxa"/>
            <w:vAlign w:val="bottom"/>
          </w:tcPr>
          <w:p>
            <w:pPr>
              <w:jc w:val="right"/>
              <w:spacing w:after="0"/>
              <w:rPr>
                <w:sz w:val="20"/>
                <w:szCs w:val="20"/>
                <w:color w:val="auto"/>
              </w:rPr>
            </w:pPr>
            <w:r>
              <w:rPr>
                <w:rFonts w:ascii="Verdana" w:cs="Verdana" w:eastAsia="Verdana" w:hAnsi="Verdana"/>
                <w:sz w:val="18"/>
                <w:szCs w:val="18"/>
                <w:color w:val="auto"/>
              </w:rPr>
              <w:t>106</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0" w:name="page71"/>
    <w:bookmarkEnd w:id="70"/>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SCOPE OF DISCUSSION</w:t>
      </w:r>
    </w:p>
    <w:p>
      <w:pPr>
        <w:spacing w:after="0" w:line="173" w:lineRule="exact"/>
        <w:rPr>
          <w:sz w:val="20"/>
          <w:szCs w:val="20"/>
          <w:color w:val="auto"/>
        </w:rPr>
      </w:pPr>
    </w:p>
    <w:p>
      <w:pPr>
        <w:jc w:val="both"/>
        <w:spacing w:after="0" w:line="242" w:lineRule="auto"/>
        <w:rPr>
          <w:rFonts w:ascii="Verdana" w:cs="Verdana" w:eastAsia="Verdana" w:hAnsi="Verdana"/>
          <w:sz w:val="18"/>
          <w:szCs w:val="18"/>
          <w:color w:val="000000"/>
        </w:rPr>
      </w:pPr>
      <w:r>
        <w:rPr>
          <w:rFonts w:ascii="Verdana" w:cs="Verdana" w:eastAsia="Verdana" w:hAnsi="Verdana"/>
          <w:sz w:val="18"/>
          <w:szCs w:val="18"/>
          <w:color w:val="auto"/>
        </w:rPr>
        <w:t xml:space="preserve">The following discussion and analysis are intended to assist readers in understanding Busey’s financial condition and results of operations during the three and nine months ended September 30, 2024, and should be read in conjunction with our </w:t>
      </w:r>
      <w:r>
        <w:rPr>
          <w:rFonts w:ascii="Verdana" w:cs="Verdana" w:eastAsia="Verdana" w:hAnsi="Verdana"/>
          <w:sz w:val="18"/>
          <w:szCs w:val="18"/>
          <w:u w:val="single" w:color="auto"/>
          <w:color w:val="0000FF"/>
        </w:rPr>
        <w:t>Consolidated Financial Statements (Unaudited)</w:t>
      </w:r>
      <w:r>
        <w:rPr>
          <w:rFonts w:ascii="Verdana" w:cs="Verdana" w:eastAsia="Verdana" w:hAnsi="Verdana"/>
          <w:sz w:val="18"/>
          <w:szCs w:val="18"/>
          <w:color w:val="0000FF"/>
        </w:rPr>
        <w:t xml:space="preserve"> </w:t>
      </w:r>
      <w:r>
        <w:rPr>
          <w:rFonts w:ascii="Verdana" w:cs="Verdana" w:eastAsia="Verdana" w:hAnsi="Verdana"/>
          <w:sz w:val="18"/>
          <w:szCs w:val="18"/>
          <w:color w:val="000000"/>
        </w:rPr>
        <w:t>and the related</w:t>
      </w:r>
      <w:r>
        <w:rPr>
          <w:rFonts w:ascii="Verdana" w:cs="Verdana" w:eastAsia="Verdana" w:hAnsi="Verdana"/>
          <w:sz w:val="18"/>
          <w:szCs w:val="18"/>
          <w:color w:val="0000FF"/>
        </w:rPr>
        <w:t xml:space="preserve"> </w:t>
      </w:r>
      <w:r>
        <w:rPr>
          <w:rFonts w:ascii="Verdana" w:cs="Verdana" w:eastAsia="Verdana" w:hAnsi="Verdana"/>
          <w:sz w:val="18"/>
          <w:szCs w:val="18"/>
          <w:u w:val="single" w:color="auto"/>
          <w:color w:val="0000FF"/>
        </w:rPr>
        <w:t>Notes to the Consolidated Financial Statements (Unaudited)</w:t>
      </w:r>
      <w:r>
        <w:rPr>
          <w:rFonts w:ascii="Verdana" w:cs="Verdana" w:eastAsia="Verdana" w:hAnsi="Verdana"/>
          <w:sz w:val="18"/>
          <w:szCs w:val="18"/>
          <w:color w:val="0000FF"/>
        </w:rPr>
        <w:t xml:space="preserve"> </w:t>
      </w:r>
      <w:r>
        <w:rPr>
          <w:rFonts w:ascii="Verdana" w:cs="Verdana" w:eastAsia="Verdana" w:hAnsi="Verdana"/>
          <w:sz w:val="18"/>
          <w:szCs w:val="18"/>
          <w:color w:val="000000"/>
        </w:rPr>
        <w:t xml:space="preserve">included in this Quarterly Report, as well as our </w:t>
      </w:r>
      <w:hyperlink r:id="rId25">
        <w:r>
          <w:rPr>
            <w:rFonts w:ascii="Verdana" w:cs="Verdana" w:eastAsia="Verdana" w:hAnsi="Verdana"/>
            <w:sz w:val="18"/>
            <w:szCs w:val="18"/>
            <w:u w:val="single" w:color="auto"/>
            <w:color w:val="0000FF"/>
          </w:rPr>
          <w:t>2023 Annual Report</w:t>
        </w:r>
      </w:hyperlink>
      <w:r>
        <w:rPr>
          <w:rFonts w:ascii="Verdana" w:cs="Verdana" w:eastAsia="Verdana" w:hAnsi="Verdana"/>
          <w:sz w:val="18"/>
          <w:szCs w:val="18"/>
          <w:color w:val="000000"/>
        </w:rPr>
        <w:t>.</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BUSINESS</w:t>
      </w:r>
    </w:p>
    <w:p>
      <w:pPr>
        <w:spacing w:after="0" w:line="186"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First Busey Corporation is a $11.99 billion financial holding company headquartered in Champaign, Illinois. Our common stock is traded on The Nasdaq Global Select Market under the symbol “BUSE.”</w:t>
      </w:r>
    </w:p>
    <w:p>
      <w:pPr>
        <w:spacing w:after="0" w:line="144"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Our three operating segments provide a full range of banking, wealth management, and payment technology solutions through our subsidiaries, Busey Bank and FirsTech, in Illinois; the St. Louis, Missouri metropolitan area; southwest Florida; and Indianapolis, Indiana.</w:t>
      </w:r>
    </w:p>
    <w:p>
      <w:pPr>
        <w:spacing w:after="0" w:line="154"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Banking Center Markets</w:t>
      </w:r>
    </w:p>
    <w:p>
      <w:pPr>
        <w:spacing w:after="0" w:line="186"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Busey Bank serves the Illinois banking market with 50 banking centers, including 21 located within central Illinois, 17 located within the suburban Chicago market, and 12 located within the St. Louis Metropolitan Statistical Area. Our Illinois markets feature several Fortune 1000 companies. Those organizations, coupled with large healthcare and higher education sectors, anchor the communities in which they are located and have provided a comparatively stable foundation for housing, employment, and small business.</w:t>
      </w:r>
    </w:p>
    <w:p>
      <w:pPr>
        <w:spacing w:after="0" w:line="157"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Busey Bank has eight banking centers in Missouri. St. Louis, Missouri has a diverse economy with major employment sectors including health care, financial services, professional and business services, and retail. We have a total of 20 banking centers within the boundaries of the St. Louis Metropolitan Statistical Area, including branches in both Illinois and Missouri.</w:t>
      </w:r>
    </w:p>
    <w:p>
      <w:pPr>
        <w:spacing w:after="0" w:line="157"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Busey Bank has three banking centers in southwest Florida, an area which has experienced strong population growth, job growth, and an expanded housing market, as well as the benefits of a tourism and winter resort economy.</w:t>
      </w:r>
    </w:p>
    <w:p>
      <w:pPr>
        <w:spacing w:after="0" w:line="158"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Busey Bank has one banking center in the Indianapolis, Indiana area, which is the most populous city of Indiana with a diverse economy, due in part to it serving as the headquarters of many large corporations.</w:t>
      </w:r>
    </w:p>
    <w:p>
      <w:pPr>
        <w:spacing w:after="0" w:line="144"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Busey's Conservative Banking Strategy</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Busey’s financial strength is built on a long-term conservative operating approach. The quality of our core deposit franchise is a critical value driver of our institution. Busey remains substantially core deposit</w:t>
      </w:r>
      <w:r>
        <w:rPr>
          <w:rFonts w:ascii="Verdana" w:cs="Verdana" w:eastAsia="Verdana" w:hAnsi="Verdana"/>
          <w:sz w:val="11"/>
          <w:szCs w:val="11"/>
          <w:color w:val="auto"/>
        </w:rPr>
        <w:t>1</w:t>
      </w:r>
      <w:r>
        <w:rPr>
          <w:rFonts w:ascii="Verdana" w:cs="Verdana" w:eastAsia="Verdana" w:hAnsi="Verdana"/>
          <w:sz w:val="18"/>
          <w:szCs w:val="18"/>
          <w:color w:val="auto"/>
        </w:rPr>
        <w:t xml:space="preserve"> funded, with robust liquidity and significant market share in the communities we serve. As of September 30, 2024, our loan to deposit ratio was 78.5% and core deposits represented 96.5% of total deposits. Furthermore, we have sufficient on- and off-balance sheet liquidity to manage deposit fluctuations and the liquidity needs of our customers.</w:t>
      </w:r>
    </w:p>
    <w:p>
      <w:pPr>
        <w:spacing w:after="0" w:line="171"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Our credit performance reflects our highly diversified, conservatively underwritten loan portfolio, which has been originated predominantly to established customers with tenured relationships with Busey. Our approach to lending and our underwriting standards are designed to emphasize relationship banking rather than transactional banking. In addition, as a matter of both policy and practice, we limit concentration exposures in any particular loan segment. As a result, asset quality remains strong by both Busey’s historical and current industry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7145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Verdana" w:cs="Verdana" w:eastAsia="Verdana" w:hAnsi="Verdana"/>
          <w:sz w:val="23"/>
          <w:szCs w:val="23"/>
          <w:color w:val="auto"/>
          <w:vertAlign w:val="superscript"/>
        </w:rPr>
        <w:t>1</w:t>
      </w:r>
      <w:r>
        <w:rPr>
          <w:rFonts w:ascii="Verdana" w:cs="Verdana" w:eastAsia="Verdana" w:hAnsi="Verdana"/>
          <w:sz w:val="13"/>
          <w:szCs w:val="13"/>
          <w:color w:val="auto"/>
        </w:rPr>
        <w:t xml:space="preserve">  Core deposits is a non-GAAP financial measure. For a reconciliation of non-GAAP measures to the most directly comparable GAAP financial measures, see </w:t>
      </w:r>
      <w:r>
        <w:rPr>
          <w:rFonts w:ascii="Verdana" w:cs="Verdana" w:eastAsia="Verdana" w:hAnsi="Verdana"/>
          <w:sz w:val="13"/>
          <w:szCs w:val="13"/>
          <w:i w:val="1"/>
          <w:iCs w:val="1"/>
          <w:u w:val="single" w:color="auto"/>
          <w:color w:val="0000FF"/>
        </w:rPr>
        <w:t>“Item 2.</w:t>
      </w:r>
    </w:p>
    <w:p>
      <w:pPr>
        <w:ind w:left="180"/>
        <w:spacing w:after="0"/>
        <w:rPr>
          <w:sz w:val="20"/>
          <w:szCs w:val="20"/>
          <w:color w:val="auto"/>
        </w:rPr>
      </w:pPr>
      <w:r>
        <w:rPr>
          <w:rFonts w:ascii="Verdana" w:cs="Verdana" w:eastAsia="Verdana" w:hAnsi="Verdana"/>
          <w:sz w:val="13"/>
          <w:szCs w:val="13"/>
          <w:i w:val="1"/>
          <w:iCs w:val="1"/>
          <w:u w:val="single" w:color="auto"/>
          <w:color w:val="0000FF"/>
        </w:rPr>
        <w:t>Management’s Discussion and Analysis—Non-GAAP Financial Information”</w:t>
      </w:r>
      <w:r>
        <w:rPr>
          <w:rFonts w:ascii="Verdana" w:cs="Verdana" w:eastAsia="Verdana" w:hAnsi="Verdana"/>
          <w:sz w:val="13"/>
          <w:szCs w:val="13"/>
          <w:i w:val="1"/>
          <w:iCs w:val="1"/>
          <w:color w:val="0000FF"/>
        </w:rPr>
        <w:t xml:space="preserve"> </w:t>
      </w:r>
      <w:r>
        <w:rPr>
          <w:rFonts w:ascii="Verdana" w:cs="Verdana" w:eastAsia="Verdana" w:hAnsi="Verdana"/>
          <w:sz w:val="13"/>
          <w:szCs w:val="13"/>
          <w:color w:val="000000"/>
        </w:rPr>
        <w:t>included in this Quarterly Report.</w:t>
      </w: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1" w:name="page72"/>
    <w:bookmarkEnd w:id="71"/>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Busey’s conservative banking strategy is reflected in the strength of our capital base. We strive to consistently maintain capital ratios well in excess of thresholds required to be designated as well capitalized by applicable regulatory guidelines, thereby ensuring financial strength and flexibility across economic and operating cycles. At September 30, 2024, our leverage ratio of Tier 1 capital to average assets was 11.0%, our common equity Tier 1 capital to risk weighted assets ratio was 13.8%, and our total capital to risk weighted assets ratio was 18.2%.</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Mergers and Acquisitions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CrossFirst Bankshares, Inc.</w:t>
      </w:r>
    </w:p>
    <w:p>
      <w:pPr>
        <w:spacing w:after="0" w:line="186"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On August 26, 2024, Busey and CrossFirst, a Kansas corporation, entered into an Agreement and Plan of Merger (the “Merger Agreement”). The Merger Agreement provides that, upon the terms and subject to the conditions set forth therein, CrossFirst will merge with and into Busey, with Busey as the surviving corporation in the merger (the “Merger”). The Merger Agreement further provides that at a date and time following the Merger as determined by Busey, CrossFirst Bank, a Kansas state-chartered bank and a wholly owned subsidiary of CrossFirst, will merge with and into Busey Bank, with Busey Bank as the surviving bank (the “Bank Merger”). Upon the terms and subject to the conditions set forth in the Merger Agreement, at the effective time of the Merger (the “Effective Time”), each share of CrossFirst common stock outstanding immediately prior to the Effective Time, other than certain shares held by CrossFirst or Busey, will be converted into the right to receive 0.6675 of a share of Busey common stock. Upon completion of the Merger, holders of Busey common stock (“Busey stockholders”) will own approximately 63.5% of the combined company and holders of CrossFirst common stock (“CrossFirst stockholders”) will own approximately 36.5% of the combined company, on a fully-diluted basis.</w:t>
      </w:r>
    </w:p>
    <w:p>
      <w:pPr>
        <w:spacing w:after="0" w:line="164"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Completion of the merger is subject to customary closing conditions, including the approval of both Busey stockholders and CrossFirst stockholders and the requisite regulatory approvals for the Merger and the Bank Merger. With approvals, the parties expect to close the merger in the first or second quarter of 2025. In connection with the Merger, Busey incurred one-time pre-tax acquisition-related expenses of $1.3 million and $1.5 million during the three and nine months months ended September 30, 2024, respectively.</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Merchants and Manufacturers Bank Corporation</w:t>
      </w:r>
    </w:p>
    <w:p>
      <w:pPr>
        <w:spacing w:after="0" w:line="186" w:lineRule="exact"/>
        <w:rPr>
          <w:sz w:val="20"/>
          <w:szCs w:val="20"/>
          <w:color w:val="auto"/>
        </w:rPr>
      </w:pPr>
    </w:p>
    <w:p>
      <w:pPr>
        <w:jc w:val="both"/>
        <w:spacing w:after="0" w:line="226" w:lineRule="auto"/>
        <w:rPr>
          <w:sz w:val="20"/>
          <w:szCs w:val="20"/>
          <w:color w:val="auto"/>
        </w:rPr>
      </w:pPr>
      <w:r>
        <w:rPr>
          <w:rFonts w:ascii="Verdana" w:cs="Verdana" w:eastAsia="Verdana" w:hAnsi="Verdana"/>
          <w:sz w:val="18"/>
          <w:szCs w:val="18"/>
          <w:color w:val="auto"/>
        </w:rPr>
        <w:t>Effective April 1, 2024, Busey completed its previously announced acquisition of M&amp;M, pursuant to which Busey acquired M&amp;M and its wholly-owned subsidiary, M&amp;M Bank, through a merger transaction. This partnership added M&amp;M’s Life Equity Loan</w:t>
      </w:r>
      <w:r>
        <w:rPr>
          <w:rFonts w:ascii="Verdana" w:cs="Verdana" w:eastAsia="Verdana" w:hAnsi="Verdana"/>
          <w:sz w:val="23"/>
          <w:szCs w:val="23"/>
          <w:color w:val="auto"/>
          <w:vertAlign w:val="superscript"/>
        </w:rPr>
        <w:t>®</w:t>
      </w:r>
      <w:r>
        <w:rPr>
          <w:rFonts w:ascii="Verdana" w:cs="Verdana" w:eastAsia="Verdana" w:hAnsi="Verdana"/>
          <w:sz w:val="18"/>
          <w:szCs w:val="18"/>
          <w:color w:val="auto"/>
        </w:rPr>
        <w:t xml:space="preserve"> products to Busey’s existing suite of services and expands Busey’s presence in the suburban Chicago market. M&amp;M’s results of operations were included in Busey’s results of operation beginning April 1, 2024.</w:t>
      </w:r>
    </w:p>
    <w:p>
      <w:pPr>
        <w:spacing w:after="0" w:line="158" w:lineRule="exact"/>
        <w:rPr>
          <w:sz w:val="20"/>
          <w:szCs w:val="20"/>
          <w:color w:val="auto"/>
        </w:rPr>
      </w:pPr>
    </w:p>
    <w:p>
      <w:pPr>
        <w:jc w:val="both"/>
        <w:ind w:right="20"/>
        <w:spacing w:after="0" w:line="245" w:lineRule="auto"/>
        <w:rPr>
          <w:sz w:val="20"/>
          <w:szCs w:val="20"/>
          <w:color w:val="auto"/>
        </w:rPr>
      </w:pPr>
      <w:r>
        <w:rPr>
          <w:rFonts w:ascii="Verdana" w:cs="Verdana" w:eastAsia="Verdana" w:hAnsi="Verdana"/>
          <w:sz w:val="18"/>
          <w:szCs w:val="18"/>
          <w:color w:val="auto"/>
        </w:rPr>
        <w:t>Busey operated M&amp;M Bank as a separate banking subsidiary of Busey until it was merged with Busey Bank on June 21, 2024. At the time of the bank merger, M&amp;M Bank’s banking centers became banking centers of Busey Bank, except for M&amp;M’s banking center located at 990 Essington Rd., Joliet, Illinois, which was closed in connection with the bank merger.</w:t>
      </w:r>
    </w:p>
    <w:p>
      <w:pPr>
        <w:spacing w:after="0" w:line="154"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For additional information, see </w:t>
      </w:r>
      <w:r>
        <w:rPr>
          <w:rFonts w:ascii="Verdana" w:cs="Verdana" w:eastAsia="Verdana" w:hAnsi="Verdana"/>
          <w:sz w:val="18"/>
          <w:szCs w:val="18"/>
          <w:i w:val="1"/>
          <w:iCs w:val="1"/>
          <w:color w:val="auto"/>
        </w:rPr>
        <w:t>“</w:t>
      </w:r>
      <w:r>
        <w:rPr>
          <w:rFonts w:ascii="Verdana" w:cs="Verdana" w:eastAsia="Verdana" w:hAnsi="Verdana"/>
          <w:sz w:val="18"/>
          <w:szCs w:val="18"/>
          <w:i w:val="1"/>
          <w:iCs w:val="1"/>
          <w:u w:val="single" w:color="auto"/>
          <w:color w:val="0000FF"/>
        </w:rPr>
        <w:t>Note 2. Mergers and Acquisitions</w:t>
      </w:r>
      <w:r>
        <w:rPr>
          <w:rFonts w:ascii="Verdana" w:cs="Verdana" w:eastAsia="Verdana" w:hAnsi="Verdana"/>
          <w:sz w:val="18"/>
          <w:szCs w:val="18"/>
          <w:i w:val="1"/>
          <w:iCs w:val="1"/>
          <w:color w:val="auto"/>
        </w:rPr>
        <w:t>.”</w:t>
      </w: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2" w:name="page73"/>
    <w:bookmarkEnd w:id="72"/>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RESULTS OF OPERATIONS — THREE AND NINE MONTHS ENDED SEPTEMBER 30, 2024</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Net Income</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Results of our operations, by operating segment, are presented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60" w:type="dxa"/>
            <w:vAlign w:val="bottom"/>
            <w:gridSpan w:val="5"/>
          </w:tcPr>
          <w:p>
            <w:pPr>
              <w:ind w:left="60"/>
              <w:spacing w:after="0"/>
              <w:rPr>
                <w:sz w:val="20"/>
                <w:szCs w:val="20"/>
                <w:color w:val="auto"/>
              </w:rPr>
            </w:pPr>
            <w:r>
              <w:rPr>
                <w:rFonts w:ascii="Verdana" w:cs="Verdana" w:eastAsia="Verdana" w:hAnsi="Verdana"/>
                <w:sz w:val="13"/>
                <w:szCs w:val="13"/>
                <w:b w:val="1"/>
                <w:bCs w:val="1"/>
                <w:color w:val="auto"/>
              </w:rPr>
              <w:t>Three Months Ended September 30,</w:t>
            </w:r>
          </w:p>
        </w:tc>
        <w:tc>
          <w:tcPr>
            <w:tcW w:w="240" w:type="dxa"/>
            <w:vAlign w:val="bottom"/>
          </w:tcPr>
          <w:p>
            <w:pPr>
              <w:spacing w:after="0"/>
              <w:rPr>
                <w:sz w:val="15"/>
                <w:szCs w:val="15"/>
                <w:color w:val="auto"/>
              </w:rPr>
            </w:pPr>
          </w:p>
        </w:tc>
        <w:tc>
          <w:tcPr>
            <w:tcW w:w="2860" w:type="dxa"/>
            <w:vAlign w:val="bottom"/>
            <w:gridSpan w:val="4"/>
          </w:tcPr>
          <w:p>
            <w:pPr>
              <w:jc w:val="right"/>
              <w:ind w:right="235"/>
              <w:spacing w:after="0"/>
              <w:rPr>
                <w:sz w:val="20"/>
                <w:szCs w:val="20"/>
                <w:color w:val="auto"/>
              </w:rPr>
            </w:pPr>
            <w:r>
              <w:rPr>
                <w:rFonts w:ascii="Verdana" w:cs="Verdana" w:eastAsia="Verdana" w:hAnsi="Verdana"/>
                <w:sz w:val="13"/>
                <w:szCs w:val="13"/>
                <w:b w:val="1"/>
                <w:bCs w:val="1"/>
                <w:color w:val="auto"/>
                <w:w w:val="99"/>
              </w:rPr>
              <w:t>Nine Months Ended September 30,</w:t>
            </w:r>
          </w:p>
        </w:tc>
      </w:tr>
      <w:tr>
        <w:trPr>
          <w:trHeight w:val="170"/>
        </w:trPr>
        <w:tc>
          <w:tcPr>
            <w:tcW w:w="4960" w:type="dxa"/>
            <w:vAlign w:val="bottom"/>
            <w:tcBorders>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478"/>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95"/>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E0E7ED"/>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478"/>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49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Net income</w:t>
            </w:r>
          </w:p>
        </w:tc>
        <w:tc>
          <w:tcPr>
            <w:tcW w:w="220" w:type="dxa"/>
            <w:vAlign w:val="bottom"/>
            <w:shd w:val="clear" w:color="auto" w:fill="E0E7ED"/>
          </w:tcPr>
          <w:p>
            <w:pPr>
              <w:spacing w:after="0"/>
              <w:rPr>
                <w:sz w:val="22"/>
                <w:szCs w:val="22"/>
                <w:color w:val="auto"/>
              </w:rPr>
            </w:pPr>
          </w:p>
        </w:tc>
        <w:tc>
          <w:tcPr>
            <w:tcW w:w="12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40" w:type="dxa"/>
            <w:vAlign w:val="bottom"/>
            <w:shd w:val="clear" w:color="auto" w:fill="E0E7ED"/>
          </w:tcPr>
          <w:p>
            <w:pPr>
              <w:spacing w:after="0"/>
              <w:rPr>
                <w:sz w:val="22"/>
                <w:szCs w:val="22"/>
                <w:color w:val="auto"/>
              </w:rPr>
            </w:pPr>
          </w:p>
        </w:tc>
        <w:tc>
          <w:tcPr>
            <w:tcW w:w="116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40" w:type="dxa"/>
            <w:vAlign w:val="bottom"/>
            <w:shd w:val="clear" w:color="auto" w:fill="E0E7ED"/>
          </w:tcPr>
          <w:p>
            <w:pPr>
              <w:spacing w:after="0"/>
              <w:rPr>
                <w:sz w:val="22"/>
                <w:szCs w:val="22"/>
                <w:color w:val="auto"/>
              </w:rPr>
            </w:pPr>
          </w:p>
        </w:tc>
        <w:tc>
          <w:tcPr>
            <w:tcW w:w="12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1140" w:type="dxa"/>
            <w:vAlign w:val="bottom"/>
            <w:shd w:val="clear" w:color="auto" w:fill="E0E7ED"/>
          </w:tcPr>
          <w:p>
            <w:pPr>
              <w:spacing w:after="0"/>
              <w:rPr>
                <w:sz w:val="22"/>
                <w:szCs w:val="22"/>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Banking</w:t>
            </w: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33,221</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tcPr>
          <w:p>
            <w:pPr>
              <w:jc w:val="right"/>
              <w:ind w:right="15"/>
              <w:spacing w:after="0"/>
              <w:rPr>
                <w:sz w:val="20"/>
                <w:szCs w:val="20"/>
                <w:color w:val="auto"/>
              </w:rPr>
            </w:pPr>
            <w:r>
              <w:rPr>
                <w:rFonts w:ascii="Verdana" w:cs="Verdana" w:eastAsia="Verdana" w:hAnsi="Verdana"/>
                <w:sz w:val="18"/>
                <w:szCs w:val="18"/>
                <w:color w:val="auto"/>
              </w:rPr>
              <w:t>31,189</w:t>
            </w:r>
          </w:p>
        </w:tc>
        <w:tc>
          <w:tcPr>
            <w:tcW w:w="8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spacing w:after="0"/>
              <w:rPr>
                <w:sz w:val="20"/>
                <w:szCs w:val="20"/>
                <w:color w:val="auto"/>
              </w:rPr>
            </w:pPr>
            <w:r>
              <w:rPr>
                <w:rFonts w:ascii="Verdana" w:cs="Verdana" w:eastAsia="Verdana" w:hAnsi="Verdana"/>
                <w:sz w:val="18"/>
                <w:szCs w:val="18"/>
                <w:color w:val="auto"/>
              </w:rPr>
              <w:t>86,410</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Pr>
          <w:p>
            <w:pPr>
              <w:jc w:val="right"/>
              <w:spacing w:after="0"/>
              <w:rPr>
                <w:sz w:val="20"/>
                <w:szCs w:val="20"/>
                <w:color w:val="auto"/>
              </w:rPr>
            </w:pPr>
            <w:r>
              <w:rPr>
                <w:rFonts w:ascii="Verdana" w:cs="Verdana" w:eastAsia="Verdana" w:hAnsi="Verdana"/>
                <w:sz w:val="18"/>
                <w:szCs w:val="18"/>
                <w:color w:val="auto"/>
              </w:rPr>
              <w:t>98,689</w:t>
            </w:r>
          </w:p>
        </w:tc>
      </w:tr>
      <w:tr>
        <w:trPr>
          <w:trHeight w:val="277"/>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Wealth Management</w:t>
            </w:r>
          </w:p>
        </w:tc>
        <w:tc>
          <w:tcPr>
            <w:tcW w:w="22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5,618</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16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4,781</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16,177</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14,571</w:t>
            </w: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FirsTech</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(61)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5"/>
              <w:spacing w:after="0"/>
              <w:rPr>
                <w:sz w:val="20"/>
                <w:szCs w:val="20"/>
                <w:color w:val="auto"/>
              </w:rPr>
            </w:pPr>
            <w:r>
              <w:rPr>
                <w:rFonts w:ascii="Verdana" w:cs="Verdana" w:eastAsia="Verdana" w:hAnsi="Verdana"/>
                <w:sz w:val="18"/>
                <w:szCs w:val="18"/>
                <w:color w:val="auto"/>
              </w:rPr>
              <w:t>317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53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505</w:t>
            </w:r>
          </w:p>
        </w:tc>
      </w:tr>
      <w:tr>
        <w:trPr>
          <w:trHeight w:val="270"/>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Other</w:t>
            </w:r>
          </w:p>
        </w:tc>
        <w:tc>
          <w:tcPr>
            <w:tcW w:w="220" w:type="dxa"/>
            <w:vAlign w:val="bottom"/>
            <w:tcBorders>
              <w:bottom w:val="single" w:sz="8" w:color="auto"/>
            </w:tcBorders>
            <w:shd w:val="clear" w:color="auto" w:fill="E0E7ED"/>
          </w:tcPr>
          <w:p>
            <w:pPr>
              <w:spacing w:after="0"/>
              <w:rPr>
                <w:sz w:val="23"/>
                <w:szCs w:val="23"/>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(6,774)</w:t>
            </w:r>
          </w:p>
        </w:tc>
        <w:tc>
          <w:tcPr>
            <w:tcW w:w="100" w:type="dxa"/>
            <w:vAlign w:val="bottom"/>
            <w:shd w:val="clear" w:color="auto" w:fill="E0E7ED"/>
          </w:tcPr>
          <w:p>
            <w:pPr>
              <w:spacing w:after="0"/>
              <w:rPr>
                <w:sz w:val="23"/>
                <w:szCs w:val="23"/>
                <w:color w:val="auto"/>
              </w:rPr>
            </w:pPr>
          </w:p>
        </w:tc>
        <w:tc>
          <w:tcPr>
            <w:tcW w:w="340" w:type="dxa"/>
            <w:vAlign w:val="bottom"/>
            <w:tcBorders>
              <w:bottom w:val="single" w:sz="8" w:color="auto"/>
            </w:tcBorders>
            <w:shd w:val="clear" w:color="auto" w:fill="E0E7ED"/>
          </w:tcPr>
          <w:p>
            <w:pPr>
              <w:spacing w:after="0"/>
              <w:rPr>
                <w:sz w:val="23"/>
                <w:szCs w:val="23"/>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(5,621)</w:t>
            </w:r>
          </w:p>
        </w:tc>
        <w:tc>
          <w:tcPr>
            <w:tcW w:w="8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(17,054)</w:t>
            </w:r>
          </w:p>
        </w:tc>
        <w:tc>
          <w:tcPr>
            <w:tcW w:w="100" w:type="dxa"/>
            <w:vAlign w:val="bottom"/>
            <w:shd w:val="clear" w:color="auto" w:fill="E0E7ED"/>
          </w:tcPr>
          <w:p>
            <w:pPr>
              <w:spacing w:after="0"/>
              <w:rPr>
                <w:sz w:val="23"/>
                <w:szCs w:val="23"/>
                <w:color w:val="auto"/>
              </w:rPr>
            </w:pPr>
          </w:p>
        </w:tc>
        <w:tc>
          <w:tcPr>
            <w:tcW w:w="360" w:type="dxa"/>
            <w:vAlign w:val="bottom"/>
            <w:tcBorders>
              <w:bottom w:val="single" w:sz="8" w:color="auto"/>
            </w:tcBorders>
            <w:shd w:val="clear" w:color="auto" w:fill="E0E7ED"/>
          </w:tcPr>
          <w:p>
            <w:pPr>
              <w:spacing w:after="0"/>
              <w:rPr>
                <w:sz w:val="23"/>
                <w:szCs w:val="23"/>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(16,949)</w:t>
            </w:r>
          </w:p>
        </w:tc>
      </w:tr>
      <w:tr>
        <w:trPr>
          <w:trHeight w:val="270"/>
        </w:trPr>
        <w:tc>
          <w:tcPr>
            <w:tcW w:w="4960" w:type="dxa"/>
            <w:vAlign w:val="bottom"/>
          </w:tcPr>
          <w:p>
            <w:pPr>
              <w:ind w:left="20"/>
              <w:spacing w:after="0"/>
              <w:rPr>
                <w:sz w:val="20"/>
                <w:szCs w:val="20"/>
                <w:color w:val="auto"/>
              </w:rPr>
            </w:pPr>
            <w:r>
              <w:rPr>
                <w:rFonts w:ascii="Verdana" w:cs="Verdana" w:eastAsia="Verdana" w:hAnsi="Verdana"/>
                <w:sz w:val="18"/>
                <w:szCs w:val="18"/>
                <w:color w:val="auto"/>
              </w:rPr>
              <w:t>Net income</w:t>
            </w:r>
          </w:p>
        </w:tc>
        <w:tc>
          <w:tcPr>
            <w:tcW w:w="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32,004</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30,666</w:t>
            </w:r>
          </w:p>
        </w:tc>
        <w:tc>
          <w:tcPr>
            <w:tcW w:w="80" w:type="dxa"/>
            <w:vAlign w:val="bottom"/>
          </w:tcPr>
          <w:p>
            <w:pPr>
              <w:spacing w:after="0"/>
              <w:rPr>
                <w:sz w:val="23"/>
                <w:szCs w:val="23"/>
                <w:color w:val="auto"/>
              </w:rPr>
            </w:pPr>
          </w:p>
        </w:tc>
        <w:tc>
          <w:tcPr>
            <w:tcW w:w="24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85,586</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96,816</w:t>
            </w:r>
          </w:p>
        </w:tc>
      </w:tr>
      <w:tr>
        <w:trPr>
          <w:trHeight w:val="20"/>
        </w:trPr>
        <w:tc>
          <w:tcPr>
            <w:tcW w:w="4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Operating Performance Metrics</w:t>
      </w:r>
    </w:p>
    <w:p>
      <w:pPr>
        <w:spacing w:after="0" w:line="17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Operating performance metrics presented in the table below have been derived from information used by management to monitor and manage Busey’s financial performance </w:t>
      </w:r>
      <w:r>
        <w:rPr>
          <w:rFonts w:ascii="Verdana" w:cs="Verdana" w:eastAsia="Verdana" w:hAnsi="Verdana"/>
          <w:sz w:val="18"/>
          <w:szCs w:val="18"/>
          <w:i w:val="1"/>
          <w:iCs w:val="1"/>
          <w:color w:val="auto"/>
        </w:rPr>
        <w:t>(dollars in thousands, except per share amounts)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2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20" w:type="dxa"/>
            <w:vAlign w:val="bottom"/>
            <w:gridSpan w:val="5"/>
          </w:tcPr>
          <w:p>
            <w:pPr>
              <w:ind w:left="120"/>
              <w:spacing w:after="0"/>
              <w:rPr>
                <w:sz w:val="20"/>
                <w:szCs w:val="20"/>
                <w:color w:val="auto"/>
              </w:rPr>
            </w:pPr>
            <w:r>
              <w:rPr>
                <w:rFonts w:ascii="Verdana" w:cs="Verdana" w:eastAsia="Verdana" w:hAnsi="Verdana"/>
                <w:sz w:val="13"/>
                <w:szCs w:val="13"/>
                <w:b w:val="1"/>
                <w:bCs w:val="1"/>
                <w:color w:val="auto"/>
              </w:rPr>
              <w:t>Three Months Ended September 30,</w:t>
            </w:r>
          </w:p>
        </w:tc>
        <w:tc>
          <w:tcPr>
            <w:tcW w:w="300" w:type="dxa"/>
            <w:vAlign w:val="bottom"/>
          </w:tcPr>
          <w:p>
            <w:pPr>
              <w:spacing w:after="0"/>
              <w:rPr>
                <w:sz w:val="15"/>
                <w:szCs w:val="15"/>
                <w:color w:val="auto"/>
              </w:rPr>
            </w:pPr>
          </w:p>
        </w:tc>
        <w:tc>
          <w:tcPr>
            <w:tcW w:w="3040" w:type="dxa"/>
            <w:vAlign w:val="bottom"/>
            <w:gridSpan w:val="4"/>
          </w:tcPr>
          <w:p>
            <w:pPr>
              <w:jc w:val="right"/>
              <w:ind w:right="352"/>
              <w:spacing w:after="0"/>
              <w:rPr>
                <w:sz w:val="20"/>
                <w:szCs w:val="20"/>
                <w:color w:val="auto"/>
              </w:rPr>
            </w:pPr>
            <w:r>
              <w:rPr>
                <w:rFonts w:ascii="Verdana" w:cs="Verdana" w:eastAsia="Verdana" w:hAnsi="Verdana"/>
                <w:sz w:val="13"/>
                <w:szCs w:val="13"/>
                <w:b w:val="1"/>
                <w:bCs w:val="1"/>
                <w:color w:val="auto"/>
              </w:rPr>
              <w:t>Nine Months Ended September 30,</w:t>
            </w:r>
          </w:p>
        </w:tc>
      </w:tr>
      <w:tr>
        <w:trPr>
          <w:trHeight w:val="170"/>
        </w:trPr>
        <w:tc>
          <w:tcPr>
            <w:tcW w:w="1220" w:type="dxa"/>
            <w:vAlign w:val="bottom"/>
            <w:tcBorders>
              <w:bottom w:val="single" w:sz="8" w:color="E0E7ED"/>
            </w:tcBorders>
          </w:tcPr>
          <w:p>
            <w:pPr>
              <w:spacing w:after="0"/>
              <w:rPr>
                <w:sz w:val="14"/>
                <w:szCs w:val="14"/>
                <w:color w:val="auto"/>
              </w:rPr>
            </w:pPr>
          </w:p>
        </w:tc>
        <w:tc>
          <w:tcPr>
            <w:tcW w:w="3320" w:type="dxa"/>
            <w:vAlign w:val="bottom"/>
            <w:tcBorders>
              <w:bottom w:val="single" w:sz="8" w:color="E0E7ED"/>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534"/>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E0E7ED"/>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534"/>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52"/>
              <w:spacing w:after="0"/>
              <w:rPr>
                <w:sz w:val="20"/>
                <w:szCs w:val="20"/>
                <w:color w:val="auto"/>
              </w:rPr>
            </w:pPr>
            <w:r>
              <w:rPr>
                <w:rFonts w:ascii="Verdana" w:cs="Verdana" w:eastAsia="Verdana" w:hAnsi="Verdana"/>
                <w:sz w:val="13"/>
                <w:szCs w:val="13"/>
                <w:b w:val="1"/>
                <w:bCs w:val="1"/>
                <w:color w:val="auto"/>
              </w:rPr>
              <w:t>2023</w:t>
            </w:r>
          </w:p>
        </w:tc>
      </w:tr>
      <w:tr>
        <w:trPr>
          <w:trHeight w:val="269"/>
        </w:trPr>
        <w:tc>
          <w:tcPr>
            <w:tcW w:w="12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Reported:</w:t>
            </w:r>
          </w:p>
        </w:tc>
        <w:tc>
          <w:tcPr>
            <w:tcW w:w="3320" w:type="dxa"/>
            <w:vAlign w:val="bottom"/>
            <w:shd w:val="clear" w:color="auto" w:fill="E0E7ED"/>
          </w:tcPr>
          <w:p>
            <w:pPr>
              <w:ind w:left="200"/>
              <w:spacing w:after="0"/>
              <w:rPr>
                <w:sz w:val="20"/>
                <w:szCs w:val="20"/>
                <w:color w:val="auto"/>
              </w:rPr>
            </w:pPr>
            <w:r>
              <w:rPr>
                <w:rFonts w:ascii="Verdana" w:cs="Verdana" w:eastAsia="Verdana" w:hAnsi="Verdana"/>
                <w:sz w:val="18"/>
                <w:szCs w:val="18"/>
                <w:color w:val="auto"/>
              </w:rPr>
              <w:t>Net income</w:t>
            </w:r>
          </w:p>
        </w:tc>
        <w:tc>
          <w:tcPr>
            <w:tcW w:w="24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w w:val="86"/>
              </w:rPr>
              <w:t>$</w:t>
            </w:r>
          </w:p>
        </w:tc>
        <w:tc>
          <w:tcPr>
            <w:tcW w:w="134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32,004</w:t>
            </w:r>
          </w:p>
        </w:tc>
        <w:tc>
          <w:tcPr>
            <w:tcW w:w="100" w:type="dxa"/>
            <w:vAlign w:val="bottom"/>
            <w:shd w:val="clear" w:color="auto" w:fill="E0E7ED"/>
          </w:tcPr>
          <w:p>
            <w:pPr>
              <w:spacing w:after="0"/>
              <w:rPr>
                <w:sz w:val="23"/>
                <w:szCs w:val="23"/>
                <w:color w:val="auto"/>
              </w:rPr>
            </w:pPr>
          </w:p>
        </w:tc>
        <w:tc>
          <w:tcPr>
            <w:tcW w:w="380" w:type="dxa"/>
            <w:vAlign w:val="bottom"/>
            <w:shd w:val="clear" w:color="auto" w:fill="E0E7ED"/>
          </w:tcPr>
          <w:p>
            <w:pPr>
              <w:jc w:val="right"/>
              <w:ind w:right="150"/>
              <w:spacing w:after="0"/>
              <w:rPr>
                <w:sz w:val="20"/>
                <w:szCs w:val="20"/>
                <w:color w:val="auto"/>
              </w:rPr>
            </w:pPr>
            <w:r>
              <w:rPr>
                <w:rFonts w:ascii="Verdana" w:cs="Verdana" w:eastAsia="Verdana" w:hAnsi="Verdana"/>
                <w:sz w:val="18"/>
                <w:szCs w:val="18"/>
                <w:color w:val="auto"/>
              </w:rPr>
              <w:t>$</w:t>
            </w:r>
          </w:p>
        </w:tc>
        <w:tc>
          <w:tcPr>
            <w:tcW w:w="122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30,666</w:t>
            </w:r>
          </w:p>
        </w:tc>
        <w:tc>
          <w:tcPr>
            <w:tcW w:w="80" w:type="dxa"/>
            <w:vAlign w:val="bottom"/>
            <w:shd w:val="clear" w:color="auto" w:fill="E0E7ED"/>
          </w:tcPr>
          <w:p>
            <w:pPr>
              <w:spacing w:after="0"/>
              <w:rPr>
                <w:sz w:val="23"/>
                <w:szCs w:val="23"/>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32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85,586</w:t>
            </w:r>
          </w:p>
        </w:tc>
        <w:tc>
          <w:tcPr>
            <w:tcW w:w="100" w:type="dxa"/>
            <w:vAlign w:val="bottom"/>
            <w:shd w:val="clear" w:color="auto" w:fill="E0E7ED"/>
          </w:tcPr>
          <w:p>
            <w:pPr>
              <w:spacing w:after="0"/>
              <w:rPr>
                <w:sz w:val="23"/>
                <w:szCs w:val="23"/>
                <w:color w:val="auto"/>
              </w:rPr>
            </w:pP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26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96,816</w:t>
            </w:r>
          </w:p>
        </w:tc>
      </w:tr>
      <w:tr>
        <w:trPr>
          <w:trHeight w:val="263"/>
        </w:trPr>
        <w:tc>
          <w:tcPr>
            <w:tcW w:w="1220" w:type="dxa"/>
            <w:vAlign w:val="bottom"/>
          </w:tcPr>
          <w:p>
            <w:pPr>
              <w:ind w:left="20"/>
              <w:spacing w:after="0"/>
              <w:rPr>
                <w:sz w:val="20"/>
                <w:szCs w:val="20"/>
                <w:color w:val="auto"/>
              </w:rPr>
            </w:pPr>
            <w:r>
              <w:rPr>
                <w:rFonts w:ascii="Verdana" w:cs="Verdana" w:eastAsia="Verdana" w:hAnsi="Verdana"/>
                <w:sz w:val="18"/>
                <w:szCs w:val="18"/>
                <w:b w:val="1"/>
                <w:bCs w:val="1"/>
                <w:color w:val="auto"/>
              </w:rPr>
              <w:t>Adjusted:</w:t>
            </w:r>
          </w:p>
        </w:tc>
        <w:tc>
          <w:tcPr>
            <w:tcW w:w="3320" w:type="dxa"/>
            <w:vAlign w:val="bottom"/>
          </w:tcPr>
          <w:p>
            <w:pPr>
              <w:ind w:left="200"/>
              <w:spacing w:after="0"/>
              <w:rPr>
                <w:sz w:val="20"/>
                <w:szCs w:val="20"/>
                <w:color w:val="auto"/>
              </w:rPr>
            </w:pPr>
            <w:r>
              <w:rPr>
                <w:rFonts w:ascii="Verdana" w:cs="Verdana" w:eastAsia="Verdana" w:hAnsi="Verdana"/>
                <w:sz w:val="18"/>
                <w:szCs w:val="18"/>
                <w:color w:val="auto"/>
              </w:rPr>
              <w:t>Net income</w:t>
            </w:r>
            <w:r>
              <w:rPr>
                <w:rFonts w:ascii="Verdana" w:cs="Verdana" w:eastAsia="Verdana" w:hAnsi="Verdana"/>
                <w:sz w:val="11"/>
                <w:szCs w:val="11"/>
                <w:color w:val="auto"/>
              </w:rPr>
              <w:t>1</w:t>
            </w:r>
          </w:p>
        </w:tc>
        <w:tc>
          <w:tcPr>
            <w:tcW w:w="240" w:type="dxa"/>
            <w:vAlign w:val="bottom"/>
          </w:tcPr>
          <w:p>
            <w:pPr>
              <w:jc w:val="right"/>
              <w:ind w:right="30"/>
              <w:spacing w:after="0"/>
              <w:rPr>
                <w:sz w:val="20"/>
                <w:szCs w:val="20"/>
                <w:color w:val="auto"/>
              </w:rPr>
            </w:pPr>
            <w:r>
              <w:rPr>
                <w:rFonts w:ascii="Verdana" w:cs="Verdana" w:eastAsia="Verdana" w:hAnsi="Verdana"/>
                <w:sz w:val="18"/>
                <w:szCs w:val="18"/>
                <w:color w:val="auto"/>
                <w:w w:val="86"/>
              </w:rPr>
              <w:t>$</w:t>
            </w:r>
          </w:p>
        </w:tc>
        <w:tc>
          <w:tcPr>
            <w:tcW w:w="1340" w:type="dxa"/>
            <w:vAlign w:val="bottom"/>
          </w:tcPr>
          <w:p>
            <w:pPr>
              <w:jc w:val="right"/>
              <w:ind w:right="194"/>
              <w:spacing w:after="0"/>
              <w:rPr>
                <w:sz w:val="20"/>
                <w:szCs w:val="20"/>
                <w:color w:val="auto"/>
              </w:rPr>
            </w:pPr>
            <w:r>
              <w:rPr>
                <w:rFonts w:ascii="Verdana" w:cs="Verdana" w:eastAsia="Verdana" w:hAnsi="Verdana"/>
                <w:sz w:val="18"/>
                <w:szCs w:val="18"/>
                <w:color w:val="auto"/>
              </w:rPr>
              <w:t>33,533</w:t>
            </w:r>
          </w:p>
        </w:tc>
        <w:tc>
          <w:tcPr>
            <w:tcW w:w="100" w:type="dxa"/>
            <w:vAlign w:val="bottom"/>
          </w:tcPr>
          <w:p>
            <w:pPr>
              <w:spacing w:after="0"/>
              <w:rPr>
                <w:sz w:val="22"/>
                <w:szCs w:val="22"/>
                <w:color w:val="auto"/>
              </w:rPr>
            </w:pPr>
          </w:p>
        </w:tc>
        <w:tc>
          <w:tcPr>
            <w:tcW w:w="380" w:type="dxa"/>
            <w:vAlign w:val="bottom"/>
          </w:tcPr>
          <w:p>
            <w:pPr>
              <w:jc w:val="right"/>
              <w:ind w:right="15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192"/>
              <w:spacing w:after="0"/>
              <w:rPr>
                <w:sz w:val="20"/>
                <w:szCs w:val="20"/>
                <w:color w:val="auto"/>
              </w:rPr>
            </w:pPr>
            <w:r>
              <w:rPr>
                <w:rFonts w:ascii="Verdana" w:cs="Verdana" w:eastAsia="Verdana" w:hAnsi="Verdana"/>
                <w:sz w:val="18"/>
                <w:szCs w:val="18"/>
                <w:color w:val="auto"/>
              </w:rPr>
              <w:t>30,730</w:t>
            </w:r>
          </w:p>
        </w:tc>
        <w:tc>
          <w:tcPr>
            <w:tcW w:w="8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ind w:right="194"/>
              <w:spacing w:after="0"/>
              <w:rPr>
                <w:sz w:val="20"/>
                <w:szCs w:val="20"/>
                <w:color w:val="auto"/>
              </w:rPr>
            </w:pPr>
            <w:r>
              <w:rPr>
                <w:rFonts w:ascii="Verdana" w:cs="Verdana" w:eastAsia="Verdana" w:hAnsi="Verdana"/>
                <w:sz w:val="18"/>
                <w:szCs w:val="18"/>
                <w:color w:val="auto"/>
              </w:rPr>
              <w:t>89,080</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ind w:right="192"/>
              <w:spacing w:after="0"/>
              <w:rPr>
                <w:sz w:val="20"/>
                <w:szCs w:val="20"/>
                <w:color w:val="auto"/>
              </w:rPr>
            </w:pPr>
            <w:r>
              <w:rPr>
                <w:rFonts w:ascii="Verdana" w:cs="Verdana" w:eastAsia="Verdana" w:hAnsi="Verdana"/>
                <w:sz w:val="18"/>
                <w:szCs w:val="18"/>
                <w:color w:val="auto"/>
              </w:rPr>
              <w:t>96,889</w:t>
            </w:r>
          </w:p>
        </w:tc>
      </w:tr>
      <w:tr>
        <w:trPr>
          <w:trHeight w:val="277"/>
        </w:trPr>
        <w:tc>
          <w:tcPr>
            <w:tcW w:w="1220" w:type="dxa"/>
            <w:vAlign w:val="bottom"/>
            <w:shd w:val="clear" w:color="auto" w:fill="E0E7ED"/>
          </w:tcPr>
          <w:p>
            <w:pPr>
              <w:spacing w:after="0"/>
              <w:rPr>
                <w:sz w:val="24"/>
                <w:szCs w:val="24"/>
                <w:color w:val="auto"/>
              </w:rPr>
            </w:pPr>
          </w:p>
        </w:tc>
        <w:tc>
          <w:tcPr>
            <w:tcW w:w="332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34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32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60" w:type="dxa"/>
            <w:vAlign w:val="bottom"/>
            <w:shd w:val="clear" w:color="auto" w:fill="E0E7ED"/>
          </w:tcPr>
          <w:p>
            <w:pPr>
              <w:spacing w:after="0"/>
              <w:rPr>
                <w:sz w:val="24"/>
                <w:szCs w:val="24"/>
                <w:color w:val="auto"/>
              </w:rPr>
            </w:pPr>
          </w:p>
        </w:tc>
      </w:tr>
      <w:tr>
        <w:trPr>
          <w:trHeight w:val="238"/>
        </w:trPr>
        <w:tc>
          <w:tcPr>
            <w:tcW w:w="1220" w:type="dxa"/>
            <w:vAlign w:val="bottom"/>
          </w:tcPr>
          <w:p>
            <w:pPr>
              <w:ind w:left="20"/>
              <w:spacing w:after="0"/>
              <w:rPr>
                <w:sz w:val="20"/>
                <w:szCs w:val="20"/>
                <w:color w:val="auto"/>
              </w:rPr>
            </w:pPr>
            <w:r>
              <w:rPr>
                <w:rFonts w:ascii="Verdana" w:cs="Verdana" w:eastAsia="Verdana" w:hAnsi="Verdana"/>
                <w:sz w:val="18"/>
                <w:szCs w:val="18"/>
                <w:b w:val="1"/>
                <w:bCs w:val="1"/>
                <w:color w:val="auto"/>
              </w:rPr>
              <w:t>Reported:</w:t>
            </w:r>
          </w:p>
        </w:tc>
        <w:tc>
          <w:tcPr>
            <w:tcW w:w="3320" w:type="dxa"/>
            <w:vAlign w:val="bottom"/>
          </w:tcPr>
          <w:p>
            <w:pPr>
              <w:ind w:left="200"/>
              <w:spacing w:after="0"/>
              <w:rPr>
                <w:sz w:val="20"/>
                <w:szCs w:val="20"/>
                <w:color w:val="auto"/>
              </w:rPr>
            </w:pPr>
            <w:r>
              <w:rPr>
                <w:rFonts w:ascii="Verdana" w:cs="Verdana" w:eastAsia="Verdana" w:hAnsi="Verdana"/>
                <w:sz w:val="18"/>
                <w:szCs w:val="18"/>
                <w:color w:val="auto"/>
              </w:rPr>
              <w:t>Diluted earnings per common</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2"/>
        </w:trPr>
        <w:tc>
          <w:tcPr>
            <w:tcW w:w="1220" w:type="dxa"/>
            <w:vAlign w:val="bottom"/>
          </w:tcPr>
          <w:p>
            <w:pPr>
              <w:spacing w:after="0"/>
              <w:rPr>
                <w:sz w:val="21"/>
                <w:szCs w:val="21"/>
                <w:color w:val="auto"/>
              </w:rPr>
            </w:pPr>
          </w:p>
        </w:tc>
        <w:tc>
          <w:tcPr>
            <w:tcW w:w="3320" w:type="dxa"/>
            <w:vAlign w:val="bottom"/>
          </w:tcPr>
          <w:p>
            <w:pPr>
              <w:ind w:left="200"/>
              <w:spacing w:after="0"/>
              <w:rPr>
                <w:sz w:val="20"/>
                <w:szCs w:val="20"/>
                <w:color w:val="auto"/>
              </w:rPr>
            </w:pPr>
            <w:r>
              <w:rPr>
                <w:rFonts w:ascii="Verdana" w:cs="Verdana" w:eastAsia="Verdana" w:hAnsi="Verdana"/>
                <w:sz w:val="18"/>
                <w:szCs w:val="18"/>
                <w:color w:val="auto"/>
              </w:rPr>
              <w:t>share</w:t>
            </w:r>
          </w:p>
        </w:tc>
        <w:tc>
          <w:tcPr>
            <w:tcW w:w="240" w:type="dxa"/>
            <w:vAlign w:val="bottom"/>
          </w:tcPr>
          <w:p>
            <w:pPr>
              <w:jc w:val="right"/>
              <w:ind w:right="30"/>
              <w:spacing w:after="0"/>
              <w:rPr>
                <w:sz w:val="20"/>
                <w:szCs w:val="20"/>
                <w:color w:val="auto"/>
              </w:rPr>
            </w:pPr>
            <w:r>
              <w:rPr>
                <w:rFonts w:ascii="Verdana" w:cs="Verdana" w:eastAsia="Verdana" w:hAnsi="Verdana"/>
                <w:sz w:val="18"/>
                <w:szCs w:val="18"/>
                <w:color w:val="auto"/>
                <w:w w:val="86"/>
              </w:rPr>
              <w:t>$</w:t>
            </w:r>
          </w:p>
        </w:tc>
        <w:tc>
          <w:tcPr>
            <w:tcW w:w="1340" w:type="dxa"/>
            <w:vAlign w:val="bottom"/>
          </w:tcPr>
          <w:p>
            <w:pPr>
              <w:jc w:val="right"/>
              <w:ind w:right="194"/>
              <w:spacing w:after="0"/>
              <w:rPr>
                <w:sz w:val="20"/>
                <w:szCs w:val="20"/>
                <w:color w:val="auto"/>
              </w:rPr>
            </w:pPr>
            <w:r>
              <w:rPr>
                <w:rFonts w:ascii="Verdana" w:cs="Verdana" w:eastAsia="Verdana" w:hAnsi="Verdana"/>
                <w:sz w:val="18"/>
                <w:szCs w:val="18"/>
                <w:color w:val="auto"/>
              </w:rPr>
              <w:t>0.55</w:t>
            </w:r>
          </w:p>
        </w:tc>
        <w:tc>
          <w:tcPr>
            <w:tcW w:w="100" w:type="dxa"/>
            <w:vAlign w:val="bottom"/>
          </w:tcPr>
          <w:p>
            <w:pPr>
              <w:spacing w:after="0"/>
              <w:rPr>
                <w:sz w:val="21"/>
                <w:szCs w:val="21"/>
                <w:color w:val="auto"/>
              </w:rPr>
            </w:pPr>
          </w:p>
        </w:tc>
        <w:tc>
          <w:tcPr>
            <w:tcW w:w="380" w:type="dxa"/>
            <w:vAlign w:val="bottom"/>
          </w:tcPr>
          <w:p>
            <w:pPr>
              <w:jc w:val="right"/>
              <w:ind w:right="15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192"/>
              <w:spacing w:after="0"/>
              <w:rPr>
                <w:sz w:val="20"/>
                <w:szCs w:val="20"/>
                <w:color w:val="auto"/>
              </w:rPr>
            </w:pPr>
            <w:r>
              <w:rPr>
                <w:rFonts w:ascii="Verdana" w:cs="Verdana" w:eastAsia="Verdana" w:hAnsi="Verdana"/>
                <w:sz w:val="18"/>
                <w:szCs w:val="18"/>
                <w:color w:val="auto"/>
              </w:rPr>
              <w:t>0.54</w:t>
            </w:r>
          </w:p>
        </w:tc>
        <w:tc>
          <w:tcPr>
            <w:tcW w:w="80" w:type="dxa"/>
            <w:vAlign w:val="bottom"/>
          </w:tcPr>
          <w:p>
            <w:pPr>
              <w:spacing w:after="0"/>
              <w:rPr>
                <w:sz w:val="21"/>
                <w:szCs w:val="21"/>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ind w:right="194"/>
              <w:spacing w:after="0"/>
              <w:rPr>
                <w:sz w:val="20"/>
                <w:szCs w:val="20"/>
                <w:color w:val="auto"/>
              </w:rPr>
            </w:pPr>
            <w:r>
              <w:rPr>
                <w:rFonts w:ascii="Verdana" w:cs="Verdana" w:eastAsia="Verdana" w:hAnsi="Verdana"/>
                <w:sz w:val="18"/>
                <w:szCs w:val="18"/>
                <w:color w:val="auto"/>
              </w:rPr>
              <w:t>1.49</w:t>
            </w:r>
          </w:p>
        </w:tc>
        <w:tc>
          <w:tcPr>
            <w:tcW w:w="100" w:type="dxa"/>
            <w:vAlign w:val="bottom"/>
          </w:tcPr>
          <w:p>
            <w:pPr>
              <w:spacing w:after="0"/>
              <w:rPr>
                <w:sz w:val="21"/>
                <w:szCs w:val="21"/>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ind w:right="192"/>
              <w:spacing w:after="0"/>
              <w:rPr>
                <w:sz w:val="20"/>
                <w:szCs w:val="20"/>
                <w:color w:val="auto"/>
              </w:rPr>
            </w:pPr>
            <w:r>
              <w:rPr>
                <w:rFonts w:ascii="Verdana" w:cs="Verdana" w:eastAsia="Verdana" w:hAnsi="Verdana"/>
                <w:sz w:val="18"/>
                <w:szCs w:val="18"/>
                <w:color w:val="auto"/>
              </w:rPr>
              <w:t>1.72</w:t>
            </w:r>
          </w:p>
        </w:tc>
      </w:tr>
      <w:tr>
        <w:trPr>
          <w:trHeight w:val="244"/>
        </w:trPr>
        <w:tc>
          <w:tcPr>
            <w:tcW w:w="12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Adjusted:</w:t>
            </w:r>
          </w:p>
        </w:tc>
        <w:tc>
          <w:tcPr>
            <w:tcW w:w="3320" w:type="dxa"/>
            <w:vAlign w:val="bottom"/>
            <w:shd w:val="clear" w:color="auto" w:fill="E0E7ED"/>
          </w:tcPr>
          <w:p>
            <w:pPr>
              <w:ind w:left="200"/>
              <w:spacing w:after="0"/>
              <w:rPr>
                <w:sz w:val="20"/>
                <w:szCs w:val="20"/>
                <w:color w:val="auto"/>
              </w:rPr>
            </w:pPr>
            <w:r>
              <w:rPr>
                <w:rFonts w:ascii="Verdana" w:cs="Verdana" w:eastAsia="Verdana" w:hAnsi="Verdana"/>
                <w:sz w:val="18"/>
                <w:szCs w:val="18"/>
                <w:color w:val="auto"/>
              </w:rPr>
              <w:t>Diluted earnings per common</w:t>
            </w:r>
          </w:p>
        </w:tc>
        <w:tc>
          <w:tcPr>
            <w:tcW w:w="240" w:type="dxa"/>
            <w:vAlign w:val="bottom"/>
            <w:shd w:val="clear" w:color="auto" w:fill="E0E7ED"/>
          </w:tcPr>
          <w:p>
            <w:pPr>
              <w:spacing w:after="0"/>
              <w:rPr>
                <w:sz w:val="21"/>
                <w:szCs w:val="21"/>
                <w:color w:val="auto"/>
              </w:rPr>
            </w:pPr>
          </w:p>
        </w:tc>
        <w:tc>
          <w:tcPr>
            <w:tcW w:w="13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8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3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r>
      <w:tr>
        <w:trPr>
          <w:trHeight w:val="248"/>
        </w:trPr>
        <w:tc>
          <w:tcPr>
            <w:tcW w:w="1220" w:type="dxa"/>
            <w:vAlign w:val="bottom"/>
            <w:shd w:val="clear" w:color="auto" w:fill="E0E7ED"/>
          </w:tcPr>
          <w:p>
            <w:pPr>
              <w:spacing w:after="0"/>
              <w:rPr>
                <w:sz w:val="21"/>
                <w:szCs w:val="21"/>
                <w:color w:val="auto"/>
              </w:rPr>
            </w:pPr>
          </w:p>
        </w:tc>
        <w:tc>
          <w:tcPr>
            <w:tcW w:w="3320" w:type="dxa"/>
            <w:vAlign w:val="bottom"/>
            <w:shd w:val="clear" w:color="auto" w:fill="E0E7ED"/>
          </w:tcPr>
          <w:p>
            <w:pPr>
              <w:ind w:left="200"/>
              <w:spacing w:after="0"/>
              <w:rPr>
                <w:sz w:val="20"/>
                <w:szCs w:val="20"/>
                <w:color w:val="auto"/>
              </w:rPr>
            </w:pPr>
            <w:r>
              <w:rPr>
                <w:rFonts w:ascii="Verdana" w:cs="Verdana" w:eastAsia="Verdana" w:hAnsi="Verdana"/>
                <w:sz w:val="18"/>
                <w:szCs w:val="18"/>
                <w:color w:val="auto"/>
              </w:rPr>
              <w:t>share</w:t>
            </w:r>
            <w:r>
              <w:rPr>
                <w:rFonts w:ascii="Verdana" w:cs="Verdana" w:eastAsia="Verdana" w:hAnsi="Verdana"/>
                <w:sz w:val="11"/>
                <w:szCs w:val="11"/>
                <w:color w:val="auto"/>
              </w:rPr>
              <w:t>1</w:t>
            </w:r>
          </w:p>
        </w:tc>
        <w:tc>
          <w:tcPr>
            <w:tcW w:w="24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w w:val="86"/>
              </w:rPr>
              <w:t>$</w:t>
            </w:r>
          </w:p>
        </w:tc>
        <w:tc>
          <w:tcPr>
            <w:tcW w:w="134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0.58</w:t>
            </w:r>
          </w:p>
        </w:tc>
        <w:tc>
          <w:tcPr>
            <w:tcW w:w="100" w:type="dxa"/>
            <w:vAlign w:val="bottom"/>
            <w:shd w:val="clear" w:color="auto" w:fill="E0E7ED"/>
          </w:tcPr>
          <w:p>
            <w:pPr>
              <w:spacing w:after="0"/>
              <w:rPr>
                <w:sz w:val="21"/>
                <w:szCs w:val="21"/>
                <w:color w:val="auto"/>
              </w:rPr>
            </w:pPr>
          </w:p>
        </w:tc>
        <w:tc>
          <w:tcPr>
            <w:tcW w:w="380" w:type="dxa"/>
            <w:vAlign w:val="bottom"/>
            <w:shd w:val="clear" w:color="auto" w:fill="E0E7ED"/>
          </w:tcPr>
          <w:p>
            <w:pPr>
              <w:jc w:val="right"/>
              <w:ind w:right="150"/>
              <w:spacing w:after="0"/>
              <w:rPr>
                <w:sz w:val="20"/>
                <w:szCs w:val="20"/>
                <w:color w:val="auto"/>
              </w:rPr>
            </w:pPr>
            <w:r>
              <w:rPr>
                <w:rFonts w:ascii="Verdana" w:cs="Verdana" w:eastAsia="Verdana" w:hAnsi="Verdana"/>
                <w:sz w:val="18"/>
                <w:szCs w:val="18"/>
                <w:color w:val="auto"/>
              </w:rPr>
              <w:t>$</w:t>
            </w:r>
          </w:p>
        </w:tc>
        <w:tc>
          <w:tcPr>
            <w:tcW w:w="122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0.55</w:t>
            </w: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32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1.55</w:t>
            </w: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26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1.72</w:t>
            </w:r>
          </w:p>
        </w:tc>
      </w:tr>
      <w:tr>
        <w:trPr>
          <w:trHeight w:val="270"/>
        </w:trPr>
        <w:tc>
          <w:tcPr>
            <w:tcW w:w="122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12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Reported:</w:t>
            </w:r>
          </w:p>
        </w:tc>
        <w:tc>
          <w:tcPr>
            <w:tcW w:w="3320" w:type="dxa"/>
            <w:vAlign w:val="bottom"/>
            <w:shd w:val="clear" w:color="auto" w:fill="E0E7ED"/>
          </w:tcPr>
          <w:p>
            <w:pPr>
              <w:ind w:left="200"/>
              <w:spacing w:after="0"/>
              <w:rPr>
                <w:sz w:val="20"/>
                <w:szCs w:val="20"/>
                <w:color w:val="auto"/>
              </w:rPr>
            </w:pPr>
            <w:r>
              <w:rPr>
                <w:rFonts w:ascii="Verdana" w:cs="Verdana" w:eastAsia="Verdana" w:hAnsi="Verdana"/>
                <w:sz w:val="18"/>
                <w:szCs w:val="18"/>
                <w:color w:val="auto"/>
              </w:rPr>
              <w:t>Return on average assets</w:t>
            </w:r>
            <w:r>
              <w:rPr>
                <w:rFonts w:ascii="Verdana" w:cs="Verdana" w:eastAsia="Verdana" w:hAnsi="Verdana"/>
                <w:sz w:val="11"/>
                <w:szCs w:val="11"/>
                <w:color w:val="auto"/>
              </w:rPr>
              <w:t>2</w:t>
            </w:r>
          </w:p>
        </w:tc>
        <w:tc>
          <w:tcPr>
            <w:tcW w:w="240" w:type="dxa"/>
            <w:vAlign w:val="bottom"/>
            <w:shd w:val="clear" w:color="auto" w:fill="E0E7ED"/>
          </w:tcPr>
          <w:p>
            <w:pPr>
              <w:spacing w:after="0"/>
              <w:rPr>
                <w:sz w:val="23"/>
                <w:szCs w:val="23"/>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1.06 %</w:t>
            </w:r>
          </w:p>
        </w:tc>
        <w:tc>
          <w:tcPr>
            <w:tcW w:w="100" w:type="dxa"/>
            <w:vAlign w:val="bottom"/>
            <w:shd w:val="clear" w:color="auto" w:fill="E0E7ED"/>
          </w:tcPr>
          <w:p>
            <w:pPr>
              <w:spacing w:after="0"/>
              <w:rPr>
                <w:sz w:val="23"/>
                <w:szCs w:val="23"/>
                <w:color w:val="auto"/>
              </w:rPr>
            </w:pPr>
          </w:p>
        </w:tc>
        <w:tc>
          <w:tcPr>
            <w:tcW w:w="380" w:type="dxa"/>
            <w:vAlign w:val="bottom"/>
            <w:shd w:val="clear" w:color="auto" w:fill="E0E7ED"/>
          </w:tcPr>
          <w:p>
            <w:pPr>
              <w:spacing w:after="0"/>
              <w:rPr>
                <w:sz w:val="23"/>
                <w:szCs w:val="23"/>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1.00 %</w:t>
            </w:r>
          </w:p>
        </w:tc>
        <w:tc>
          <w:tcPr>
            <w:tcW w:w="8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0.95 %</w:t>
            </w:r>
          </w:p>
        </w:tc>
        <w:tc>
          <w:tcPr>
            <w:tcW w:w="100" w:type="dxa"/>
            <w:vAlign w:val="bottom"/>
            <w:shd w:val="clear" w:color="auto" w:fill="E0E7ED"/>
          </w:tcPr>
          <w:p>
            <w:pPr>
              <w:spacing w:after="0"/>
              <w:rPr>
                <w:sz w:val="23"/>
                <w:szCs w:val="23"/>
                <w:color w:val="auto"/>
              </w:rPr>
            </w:pPr>
          </w:p>
        </w:tc>
        <w:tc>
          <w:tcPr>
            <w:tcW w:w="360" w:type="dxa"/>
            <w:vAlign w:val="bottom"/>
            <w:shd w:val="clear" w:color="auto" w:fill="E0E7ED"/>
          </w:tcPr>
          <w:p>
            <w:pPr>
              <w:spacing w:after="0"/>
              <w:rPr>
                <w:sz w:val="23"/>
                <w:szCs w:val="23"/>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1.06 %</w:t>
            </w:r>
          </w:p>
        </w:tc>
      </w:tr>
      <w:tr>
        <w:trPr>
          <w:trHeight w:val="263"/>
        </w:trPr>
        <w:tc>
          <w:tcPr>
            <w:tcW w:w="1220" w:type="dxa"/>
            <w:vAlign w:val="bottom"/>
          </w:tcPr>
          <w:p>
            <w:pPr>
              <w:ind w:left="20"/>
              <w:spacing w:after="0"/>
              <w:rPr>
                <w:sz w:val="20"/>
                <w:szCs w:val="20"/>
                <w:color w:val="auto"/>
              </w:rPr>
            </w:pPr>
            <w:r>
              <w:rPr>
                <w:rFonts w:ascii="Verdana" w:cs="Verdana" w:eastAsia="Verdana" w:hAnsi="Verdana"/>
                <w:sz w:val="18"/>
                <w:szCs w:val="18"/>
                <w:b w:val="1"/>
                <w:bCs w:val="1"/>
                <w:color w:val="auto"/>
              </w:rPr>
              <w:t>Adjusted:</w:t>
            </w:r>
          </w:p>
        </w:tc>
        <w:tc>
          <w:tcPr>
            <w:tcW w:w="3320" w:type="dxa"/>
            <w:vAlign w:val="bottom"/>
          </w:tcPr>
          <w:p>
            <w:pPr>
              <w:ind w:left="200"/>
              <w:spacing w:after="0"/>
              <w:rPr>
                <w:sz w:val="20"/>
                <w:szCs w:val="20"/>
                <w:color w:val="auto"/>
              </w:rPr>
            </w:pPr>
            <w:r>
              <w:rPr>
                <w:rFonts w:ascii="Verdana" w:cs="Verdana" w:eastAsia="Verdana" w:hAnsi="Verdana"/>
                <w:sz w:val="18"/>
                <w:szCs w:val="18"/>
                <w:color w:val="auto"/>
              </w:rPr>
              <w:t>Return on average assets</w:t>
            </w:r>
            <w:r>
              <w:rPr>
                <w:rFonts w:ascii="Verdana" w:cs="Verdana" w:eastAsia="Verdana" w:hAnsi="Verdana"/>
                <w:sz w:val="11"/>
                <w:szCs w:val="11"/>
                <w:color w:val="auto"/>
              </w:rPr>
              <w:t>1, 2</w:t>
            </w:r>
          </w:p>
        </w:tc>
        <w:tc>
          <w:tcPr>
            <w:tcW w:w="2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Verdana" w:cs="Verdana" w:eastAsia="Verdana" w:hAnsi="Verdana"/>
                <w:sz w:val="18"/>
                <w:szCs w:val="18"/>
                <w:color w:val="auto"/>
              </w:rPr>
              <w:t>1.11 %</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1.00 %</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0.99 %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1.06 %</w:t>
            </w:r>
          </w:p>
        </w:tc>
      </w:tr>
      <w:tr>
        <w:trPr>
          <w:trHeight w:val="277"/>
        </w:trPr>
        <w:tc>
          <w:tcPr>
            <w:tcW w:w="1220" w:type="dxa"/>
            <w:vAlign w:val="bottom"/>
            <w:shd w:val="clear" w:color="auto" w:fill="E0E7ED"/>
          </w:tcPr>
          <w:p>
            <w:pPr>
              <w:spacing w:after="0"/>
              <w:rPr>
                <w:sz w:val="24"/>
                <w:szCs w:val="24"/>
                <w:color w:val="auto"/>
              </w:rPr>
            </w:pPr>
          </w:p>
        </w:tc>
        <w:tc>
          <w:tcPr>
            <w:tcW w:w="332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34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32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60" w:type="dxa"/>
            <w:vAlign w:val="bottom"/>
            <w:shd w:val="clear" w:color="auto" w:fill="E0E7ED"/>
          </w:tcPr>
          <w:p>
            <w:pPr>
              <w:spacing w:after="0"/>
              <w:rPr>
                <w:sz w:val="24"/>
                <w:szCs w:val="24"/>
                <w:color w:val="auto"/>
              </w:rPr>
            </w:pPr>
          </w:p>
        </w:tc>
      </w:tr>
      <w:tr>
        <w:trPr>
          <w:trHeight w:val="238"/>
        </w:trPr>
        <w:tc>
          <w:tcPr>
            <w:tcW w:w="1220" w:type="dxa"/>
            <w:vAlign w:val="bottom"/>
          </w:tcPr>
          <w:p>
            <w:pPr>
              <w:ind w:left="20"/>
              <w:spacing w:after="0"/>
              <w:rPr>
                <w:sz w:val="20"/>
                <w:szCs w:val="20"/>
                <w:color w:val="auto"/>
              </w:rPr>
            </w:pPr>
            <w:r>
              <w:rPr>
                <w:rFonts w:ascii="Verdana" w:cs="Verdana" w:eastAsia="Verdana" w:hAnsi="Verdana"/>
                <w:sz w:val="18"/>
                <w:szCs w:val="18"/>
                <w:b w:val="1"/>
                <w:bCs w:val="1"/>
                <w:color w:val="auto"/>
              </w:rPr>
              <w:t>Reported:</w:t>
            </w:r>
          </w:p>
        </w:tc>
        <w:tc>
          <w:tcPr>
            <w:tcW w:w="3320" w:type="dxa"/>
            <w:vAlign w:val="bottom"/>
          </w:tcPr>
          <w:p>
            <w:pPr>
              <w:ind w:left="200"/>
              <w:spacing w:after="0"/>
              <w:rPr>
                <w:sz w:val="20"/>
                <w:szCs w:val="20"/>
                <w:color w:val="auto"/>
              </w:rPr>
            </w:pPr>
            <w:r>
              <w:rPr>
                <w:rFonts w:ascii="Verdana" w:cs="Verdana" w:eastAsia="Verdana" w:hAnsi="Verdana"/>
                <w:sz w:val="18"/>
                <w:szCs w:val="18"/>
                <w:color w:val="auto"/>
              </w:rPr>
              <w:t>Return on average tangible</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2"/>
        </w:trPr>
        <w:tc>
          <w:tcPr>
            <w:tcW w:w="1220" w:type="dxa"/>
            <w:vAlign w:val="bottom"/>
          </w:tcPr>
          <w:p>
            <w:pPr>
              <w:spacing w:after="0"/>
              <w:rPr>
                <w:sz w:val="21"/>
                <w:szCs w:val="21"/>
                <w:color w:val="auto"/>
              </w:rPr>
            </w:pPr>
          </w:p>
        </w:tc>
        <w:tc>
          <w:tcPr>
            <w:tcW w:w="3320" w:type="dxa"/>
            <w:vAlign w:val="bottom"/>
          </w:tcPr>
          <w:p>
            <w:pPr>
              <w:ind w:left="200"/>
              <w:spacing w:after="0"/>
              <w:rPr>
                <w:sz w:val="20"/>
                <w:szCs w:val="20"/>
                <w:color w:val="auto"/>
              </w:rPr>
            </w:pPr>
            <w:r>
              <w:rPr>
                <w:rFonts w:ascii="Verdana" w:cs="Verdana" w:eastAsia="Verdana" w:hAnsi="Verdana"/>
                <w:sz w:val="18"/>
                <w:szCs w:val="18"/>
                <w:color w:val="auto"/>
              </w:rPr>
              <w:t>common equity</w:t>
            </w:r>
            <w:r>
              <w:rPr>
                <w:rFonts w:ascii="Verdana" w:cs="Verdana" w:eastAsia="Verdana" w:hAnsi="Verdana"/>
                <w:sz w:val="11"/>
                <w:szCs w:val="11"/>
                <w:color w:val="auto"/>
              </w:rPr>
              <w:t>1, 2</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Verdana" w:cs="Verdana" w:eastAsia="Verdana" w:hAnsi="Verdana"/>
                <w:sz w:val="18"/>
                <w:szCs w:val="18"/>
                <w:color w:val="auto"/>
              </w:rPr>
              <w:t>12.80 %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14.31 %</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11.94 %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15.50 %</w:t>
            </w:r>
          </w:p>
        </w:tc>
      </w:tr>
      <w:tr>
        <w:trPr>
          <w:trHeight w:val="244"/>
        </w:trPr>
        <w:tc>
          <w:tcPr>
            <w:tcW w:w="12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Adjusted:</w:t>
            </w:r>
          </w:p>
        </w:tc>
        <w:tc>
          <w:tcPr>
            <w:tcW w:w="3320" w:type="dxa"/>
            <w:vAlign w:val="bottom"/>
            <w:shd w:val="clear" w:color="auto" w:fill="E0E7ED"/>
          </w:tcPr>
          <w:p>
            <w:pPr>
              <w:ind w:left="200"/>
              <w:spacing w:after="0"/>
              <w:rPr>
                <w:sz w:val="20"/>
                <w:szCs w:val="20"/>
                <w:color w:val="auto"/>
              </w:rPr>
            </w:pPr>
            <w:r>
              <w:rPr>
                <w:rFonts w:ascii="Verdana" w:cs="Verdana" w:eastAsia="Verdana" w:hAnsi="Verdana"/>
                <w:sz w:val="18"/>
                <w:szCs w:val="18"/>
                <w:color w:val="auto"/>
              </w:rPr>
              <w:t>Return on average tangible</w:t>
            </w:r>
          </w:p>
        </w:tc>
        <w:tc>
          <w:tcPr>
            <w:tcW w:w="240" w:type="dxa"/>
            <w:vAlign w:val="bottom"/>
            <w:shd w:val="clear" w:color="auto" w:fill="E0E7ED"/>
          </w:tcPr>
          <w:p>
            <w:pPr>
              <w:spacing w:after="0"/>
              <w:rPr>
                <w:sz w:val="21"/>
                <w:szCs w:val="21"/>
                <w:color w:val="auto"/>
              </w:rPr>
            </w:pPr>
          </w:p>
        </w:tc>
        <w:tc>
          <w:tcPr>
            <w:tcW w:w="13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8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3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r>
      <w:tr>
        <w:trPr>
          <w:trHeight w:val="248"/>
        </w:trPr>
        <w:tc>
          <w:tcPr>
            <w:tcW w:w="1220" w:type="dxa"/>
            <w:vAlign w:val="bottom"/>
            <w:shd w:val="clear" w:color="auto" w:fill="E0E7ED"/>
          </w:tcPr>
          <w:p>
            <w:pPr>
              <w:spacing w:after="0"/>
              <w:rPr>
                <w:sz w:val="21"/>
                <w:szCs w:val="21"/>
                <w:color w:val="auto"/>
              </w:rPr>
            </w:pPr>
          </w:p>
        </w:tc>
        <w:tc>
          <w:tcPr>
            <w:tcW w:w="3320" w:type="dxa"/>
            <w:vAlign w:val="bottom"/>
            <w:shd w:val="clear" w:color="auto" w:fill="E0E7ED"/>
          </w:tcPr>
          <w:p>
            <w:pPr>
              <w:ind w:left="200"/>
              <w:spacing w:after="0"/>
              <w:rPr>
                <w:sz w:val="20"/>
                <w:szCs w:val="20"/>
                <w:color w:val="auto"/>
              </w:rPr>
            </w:pPr>
            <w:r>
              <w:rPr>
                <w:rFonts w:ascii="Verdana" w:cs="Verdana" w:eastAsia="Verdana" w:hAnsi="Verdana"/>
                <w:sz w:val="18"/>
                <w:szCs w:val="18"/>
                <w:color w:val="auto"/>
              </w:rPr>
              <w:t>common equity</w:t>
            </w:r>
            <w:r>
              <w:rPr>
                <w:rFonts w:ascii="Verdana" w:cs="Verdana" w:eastAsia="Verdana" w:hAnsi="Verdana"/>
                <w:sz w:val="11"/>
                <w:szCs w:val="11"/>
                <w:color w:val="auto"/>
              </w:rPr>
              <w:t>1, 2</w:t>
            </w:r>
          </w:p>
        </w:tc>
        <w:tc>
          <w:tcPr>
            <w:tcW w:w="240" w:type="dxa"/>
            <w:vAlign w:val="bottom"/>
            <w:shd w:val="clear" w:color="auto" w:fill="E0E7ED"/>
          </w:tcPr>
          <w:p>
            <w:pPr>
              <w:spacing w:after="0"/>
              <w:rPr>
                <w:sz w:val="21"/>
                <w:szCs w:val="21"/>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13.41 %</w:t>
            </w:r>
          </w:p>
        </w:tc>
        <w:tc>
          <w:tcPr>
            <w:tcW w:w="100" w:type="dxa"/>
            <w:vAlign w:val="bottom"/>
            <w:shd w:val="clear" w:color="auto" w:fill="E0E7ED"/>
          </w:tcPr>
          <w:p>
            <w:pPr>
              <w:spacing w:after="0"/>
              <w:rPr>
                <w:sz w:val="21"/>
                <w:szCs w:val="21"/>
                <w:color w:val="auto"/>
              </w:rPr>
            </w:pPr>
          </w:p>
        </w:tc>
        <w:tc>
          <w:tcPr>
            <w:tcW w:w="380" w:type="dxa"/>
            <w:vAlign w:val="bottom"/>
            <w:shd w:val="clear" w:color="auto" w:fill="E0E7ED"/>
          </w:tcPr>
          <w:p>
            <w:pPr>
              <w:spacing w:after="0"/>
              <w:rPr>
                <w:sz w:val="21"/>
                <w:szCs w:val="21"/>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14.34 %</w:t>
            </w: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12.42 %</w:t>
            </w: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15.51 %</w:t>
            </w:r>
          </w:p>
        </w:tc>
      </w:tr>
      <w:tr>
        <w:trPr>
          <w:trHeight w:val="270"/>
        </w:trPr>
        <w:tc>
          <w:tcPr>
            <w:tcW w:w="122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12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Reported:</w:t>
            </w:r>
          </w:p>
        </w:tc>
        <w:tc>
          <w:tcPr>
            <w:tcW w:w="3320" w:type="dxa"/>
            <w:vAlign w:val="bottom"/>
            <w:shd w:val="clear" w:color="auto" w:fill="E0E7ED"/>
          </w:tcPr>
          <w:p>
            <w:pPr>
              <w:ind w:left="200"/>
              <w:spacing w:after="0"/>
              <w:rPr>
                <w:sz w:val="20"/>
                <w:szCs w:val="20"/>
                <w:color w:val="auto"/>
              </w:rPr>
            </w:pPr>
            <w:r>
              <w:rPr>
                <w:rFonts w:ascii="Verdana" w:cs="Verdana" w:eastAsia="Verdana" w:hAnsi="Verdana"/>
                <w:sz w:val="18"/>
                <w:szCs w:val="18"/>
                <w:color w:val="auto"/>
              </w:rPr>
              <w:t>Pre-provision net revenue</w:t>
            </w:r>
            <w:r>
              <w:rPr>
                <w:rFonts w:ascii="Verdana" w:cs="Verdana" w:eastAsia="Verdana" w:hAnsi="Verdana"/>
                <w:sz w:val="11"/>
                <w:szCs w:val="11"/>
                <w:color w:val="auto"/>
              </w:rPr>
              <w:t>1</w:t>
            </w:r>
          </w:p>
        </w:tc>
        <w:tc>
          <w:tcPr>
            <w:tcW w:w="24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w w:val="86"/>
              </w:rPr>
              <w:t>$</w:t>
            </w:r>
          </w:p>
        </w:tc>
        <w:tc>
          <w:tcPr>
            <w:tcW w:w="134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41,744</w:t>
            </w:r>
          </w:p>
        </w:tc>
        <w:tc>
          <w:tcPr>
            <w:tcW w:w="100" w:type="dxa"/>
            <w:vAlign w:val="bottom"/>
            <w:shd w:val="clear" w:color="auto" w:fill="E0E7ED"/>
          </w:tcPr>
          <w:p>
            <w:pPr>
              <w:spacing w:after="0"/>
              <w:rPr>
                <w:sz w:val="23"/>
                <w:szCs w:val="23"/>
                <w:color w:val="auto"/>
              </w:rPr>
            </w:pPr>
          </w:p>
        </w:tc>
        <w:tc>
          <w:tcPr>
            <w:tcW w:w="380" w:type="dxa"/>
            <w:vAlign w:val="bottom"/>
            <w:shd w:val="clear" w:color="auto" w:fill="E0E7ED"/>
          </w:tcPr>
          <w:p>
            <w:pPr>
              <w:jc w:val="right"/>
              <w:ind w:right="150"/>
              <w:spacing w:after="0"/>
              <w:rPr>
                <w:sz w:val="20"/>
                <w:szCs w:val="20"/>
                <w:color w:val="auto"/>
              </w:rPr>
            </w:pPr>
            <w:r>
              <w:rPr>
                <w:rFonts w:ascii="Verdana" w:cs="Verdana" w:eastAsia="Verdana" w:hAnsi="Verdana"/>
                <w:sz w:val="18"/>
                <w:szCs w:val="18"/>
                <w:color w:val="auto"/>
              </w:rPr>
              <w:t>$</w:t>
            </w:r>
          </w:p>
        </w:tc>
        <w:tc>
          <w:tcPr>
            <w:tcW w:w="122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38,139</w:t>
            </w:r>
          </w:p>
        </w:tc>
        <w:tc>
          <w:tcPr>
            <w:tcW w:w="80" w:type="dxa"/>
            <w:vAlign w:val="bottom"/>
            <w:shd w:val="clear" w:color="auto" w:fill="E0E7ED"/>
          </w:tcPr>
          <w:p>
            <w:pPr>
              <w:spacing w:after="0"/>
              <w:rPr>
                <w:sz w:val="23"/>
                <w:szCs w:val="23"/>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32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129,168</w:t>
            </w:r>
          </w:p>
        </w:tc>
        <w:tc>
          <w:tcPr>
            <w:tcW w:w="100" w:type="dxa"/>
            <w:vAlign w:val="bottom"/>
            <w:shd w:val="clear" w:color="auto" w:fill="E0E7ED"/>
          </w:tcPr>
          <w:p>
            <w:pPr>
              <w:spacing w:after="0"/>
              <w:rPr>
                <w:sz w:val="23"/>
                <w:szCs w:val="23"/>
                <w:color w:val="auto"/>
              </w:rPr>
            </w:pP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26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125,593</w:t>
            </w:r>
          </w:p>
        </w:tc>
      </w:tr>
      <w:tr>
        <w:trPr>
          <w:trHeight w:val="263"/>
        </w:trPr>
        <w:tc>
          <w:tcPr>
            <w:tcW w:w="1220" w:type="dxa"/>
            <w:vAlign w:val="bottom"/>
          </w:tcPr>
          <w:p>
            <w:pPr>
              <w:ind w:left="20"/>
              <w:spacing w:after="0"/>
              <w:rPr>
                <w:sz w:val="20"/>
                <w:szCs w:val="20"/>
                <w:color w:val="auto"/>
              </w:rPr>
            </w:pPr>
            <w:r>
              <w:rPr>
                <w:rFonts w:ascii="Verdana" w:cs="Verdana" w:eastAsia="Verdana" w:hAnsi="Verdana"/>
                <w:sz w:val="18"/>
                <w:szCs w:val="18"/>
                <w:b w:val="1"/>
                <w:bCs w:val="1"/>
                <w:color w:val="auto"/>
              </w:rPr>
              <w:t>Adjusted:</w:t>
            </w:r>
          </w:p>
        </w:tc>
        <w:tc>
          <w:tcPr>
            <w:tcW w:w="3320" w:type="dxa"/>
            <w:vAlign w:val="bottom"/>
          </w:tcPr>
          <w:p>
            <w:pPr>
              <w:ind w:left="200"/>
              <w:spacing w:after="0"/>
              <w:rPr>
                <w:sz w:val="20"/>
                <w:szCs w:val="20"/>
                <w:color w:val="auto"/>
              </w:rPr>
            </w:pPr>
            <w:r>
              <w:rPr>
                <w:rFonts w:ascii="Verdana" w:cs="Verdana" w:eastAsia="Verdana" w:hAnsi="Verdana"/>
                <w:sz w:val="18"/>
                <w:szCs w:val="18"/>
                <w:color w:val="auto"/>
              </w:rPr>
              <w:t>Pre-provision net revenue</w:t>
            </w:r>
            <w:r>
              <w:rPr>
                <w:rFonts w:ascii="Verdana" w:cs="Verdana" w:eastAsia="Verdana" w:hAnsi="Verdana"/>
                <w:sz w:val="11"/>
                <w:szCs w:val="11"/>
                <w:color w:val="auto"/>
              </w:rPr>
              <w:t>1</w:t>
            </w:r>
          </w:p>
        </w:tc>
        <w:tc>
          <w:tcPr>
            <w:tcW w:w="240" w:type="dxa"/>
            <w:vAlign w:val="bottom"/>
          </w:tcPr>
          <w:p>
            <w:pPr>
              <w:jc w:val="right"/>
              <w:ind w:right="30"/>
              <w:spacing w:after="0"/>
              <w:rPr>
                <w:sz w:val="20"/>
                <w:szCs w:val="20"/>
                <w:color w:val="auto"/>
              </w:rPr>
            </w:pPr>
            <w:r>
              <w:rPr>
                <w:rFonts w:ascii="Verdana" w:cs="Verdana" w:eastAsia="Verdana" w:hAnsi="Verdana"/>
                <w:sz w:val="18"/>
                <w:szCs w:val="18"/>
                <w:color w:val="auto"/>
                <w:w w:val="86"/>
              </w:rPr>
              <w:t>$</w:t>
            </w:r>
          </w:p>
        </w:tc>
        <w:tc>
          <w:tcPr>
            <w:tcW w:w="1340" w:type="dxa"/>
            <w:vAlign w:val="bottom"/>
          </w:tcPr>
          <w:p>
            <w:pPr>
              <w:jc w:val="right"/>
              <w:ind w:right="194"/>
              <w:spacing w:after="0"/>
              <w:rPr>
                <w:sz w:val="20"/>
                <w:szCs w:val="20"/>
                <w:color w:val="auto"/>
              </w:rPr>
            </w:pPr>
            <w:r>
              <w:rPr>
                <w:rFonts w:ascii="Verdana" w:cs="Verdana" w:eastAsia="Verdana" w:hAnsi="Verdana"/>
                <w:sz w:val="18"/>
                <w:szCs w:val="18"/>
                <w:color w:val="auto"/>
              </w:rPr>
              <w:t>44,104</w:t>
            </w:r>
          </w:p>
        </w:tc>
        <w:tc>
          <w:tcPr>
            <w:tcW w:w="100" w:type="dxa"/>
            <w:vAlign w:val="bottom"/>
          </w:tcPr>
          <w:p>
            <w:pPr>
              <w:spacing w:after="0"/>
              <w:rPr>
                <w:sz w:val="22"/>
                <w:szCs w:val="22"/>
                <w:color w:val="auto"/>
              </w:rPr>
            </w:pPr>
          </w:p>
        </w:tc>
        <w:tc>
          <w:tcPr>
            <w:tcW w:w="380" w:type="dxa"/>
            <w:vAlign w:val="bottom"/>
          </w:tcPr>
          <w:p>
            <w:pPr>
              <w:jc w:val="right"/>
              <w:ind w:right="15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192"/>
              <w:spacing w:after="0"/>
              <w:rPr>
                <w:sz w:val="20"/>
                <w:szCs w:val="20"/>
                <w:color w:val="auto"/>
              </w:rPr>
            </w:pPr>
            <w:r>
              <w:rPr>
                <w:rFonts w:ascii="Verdana" w:cs="Verdana" w:eastAsia="Verdana" w:hAnsi="Verdana"/>
                <w:sz w:val="18"/>
                <w:szCs w:val="18"/>
                <w:color w:val="auto"/>
              </w:rPr>
              <w:t>40,491</w:t>
            </w:r>
          </w:p>
        </w:tc>
        <w:tc>
          <w:tcPr>
            <w:tcW w:w="8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ind w:right="194"/>
              <w:spacing w:after="0"/>
              <w:rPr>
                <w:sz w:val="20"/>
                <w:szCs w:val="20"/>
                <w:color w:val="auto"/>
              </w:rPr>
            </w:pPr>
            <w:r>
              <w:rPr>
                <w:rFonts w:ascii="Verdana" w:cs="Verdana" w:eastAsia="Verdana" w:hAnsi="Verdana"/>
                <w:sz w:val="18"/>
                <w:szCs w:val="18"/>
                <w:color w:val="auto"/>
              </w:rPr>
              <w:t>125,359</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ind w:right="192"/>
              <w:spacing w:after="0"/>
              <w:rPr>
                <w:sz w:val="20"/>
                <w:szCs w:val="20"/>
                <w:color w:val="auto"/>
              </w:rPr>
            </w:pPr>
            <w:r>
              <w:rPr>
                <w:rFonts w:ascii="Verdana" w:cs="Verdana" w:eastAsia="Verdana" w:hAnsi="Verdana"/>
                <w:sz w:val="18"/>
                <w:szCs w:val="18"/>
                <w:color w:val="auto"/>
              </w:rPr>
              <w:t>132,067</w:t>
            </w:r>
          </w:p>
        </w:tc>
      </w:tr>
      <w:tr>
        <w:trPr>
          <w:trHeight w:val="277"/>
        </w:trPr>
        <w:tc>
          <w:tcPr>
            <w:tcW w:w="1220" w:type="dxa"/>
            <w:vAlign w:val="bottom"/>
            <w:shd w:val="clear" w:color="auto" w:fill="E0E7ED"/>
          </w:tcPr>
          <w:p>
            <w:pPr>
              <w:spacing w:after="0"/>
              <w:rPr>
                <w:sz w:val="24"/>
                <w:szCs w:val="24"/>
                <w:color w:val="auto"/>
              </w:rPr>
            </w:pPr>
          </w:p>
        </w:tc>
        <w:tc>
          <w:tcPr>
            <w:tcW w:w="332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34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32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60" w:type="dxa"/>
            <w:vAlign w:val="bottom"/>
            <w:shd w:val="clear" w:color="auto" w:fill="E0E7ED"/>
          </w:tcPr>
          <w:p>
            <w:pPr>
              <w:spacing w:after="0"/>
              <w:rPr>
                <w:sz w:val="24"/>
                <w:szCs w:val="24"/>
                <w:color w:val="auto"/>
              </w:rPr>
            </w:pPr>
          </w:p>
        </w:tc>
      </w:tr>
      <w:tr>
        <w:trPr>
          <w:trHeight w:val="238"/>
        </w:trPr>
        <w:tc>
          <w:tcPr>
            <w:tcW w:w="1220" w:type="dxa"/>
            <w:vAlign w:val="bottom"/>
          </w:tcPr>
          <w:p>
            <w:pPr>
              <w:ind w:left="20"/>
              <w:spacing w:after="0"/>
              <w:rPr>
                <w:sz w:val="20"/>
                <w:szCs w:val="20"/>
                <w:color w:val="auto"/>
              </w:rPr>
            </w:pPr>
            <w:r>
              <w:rPr>
                <w:rFonts w:ascii="Verdana" w:cs="Verdana" w:eastAsia="Verdana" w:hAnsi="Verdana"/>
                <w:sz w:val="18"/>
                <w:szCs w:val="18"/>
                <w:b w:val="1"/>
                <w:bCs w:val="1"/>
                <w:color w:val="auto"/>
              </w:rPr>
              <w:t>Reported:</w:t>
            </w:r>
          </w:p>
        </w:tc>
        <w:tc>
          <w:tcPr>
            <w:tcW w:w="3320" w:type="dxa"/>
            <w:vAlign w:val="bottom"/>
          </w:tcPr>
          <w:p>
            <w:pPr>
              <w:ind w:left="200"/>
              <w:spacing w:after="0"/>
              <w:rPr>
                <w:sz w:val="20"/>
                <w:szCs w:val="20"/>
                <w:color w:val="auto"/>
              </w:rPr>
            </w:pPr>
            <w:r>
              <w:rPr>
                <w:rFonts w:ascii="Verdana" w:cs="Verdana" w:eastAsia="Verdana" w:hAnsi="Verdana"/>
                <w:sz w:val="18"/>
                <w:szCs w:val="18"/>
                <w:color w:val="auto"/>
              </w:rPr>
              <w:t>Pre-provision net revenue to</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2"/>
        </w:trPr>
        <w:tc>
          <w:tcPr>
            <w:tcW w:w="1220" w:type="dxa"/>
            <w:vAlign w:val="bottom"/>
          </w:tcPr>
          <w:p>
            <w:pPr>
              <w:spacing w:after="0"/>
              <w:rPr>
                <w:sz w:val="21"/>
                <w:szCs w:val="21"/>
                <w:color w:val="auto"/>
              </w:rPr>
            </w:pPr>
          </w:p>
        </w:tc>
        <w:tc>
          <w:tcPr>
            <w:tcW w:w="3320" w:type="dxa"/>
            <w:vAlign w:val="bottom"/>
          </w:tcPr>
          <w:p>
            <w:pPr>
              <w:ind w:left="200"/>
              <w:spacing w:after="0"/>
              <w:rPr>
                <w:sz w:val="20"/>
                <w:szCs w:val="20"/>
                <w:color w:val="auto"/>
              </w:rPr>
            </w:pPr>
            <w:r>
              <w:rPr>
                <w:rFonts w:ascii="Verdana" w:cs="Verdana" w:eastAsia="Verdana" w:hAnsi="Verdana"/>
                <w:sz w:val="18"/>
                <w:szCs w:val="18"/>
                <w:color w:val="auto"/>
              </w:rPr>
              <w:t>average assets</w:t>
            </w:r>
            <w:r>
              <w:rPr>
                <w:rFonts w:ascii="Verdana" w:cs="Verdana" w:eastAsia="Verdana" w:hAnsi="Verdana"/>
                <w:sz w:val="11"/>
                <w:szCs w:val="11"/>
                <w:color w:val="auto"/>
              </w:rPr>
              <w:t>1, 2</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Verdana" w:cs="Verdana" w:eastAsia="Verdana" w:hAnsi="Verdana"/>
                <w:sz w:val="18"/>
                <w:szCs w:val="18"/>
                <w:color w:val="auto"/>
              </w:rPr>
              <w:t>1.38 %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1.24 %</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1.43 %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1.37 %</w:t>
            </w:r>
          </w:p>
        </w:tc>
      </w:tr>
      <w:tr>
        <w:trPr>
          <w:trHeight w:val="244"/>
        </w:trPr>
        <w:tc>
          <w:tcPr>
            <w:tcW w:w="12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Adjusted:</w:t>
            </w:r>
          </w:p>
        </w:tc>
        <w:tc>
          <w:tcPr>
            <w:tcW w:w="3320" w:type="dxa"/>
            <w:vAlign w:val="bottom"/>
            <w:shd w:val="clear" w:color="auto" w:fill="E0E7ED"/>
          </w:tcPr>
          <w:p>
            <w:pPr>
              <w:ind w:left="200"/>
              <w:spacing w:after="0"/>
              <w:rPr>
                <w:sz w:val="20"/>
                <w:szCs w:val="20"/>
                <w:color w:val="auto"/>
              </w:rPr>
            </w:pPr>
            <w:r>
              <w:rPr>
                <w:rFonts w:ascii="Verdana" w:cs="Verdana" w:eastAsia="Verdana" w:hAnsi="Verdana"/>
                <w:sz w:val="18"/>
                <w:szCs w:val="18"/>
                <w:color w:val="auto"/>
              </w:rPr>
              <w:t>Pre-provision net revenue to</w:t>
            </w:r>
          </w:p>
        </w:tc>
        <w:tc>
          <w:tcPr>
            <w:tcW w:w="240" w:type="dxa"/>
            <w:vAlign w:val="bottom"/>
            <w:shd w:val="clear" w:color="auto" w:fill="E0E7ED"/>
          </w:tcPr>
          <w:p>
            <w:pPr>
              <w:spacing w:after="0"/>
              <w:rPr>
                <w:sz w:val="21"/>
                <w:szCs w:val="21"/>
                <w:color w:val="auto"/>
              </w:rPr>
            </w:pPr>
          </w:p>
        </w:tc>
        <w:tc>
          <w:tcPr>
            <w:tcW w:w="13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8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3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r>
      <w:tr>
        <w:trPr>
          <w:trHeight w:val="248"/>
        </w:trPr>
        <w:tc>
          <w:tcPr>
            <w:tcW w:w="1220" w:type="dxa"/>
            <w:vAlign w:val="bottom"/>
            <w:shd w:val="clear" w:color="auto" w:fill="E0E7ED"/>
          </w:tcPr>
          <w:p>
            <w:pPr>
              <w:spacing w:after="0"/>
              <w:rPr>
                <w:sz w:val="21"/>
                <w:szCs w:val="21"/>
                <w:color w:val="auto"/>
              </w:rPr>
            </w:pPr>
          </w:p>
        </w:tc>
        <w:tc>
          <w:tcPr>
            <w:tcW w:w="3320" w:type="dxa"/>
            <w:vAlign w:val="bottom"/>
            <w:shd w:val="clear" w:color="auto" w:fill="E0E7ED"/>
          </w:tcPr>
          <w:p>
            <w:pPr>
              <w:ind w:left="200"/>
              <w:spacing w:after="0"/>
              <w:rPr>
                <w:sz w:val="20"/>
                <w:szCs w:val="20"/>
                <w:color w:val="auto"/>
              </w:rPr>
            </w:pPr>
            <w:r>
              <w:rPr>
                <w:rFonts w:ascii="Verdana" w:cs="Verdana" w:eastAsia="Verdana" w:hAnsi="Verdana"/>
                <w:sz w:val="18"/>
                <w:szCs w:val="18"/>
                <w:color w:val="auto"/>
              </w:rPr>
              <w:t>average assets</w:t>
            </w:r>
            <w:r>
              <w:rPr>
                <w:rFonts w:ascii="Verdana" w:cs="Verdana" w:eastAsia="Verdana" w:hAnsi="Verdana"/>
                <w:sz w:val="11"/>
                <w:szCs w:val="11"/>
                <w:color w:val="auto"/>
              </w:rPr>
              <w:t>1, 2</w:t>
            </w:r>
          </w:p>
        </w:tc>
        <w:tc>
          <w:tcPr>
            <w:tcW w:w="240" w:type="dxa"/>
            <w:vAlign w:val="bottom"/>
            <w:shd w:val="clear" w:color="auto" w:fill="E0E7ED"/>
          </w:tcPr>
          <w:p>
            <w:pPr>
              <w:spacing w:after="0"/>
              <w:rPr>
                <w:sz w:val="21"/>
                <w:szCs w:val="21"/>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1.46 %</w:t>
            </w:r>
          </w:p>
        </w:tc>
        <w:tc>
          <w:tcPr>
            <w:tcW w:w="100" w:type="dxa"/>
            <w:vAlign w:val="bottom"/>
            <w:shd w:val="clear" w:color="auto" w:fill="E0E7ED"/>
          </w:tcPr>
          <w:p>
            <w:pPr>
              <w:spacing w:after="0"/>
              <w:rPr>
                <w:sz w:val="21"/>
                <w:szCs w:val="21"/>
                <w:color w:val="auto"/>
              </w:rPr>
            </w:pPr>
          </w:p>
        </w:tc>
        <w:tc>
          <w:tcPr>
            <w:tcW w:w="380" w:type="dxa"/>
            <w:vAlign w:val="bottom"/>
            <w:shd w:val="clear" w:color="auto" w:fill="E0E7ED"/>
          </w:tcPr>
          <w:p>
            <w:pPr>
              <w:spacing w:after="0"/>
              <w:rPr>
                <w:sz w:val="21"/>
                <w:szCs w:val="21"/>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1.32 %</w:t>
            </w: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1.39 %</w:t>
            </w: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1.44 %</w:t>
            </w:r>
          </w:p>
        </w:tc>
      </w:tr>
    </w:tbl>
    <w:p>
      <w:pPr>
        <w:spacing w:after="0" w:line="53"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500" w:right="20" w:hanging="330"/>
        <w:spacing w:after="0" w:line="225" w:lineRule="auto"/>
        <w:tabs>
          <w:tab w:leader="none" w:pos="491" w:val="left"/>
        </w:tabs>
        <w:numPr>
          <w:ilvl w:val="0"/>
          <w:numId w:val="20"/>
        </w:numPr>
        <w:rPr>
          <w:rFonts w:ascii="Verdana" w:cs="Verdana" w:eastAsia="Verdana" w:hAnsi="Verdana"/>
          <w:sz w:val="13"/>
          <w:szCs w:val="13"/>
          <w:color w:val="auto"/>
        </w:rPr>
      </w:pPr>
      <w:r>
        <w:rPr>
          <w:rFonts w:ascii="Verdana" w:cs="Verdana" w:eastAsia="Verdana" w:hAnsi="Verdana"/>
          <w:sz w:val="13"/>
          <w:szCs w:val="13"/>
          <w:color w:val="auto"/>
        </w:rPr>
        <w:t xml:space="preserve">A non-GAAP financial measure. For a reconciliation of non-GAAP measures to the most directly comparable GAAP financial measures, see </w:t>
      </w:r>
      <w:r>
        <w:rPr>
          <w:rFonts w:ascii="Verdana" w:cs="Verdana" w:eastAsia="Verdana" w:hAnsi="Verdana"/>
          <w:sz w:val="13"/>
          <w:szCs w:val="13"/>
          <w:i w:val="1"/>
          <w:iCs w:val="1"/>
          <w:u w:val="single" w:color="auto"/>
          <w:color w:val="0000FF"/>
        </w:rPr>
        <w:t>“Item 2. Management’s</w:t>
      </w:r>
      <w:r>
        <w:rPr>
          <w:rFonts w:ascii="Verdana" w:cs="Verdana" w:eastAsia="Verdana" w:hAnsi="Verdana"/>
          <w:sz w:val="13"/>
          <w:szCs w:val="13"/>
          <w:color w:val="auto"/>
        </w:rPr>
        <w:t xml:space="preserve"> </w:t>
      </w:r>
      <w:r>
        <w:rPr>
          <w:rFonts w:ascii="Verdana" w:cs="Verdana" w:eastAsia="Verdana" w:hAnsi="Verdana"/>
          <w:sz w:val="13"/>
          <w:szCs w:val="13"/>
          <w:i w:val="1"/>
          <w:iCs w:val="1"/>
          <w:u w:val="single" w:color="auto"/>
          <w:color w:val="0000FF"/>
        </w:rPr>
        <w:t>Discussion and Analysis—Non-GAAP Financial Information”</w:t>
      </w:r>
      <w:r>
        <w:rPr>
          <w:rFonts w:ascii="Verdana" w:cs="Verdana" w:eastAsia="Verdana" w:hAnsi="Verdana"/>
          <w:sz w:val="13"/>
          <w:szCs w:val="13"/>
          <w:i w:val="1"/>
          <w:iCs w:val="1"/>
          <w:color w:val="0000FF"/>
        </w:rPr>
        <w:t xml:space="preserve"> </w:t>
      </w:r>
      <w:r>
        <w:rPr>
          <w:rFonts w:ascii="Verdana" w:cs="Verdana" w:eastAsia="Verdana" w:hAnsi="Verdana"/>
          <w:sz w:val="13"/>
          <w:szCs w:val="13"/>
          <w:color w:val="000000"/>
        </w:rPr>
        <w:t>included in this Quarterly Report.</w:t>
      </w:r>
    </w:p>
    <w:p>
      <w:pPr>
        <w:ind w:left="480" w:hanging="310"/>
        <w:spacing w:after="0"/>
        <w:tabs>
          <w:tab w:leader="none" w:pos="480" w:val="left"/>
        </w:tabs>
        <w:numPr>
          <w:ilvl w:val="0"/>
          <w:numId w:val="20"/>
        </w:numPr>
        <w:rPr>
          <w:rFonts w:ascii="Verdana" w:cs="Verdana" w:eastAsia="Verdana" w:hAnsi="Verdana"/>
          <w:sz w:val="13"/>
          <w:szCs w:val="13"/>
          <w:color w:val="auto"/>
        </w:rPr>
      </w:pPr>
      <w:r>
        <w:rPr>
          <w:rFonts w:ascii="Verdana" w:cs="Verdana" w:eastAsia="Verdana" w:hAnsi="Verdana"/>
          <w:sz w:val="13"/>
          <w:szCs w:val="13"/>
          <w:color w:val="auto"/>
        </w:rPr>
        <w:t>Annualized measure.</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3" w:name="page74"/>
    <w:bookmarkEnd w:id="73"/>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Non-Operating Expenses and Non-GAAP Measures</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Busey views certain non-operating items, including acquisition-related and restructuring charges, as adjustments to net income reported under GAAP. Non-operating pre-tax adjustments were as follows for the periods presented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80" w:type="dxa"/>
            <w:vAlign w:val="bottom"/>
            <w:gridSpan w:val="5"/>
          </w:tcPr>
          <w:p>
            <w:pPr>
              <w:ind w:left="80"/>
              <w:spacing w:after="0"/>
              <w:rPr>
                <w:sz w:val="20"/>
                <w:szCs w:val="20"/>
                <w:color w:val="auto"/>
              </w:rPr>
            </w:pPr>
            <w:r>
              <w:rPr>
                <w:rFonts w:ascii="Verdana" w:cs="Verdana" w:eastAsia="Verdana" w:hAnsi="Verdana"/>
                <w:sz w:val="13"/>
                <w:szCs w:val="13"/>
                <w:b w:val="1"/>
                <w:bCs w:val="1"/>
                <w:color w:val="auto"/>
              </w:rPr>
              <w:t>Three Months Ended September 30,</w:t>
            </w:r>
          </w:p>
        </w:tc>
        <w:tc>
          <w:tcPr>
            <w:tcW w:w="220" w:type="dxa"/>
            <w:vAlign w:val="bottom"/>
          </w:tcPr>
          <w:p>
            <w:pPr>
              <w:spacing w:after="0"/>
              <w:rPr>
                <w:sz w:val="15"/>
                <w:szCs w:val="15"/>
                <w:color w:val="auto"/>
              </w:rPr>
            </w:pPr>
          </w:p>
        </w:tc>
        <w:tc>
          <w:tcPr>
            <w:tcW w:w="2860" w:type="dxa"/>
            <w:vAlign w:val="bottom"/>
            <w:gridSpan w:val="4"/>
          </w:tcPr>
          <w:p>
            <w:pPr>
              <w:jc w:val="right"/>
              <w:ind w:right="237"/>
              <w:spacing w:after="0"/>
              <w:rPr>
                <w:sz w:val="20"/>
                <w:szCs w:val="20"/>
                <w:color w:val="auto"/>
              </w:rPr>
            </w:pPr>
            <w:r>
              <w:rPr>
                <w:rFonts w:ascii="Verdana" w:cs="Verdana" w:eastAsia="Verdana" w:hAnsi="Verdana"/>
                <w:sz w:val="13"/>
                <w:szCs w:val="13"/>
                <w:b w:val="1"/>
                <w:bCs w:val="1"/>
                <w:color w:val="auto"/>
                <w:w w:val="99"/>
              </w:rPr>
              <w:t>Nine Months Ended September 30,</w:t>
            </w:r>
          </w:p>
        </w:tc>
      </w:tr>
      <w:tr>
        <w:trPr>
          <w:trHeight w:val="170"/>
        </w:trPr>
        <w:tc>
          <w:tcPr>
            <w:tcW w:w="498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501"/>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top w:val="single" w:sz="8" w:color="auto"/>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77"/>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481"/>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77"/>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49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Non-operating expenses</w:t>
            </w:r>
          </w:p>
        </w:tc>
        <w:tc>
          <w:tcPr>
            <w:tcW w:w="200" w:type="dxa"/>
            <w:vAlign w:val="bottom"/>
            <w:shd w:val="clear" w:color="auto" w:fill="E0E7ED"/>
          </w:tcPr>
          <w:p>
            <w:pPr>
              <w:spacing w:after="0"/>
              <w:rPr>
                <w:sz w:val="22"/>
                <w:szCs w:val="22"/>
                <w:color w:val="auto"/>
              </w:rPr>
            </w:pPr>
          </w:p>
        </w:tc>
        <w:tc>
          <w:tcPr>
            <w:tcW w:w="130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11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20" w:type="dxa"/>
            <w:vAlign w:val="bottom"/>
            <w:shd w:val="clear" w:color="auto" w:fill="E0E7ED"/>
          </w:tcPr>
          <w:p>
            <w:pPr>
              <w:spacing w:after="0"/>
              <w:rPr>
                <w:sz w:val="22"/>
                <w:szCs w:val="22"/>
                <w:color w:val="auto"/>
              </w:rPr>
            </w:pPr>
          </w:p>
        </w:tc>
        <w:tc>
          <w:tcPr>
            <w:tcW w:w="12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40" w:type="dxa"/>
            <w:vAlign w:val="bottom"/>
            <w:shd w:val="clear" w:color="auto" w:fill="E0E7ED"/>
          </w:tcPr>
          <w:p>
            <w:pPr>
              <w:spacing w:after="0"/>
              <w:rPr>
                <w:sz w:val="22"/>
                <w:szCs w:val="22"/>
                <w:color w:val="auto"/>
              </w:rPr>
            </w:pPr>
          </w:p>
        </w:tc>
        <w:tc>
          <w:tcPr>
            <w:tcW w:w="1140" w:type="dxa"/>
            <w:vAlign w:val="bottom"/>
            <w:shd w:val="clear" w:color="auto" w:fill="E0E7ED"/>
          </w:tcPr>
          <w:p>
            <w:pPr>
              <w:spacing w:after="0"/>
              <w:rPr>
                <w:sz w:val="22"/>
                <w:szCs w:val="22"/>
                <w:color w:val="auto"/>
              </w:rPr>
            </w:pP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Acquisition expenses</w:t>
            </w:r>
            <w:r>
              <w:rPr>
                <w:rFonts w:ascii="Verdana" w:cs="Verdana" w:eastAsia="Verdana" w:hAnsi="Verdana"/>
                <w:sz w:val="11"/>
                <w:szCs w:val="11"/>
                <w:color w:val="auto"/>
              </w:rPr>
              <w:t>1</w:t>
            </w:r>
          </w:p>
        </w:tc>
        <w:tc>
          <w:tcPr>
            <w:tcW w:w="20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300" w:type="dxa"/>
            <w:vAlign w:val="bottom"/>
          </w:tcPr>
          <w:p>
            <w:pPr>
              <w:jc w:val="right"/>
              <w:ind w:right="21"/>
              <w:spacing w:after="0"/>
              <w:rPr>
                <w:sz w:val="20"/>
                <w:szCs w:val="20"/>
                <w:color w:val="auto"/>
              </w:rPr>
            </w:pPr>
            <w:r>
              <w:rPr>
                <w:rFonts w:ascii="Verdana" w:cs="Verdana" w:eastAsia="Verdana" w:hAnsi="Verdana"/>
                <w:sz w:val="18"/>
                <w:szCs w:val="18"/>
                <w:color w:val="auto"/>
              </w:rPr>
              <w:t>1,935</w:t>
            </w:r>
          </w:p>
        </w:tc>
        <w:tc>
          <w:tcPr>
            <w:tcW w:w="8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Pr>
          <w:p>
            <w:pPr>
              <w:jc w:val="right"/>
              <w:spacing w:after="0"/>
              <w:rPr>
                <w:sz w:val="20"/>
                <w:szCs w:val="20"/>
                <w:color w:val="auto"/>
              </w:rPr>
            </w:pPr>
            <w:r>
              <w:rPr>
                <w:rFonts w:ascii="Verdana" w:cs="Verdana" w:eastAsia="Verdana" w:hAnsi="Verdana"/>
                <w:sz w:val="18"/>
                <w:szCs w:val="18"/>
                <w:color w:val="auto"/>
              </w:rPr>
              <w:t>79</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ind w:right="1"/>
              <w:spacing w:after="0"/>
              <w:rPr>
                <w:sz w:val="20"/>
                <w:szCs w:val="20"/>
                <w:color w:val="auto"/>
              </w:rPr>
            </w:pPr>
            <w:r>
              <w:rPr>
                <w:rFonts w:ascii="Verdana" w:cs="Verdana" w:eastAsia="Verdana" w:hAnsi="Verdana"/>
                <w:sz w:val="18"/>
                <w:szCs w:val="18"/>
                <w:color w:val="auto"/>
              </w:rPr>
              <w:t>4,432</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140" w:type="dxa"/>
            <w:vAlign w:val="bottom"/>
          </w:tcPr>
          <w:p>
            <w:pPr>
              <w:jc w:val="right"/>
              <w:spacing w:after="0"/>
              <w:rPr>
                <w:sz w:val="20"/>
                <w:szCs w:val="20"/>
                <w:color w:val="auto"/>
              </w:rPr>
            </w:pPr>
            <w:r>
              <w:rPr>
                <w:rFonts w:ascii="Verdana" w:cs="Verdana" w:eastAsia="Verdana" w:hAnsi="Verdana"/>
                <w:sz w:val="18"/>
                <w:szCs w:val="18"/>
                <w:color w:val="auto"/>
              </w:rPr>
              <w:t>91</w:t>
            </w:r>
          </w:p>
        </w:tc>
      </w:tr>
      <w:tr>
        <w:trPr>
          <w:trHeight w:val="270"/>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Restructuring expenses</w:t>
            </w:r>
            <w:r>
              <w:rPr>
                <w:rFonts w:ascii="Verdana" w:cs="Verdana" w:eastAsia="Verdana" w:hAnsi="Verdana"/>
                <w:sz w:val="11"/>
                <w:szCs w:val="11"/>
                <w:color w:val="auto"/>
              </w:rPr>
              <w:t>2</w:t>
            </w:r>
          </w:p>
        </w:tc>
        <w:tc>
          <w:tcPr>
            <w:tcW w:w="200" w:type="dxa"/>
            <w:vAlign w:val="bottom"/>
            <w:shd w:val="clear" w:color="auto" w:fill="E0E7ED"/>
          </w:tcPr>
          <w:p>
            <w:pPr>
              <w:spacing w:after="0"/>
              <w:rPr>
                <w:sz w:val="23"/>
                <w:szCs w:val="23"/>
                <w:color w:val="auto"/>
              </w:rPr>
            </w:pPr>
          </w:p>
        </w:tc>
        <w:tc>
          <w:tcPr>
            <w:tcW w:w="138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60" w:type="dxa"/>
            <w:vAlign w:val="bottom"/>
            <w:shd w:val="clear" w:color="auto" w:fill="E0E7ED"/>
          </w:tcPr>
          <w:p>
            <w:pPr>
              <w:spacing w:after="0"/>
              <w:rPr>
                <w:sz w:val="23"/>
                <w:szCs w:val="23"/>
                <w:color w:val="auto"/>
              </w:rPr>
            </w:pPr>
          </w:p>
        </w:tc>
        <w:tc>
          <w:tcPr>
            <w:tcW w:w="12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shd w:val="clear" w:color="auto" w:fill="E0E7ED"/>
          </w:tcPr>
          <w:p>
            <w:pPr>
              <w:spacing w:after="0"/>
              <w:rPr>
                <w:sz w:val="23"/>
                <w:szCs w:val="23"/>
                <w:color w:val="auto"/>
              </w:rPr>
            </w:pPr>
          </w:p>
        </w:tc>
        <w:tc>
          <w:tcPr>
            <w:tcW w:w="1280" w:type="dxa"/>
            <w:vAlign w:val="bottom"/>
            <w:shd w:val="clear" w:color="auto" w:fill="E0E7ED"/>
          </w:tcPr>
          <w:p>
            <w:pPr>
              <w:jc w:val="right"/>
              <w:ind w:right="1"/>
              <w:spacing w:after="0"/>
              <w:rPr>
                <w:sz w:val="20"/>
                <w:szCs w:val="20"/>
                <w:color w:val="auto"/>
              </w:rPr>
            </w:pPr>
            <w:r>
              <w:rPr>
                <w:rFonts w:ascii="Verdana" w:cs="Verdana" w:eastAsia="Verdana" w:hAnsi="Verdana"/>
                <w:sz w:val="18"/>
                <w:szCs w:val="18"/>
                <w:color w:val="auto"/>
              </w:rPr>
              <w:t>123</w:t>
            </w: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spacing w:after="0"/>
              <w:rPr>
                <w:sz w:val="23"/>
                <w:szCs w:val="23"/>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r>
      <w:tr>
        <w:trPr>
          <w:trHeight w:val="270"/>
        </w:trPr>
        <w:tc>
          <w:tcPr>
            <w:tcW w:w="4980" w:type="dxa"/>
            <w:vAlign w:val="bottom"/>
          </w:tcPr>
          <w:p>
            <w:pPr>
              <w:ind w:left="20"/>
              <w:spacing w:after="0"/>
              <w:rPr>
                <w:sz w:val="20"/>
                <w:szCs w:val="20"/>
                <w:color w:val="auto"/>
              </w:rPr>
            </w:pPr>
            <w:r>
              <w:rPr>
                <w:rFonts w:ascii="Verdana" w:cs="Verdana" w:eastAsia="Verdana" w:hAnsi="Verdana"/>
                <w:sz w:val="18"/>
                <w:szCs w:val="18"/>
                <w:color w:val="auto"/>
              </w:rPr>
              <w:t>Total non-operating expenses</w:t>
            </w:r>
          </w:p>
        </w:tc>
        <w:tc>
          <w:tcPr>
            <w:tcW w:w="2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w w:val="86"/>
              </w:rPr>
              <w:t>$</w:t>
            </w:r>
          </w:p>
        </w:tc>
        <w:tc>
          <w:tcPr>
            <w:tcW w:w="1300" w:type="dxa"/>
            <w:vAlign w:val="bottom"/>
            <w:tcBorders>
              <w:top w:val="single" w:sz="8" w:color="auto"/>
              <w:bottom w:val="single" w:sz="8" w:color="auto"/>
            </w:tcBorders>
          </w:tcPr>
          <w:p>
            <w:pPr>
              <w:jc w:val="right"/>
              <w:ind w:right="21"/>
              <w:spacing w:after="0"/>
              <w:rPr>
                <w:sz w:val="20"/>
                <w:szCs w:val="20"/>
                <w:color w:val="auto"/>
              </w:rPr>
            </w:pPr>
            <w:r>
              <w:rPr>
                <w:rFonts w:ascii="Verdana" w:cs="Verdana" w:eastAsia="Verdana" w:hAnsi="Verdana"/>
                <w:sz w:val="18"/>
                <w:szCs w:val="18"/>
                <w:color w:val="auto"/>
              </w:rPr>
              <w:t>1,935</w:t>
            </w:r>
          </w:p>
        </w:tc>
        <w:tc>
          <w:tcPr>
            <w:tcW w:w="80" w:type="dxa"/>
            <w:vAlign w:val="bottom"/>
          </w:tcPr>
          <w:p>
            <w:pPr>
              <w:spacing w:after="0"/>
              <w:rPr>
                <w:sz w:val="23"/>
                <w:szCs w:val="23"/>
                <w:color w:val="auto"/>
              </w:rPr>
            </w:pPr>
          </w:p>
        </w:tc>
        <w:tc>
          <w:tcPr>
            <w:tcW w:w="360" w:type="dxa"/>
            <w:vAlign w:val="bottom"/>
            <w:tcBorders>
              <w:top w:val="single" w:sz="8" w:color="auto"/>
              <w:bottom w:val="single" w:sz="8" w:color="auto"/>
            </w:tcBorders>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79</w:t>
            </w:r>
          </w:p>
        </w:tc>
        <w:tc>
          <w:tcPr>
            <w:tcW w:w="100" w:type="dxa"/>
            <w:vAlign w:val="bottom"/>
          </w:tcPr>
          <w:p>
            <w:pPr>
              <w:spacing w:after="0"/>
              <w:rPr>
                <w:sz w:val="23"/>
                <w:szCs w:val="23"/>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Borders>
              <w:top w:val="single" w:sz="8" w:color="auto"/>
              <w:bottom w:val="single" w:sz="8" w:color="auto"/>
            </w:tcBorders>
          </w:tcPr>
          <w:p>
            <w:pPr>
              <w:jc w:val="right"/>
              <w:ind w:right="1"/>
              <w:spacing w:after="0"/>
              <w:rPr>
                <w:sz w:val="20"/>
                <w:szCs w:val="20"/>
                <w:color w:val="auto"/>
              </w:rPr>
            </w:pPr>
            <w:r>
              <w:rPr>
                <w:rFonts w:ascii="Verdana" w:cs="Verdana" w:eastAsia="Verdana" w:hAnsi="Verdana"/>
                <w:sz w:val="18"/>
                <w:szCs w:val="18"/>
                <w:color w:val="auto"/>
              </w:rPr>
              <w:t>4,555</w:t>
            </w:r>
          </w:p>
        </w:tc>
        <w:tc>
          <w:tcPr>
            <w:tcW w:w="100" w:type="dxa"/>
            <w:vAlign w:val="bottom"/>
          </w:tcPr>
          <w:p>
            <w:pPr>
              <w:spacing w:after="0"/>
              <w:rPr>
                <w:sz w:val="23"/>
                <w:szCs w:val="23"/>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Verdana" w:cs="Verdana" w:eastAsia="Verdana" w:hAnsi="Verdana"/>
                <w:sz w:val="18"/>
                <w:szCs w:val="18"/>
                <w:color w:val="auto"/>
                <w:w w:val="8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91</w:t>
            </w:r>
          </w:p>
        </w:tc>
      </w:tr>
      <w:tr>
        <w:trPr>
          <w:trHeight w:val="21"/>
        </w:trPr>
        <w:tc>
          <w:tcPr>
            <w:tcW w:w="4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line="225" w:lineRule="auto"/>
        <w:tabs>
          <w:tab w:leader="none" w:pos="480" w:val="left"/>
        </w:tabs>
        <w:numPr>
          <w:ilvl w:val="0"/>
          <w:numId w:val="21"/>
        </w:numPr>
        <w:rPr>
          <w:rFonts w:ascii="Verdana" w:cs="Verdana" w:eastAsia="Verdana" w:hAnsi="Verdana"/>
          <w:sz w:val="13"/>
          <w:szCs w:val="13"/>
          <w:color w:val="auto"/>
        </w:rPr>
      </w:pPr>
      <w:r>
        <w:rPr>
          <w:rFonts w:ascii="Verdana" w:cs="Verdana" w:eastAsia="Verdana" w:hAnsi="Verdana"/>
          <w:sz w:val="13"/>
          <w:szCs w:val="13"/>
          <w:color w:val="auto"/>
        </w:rPr>
        <w:t>Acquisition expenses were related to the acquisition of M&amp;M, which was completed on April 1, 2024, and planned acquisition of CrossFirst.</w:t>
      </w:r>
    </w:p>
    <w:p>
      <w:pPr>
        <w:ind w:left="480" w:hanging="310"/>
        <w:spacing w:after="0"/>
        <w:tabs>
          <w:tab w:leader="none" w:pos="480" w:val="left"/>
        </w:tabs>
        <w:numPr>
          <w:ilvl w:val="0"/>
          <w:numId w:val="21"/>
        </w:numPr>
        <w:rPr>
          <w:rFonts w:ascii="Verdana" w:cs="Verdana" w:eastAsia="Verdana" w:hAnsi="Verdana"/>
          <w:sz w:val="13"/>
          <w:szCs w:val="13"/>
          <w:color w:val="auto"/>
        </w:rPr>
      </w:pPr>
      <w:r>
        <w:rPr>
          <w:rFonts w:ascii="Verdana" w:cs="Verdana" w:eastAsia="Verdana" w:hAnsi="Verdana"/>
          <w:sz w:val="13"/>
          <w:szCs w:val="13"/>
          <w:color w:val="auto"/>
        </w:rPr>
        <w:t>Restructuring expenses were related to previously disclosed restructuring and efficiency plans.</w:t>
      </w:r>
    </w:p>
    <w:p>
      <w:pPr>
        <w:spacing w:after="0" w:line="179"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A reconciliation of non-GAAP measures, which Busey believes facilitates the assessment of its financial results and peer comparability, is included in tabular form in this Quarterly Report. See </w:t>
      </w:r>
      <w:r>
        <w:rPr>
          <w:rFonts w:ascii="Verdana" w:cs="Verdana" w:eastAsia="Verdana" w:hAnsi="Verdana"/>
          <w:sz w:val="18"/>
          <w:szCs w:val="18"/>
          <w:i w:val="1"/>
          <w:iCs w:val="1"/>
          <w:u w:val="single" w:color="auto"/>
          <w:color w:val="0000FF"/>
        </w:rPr>
        <w:t>“Item 2. Management’s Discussion and Analysis—</w:t>
      </w:r>
      <w:r>
        <w:rPr>
          <w:rFonts w:ascii="Verdana" w:cs="Verdana" w:eastAsia="Verdana" w:hAnsi="Verdana"/>
          <w:sz w:val="18"/>
          <w:szCs w:val="18"/>
          <w:color w:val="auto"/>
        </w:rPr>
        <w:t xml:space="preserve"> </w:t>
      </w:r>
      <w:r>
        <w:rPr>
          <w:rFonts w:ascii="Verdana" w:cs="Verdana" w:eastAsia="Verdana" w:hAnsi="Verdana"/>
          <w:sz w:val="18"/>
          <w:szCs w:val="18"/>
          <w:i w:val="1"/>
          <w:iCs w:val="1"/>
          <w:u w:val="single" w:color="auto"/>
          <w:color w:val="0000FF"/>
        </w:rPr>
        <w:t>Non-GAAP Financial Information.”</w:t>
      </w:r>
    </w:p>
    <w:p>
      <w:pPr>
        <w:spacing w:after="0" w:line="154"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Net Interest Income</w:t>
      </w:r>
    </w:p>
    <w:p>
      <w:pPr>
        <w:spacing w:after="0" w:line="186" w:lineRule="exact"/>
        <w:rPr>
          <w:sz w:val="20"/>
          <w:szCs w:val="20"/>
          <w:color w:val="auto"/>
        </w:rPr>
      </w:pPr>
    </w:p>
    <w:p>
      <w:pPr>
        <w:jc w:val="both"/>
        <w:ind w:right="20"/>
        <w:spacing w:after="0" w:line="242" w:lineRule="auto"/>
        <w:rPr>
          <w:sz w:val="20"/>
          <w:szCs w:val="20"/>
          <w:color w:val="auto"/>
        </w:rPr>
      </w:pPr>
      <w:r>
        <w:rPr>
          <w:rFonts w:ascii="Verdana" w:cs="Verdana" w:eastAsia="Verdana" w:hAnsi="Verdana"/>
          <w:sz w:val="18"/>
          <w:szCs w:val="18"/>
          <w:color w:val="auto"/>
        </w:rPr>
        <w:t>Net interest income is the difference between interest income and fees earned on earning assets and interest expense incurred on interest-bearing liabilities. Interest rate levels and volume fluctuations within earning assets and interest-bearing liabilities impact net interest income. Net interest margin is tax-equivalent net interest income as a percent of average earning assets.</w:t>
      </w:r>
    </w:p>
    <w:p>
      <w:pPr>
        <w:spacing w:after="0" w:line="157"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Certain assets with tax favorable treatment are evaluated on a tax-equivalent basis, assuming a federal income tax rate of 21.0%. Tax favorable assets generally have lower contractual pre-tax yields than fully taxable assets. A tax-equivalent analysis is performed by adding the tax savings to the earnings on tax favorable assets. After factoring in the tax favorable effects of these assets, the yields may be more appropriately evaluated against alternative earning assets. In addition to yield, various other risks are factored into the evaluation process.</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4" w:name="page75"/>
    <w:bookmarkEnd w:id="74"/>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Consolidated Average Balance Sheets and Interest Rates</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 xml:space="preserve">The following tables show our unaudited Consolidated Average Balance Sheets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 detailing the major categories of assets and liabilities, the interest income earned on interest-earning assets, the interest expense paid for interest-bearing liabilities, and the related interest yields for the periods shown. Average information is provided on a daily average basis.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5"/>
          </w:tcPr>
          <w:p>
            <w:pPr>
              <w:ind w:left="20"/>
              <w:spacing w:after="0"/>
              <w:rPr>
                <w:sz w:val="20"/>
                <w:szCs w:val="20"/>
                <w:color w:val="auto"/>
              </w:rPr>
            </w:pPr>
            <w:r>
              <w:rPr>
                <w:rFonts w:ascii="Verdana" w:cs="Verdana" w:eastAsia="Verdana" w:hAnsi="Verdana"/>
                <w:sz w:val="13"/>
                <w:szCs w:val="13"/>
                <w:b w:val="1"/>
                <w:bCs w:val="1"/>
                <w:color w:val="auto"/>
                <w:w w:val="95"/>
              </w:rPr>
              <w:t>Three Months Ended September 30,</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77"/>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7"/>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ind w:left="80"/>
              <w:spacing w:after="0" w:line="120" w:lineRule="exact"/>
              <w:rPr>
                <w:sz w:val="20"/>
                <w:szCs w:val="20"/>
                <w:color w:val="auto"/>
              </w:rPr>
            </w:pPr>
            <w:r>
              <w:rPr>
                <w:rFonts w:ascii="Verdana" w:cs="Verdana" w:eastAsia="Verdana" w:hAnsi="Verdana"/>
                <w:sz w:val="13"/>
                <w:szCs w:val="13"/>
                <w:b w:val="1"/>
                <w:bCs w:val="1"/>
                <w:color w:val="auto"/>
              </w:rPr>
              <w:t>Average</w:t>
            </w:r>
          </w:p>
        </w:tc>
        <w:tc>
          <w:tcPr>
            <w:tcW w:w="180" w:type="dxa"/>
            <w:vAlign w:val="bottom"/>
          </w:tcPr>
          <w:p>
            <w:pPr>
              <w:spacing w:after="0"/>
              <w:rPr>
                <w:sz w:val="10"/>
                <w:szCs w:val="10"/>
                <w:color w:val="auto"/>
              </w:rPr>
            </w:pPr>
          </w:p>
        </w:tc>
        <w:tc>
          <w:tcPr>
            <w:tcW w:w="1040" w:type="dxa"/>
            <w:vAlign w:val="bottom"/>
            <w:gridSpan w:val="2"/>
          </w:tcPr>
          <w:p>
            <w:pPr>
              <w:ind w:left="60"/>
              <w:spacing w:after="0" w:line="120" w:lineRule="exact"/>
              <w:rPr>
                <w:sz w:val="20"/>
                <w:szCs w:val="20"/>
                <w:color w:val="auto"/>
              </w:rPr>
            </w:pPr>
            <w:r>
              <w:rPr>
                <w:rFonts w:ascii="Verdana" w:cs="Verdana" w:eastAsia="Verdana" w:hAnsi="Verdana"/>
                <w:sz w:val="13"/>
                <w:szCs w:val="13"/>
                <w:b w:val="1"/>
                <w:bCs w:val="1"/>
                <w:color w:val="auto"/>
              </w:rPr>
              <w:t>Income/</w:t>
            </w:r>
          </w:p>
        </w:tc>
        <w:tc>
          <w:tcPr>
            <w:tcW w:w="1220" w:type="dxa"/>
            <w:vAlign w:val="bottom"/>
          </w:tcPr>
          <w:p>
            <w:pPr>
              <w:jc w:val="right"/>
              <w:ind w:right="337"/>
              <w:spacing w:after="0" w:line="120" w:lineRule="exact"/>
              <w:rPr>
                <w:sz w:val="20"/>
                <w:szCs w:val="20"/>
                <w:color w:val="auto"/>
              </w:rPr>
            </w:pPr>
            <w:r>
              <w:rPr>
                <w:rFonts w:ascii="Verdana" w:cs="Verdana" w:eastAsia="Verdana" w:hAnsi="Verdana"/>
                <w:sz w:val="13"/>
                <w:szCs w:val="13"/>
                <w:b w:val="1"/>
                <w:bCs w:val="1"/>
                <w:color w:val="auto"/>
              </w:rPr>
              <w:t>Yield/</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ind w:left="100"/>
              <w:spacing w:after="0" w:line="120" w:lineRule="exact"/>
              <w:rPr>
                <w:sz w:val="20"/>
                <w:szCs w:val="20"/>
                <w:color w:val="auto"/>
              </w:rPr>
            </w:pPr>
            <w:r>
              <w:rPr>
                <w:rFonts w:ascii="Verdana" w:cs="Verdana" w:eastAsia="Verdana" w:hAnsi="Verdana"/>
                <w:sz w:val="13"/>
                <w:szCs w:val="13"/>
                <w:b w:val="1"/>
                <w:bCs w:val="1"/>
                <w:color w:val="auto"/>
              </w:rPr>
              <w:t>Average</w:t>
            </w:r>
          </w:p>
        </w:tc>
        <w:tc>
          <w:tcPr>
            <w:tcW w:w="180" w:type="dxa"/>
            <w:vAlign w:val="bottom"/>
          </w:tcPr>
          <w:p>
            <w:pPr>
              <w:spacing w:after="0"/>
              <w:rPr>
                <w:sz w:val="10"/>
                <w:szCs w:val="10"/>
                <w:color w:val="auto"/>
              </w:rPr>
            </w:pPr>
          </w:p>
        </w:tc>
        <w:tc>
          <w:tcPr>
            <w:tcW w:w="1040" w:type="dxa"/>
            <w:vAlign w:val="bottom"/>
            <w:gridSpan w:val="2"/>
          </w:tcPr>
          <w:p>
            <w:pPr>
              <w:ind w:left="80"/>
              <w:spacing w:after="0" w:line="120" w:lineRule="exact"/>
              <w:rPr>
                <w:sz w:val="20"/>
                <w:szCs w:val="20"/>
                <w:color w:val="auto"/>
              </w:rPr>
            </w:pPr>
            <w:r>
              <w:rPr>
                <w:rFonts w:ascii="Verdana" w:cs="Verdana" w:eastAsia="Verdana" w:hAnsi="Verdana"/>
                <w:sz w:val="13"/>
                <w:szCs w:val="13"/>
                <w:b w:val="1"/>
                <w:bCs w:val="1"/>
                <w:color w:val="auto"/>
              </w:rPr>
              <w:t>Income/</w:t>
            </w:r>
          </w:p>
        </w:tc>
        <w:tc>
          <w:tcPr>
            <w:tcW w:w="1240" w:type="dxa"/>
            <w:vAlign w:val="bottom"/>
          </w:tcPr>
          <w:p>
            <w:pPr>
              <w:jc w:val="right"/>
              <w:ind w:right="337"/>
              <w:spacing w:after="0" w:line="120" w:lineRule="exact"/>
              <w:rPr>
                <w:sz w:val="20"/>
                <w:szCs w:val="20"/>
                <w:color w:val="auto"/>
              </w:rPr>
            </w:pPr>
            <w:r>
              <w:rPr>
                <w:rFonts w:ascii="Verdana" w:cs="Verdana" w:eastAsia="Verdana" w:hAnsi="Verdana"/>
                <w:sz w:val="13"/>
                <w:szCs w:val="13"/>
                <w:b w:val="1"/>
                <w:bCs w:val="1"/>
                <w:color w:val="auto"/>
              </w:rPr>
              <w:t>Yield/</w:t>
            </w: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Verdana" w:cs="Verdana" w:eastAsia="Verdana" w:hAnsi="Verdana"/>
                <w:sz w:val="13"/>
                <w:szCs w:val="13"/>
                <w:b w:val="1"/>
                <w:bCs w:val="1"/>
                <w:color w:val="auto"/>
              </w:rPr>
              <w:t>Balance</w:t>
            </w:r>
          </w:p>
        </w:tc>
        <w:tc>
          <w:tcPr>
            <w:tcW w:w="18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Verdana" w:cs="Verdana" w:eastAsia="Verdana" w:hAnsi="Verdana"/>
                <w:sz w:val="13"/>
                <w:szCs w:val="13"/>
                <w:b w:val="1"/>
                <w:bCs w:val="1"/>
                <w:color w:val="auto"/>
              </w:rPr>
              <w:t>Expense</w:t>
            </w:r>
          </w:p>
        </w:tc>
        <w:tc>
          <w:tcPr>
            <w:tcW w:w="1220" w:type="dxa"/>
            <w:vAlign w:val="bottom"/>
          </w:tcPr>
          <w:p>
            <w:pPr>
              <w:jc w:val="right"/>
              <w:ind w:right="357"/>
              <w:spacing w:after="0" w:line="176" w:lineRule="exact"/>
              <w:rPr>
                <w:sz w:val="20"/>
                <w:szCs w:val="20"/>
                <w:color w:val="auto"/>
              </w:rPr>
            </w:pPr>
            <w:r>
              <w:rPr>
                <w:rFonts w:ascii="Verdana" w:cs="Verdana" w:eastAsia="Verdana" w:hAnsi="Verdana"/>
                <w:sz w:val="13"/>
                <w:szCs w:val="13"/>
                <w:b w:val="1"/>
                <w:bCs w:val="1"/>
                <w:color w:val="auto"/>
              </w:rPr>
              <w:t>Rate</w:t>
            </w:r>
            <w:r>
              <w:rPr>
                <w:rFonts w:ascii="Verdana" w:cs="Verdana" w:eastAsia="Verdana" w:hAnsi="Verdana"/>
                <w:sz w:val="16"/>
                <w:szCs w:val="16"/>
                <w:b w:val="1"/>
                <w:bCs w:val="1"/>
                <w:color w:val="auto"/>
                <w:vertAlign w:val="superscript"/>
              </w:rPr>
              <w:t>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Verdana" w:cs="Verdana" w:eastAsia="Verdana" w:hAnsi="Verdana"/>
                <w:sz w:val="13"/>
                <w:szCs w:val="13"/>
                <w:b w:val="1"/>
                <w:bCs w:val="1"/>
                <w:color w:val="auto"/>
              </w:rPr>
              <w:t>Balance</w:t>
            </w:r>
          </w:p>
        </w:tc>
        <w:tc>
          <w:tcPr>
            <w:tcW w:w="18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Verdana" w:cs="Verdana" w:eastAsia="Verdana" w:hAnsi="Verdana"/>
                <w:sz w:val="13"/>
                <w:szCs w:val="13"/>
                <w:b w:val="1"/>
                <w:bCs w:val="1"/>
                <w:color w:val="auto"/>
              </w:rPr>
              <w:t>Expense</w:t>
            </w:r>
          </w:p>
        </w:tc>
        <w:tc>
          <w:tcPr>
            <w:tcW w:w="1240" w:type="dxa"/>
            <w:vAlign w:val="bottom"/>
          </w:tcPr>
          <w:p>
            <w:pPr>
              <w:jc w:val="right"/>
              <w:ind w:right="377"/>
              <w:spacing w:after="0" w:line="176" w:lineRule="exact"/>
              <w:rPr>
                <w:sz w:val="20"/>
                <w:szCs w:val="20"/>
                <w:color w:val="auto"/>
              </w:rPr>
            </w:pPr>
            <w:r>
              <w:rPr>
                <w:rFonts w:ascii="Verdana" w:cs="Verdana" w:eastAsia="Verdana" w:hAnsi="Verdana"/>
                <w:sz w:val="13"/>
                <w:szCs w:val="13"/>
                <w:b w:val="1"/>
                <w:bCs w:val="1"/>
                <w:color w:val="auto"/>
              </w:rPr>
              <w:t>Rate</w:t>
            </w:r>
            <w:r>
              <w:rPr>
                <w:rFonts w:ascii="Verdana" w:cs="Verdana" w:eastAsia="Verdana" w:hAnsi="Verdana"/>
                <w:sz w:val="16"/>
                <w:szCs w:val="16"/>
                <w:b w:val="1"/>
                <w:bCs w:val="1"/>
                <w:color w:val="auto"/>
                <w:vertAlign w:val="superscript"/>
              </w:rPr>
              <w:t>5</w:t>
            </w:r>
          </w:p>
        </w:tc>
        <w:tc>
          <w:tcPr>
            <w:tcW w:w="0" w:type="dxa"/>
            <w:vAlign w:val="bottom"/>
          </w:tcPr>
          <w:p>
            <w:pPr>
              <w:spacing w:after="0"/>
              <w:rPr>
                <w:sz w:val="1"/>
                <w:szCs w:val="1"/>
                <w:color w:val="auto"/>
              </w:rPr>
            </w:pPr>
          </w:p>
        </w:tc>
      </w:tr>
      <w:tr>
        <w:trPr>
          <w:trHeight w:val="156"/>
        </w:trPr>
        <w:tc>
          <w:tcPr>
            <w:tcW w:w="3780" w:type="dxa"/>
            <w:vAlign w:val="bottom"/>
            <w:tcBorders>
              <w:top w:val="single" w:sz="8" w:color="E0E7ED"/>
            </w:tcBorders>
            <w:shd w:val="clear" w:color="auto" w:fill="E0E7ED"/>
          </w:tcPr>
          <w:p>
            <w:pPr>
              <w:ind w:left="20"/>
              <w:spacing w:after="0" w:line="145" w:lineRule="exact"/>
              <w:rPr>
                <w:sz w:val="20"/>
                <w:szCs w:val="20"/>
                <w:color w:val="auto"/>
              </w:rPr>
            </w:pPr>
            <w:r>
              <w:rPr>
                <w:rFonts w:ascii="Verdana" w:cs="Verdana" w:eastAsia="Verdana" w:hAnsi="Verdana"/>
                <w:sz w:val="13"/>
                <w:szCs w:val="13"/>
                <w:b w:val="1"/>
                <w:bCs w:val="1"/>
                <w:color w:val="auto"/>
              </w:rPr>
              <w:t>Assets</w:t>
            </w:r>
          </w:p>
        </w:tc>
        <w:tc>
          <w:tcPr>
            <w:tcW w:w="200" w:type="dxa"/>
            <w:vAlign w:val="bottom"/>
            <w:tcBorders>
              <w:top w:val="single" w:sz="8" w:color="auto"/>
            </w:tcBorders>
            <w:shd w:val="clear" w:color="auto" w:fill="E0E7ED"/>
          </w:tcPr>
          <w:p>
            <w:pPr>
              <w:spacing w:after="0"/>
              <w:rPr>
                <w:sz w:val="13"/>
                <w:szCs w:val="13"/>
                <w:color w:val="auto"/>
              </w:rPr>
            </w:pPr>
          </w:p>
        </w:tc>
        <w:tc>
          <w:tcPr>
            <w:tcW w:w="940" w:type="dxa"/>
            <w:vAlign w:val="bottom"/>
            <w:tcBorders>
              <w:top w:val="single" w:sz="8" w:color="auto"/>
            </w:tcBorders>
            <w:shd w:val="clear" w:color="auto" w:fill="E0E7ED"/>
          </w:tcPr>
          <w:p>
            <w:pPr>
              <w:spacing w:after="0"/>
              <w:rPr>
                <w:sz w:val="13"/>
                <w:szCs w:val="13"/>
                <w:color w:val="auto"/>
              </w:rPr>
            </w:pPr>
          </w:p>
        </w:tc>
        <w:tc>
          <w:tcPr>
            <w:tcW w:w="100" w:type="dxa"/>
            <w:vAlign w:val="bottom"/>
            <w:tcBorders>
              <w:top w:val="single" w:sz="8" w:color="E0E7ED"/>
            </w:tcBorders>
            <w:shd w:val="clear" w:color="auto" w:fill="E0E7ED"/>
          </w:tcPr>
          <w:p>
            <w:pPr>
              <w:spacing w:after="0"/>
              <w:rPr>
                <w:sz w:val="13"/>
                <w:szCs w:val="13"/>
                <w:color w:val="auto"/>
              </w:rPr>
            </w:pPr>
          </w:p>
        </w:tc>
        <w:tc>
          <w:tcPr>
            <w:tcW w:w="180" w:type="dxa"/>
            <w:vAlign w:val="bottom"/>
            <w:tcBorders>
              <w:top w:val="single" w:sz="8" w:color="auto"/>
            </w:tcBorders>
            <w:shd w:val="clear" w:color="auto" w:fill="E0E7ED"/>
          </w:tcPr>
          <w:p>
            <w:pPr>
              <w:spacing w:after="0"/>
              <w:rPr>
                <w:sz w:val="13"/>
                <w:szCs w:val="13"/>
                <w:color w:val="auto"/>
              </w:rPr>
            </w:pPr>
          </w:p>
        </w:tc>
        <w:tc>
          <w:tcPr>
            <w:tcW w:w="940" w:type="dxa"/>
            <w:vAlign w:val="bottom"/>
            <w:tcBorders>
              <w:top w:val="single" w:sz="8" w:color="auto"/>
            </w:tcBorders>
            <w:shd w:val="clear" w:color="auto" w:fill="E0E7ED"/>
          </w:tcPr>
          <w:p>
            <w:pPr>
              <w:spacing w:after="0"/>
              <w:rPr>
                <w:sz w:val="13"/>
                <w:szCs w:val="13"/>
                <w:color w:val="auto"/>
              </w:rPr>
            </w:pPr>
          </w:p>
        </w:tc>
        <w:tc>
          <w:tcPr>
            <w:tcW w:w="100" w:type="dxa"/>
            <w:vAlign w:val="bottom"/>
            <w:tcBorders>
              <w:top w:val="single" w:sz="8" w:color="E0E7ED"/>
            </w:tcBorders>
            <w:shd w:val="clear" w:color="auto" w:fill="E0E7ED"/>
          </w:tcPr>
          <w:p>
            <w:pPr>
              <w:spacing w:after="0"/>
              <w:rPr>
                <w:sz w:val="13"/>
                <w:szCs w:val="13"/>
                <w:color w:val="auto"/>
              </w:rPr>
            </w:pPr>
          </w:p>
        </w:tc>
        <w:tc>
          <w:tcPr>
            <w:tcW w:w="1220" w:type="dxa"/>
            <w:vAlign w:val="bottom"/>
            <w:tcBorders>
              <w:top w:val="single" w:sz="8" w:color="auto"/>
            </w:tcBorders>
            <w:shd w:val="clear" w:color="auto" w:fill="E0E7ED"/>
          </w:tcPr>
          <w:p>
            <w:pPr>
              <w:spacing w:after="0"/>
              <w:rPr>
                <w:sz w:val="13"/>
                <w:szCs w:val="13"/>
                <w:color w:val="auto"/>
              </w:rPr>
            </w:pPr>
          </w:p>
        </w:tc>
        <w:tc>
          <w:tcPr>
            <w:tcW w:w="100" w:type="dxa"/>
            <w:vAlign w:val="bottom"/>
            <w:tcBorders>
              <w:top w:val="single" w:sz="8" w:color="E0E7ED"/>
            </w:tcBorders>
            <w:shd w:val="clear" w:color="auto" w:fill="E0E7ED"/>
          </w:tcPr>
          <w:p>
            <w:pPr>
              <w:spacing w:after="0"/>
              <w:rPr>
                <w:sz w:val="13"/>
                <w:szCs w:val="13"/>
                <w:color w:val="auto"/>
              </w:rPr>
            </w:pPr>
          </w:p>
        </w:tc>
        <w:tc>
          <w:tcPr>
            <w:tcW w:w="180" w:type="dxa"/>
            <w:vAlign w:val="bottom"/>
            <w:tcBorders>
              <w:top w:val="single" w:sz="8" w:color="auto"/>
            </w:tcBorders>
            <w:shd w:val="clear" w:color="auto" w:fill="E0E7ED"/>
          </w:tcPr>
          <w:p>
            <w:pPr>
              <w:spacing w:after="0"/>
              <w:rPr>
                <w:sz w:val="13"/>
                <w:szCs w:val="13"/>
                <w:color w:val="auto"/>
              </w:rPr>
            </w:pPr>
          </w:p>
        </w:tc>
        <w:tc>
          <w:tcPr>
            <w:tcW w:w="940" w:type="dxa"/>
            <w:vAlign w:val="bottom"/>
            <w:tcBorders>
              <w:top w:val="single" w:sz="8" w:color="auto"/>
            </w:tcBorders>
            <w:shd w:val="clear" w:color="auto" w:fill="E0E7ED"/>
          </w:tcPr>
          <w:p>
            <w:pPr>
              <w:spacing w:after="0"/>
              <w:rPr>
                <w:sz w:val="13"/>
                <w:szCs w:val="13"/>
                <w:color w:val="auto"/>
              </w:rPr>
            </w:pPr>
          </w:p>
        </w:tc>
        <w:tc>
          <w:tcPr>
            <w:tcW w:w="100" w:type="dxa"/>
            <w:vAlign w:val="bottom"/>
            <w:tcBorders>
              <w:top w:val="single" w:sz="8" w:color="E0E7ED"/>
            </w:tcBorders>
            <w:shd w:val="clear" w:color="auto" w:fill="E0E7ED"/>
          </w:tcPr>
          <w:p>
            <w:pPr>
              <w:spacing w:after="0"/>
              <w:rPr>
                <w:sz w:val="13"/>
                <w:szCs w:val="13"/>
                <w:color w:val="auto"/>
              </w:rPr>
            </w:pPr>
          </w:p>
        </w:tc>
        <w:tc>
          <w:tcPr>
            <w:tcW w:w="180" w:type="dxa"/>
            <w:vAlign w:val="bottom"/>
            <w:tcBorders>
              <w:top w:val="single" w:sz="8" w:color="auto"/>
            </w:tcBorders>
            <w:shd w:val="clear" w:color="auto" w:fill="E0E7ED"/>
          </w:tcPr>
          <w:p>
            <w:pPr>
              <w:spacing w:after="0"/>
              <w:rPr>
                <w:sz w:val="13"/>
                <w:szCs w:val="13"/>
                <w:color w:val="auto"/>
              </w:rPr>
            </w:pPr>
          </w:p>
        </w:tc>
        <w:tc>
          <w:tcPr>
            <w:tcW w:w="940" w:type="dxa"/>
            <w:vAlign w:val="bottom"/>
            <w:tcBorders>
              <w:top w:val="single" w:sz="8" w:color="auto"/>
            </w:tcBorders>
            <w:shd w:val="clear" w:color="auto" w:fill="E0E7ED"/>
          </w:tcPr>
          <w:p>
            <w:pPr>
              <w:spacing w:after="0"/>
              <w:rPr>
                <w:sz w:val="13"/>
                <w:szCs w:val="13"/>
                <w:color w:val="auto"/>
              </w:rPr>
            </w:pPr>
          </w:p>
        </w:tc>
        <w:tc>
          <w:tcPr>
            <w:tcW w:w="100" w:type="dxa"/>
            <w:vAlign w:val="bottom"/>
            <w:tcBorders>
              <w:top w:val="single" w:sz="8" w:color="E0E7ED"/>
            </w:tcBorders>
            <w:shd w:val="clear" w:color="auto" w:fill="E0E7ED"/>
          </w:tcPr>
          <w:p>
            <w:pPr>
              <w:spacing w:after="0"/>
              <w:rPr>
                <w:sz w:val="13"/>
                <w:szCs w:val="13"/>
                <w:color w:val="auto"/>
              </w:rPr>
            </w:pPr>
          </w:p>
        </w:tc>
        <w:tc>
          <w:tcPr>
            <w:tcW w:w="1240" w:type="dxa"/>
            <w:vAlign w:val="bottom"/>
            <w:tcBorders>
              <w:top w:val="single" w:sz="8" w:color="auto"/>
            </w:tcBorders>
            <w:shd w:val="clear" w:color="auto" w:fill="E0E7ED"/>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180"/>
              <w:spacing w:after="0"/>
              <w:rPr>
                <w:sz w:val="20"/>
                <w:szCs w:val="20"/>
                <w:color w:val="auto"/>
              </w:rPr>
            </w:pPr>
            <w:r>
              <w:rPr>
                <w:rFonts w:ascii="Verdana" w:cs="Verdana" w:eastAsia="Verdana" w:hAnsi="Verdana"/>
                <w:sz w:val="13"/>
                <w:szCs w:val="13"/>
                <w:color w:val="auto"/>
              </w:rPr>
              <w:t>Interest-bearing bank deposits and federal funds sold</w:t>
            </w: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940" w:type="dxa"/>
            <w:vAlign w:val="bottom"/>
          </w:tcPr>
          <w:p>
            <w:pPr>
              <w:jc w:val="right"/>
              <w:spacing w:after="0"/>
              <w:rPr>
                <w:sz w:val="20"/>
                <w:szCs w:val="20"/>
                <w:color w:val="auto"/>
              </w:rPr>
            </w:pPr>
            <w:r>
              <w:rPr>
                <w:rFonts w:ascii="Verdana" w:cs="Verdana" w:eastAsia="Verdana" w:hAnsi="Verdana"/>
                <w:sz w:val="13"/>
                <w:szCs w:val="13"/>
                <w:color w:val="auto"/>
              </w:rPr>
              <w:t>389,005</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Pr>
          <w:p>
            <w:pPr>
              <w:jc w:val="right"/>
              <w:ind w:right="17"/>
              <w:spacing w:after="0"/>
              <w:rPr>
                <w:sz w:val="20"/>
                <w:szCs w:val="20"/>
                <w:color w:val="auto"/>
              </w:rPr>
            </w:pPr>
            <w:r>
              <w:rPr>
                <w:rFonts w:ascii="Verdana" w:cs="Verdana" w:eastAsia="Verdana" w:hAnsi="Verdana"/>
                <w:sz w:val="13"/>
                <w:szCs w:val="13"/>
                <w:color w:val="auto"/>
              </w:rPr>
              <w:t>5,092</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Verdana" w:cs="Verdana" w:eastAsia="Verdana" w:hAnsi="Verdana"/>
                <w:sz w:val="13"/>
                <w:szCs w:val="13"/>
                <w:color w:val="auto"/>
              </w:rPr>
              <w:t>5.21 %</w:t>
            </w:r>
          </w:p>
        </w:tc>
        <w:tc>
          <w:tcPr>
            <w:tcW w:w="280" w:type="dxa"/>
            <w:vAlign w:val="bottom"/>
            <w:gridSpan w:val="2"/>
          </w:tcPr>
          <w:p>
            <w:pPr>
              <w:jc w:val="right"/>
              <w:ind w:right="17"/>
              <w:spacing w:after="0"/>
              <w:rPr>
                <w:sz w:val="20"/>
                <w:szCs w:val="20"/>
                <w:color w:val="auto"/>
              </w:rPr>
            </w:pPr>
            <w:r>
              <w:rPr>
                <w:rFonts w:ascii="Verdana" w:cs="Verdana" w:eastAsia="Verdana" w:hAnsi="Verdana"/>
                <w:sz w:val="13"/>
                <w:szCs w:val="13"/>
                <w:color w:val="auto"/>
              </w:rPr>
              <w:t>$</w:t>
            </w:r>
          </w:p>
        </w:tc>
        <w:tc>
          <w:tcPr>
            <w:tcW w:w="940" w:type="dxa"/>
            <w:vAlign w:val="bottom"/>
          </w:tcPr>
          <w:p>
            <w:pPr>
              <w:jc w:val="right"/>
              <w:spacing w:after="0"/>
              <w:rPr>
                <w:sz w:val="20"/>
                <w:szCs w:val="20"/>
                <w:color w:val="auto"/>
              </w:rPr>
            </w:pPr>
            <w:r>
              <w:rPr>
                <w:rFonts w:ascii="Verdana" w:cs="Verdana" w:eastAsia="Verdana" w:hAnsi="Verdana"/>
                <w:sz w:val="13"/>
                <w:szCs w:val="13"/>
                <w:color w:val="auto"/>
              </w:rPr>
              <w:t>132,856</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Pr>
          <w:p>
            <w:pPr>
              <w:jc w:val="right"/>
              <w:spacing w:after="0"/>
              <w:rPr>
                <w:sz w:val="20"/>
                <w:szCs w:val="20"/>
                <w:color w:val="auto"/>
              </w:rPr>
            </w:pPr>
            <w:r>
              <w:rPr>
                <w:rFonts w:ascii="Verdana" w:cs="Verdana" w:eastAsia="Verdana" w:hAnsi="Verdana"/>
                <w:sz w:val="13"/>
                <w:szCs w:val="13"/>
                <w:color w:val="auto"/>
              </w:rPr>
              <w:t>1,591</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4.75 %</w:t>
            </w:r>
          </w:p>
        </w:tc>
        <w:tc>
          <w:tcPr>
            <w:tcW w:w="0" w:type="dxa"/>
            <w:vAlign w:val="bottom"/>
          </w:tcPr>
          <w:p>
            <w:pPr>
              <w:spacing w:after="0"/>
              <w:rPr>
                <w:sz w:val="1"/>
                <w:szCs w:val="1"/>
                <w:color w:val="auto"/>
              </w:rPr>
            </w:pPr>
          </w:p>
        </w:tc>
      </w:tr>
      <w:tr>
        <w:trPr>
          <w:trHeight w:val="181"/>
        </w:trPr>
        <w:tc>
          <w:tcPr>
            <w:tcW w:w="37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Investment securities:</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360"/>
              <w:spacing w:after="0"/>
              <w:rPr>
                <w:sz w:val="20"/>
                <w:szCs w:val="20"/>
                <w:color w:val="auto"/>
              </w:rPr>
            </w:pPr>
            <w:r>
              <w:rPr>
                <w:rFonts w:ascii="Verdana" w:cs="Verdana" w:eastAsia="Verdana" w:hAnsi="Verdana"/>
                <w:sz w:val="13"/>
                <w:szCs w:val="13"/>
                <w:color w:val="auto"/>
              </w:rPr>
              <w:t>U.S. Government obligations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2,053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7"/>
              <w:spacing w:after="0"/>
              <w:rPr>
                <w:sz w:val="20"/>
                <w:szCs w:val="20"/>
                <w:color w:val="auto"/>
              </w:rPr>
            </w:pPr>
            <w:r>
              <w:rPr>
                <w:rFonts w:ascii="Verdana" w:cs="Verdana" w:eastAsia="Verdana" w:hAnsi="Verdana"/>
                <w:sz w:val="13"/>
                <w:szCs w:val="13"/>
                <w:color w:val="auto"/>
              </w:rPr>
              <w:t>24</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Verdana" w:cs="Verdana" w:eastAsia="Verdana" w:hAnsi="Verdana"/>
                <w:sz w:val="13"/>
                <w:szCs w:val="13"/>
                <w:color w:val="auto"/>
              </w:rPr>
              <w:t>4.65 %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64,904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135</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0.83 %</w:t>
            </w:r>
          </w:p>
        </w:tc>
        <w:tc>
          <w:tcPr>
            <w:tcW w:w="0" w:type="dxa"/>
            <w:vAlign w:val="bottom"/>
          </w:tcPr>
          <w:p>
            <w:pPr>
              <w:spacing w:after="0"/>
              <w:rPr>
                <w:sz w:val="1"/>
                <w:szCs w:val="1"/>
                <w:color w:val="auto"/>
              </w:rPr>
            </w:pPr>
          </w:p>
        </w:tc>
      </w:tr>
      <w:tr>
        <w:trPr>
          <w:trHeight w:val="181"/>
        </w:trPr>
        <w:tc>
          <w:tcPr>
            <w:tcW w:w="3780" w:type="dxa"/>
            <w:vAlign w:val="bottom"/>
            <w:shd w:val="clear" w:color="auto" w:fill="E0E7ED"/>
          </w:tcPr>
          <w:p>
            <w:pPr>
              <w:ind w:left="360"/>
              <w:spacing w:after="0" w:line="181" w:lineRule="exact"/>
              <w:rPr>
                <w:sz w:val="20"/>
                <w:szCs w:val="20"/>
                <w:color w:val="auto"/>
              </w:rPr>
            </w:pPr>
            <w:r>
              <w:rPr>
                <w:rFonts w:ascii="Verdana" w:cs="Verdana" w:eastAsia="Verdana" w:hAnsi="Verdana"/>
                <w:sz w:val="13"/>
                <w:szCs w:val="13"/>
                <w:color w:val="auto"/>
              </w:rPr>
              <w:t>Obligations of states and political subdivisions</w:t>
            </w:r>
            <w:r>
              <w:rPr>
                <w:rFonts w:ascii="Verdana" w:cs="Verdana" w:eastAsia="Verdana" w:hAnsi="Verdana"/>
                <w:sz w:val="16"/>
                <w:szCs w:val="16"/>
                <w:color w:val="auto"/>
                <w:vertAlign w:val="superscript"/>
              </w:rPr>
              <w:t>1</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151,586</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1,077</w:t>
            </w: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2.83 %</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234,158</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1,654</w:t>
            </w: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2.80 %</w:t>
            </w:r>
          </w:p>
        </w:tc>
        <w:tc>
          <w:tcPr>
            <w:tcW w:w="0" w:type="dxa"/>
            <w:vAlign w:val="bottom"/>
          </w:tcPr>
          <w:p>
            <w:pPr>
              <w:spacing w:after="0"/>
              <w:rPr>
                <w:sz w:val="1"/>
                <w:szCs w:val="1"/>
                <w:color w:val="auto"/>
              </w:rPr>
            </w:pPr>
          </w:p>
        </w:tc>
      </w:tr>
      <w:tr>
        <w:trPr>
          <w:trHeight w:val="170"/>
        </w:trPr>
        <w:tc>
          <w:tcPr>
            <w:tcW w:w="3780" w:type="dxa"/>
            <w:vAlign w:val="bottom"/>
          </w:tcPr>
          <w:p>
            <w:pPr>
              <w:ind w:left="360"/>
              <w:spacing w:after="0"/>
              <w:rPr>
                <w:sz w:val="20"/>
                <w:szCs w:val="20"/>
                <w:color w:val="auto"/>
              </w:rPr>
            </w:pPr>
            <w:r>
              <w:rPr>
                <w:rFonts w:ascii="Verdana" w:cs="Verdana" w:eastAsia="Verdana" w:hAnsi="Verdana"/>
                <w:sz w:val="13"/>
                <w:szCs w:val="13"/>
                <w:color w:val="auto"/>
              </w:rPr>
              <w:t>Other securities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2,512,630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7"/>
              <w:spacing w:after="0"/>
              <w:rPr>
                <w:sz w:val="20"/>
                <w:szCs w:val="20"/>
                <w:color w:val="auto"/>
              </w:rPr>
            </w:pPr>
            <w:r>
              <w:rPr>
                <w:rFonts w:ascii="Verdana" w:cs="Verdana" w:eastAsia="Verdana" w:hAnsi="Verdana"/>
                <w:sz w:val="13"/>
                <w:szCs w:val="13"/>
                <w:color w:val="auto"/>
              </w:rPr>
              <w:t>17,045</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Verdana" w:cs="Verdana" w:eastAsia="Verdana" w:hAnsi="Verdana"/>
                <w:sz w:val="13"/>
                <w:szCs w:val="13"/>
                <w:color w:val="auto"/>
              </w:rPr>
              <w:t>2.70 %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2,849,697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19,627</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2.73 %</w:t>
            </w:r>
          </w:p>
        </w:tc>
        <w:tc>
          <w:tcPr>
            <w:tcW w:w="0" w:type="dxa"/>
            <w:vAlign w:val="bottom"/>
          </w:tcPr>
          <w:p>
            <w:pPr>
              <w:spacing w:after="0"/>
              <w:rPr>
                <w:sz w:val="1"/>
                <w:szCs w:val="1"/>
                <w:color w:val="auto"/>
              </w:rPr>
            </w:pPr>
          </w:p>
        </w:tc>
      </w:tr>
      <w:tr>
        <w:trPr>
          <w:trHeight w:val="181"/>
        </w:trPr>
        <w:tc>
          <w:tcPr>
            <w:tcW w:w="37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Loans held for sale</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11,539</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187</w:t>
            </w: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6.45 %</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2,267</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37</w:t>
            </w: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6.48 %</w:t>
            </w:r>
          </w:p>
        </w:tc>
        <w:tc>
          <w:tcPr>
            <w:tcW w:w="0" w:type="dxa"/>
            <w:vAlign w:val="bottom"/>
          </w:tcPr>
          <w:p>
            <w:pPr>
              <w:spacing w:after="0"/>
              <w:rPr>
                <w:sz w:val="1"/>
                <w:szCs w:val="1"/>
                <w:color w:val="auto"/>
              </w:rPr>
            </w:pPr>
          </w:p>
        </w:tc>
      </w:tr>
      <w:tr>
        <w:trPr>
          <w:trHeight w:val="176"/>
        </w:trPr>
        <w:tc>
          <w:tcPr>
            <w:tcW w:w="3780" w:type="dxa"/>
            <w:vAlign w:val="bottom"/>
            <w:tcBorders>
              <w:bottom w:val="single" w:sz="8" w:color="E0E7ED"/>
            </w:tcBorders>
          </w:tcPr>
          <w:p>
            <w:pPr>
              <w:ind w:left="180"/>
              <w:spacing w:after="0" w:line="176" w:lineRule="exact"/>
              <w:rPr>
                <w:sz w:val="20"/>
                <w:szCs w:val="20"/>
                <w:color w:val="auto"/>
              </w:rPr>
            </w:pPr>
            <w:r>
              <w:rPr>
                <w:rFonts w:ascii="Verdana" w:cs="Verdana" w:eastAsia="Verdana" w:hAnsi="Verdana"/>
                <w:sz w:val="13"/>
                <w:szCs w:val="13"/>
                <w:color w:val="auto"/>
              </w:rPr>
              <w:t>Portfolio loans</w:t>
            </w:r>
            <w:r>
              <w:rPr>
                <w:rFonts w:ascii="Verdana" w:cs="Verdana" w:eastAsia="Verdana" w:hAnsi="Verdana"/>
                <w:sz w:val="16"/>
                <w:szCs w:val="16"/>
                <w:color w:val="auto"/>
                <w:vertAlign w:val="superscript"/>
              </w:rPr>
              <w:t>1, 2</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7,869,798</w:t>
            </w:r>
          </w:p>
        </w:tc>
        <w:tc>
          <w:tcPr>
            <w:tcW w:w="10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111,471</w:t>
            </w:r>
          </w:p>
        </w:tc>
        <w:tc>
          <w:tcPr>
            <w:tcW w:w="100" w:type="dxa"/>
            <w:vAlign w:val="bottom"/>
            <w:tcBorders>
              <w:bottom w:val="single" w:sz="8" w:color="E0E7ED"/>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5.63 %</w:t>
            </w:r>
          </w:p>
        </w:tc>
        <w:tc>
          <w:tcPr>
            <w:tcW w:w="10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7,834,285</w:t>
            </w:r>
          </w:p>
        </w:tc>
        <w:tc>
          <w:tcPr>
            <w:tcW w:w="10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100,178</w:t>
            </w:r>
          </w:p>
        </w:tc>
        <w:tc>
          <w:tcPr>
            <w:tcW w:w="100" w:type="dxa"/>
            <w:vAlign w:val="bottom"/>
            <w:tcBorders>
              <w:bottom w:val="single" w:sz="8" w:color="E0E7ED"/>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5.07 %</w:t>
            </w:r>
          </w:p>
        </w:tc>
        <w:tc>
          <w:tcPr>
            <w:tcW w:w="0" w:type="dxa"/>
            <w:vAlign w:val="bottom"/>
          </w:tcPr>
          <w:p>
            <w:pPr>
              <w:spacing w:after="0"/>
              <w:rPr>
                <w:sz w:val="1"/>
                <w:szCs w:val="1"/>
                <w:color w:val="auto"/>
              </w:rPr>
            </w:pPr>
          </w:p>
        </w:tc>
      </w:tr>
      <w:tr>
        <w:trPr>
          <w:trHeight w:val="194"/>
        </w:trPr>
        <w:tc>
          <w:tcPr>
            <w:tcW w:w="3780" w:type="dxa"/>
            <w:vAlign w:val="bottom"/>
            <w:tcBorders>
              <w:bottom w:val="single" w:sz="8" w:color="E0E7ED"/>
            </w:tcBorders>
            <w:shd w:val="clear" w:color="auto" w:fill="E0E7ED"/>
          </w:tcPr>
          <w:p>
            <w:pPr>
              <w:ind w:left="180"/>
              <w:spacing w:after="0" w:line="169" w:lineRule="exact"/>
              <w:rPr>
                <w:sz w:val="20"/>
                <w:szCs w:val="20"/>
                <w:color w:val="auto"/>
              </w:rPr>
            </w:pPr>
            <w:r>
              <w:rPr>
                <w:rFonts w:ascii="Verdana" w:cs="Verdana" w:eastAsia="Verdana" w:hAnsi="Verdana"/>
                <w:sz w:val="13"/>
                <w:szCs w:val="13"/>
                <w:color w:val="auto"/>
              </w:rPr>
              <w:t>Total interest-earning assets</w:t>
            </w:r>
            <w:r>
              <w:rPr>
                <w:rFonts w:ascii="Verdana" w:cs="Verdana" w:eastAsia="Verdana" w:hAnsi="Verdana"/>
                <w:sz w:val="16"/>
                <w:szCs w:val="16"/>
                <w:color w:val="auto"/>
                <w:vertAlign w:val="superscript"/>
              </w:rPr>
              <w:t>1, 3</w:t>
            </w:r>
          </w:p>
        </w:tc>
        <w:tc>
          <w:tcPr>
            <w:tcW w:w="20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jc w:val="right"/>
              <w:spacing w:after="0"/>
              <w:rPr>
                <w:sz w:val="20"/>
                <w:szCs w:val="20"/>
                <w:color w:val="auto"/>
              </w:rPr>
            </w:pPr>
            <w:r>
              <w:rPr>
                <w:rFonts w:ascii="Verdana" w:cs="Verdana" w:eastAsia="Verdana" w:hAnsi="Verdana"/>
                <w:sz w:val="13"/>
                <w:szCs w:val="13"/>
                <w:color w:val="auto"/>
              </w:rPr>
              <w:t>10,936,611</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134,896</w:t>
            </w:r>
          </w:p>
        </w:tc>
        <w:tc>
          <w:tcPr>
            <w:tcW w:w="100" w:type="dxa"/>
            <w:vAlign w:val="bottom"/>
            <w:tcBorders>
              <w:bottom w:val="single" w:sz="8" w:color="E0E7ED"/>
            </w:tcBorders>
            <w:shd w:val="clear" w:color="auto" w:fill="E0E7ED"/>
          </w:tcPr>
          <w:p>
            <w:pPr>
              <w:spacing w:after="0"/>
              <w:rPr>
                <w:sz w:val="16"/>
                <w:szCs w:val="16"/>
                <w:color w:val="auto"/>
              </w:rPr>
            </w:pPr>
          </w:p>
        </w:tc>
        <w:tc>
          <w:tcPr>
            <w:tcW w:w="1220" w:type="dxa"/>
            <w:vAlign w:val="bottom"/>
            <w:tcBorders>
              <w:bottom w:val="single" w:sz="8" w:color="E0E7ED"/>
            </w:tcBorders>
            <w:shd w:val="clear" w:color="auto" w:fill="E0E7ED"/>
          </w:tcPr>
          <w:p>
            <w:pPr>
              <w:jc w:val="right"/>
              <w:spacing w:after="0"/>
              <w:rPr>
                <w:sz w:val="20"/>
                <w:szCs w:val="20"/>
                <w:color w:val="auto"/>
              </w:rPr>
            </w:pPr>
            <w:r>
              <w:rPr>
                <w:rFonts w:ascii="Verdana" w:cs="Verdana" w:eastAsia="Verdana" w:hAnsi="Verdana"/>
                <w:sz w:val="13"/>
                <w:szCs w:val="13"/>
                <w:color w:val="auto"/>
              </w:rPr>
              <w:t>4.91 %</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jc w:val="right"/>
              <w:spacing w:after="0"/>
              <w:rPr>
                <w:sz w:val="20"/>
                <w:szCs w:val="20"/>
                <w:color w:val="auto"/>
              </w:rPr>
            </w:pPr>
            <w:r>
              <w:rPr>
                <w:rFonts w:ascii="Verdana" w:cs="Verdana" w:eastAsia="Verdana" w:hAnsi="Verdana"/>
                <w:sz w:val="13"/>
                <w:szCs w:val="13"/>
                <w:color w:val="auto"/>
              </w:rPr>
              <w:t>11,118,167</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123,222</w:t>
            </w:r>
          </w:p>
        </w:tc>
        <w:tc>
          <w:tcPr>
            <w:tcW w:w="100" w:type="dxa"/>
            <w:vAlign w:val="bottom"/>
            <w:tcBorders>
              <w:bottom w:val="single" w:sz="8" w:color="E0E7ED"/>
            </w:tcBorders>
            <w:shd w:val="clear" w:color="auto" w:fill="E0E7ED"/>
          </w:tcPr>
          <w:p>
            <w:pPr>
              <w:spacing w:after="0"/>
              <w:rPr>
                <w:sz w:val="16"/>
                <w:szCs w:val="16"/>
                <w:color w:val="auto"/>
              </w:rPr>
            </w:pPr>
          </w:p>
        </w:tc>
        <w:tc>
          <w:tcPr>
            <w:tcW w:w="1240" w:type="dxa"/>
            <w:vAlign w:val="bottom"/>
            <w:tcBorders>
              <w:bottom w:val="single" w:sz="8" w:color="E0E7ED"/>
            </w:tcBorders>
            <w:shd w:val="clear" w:color="auto" w:fill="E0E7ED"/>
          </w:tcPr>
          <w:p>
            <w:pPr>
              <w:jc w:val="right"/>
              <w:spacing w:after="0"/>
              <w:rPr>
                <w:sz w:val="20"/>
                <w:szCs w:val="20"/>
                <w:color w:val="auto"/>
              </w:rPr>
            </w:pPr>
            <w:r>
              <w:rPr>
                <w:rFonts w:ascii="Verdana" w:cs="Verdana" w:eastAsia="Verdana" w:hAnsi="Verdana"/>
                <w:sz w:val="13"/>
                <w:szCs w:val="13"/>
                <w:color w:val="auto"/>
              </w:rPr>
              <w:t>4.40 %</w:t>
            </w:r>
          </w:p>
        </w:tc>
        <w:tc>
          <w:tcPr>
            <w:tcW w:w="0" w:type="dxa"/>
            <w:vAlign w:val="bottom"/>
          </w:tcPr>
          <w:p>
            <w:pPr>
              <w:spacing w:after="0"/>
              <w:rPr>
                <w:sz w:val="1"/>
                <w:szCs w:val="1"/>
                <w:color w:val="auto"/>
              </w:rPr>
            </w:pPr>
          </w:p>
        </w:tc>
      </w:tr>
      <w:tr>
        <w:trPr>
          <w:trHeight w:val="20"/>
        </w:trPr>
        <w:tc>
          <w:tcPr>
            <w:tcW w:w="37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2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4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Cash and due from banks</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113,122</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119,874</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180"/>
              <w:spacing w:after="0"/>
              <w:rPr>
                <w:sz w:val="20"/>
                <w:szCs w:val="20"/>
                <w:color w:val="auto"/>
              </w:rPr>
            </w:pPr>
            <w:r>
              <w:rPr>
                <w:rFonts w:ascii="Verdana" w:cs="Verdana" w:eastAsia="Verdana" w:hAnsi="Verdana"/>
                <w:sz w:val="13"/>
                <w:szCs w:val="13"/>
                <w:color w:val="auto"/>
              </w:rPr>
              <w:t>Premises and equipment</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121,296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122,955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7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ACL</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(86,213)</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(93,070)</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80" w:type="dxa"/>
            <w:vAlign w:val="bottom"/>
            <w:tcBorders>
              <w:bottom w:val="single" w:sz="8" w:color="E0E7ED"/>
            </w:tcBorders>
          </w:tcPr>
          <w:p>
            <w:pPr>
              <w:ind w:left="180"/>
              <w:spacing w:after="0"/>
              <w:rPr>
                <w:sz w:val="20"/>
                <w:szCs w:val="20"/>
                <w:color w:val="auto"/>
              </w:rPr>
            </w:pPr>
            <w:r>
              <w:rPr>
                <w:rFonts w:ascii="Verdana" w:cs="Verdana" w:eastAsia="Verdana" w:hAnsi="Verdana"/>
                <w:sz w:val="13"/>
                <w:szCs w:val="13"/>
                <w:color w:val="auto"/>
              </w:rPr>
              <w:t>Other assets</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922,886</w:t>
            </w: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E0E7ED"/>
            </w:tcBorders>
          </w:tcPr>
          <w:p>
            <w:pPr>
              <w:spacing w:after="0"/>
              <w:rPr>
                <w:sz w:val="14"/>
                <w:szCs w:val="14"/>
                <w:color w:val="auto"/>
              </w:rPr>
            </w:pPr>
          </w:p>
        </w:tc>
        <w:tc>
          <w:tcPr>
            <w:tcW w:w="940" w:type="dxa"/>
            <w:vAlign w:val="bottom"/>
            <w:tcBorders>
              <w:bottom w:val="single" w:sz="8" w:color="E0E7ED"/>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220" w:type="dxa"/>
            <w:vAlign w:val="bottom"/>
            <w:tcBorders>
              <w:bottom w:val="single" w:sz="8" w:color="E0E7ED"/>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934,857</w:t>
            </w: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E0E7ED"/>
            </w:tcBorders>
          </w:tcPr>
          <w:p>
            <w:pPr>
              <w:spacing w:after="0"/>
              <w:rPr>
                <w:sz w:val="14"/>
                <w:szCs w:val="14"/>
                <w:color w:val="auto"/>
              </w:rPr>
            </w:pPr>
          </w:p>
        </w:tc>
        <w:tc>
          <w:tcPr>
            <w:tcW w:w="940" w:type="dxa"/>
            <w:vAlign w:val="bottom"/>
            <w:tcBorders>
              <w:bottom w:val="single" w:sz="8" w:color="E0E7ED"/>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240" w:type="dxa"/>
            <w:vAlign w:val="bottom"/>
            <w:tcBorders>
              <w:bottom w:val="single" w:sz="8" w:color="E0E7ED"/>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78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3"/>
                <w:szCs w:val="13"/>
                <w:color w:val="auto"/>
              </w:rPr>
              <w:t>Total assets</w:t>
            </w:r>
          </w:p>
        </w:tc>
        <w:tc>
          <w:tcPr>
            <w:tcW w:w="200" w:type="dxa"/>
            <w:vAlign w:val="bottom"/>
            <w:tcBorders>
              <w:bottom w:val="single" w:sz="8" w:color="auto"/>
            </w:tcBorders>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12,007,702</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122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12,202,783</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1240" w:type="dxa"/>
            <w:vAlign w:val="bottom"/>
            <w:tcBorders>
              <w:bottom w:val="single" w:sz="8" w:color="E0E7ED"/>
            </w:tcBorders>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2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4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80" w:type="dxa"/>
            <w:vAlign w:val="bottom"/>
            <w:shd w:val="clear" w:color="auto" w:fill="E0E7ED"/>
          </w:tcPr>
          <w:p>
            <w:pPr>
              <w:ind w:left="20"/>
              <w:spacing w:after="0"/>
              <w:rPr>
                <w:sz w:val="20"/>
                <w:szCs w:val="20"/>
                <w:color w:val="auto"/>
              </w:rPr>
            </w:pPr>
            <w:r>
              <w:rPr>
                <w:rFonts w:ascii="Verdana" w:cs="Verdana" w:eastAsia="Verdana" w:hAnsi="Verdana"/>
                <w:sz w:val="13"/>
                <w:szCs w:val="13"/>
                <w:b w:val="1"/>
                <w:bCs w:val="1"/>
                <w:color w:val="auto"/>
              </w:rPr>
              <w:t>Liabilities and stockholders’ equity</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180"/>
              <w:spacing w:after="0"/>
              <w:rPr>
                <w:sz w:val="20"/>
                <w:szCs w:val="20"/>
                <w:color w:val="auto"/>
              </w:rPr>
            </w:pPr>
            <w:r>
              <w:rPr>
                <w:rFonts w:ascii="Verdana" w:cs="Verdana" w:eastAsia="Verdana" w:hAnsi="Verdana"/>
                <w:sz w:val="13"/>
                <w:szCs w:val="13"/>
                <w:color w:val="auto"/>
              </w:rPr>
              <w:t>Interest-bearing transaction deposits</w:t>
            </w: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940" w:type="dxa"/>
            <w:vAlign w:val="bottom"/>
          </w:tcPr>
          <w:p>
            <w:pPr>
              <w:jc w:val="right"/>
              <w:spacing w:after="0"/>
              <w:rPr>
                <w:sz w:val="20"/>
                <w:szCs w:val="20"/>
                <w:color w:val="auto"/>
              </w:rPr>
            </w:pPr>
            <w:r>
              <w:rPr>
                <w:rFonts w:ascii="Verdana" w:cs="Verdana" w:eastAsia="Verdana" w:hAnsi="Verdana"/>
                <w:sz w:val="13"/>
                <w:szCs w:val="13"/>
                <w:color w:val="auto"/>
              </w:rPr>
              <w:t>2,485,443</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Pr>
          <w:p>
            <w:pPr>
              <w:jc w:val="right"/>
              <w:ind w:right="17"/>
              <w:spacing w:after="0"/>
              <w:rPr>
                <w:sz w:val="20"/>
                <w:szCs w:val="20"/>
                <w:color w:val="auto"/>
              </w:rPr>
            </w:pPr>
            <w:r>
              <w:rPr>
                <w:rFonts w:ascii="Verdana" w:cs="Verdana" w:eastAsia="Verdana" w:hAnsi="Verdana"/>
                <w:sz w:val="13"/>
                <w:szCs w:val="13"/>
                <w:color w:val="auto"/>
              </w:rPr>
              <w:t>11,734</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Verdana" w:cs="Verdana" w:eastAsia="Verdana" w:hAnsi="Verdana"/>
                <w:sz w:val="13"/>
                <w:szCs w:val="13"/>
                <w:color w:val="auto"/>
              </w:rPr>
              <w:t>1.88 %</w:t>
            </w:r>
          </w:p>
        </w:tc>
        <w:tc>
          <w:tcPr>
            <w:tcW w:w="280" w:type="dxa"/>
            <w:vAlign w:val="bottom"/>
            <w:gridSpan w:val="2"/>
          </w:tcPr>
          <w:p>
            <w:pPr>
              <w:jc w:val="right"/>
              <w:ind w:right="17"/>
              <w:spacing w:after="0"/>
              <w:rPr>
                <w:sz w:val="20"/>
                <w:szCs w:val="20"/>
                <w:color w:val="auto"/>
              </w:rPr>
            </w:pPr>
            <w:r>
              <w:rPr>
                <w:rFonts w:ascii="Verdana" w:cs="Verdana" w:eastAsia="Verdana" w:hAnsi="Verdana"/>
                <w:sz w:val="13"/>
                <w:szCs w:val="13"/>
                <w:color w:val="auto"/>
              </w:rPr>
              <w:t>$</w:t>
            </w:r>
          </w:p>
        </w:tc>
        <w:tc>
          <w:tcPr>
            <w:tcW w:w="940" w:type="dxa"/>
            <w:vAlign w:val="bottom"/>
          </w:tcPr>
          <w:p>
            <w:pPr>
              <w:jc w:val="right"/>
              <w:spacing w:after="0"/>
              <w:rPr>
                <w:sz w:val="20"/>
                <w:szCs w:val="20"/>
                <w:color w:val="auto"/>
              </w:rPr>
            </w:pPr>
            <w:r>
              <w:rPr>
                <w:rFonts w:ascii="Verdana" w:cs="Verdana" w:eastAsia="Verdana" w:hAnsi="Verdana"/>
                <w:sz w:val="13"/>
                <w:szCs w:val="13"/>
                <w:color w:val="auto"/>
              </w:rPr>
              <w:t>2,818,124</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Pr>
          <w:p>
            <w:pPr>
              <w:jc w:val="right"/>
              <w:spacing w:after="0"/>
              <w:rPr>
                <w:sz w:val="20"/>
                <w:szCs w:val="20"/>
                <w:color w:val="auto"/>
              </w:rPr>
            </w:pPr>
            <w:r>
              <w:rPr>
                <w:rFonts w:ascii="Verdana" w:cs="Verdana" w:eastAsia="Verdana" w:hAnsi="Verdana"/>
                <w:sz w:val="13"/>
                <w:szCs w:val="13"/>
                <w:color w:val="auto"/>
              </w:rPr>
              <w:t>12,443</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1.75 %</w:t>
            </w:r>
          </w:p>
        </w:tc>
        <w:tc>
          <w:tcPr>
            <w:tcW w:w="0" w:type="dxa"/>
            <w:vAlign w:val="bottom"/>
          </w:tcPr>
          <w:p>
            <w:pPr>
              <w:spacing w:after="0"/>
              <w:rPr>
                <w:sz w:val="1"/>
                <w:szCs w:val="1"/>
                <w:color w:val="auto"/>
              </w:rPr>
            </w:pPr>
          </w:p>
        </w:tc>
      </w:tr>
      <w:tr>
        <w:trPr>
          <w:trHeight w:val="181"/>
        </w:trPr>
        <w:tc>
          <w:tcPr>
            <w:tcW w:w="37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Savings and money market deposits</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3,294,396</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20,198</w:t>
            </w: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2.44 %</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2,828,673</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11,108</w:t>
            </w: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1.56 %</w:t>
            </w:r>
          </w:p>
        </w:tc>
        <w:tc>
          <w:tcPr>
            <w:tcW w:w="0" w:type="dxa"/>
            <w:vAlign w:val="bottom"/>
          </w:tcPr>
          <w:p>
            <w:pPr>
              <w:spacing w:after="0"/>
              <w:rPr>
                <w:sz w:val="1"/>
                <w:szCs w:val="1"/>
                <w:color w:val="auto"/>
              </w:rPr>
            </w:pPr>
          </w:p>
        </w:tc>
      </w:tr>
      <w:tr>
        <w:trPr>
          <w:trHeight w:val="170"/>
        </w:trPr>
        <w:tc>
          <w:tcPr>
            <w:tcW w:w="3780" w:type="dxa"/>
            <w:vAlign w:val="bottom"/>
          </w:tcPr>
          <w:p>
            <w:pPr>
              <w:ind w:left="180"/>
              <w:spacing w:after="0"/>
              <w:rPr>
                <w:sz w:val="20"/>
                <w:szCs w:val="20"/>
                <w:color w:val="auto"/>
              </w:rPr>
            </w:pPr>
            <w:r>
              <w:rPr>
                <w:rFonts w:ascii="Verdana" w:cs="Verdana" w:eastAsia="Verdana" w:hAnsi="Verdana"/>
                <w:sz w:val="13"/>
                <w:szCs w:val="13"/>
                <w:color w:val="auto"/>
              </w:rPr>
              <w:t>Time deposits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1,517,082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7"/>
              <w:spacing w:after="0"/>
              <w:rPr>
                <w:sz w:val="20"/>
                <w:szCs w:val="20"/>
                <w:color w:val="auto"/>
              </w:rPr>
            </w:pPr>
            <w:r>
              <w:rPr>
                <w:rFonts w:ascii="Verdana" w:cs="Verdana" w:eastAsia="Verdana" w:hAnsi="Verdana"/>
                <w:sz w:val="13"/>
                <w:szCs w:val="13"/>
                <w:color w:val="auto"/>
              </w:rPr>
              <w:t>14,702</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Verdana" w:cs="Verdana" w:eastAsia="Verdana" w:hAnsi="Verdana"/>
                <w:sz w:val="13"/>
                <w:szCs w:val="13"/>
                <w:color w:val="auto"/>
              </w:rPr>
              <w:t>3.86 %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1,570,666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13,517</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3.41 %</w:t>
            </w:r>
          </w:p>
        </w:tc>
        <w:tc>
          <w:tcPr>
            <w:tcW w:w="0" w:type="dxa"/>
            <w:vAlign w:val="bottom"/>
          </w:tcPr>
          <w:p>
            <w:pPr>
              <w:spacing w:after="0"/>
              <w:rPr>
                <w:sz w:val="1"/>
                <w:szCs w:val="1"/>
                <w:color w:val="auto"/>
              </w:rPr>
            </w:pPr>
          </w:p>
        </w:tc>
      </w:tr>
      <w:tr>
        <w:trPr>
          <w:trHeight w:val="181"/>
        </w:trPr>
        <w:tc>
          <w:tcPr>
            <w:tcW w:w="37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Federal funds purchased and repurchase agreements</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132,688</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981</w:t>
            </w: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2.94 %</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190,112</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1,327</w:t>
            </w: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2.77 %</w:t>
            </w:r>
          </w:p>
        </w:tc>
        <w:tc>
          <w:tcPr>
            <w:tcW w:w="0" w:type="dxa"/>
            <w:vAlign w:val="bottom"/>
          </w:tcPr>
          <w:p>
            <w:pPr>
              <w:spacing w:after="0"/>
              <w:rPr>
                <w:sz w:val="1"/>
                <w:szCs w:val="1"/>
                <w:color w:val="auto"/>
              </w:rPr>
            </w:pPr>
          </w:p>
        </w:tc>
      </w:tr>
      <w:tr>
        <w:trPr>
          <w:trHeight w:val="176"/>
        </w:trPr>
        <w:tc>
          <w:tcPr>
            <w:tcW w:w="3780" w:type="dxa"/>
            <w:vAlign w:val="bottom"/>
          </w:tcPr>
          <w:p>
            <w:pPr>
              <w:ind w:left="180"/>
              <w:spacing w:after="0" w:line="176" w:lineRule="exact"/>
              <w:rPr>
                <w:sz w:val="20"/>
                <w:szCs w:val="20"/>
                <w:color w:val="auto"/>
              </w:rPr>
            </w:pPr>
            <w:r>
              <w:rPr>
                <w:rFonts w:ascii="Verdana" w:cs="Verdana" w:eastAsia="Verdana" w:hAnsi="Verdana"/>
                <w:sz w:val="13"/>
                <w:szCs w:val="13"/>
                <w:color w:val="auto"/>
              </w:rPr>
              <w:t>Borrowings</w:t>
            </w:r>
            <w:r>
              <w:rPr>
                <w:rFonts w:ascii="Verdana" w:cs="Verdana" w:eastAsia="Verdana" w:hAnsi="Verdana"/>
                <w:sz w:val="16"/>
                <w:szCs w:val="16"/>
                <w:color w:val="auto"/>
                <w:vertAlign w:val="superscript"/>
              </w:rPr>
              <w:t>4</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227,136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7"/>
              <w:spacing w:after="0"/>
              <w:rPr>
                <w:sz w:val="20"/>
                <w:szCs w:val="20"/>
                <w:color w:val="auto"/>
              </w:rPr>
            </w:pPr>
            <w:r>
              <w:rPr>
                <w:rFonts w:ascii="Verdana" w:cs="Verdana" w:eastAsia="Verdana" w:hAnsi="Verdana"/>
                <w:sz w:val="13"/>
                <w:szCs w:val="13"/>
                <w:color w:val="auto"/>
              </w:rPr>
              <w:t>3,207</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Verdana" w:cs="Verdana" w:eastAsia="Verdana" w:hAnsi="Verdana"/>
                <w:sz w:val="13"/>
                <w:szCs w:val="13"/>
                <w:color w:val="auto"/>
              </w:rPr>
              <w:t>5.62 %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384,864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5,492</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5.66 %</w:t>
            </w:r>
          </w:p>
        </w:tc>
        <w:tc>
          <w:tcPr>
            <w:tcW w:w="0" w:type="dxa"/>
            <w:vAlign w:val="bottom"/>
          </w:tcPr>
          <w:p>
            <w:pPr>
              <w:spacing w:after="0"/>
              <w:rPr>
                <w:sz w:val="1"/>
                <w:szCs w:val="1"/>
                <w:color w:val="auto"/>
              </w:rPr>
            </w:pPr>
          </w:p>
        </w:tc>
      </w:tr>
      <w:tr>
        <w:trPr>
          <w:trHeight w:val="121"/>
        </w:trPr>
        <w:tc>
          <w:tcPr>
            <w:tcW w:w="3780" w:type="dxa"/>
            <w:vAlign w:val="bottom"/>
            <w:shd w:val="clear" w:color="auto" w:fill="E0E7ED"/>
          </w:tcPr>
          <w:p>
            <w:pPr>
              <w:ind w:left="180"/>
              <w:spacing w:after="0" w:line="122" w:lineRule="exact"/>
              <w:rPr>
                <w:sz w:val="20"/>
                <w:szCs w:val="20"/>
                <w:color w:val="auto"/>
              </w:rPr>
            </w:pPr>
            <w:r>
              <w:rPr>
                <w:rFonts w:ascii="Verdana" w:cs="Verdana" w:eastAsia="Verdana" w:hAnsi="Verdana"/>
                <w:sz w:val="13"/>
                <w:szCs w:val="13"/>
                <w:color w:val="auto"/>
              </w:rPr>
              <w:t>Junior subordinated debt issued to unconsolidated</w:t>
            </w:r>
          </w:p>
        </w:tc>
        <w:tc>
          <w:tcPr>
            <w:tcW w:w="200" w:type="dxa"/>
            <w:vAlign w:val="bottom"/>
            <w:shd w:val="clear" w:color="auto" w:fill="E0E7ED"/>
          </w:tcPr>
          <w:p>
            <w:pPr>
              <w:spacing w:after="0"/>
              <w:rPr>
                <w:sz w:val="10"/>
                <w:szCs w:val="10"/>
                <w:color w:val="auto"/>
              </w:rPr>
            </w:pPr>
          </w:p>
        </w:tc>
        <w:tc>
          <w:tcPr>
            <w:tcW w:w="94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74,714</w:t>
            </w:r>
          </w:p>
        </w:tc>
        <w:tc>
          <w:tcPr>
            <w:tcW w:w="100" w:type="dxa"/>
            <w:vAlign w:val="bottom"/>
            <w:shd w:val="clear" w:color="auto" w:fill="E0E7ED"/>
          </w:tcPr>
          <w:p>
            <w:pPr>
              <w:spacing w:after="0"/>
              <w:rPr>
                <w:sz w:val="10"/>
                <w:szCs w:val="10"/>
                <w:color w:val="auto"/>
              </w:rPr>
            </w:pPr>
          </w:p>
        </w:tc>
        <w:tc>
          <w:tcPr>
            <w:tcW w:w="180" w:type="dxa"/>
            <w:vAlign w:val="bottom"/>
            <w:shd w:val="clear" w:color="auto" w:fill="E0E7ED"/>
          </w:tcPr>
          <w:p>
            <w:pPr>
              <w:spacing w:after="0"/>
              <w:rPr>
                <w:sz w:val="10"/>
                <w:szCs w:val="10"/>
                <w:color w:val="auto"/>
              </w:rPr>
            </w:pPr>
          </w:p>
        </w:tc>
        <w:tc>
          <w:tcPr>
            <w:tcW w:w="94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1,137</w:t>
            </w:r>
          </w:p>
        </w:tc>
        <w:tc>
          <w:tcPr>
            <w:tcW w:w="100" w:type="dxa"/>
            <w:vAlign w:val="bottom"/>
            <w:shd w:val="clear" w:color="auto" w:fill="E0E7ED"/>
          </w:tcPr>
          <w:p>
            <w:pPr>
              <w:spacing w:after="0"/>
              <w:rPr>
                <w:sz w:val="10"/>
                <w:szCs w:val="10"/>
                <w:color w:val="auto"/>
              </w:rPr>
            </w:pPr>
          </w:p>
        </w:tc>
        <w:tc>
          <w:tcPr>
            <w:tcW w:w="122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6.05 %</w:t>
            </w:r>
          </w:p>
        </w:tc>
        <w:tc>
          <w:tcPr>
            <w:tcW w:w="100" w:type="dxa"/>
            <w:vAlign w:val="bottom"/>
            <w:shd w:val="clear" w:color="auto" w:fill="E0E7ED"/>
          </w:tcPr>
          <w:p>
            <w:pPr>
              <w:spacing w:after="0"/>
              <w:rPr>
                <w:sz w:val="10"/>
                <w:szCs w:val="10"/>
                <w:color w:val="auto"/>
              </w:rPr>
            </w:pPr>
          </w:p>
        </w:tc>
        <w:tc>
          <w:tcPr>
            <w:tcW w:w="180" w:type="dxa"/>
            <w:vAlign w:val="bottom"/>
            <w:shd w:val="clear" w:color="auto" w:fill="E0E7ED"/>
          </w:tcPr>
          <w:p>
            <w:pPr>
              <w:spacing w:after="0"/>
              <w:rPr>
                <w:sz w:val="10"/>
                <w:szCs w:val="10"/>
                <w:color w:val="auto"/>
              </w:rPr>
            </w:pPr>
          </w:p>
        </w:tc>
        <w:tc>
          <w:tcPr>
            <w:tcW w:w="94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71,916</w:t>
            </w:r>
          </w:p>
        </w:tc>
        <w:tc>
          <w:tcPr>
            <w:tcW w:w="100" w:type="dxa"/>
            <w:vAlign w:val="bottom"/>
            <w:shd w:val="clear" w:color="auto" w:fill="E0E7ED"/>
          </w:tcPr>
          <w:p>
            <w:pPr>
              <w:spacing w:after="0"/>
              <w:rPr>
                <w:sz w:val="10"/>
                <w:szCs w:val="10"/>
                <w:color w:val="auto"/>
              </w:rPr>
            </w:pPr>
          </w:p>
        </w:tc>
        <w:tc>
          <w:tcPr>
            <w:tcW w:w="180" w:type="dxa"/>
            <w:vAlign w:val="bottom"/>
            <w:shd w:val="clear" w:color="auto" w:fill="E0E7ED"/>
          </w:tcPr>
          <w:p>
            <w:pPr>
              <w:spacing w:after="0"/>
              <w:rPr>
                <w:sz w:val="10"/>
                <w:szCs w:val="10"/>
                <w:color w:val="auto"/>
              </w:rPr>
            </w:pPr>
          </w:p>
        </w:tc>
        <w:tc>
          <w:tcPr>
            <w:tcW w:w="94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991</w:t>
            </w:r>
          </w:p>
        </w:tc>
        <w:tc>
          <w:tcPr>
            <w:tcW w:w="100" w:type="dxa"/>
            <w:vAlign w:val="bottom"/>
            <w:shd w:val="clear" w:color="auto" w:fill="E0E7ED"/>
          </w:tcPr>
          <w:p>
            <w:pPr>
              <w:spacing w:after="0"/>
              <w:rPr>
                <w:sz w:val="10"/>
                <w:szCs w:val="10"/>
                <w:color w:val="auto"/>
              </w:rPr>
            </w:pPr>
          </w:p>
        </w:tc>
        <w:tc>
          <w:tcPr>
            <w:tcW w:w="124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5.47 %</w:t>
            </w:r>
          </w:p>
        </w:tc>
        <w:tc>
          <w:tcPr>
            <w:tcW w:w="0" w:type="dxa"/>
            <w:vAlign w:val="bottom"/>
          </w:tcPr>
          <w:p>
            <w:pPr>
              <w:spacing w:after="0"/>
              <w:rPr>
                <w:sz w:val="1"/>
                <w:szCs w:val="1"/>
                <w:color w:val="auto"/>
              </w:rPr>
            </w:pPr>
          </w:p>
        </w:tc>
      </w:tr>
      <w:tr>
        <w:trPr>
          <w:trHeight w:val="170"/>
        </w:trPr>
        <w:tc>
          <w:tcPr>
            <w:tcW w:w="37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trusts</w:t>
            </w:r>
          </w:p>
        </w:tc>
        <w:tc>
          <w:tcPr>
            <w:tcW w:w="200" w:type="dxa"/>
            <w:vAlign w:val="bottom"/>
            <w:tcBorders>
              <w:bottom w:val="single" w:sz="8" w:color="auto"/>
            </w:tcBorders>
            <w:shd w:val="clear" w:color="auto" w:fill="E0E7ED"/>
          </w:tcPr>
          <w:p>
            <w:pPr>
              <w:spacing w:after="0"/>
              <w:rPr>
                <w:sz w:val="14"/>
                <w:szCs w:val="14"/>
                <w:color w:val="auto"/>
              </w:rPr>
            </w:pPr>
          </w:p>
        </w:tc>
        <w:tc>
          <w:tcPr>
            <w:tcW w:w="940" w:type="dxa"/>
            <w:vAlign w:val="bottom"/>
            <w:tcBorders>
              <w:bottom w:val="single" w:sz="8" w:color="auto"/>
            </w:tcBorders>
            <w:vMerge w:val="continue"/>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180" w:type="dxa"/>
            <w:vAlign w:val="bottom"/>
            <w:tcBorders>
              <w:bottom w:val="single" w:sz="8" w:color="auto"/>
            </w:tcBorders>
            <w:shd w:val="clear" w:color="auto" w:fill="E0E7ED"/>
          </w:tcPr>
          <w:p>
            <w:pPr>
              <w:spacing w:after="0"/>
              <w:rPr>
                <w:sz w:val="14"/>
                <w:szCs w:val="14"/>
                <w:color w:val="auto"/>
              </w:rPr>
            </w:pPr>
          </w:p>
        </w:tc>
        <w:tc>
          <w:tcPr>
            <w:tcW w:w="940" w:type="dxa"/>
            <w:vAlign w:val="bottom"/>
            <w:tcBorders>
              <w:bottom w:val="single" w:sz="8" w:color="auto"/>
            </w:tcBorders>
            <w:vMerge w:val="continue"/>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1220" w:type="dxa"/>
            <w:vAlign w:val="bottom"/>
            <w:tcBorders>
              <w:bottom w:val="single" w:sz="8" w:color="auto"/>
            </w:tcBorders>
            <w:vMerge w:val="continue"/>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180" w:type="dxa"/>
            <w:vAlign w:val="bottom"/>
            <w:tcBorders>
              <w:bottom w:val="single" w:sz="8" w:color="auto"/>
            </w:tcBorders>
            <w:shd w:val="clear" w:color="auto" w:fill="E0E7ED"/>
          </w:tcPr>
          <w:p>
            <w:pPr>
              <w:spacing w:after="0"/>
              <w:rPr>
                <w:sz w:val="14"/>
                <w:szCs w:val="14"/>
                <w:color w:val="auto"/>
              </w:rPr>
            </w:pPr>
          </w:p>
        </w:tc>
        <w:tc>
          <w:tcPr>
            <w:tcW w:w="940" w:type="dxa"/>
            <w:vAlign w:val="bottom"/>
            <w:tcBorders>
              <w:bottom w:val="single" w:sz="8" w:color="auto"/>
            </w:tcBorders>
            <w:vMerge w:val="continue"/>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180" w:type="dxa"/>
            <w:vAlign w:val="bottom"/>
            <w:tcBorders>
              <w:bottom w:val="single" w:sz="8" w:color="auto"/>
            </w:tcBorders>
            <w:shd w:val="clear" w:color="auto" w:fill="E0E7ED"/>
          </w:tcPr>
          <w:p>
            <w:pPr>
              <w:spacing w:after="0"/>
              <w:rPr>
                <w:sz w:val="14"/>
                <w:szCs w:val="14"/>
                <w:color w:val="auto"/>
              </w:rPr>
            </w:pPr>
          </w:p>
        </w:tc>
        <w:tc>
          <w:tcPr>
            <w:tcW w:w="940" w:type="dxa"/>
            <w:vAlign w:val="bottom"/>
            <w:tcBorders>
              <w:bottom w:val="single" w:sz="8" w:color="auto"/>
            </w:tcBorders>
            <w:vMerge w:val="continue"/>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1240" w:type="dxa"/>
            <w:vAlign w:val="bottom"/>
            <w:tcBorders>
              <w:bottom w:val="single" w:sz="8" w:color="auto"/>
            </w:tcBorders>
            <w:vMerge w:val="continue"/>
            <w:shd w:val="clear" w:color="auto" w:fill="E0E7ED"/>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780" w:type="dxa"/>
            <w:vAlign w:val="bottom"/>
          </w:tcPr>
          <w:p>
            <w:pPr>
              <w:ind w:left="180"/>
              <w:spacing w:after="0"/>
              <w:rPr>
                <w:sz w:val="20"/>
                <w:szCs w:val="20"/>
                <w:color w:val="auto"/>
              </w:rPr>
            </w:pPr>
            <w:r>
              <w:rPr>
                <w:rFonts w:ascii="Verdana" w:cs="Verdana" w:eastAsia="Verdana" w:hAnsi="Verdana"/>
                <w:sz w:val="13"/>
                <w:szCs w:val="13"/>
                <w:color w:val="auto"/>
              </w:rPr>
              <w:t>Total interest-bearing liabilities</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7,731,459</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51,959</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Verdana" w:cs="Verdana" w:eastAsia="Verdana" w:hAnsi="Verdana"/>
                <w:sz w:val="13"/>
                <w:szCs w:val="13"/>
                <w:color w:val="auto"/>
              </w:rPr>
              <w:t>2.67 %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7,864,355</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44,878</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2.26 %</w:t>
            </w:r>
          </w:p>
        </w:tc>
        <w:tc>
          <w:tcPr>
            <w:tcW w:w="0" w:type="dxa"/>
            <w:vAlign w:val="bottom"/>
          </w:tcPr>
          <w:p>
            <w:pPr>
              <w:spacing w:after="0"/>
              <w:rPr>
                <w:sz w:val="1"/>
                <w:szCs w:val="1"/>
                <w:color w:val="auto"/>
              </w:rPr>
            </w:pPr>
          </w:p>
        </w:tc>
      </w:tr>
      <w:tr>
        <w:trPr>
          <w:trHeight w:val="20"/>
        </w:trPr>
        <w:tc>
          <w:tcPr>
            <w:tcW w:w="378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22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240" w:type="dxa"/>
            <w:vAlign w:val="bottom"/>
            <w:tcBorders>
              <w:bottom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8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940" w:type="dxa"/>
            <w:vAlign w:val="bottom"/>
            <w:shd w:val="clear" w:color="auto" w:fill="E0E7ED"/>
          </w:tcPr>
          <w:p>
            <w:pPr>
              <w:spacing w:after="0"/>
              <w:rPr>
                <w:sz w:val="11"/>
                <w:szCs w:val="11"/>
                <w:color w:val="auto"/>
              </w:rPr>
            </w:pPr>
          </w:p>
        </w:tc>
        <w:tc>
          <w:tcPr>
            <w:tcW w:w="100" w:type="dxa"/>
            <w:vAlign w:val="bottom"/>
            <w:shd w:val="clear" w:color="auto" w:fill="E0E7ED"/>
          </w:tcPr>
          <w:p>
            <w:pPr>
              <w:spacing w:after="0"/>
              <w:rPr>
                <w:sz w:val="11"/>
                <w:szCs w:val="11"/>
                <w:color w:val="auto"/>
              </w:rPr>
            </w:pPr>
          </w:p>
        </w:tc>
        <w:tc>
          <w:tcPr>
            <w:tcW w:w="180" w:type="dxa"/>
            <w:vAlign w:val="bottom"/>
            <w:shd w:val="clear" w:color="auto" w:fill="E0E7ED"/>
          </w:tcPr>
          <w:p>
            <w:pPr>
              <w:spacing w:after="0"/>
              <w:rPr>
                <w:sz w:val="11"/>
                <w:szCs w:val="11"/>
                <w:color w:val="auto"/>
              </w:rPr>
            </w:pPr>
          </w:p>
        </w:tc>
        <w:tc>
          <w:tcPr>
            <w:tcW w:w="940" w:type="dxa"/>
            <w:vAlign w:val="bottom"/>
            <w:shd w:val="clear" w:color="auto" w:fill="E0E7ED"/>
          </w:tcPr>
          <w:p>
            <w:pPr>
              <w:spacing w:after="0"/>
              <w:rPr>
                <w:sz w:val="11"/>
                <w:szCs w:val="11"/>
                <w:color w:val="auto"/>
              </w:rPr>
            </w:pPr>
          </w:p>
        </w:tc>
        <w:tc>
          <w:tcPr>
            <w:tcW w:w="100" w:type="dxa"/>
            <w:vAlign w:val="bottom"/>
            <w:shd w:val="clear" w:color="auto" w:fill="E0E7ED"/>
          </w:tcPr>
          <w:p>
            <w:pPr>
              <w:spacing w:after="0"/>
              <w:rPr>
                <w:sz w:val="11"/>
                <w:szCs w:val="11"/>
                <w:color w:val="auto"/>
              </w:rPr>
            </w:pPr>
          </w:p>
        </w:tc>
        <w:tc>
          <w:tcPr>
            <w:tcW w:w="1220" w:type="dxa"/>
            <w:vAlign w:val="bottom"/>
            <w:shd w:val="clear" w:color="auto" w:fill="E0E7ED"/>
          </w:tcPr>
          <w:p>
            <w:pPr>
              <w:spacing w:after="0"/>
              <w:rPr>
                <w:sz w:val="11"/>
                <w:szCs w:val="11"/>
                <w:color w:val="auto"/>
              </w:rPr>
            </w:pPr>
          </w:p>
        </w:tc>
        <w:tc>
          <w:tcPr>
            <w:tcW w:w="100" w:type="dxa"/>
            <w:vAlign w:val="bottom"/>
            <w:shd w:val="clear" w:color="auto" w:fill="E0E7ED"/>
          </w:tcPr>
          <w:p>
            <w:pPr>
              <w:spacing w:after="0"/>
              <w:rPr>
                <w:sz w:val="11"/>
                <w:szCs w:val="11"/>
                <w:color w:val="auto"/>
              </w:rPr>
            </w:pPr>
          </w:p>
        </w:tc>
        <w:tc>
          <w:tcPr>
            <w:tcW w:w="180" w:type="dxa"/>
            <w:vAlign w:val="bottom"/>
            <w:shd w:val="clear" w:color="auto" w:fill="E0E7ED"/>
          </w:tcPr>
          <w:p>
            <w:pPr>
              <w:spacing w:after="0"/>
              <w:rPr>
                <w:sz w:val="11"/>
                <w:szCs w:val="11"/>
                <w:color w:val="auto"/>
              </w:rPr>
            </w:pPr>
          </w:p>
        </w:tc>
        <w:tc>
          <w:tcPr>
            <w:tcW w:w="940" w:type="dxa"/>
            <w:vAlign w:val="bottom"/>
            <w:shd w:val="clear" w:color="auto" w:fill="E0E7ED"/>
          </w:tcPr>
          <w:p>
            <w:pPr>
              <w:spacing w:after="0"/>
              <w:rPr>
                <w:sz w:val="11"/>
                <w:szCs w:val="11"/>
                <w:color w:val="auto"/>
              </w:rPr>
            </w:pPr>
          </w:p>
        </w:tc>
        <w:tc>
          <w:tcPr>
            <w:tcW w:w="100" w:type="dxa"/>
            <w:vAlign w:val="bottom"/>
            <w:shd w:val="clear" w:color="auto" w:fill="E0E7ED"/>
          </w:tcPr>
          <w:p>
            <w:pPr>
              <w:spacing w:after="0"/>
              <w:rPr>
                <w:sz w:val="11"/>
                <w:szCs w:val="11"/>
                <w:color w:val="auto"/>
              </w:rPr>
            </w:pPr>
          </w:p>
        </w:tc>
        <w:tc>
          <w:tcPr>
            <w:tcW w:w="180" w:type="dxa"/>
            <w:vAlign w:val="bottom"/>
            <w:shd w:val="clear" w:color="auto" w:fill="E0E7ED"/>
          </w:tcPr>
          <w:p>
            <w:pPr>
              <w:spacing w:after="0"/>
              <w:rPr>
                <w:sz w:val="11"/>
                <w:szCs w:val="11"/>
                <w:color w:val="auto"/>
              </w:rPr>
            </w:pPr>
          </w:p>
        </w:tc>
        <w:tc>
          <w:tcPr>
            <w:tcW w:w="940" w:type="dxa"/>
            <w:vAlign w:val="bottom"/>
            <w:shd w:val="clear" w:color="auto" w:fill="E0E7ED"/>
          </w:tcPr>
          <w:p>
            <w:pPr>
              <w:spacing w:after="0"/>
              <w:rPr>
                <w:sz w:val="11"/>
                <w:szCs w:val="11"/>
                <w:color w:val="auto"/>
              </w:rPr>
            </w:pPr>
          </w:p>
        </w:tc>
        <w:tc>
          <w:tcPr>
            <w:tcW w:w="100" w:type="dxa"/>
            <w:vAlign w:val="bottom"/>
            <w:shd w:val="clear" w:color="auto" w:fill="E0E7ED"/>
          </w:tcPr>
          <w:p>
            <w:pPr>
              <w:spacing w:after="0"/>
              <w:rPr>
                <w:sz w:val="11"/>
                <w:szCs w:val="11"/>
                <w:color w:val="auto"/>
              </w:rPr>
            </w:pPr>
          </w:p>
        </w:tc>
        <w:tc>
          <w:tcPr>
            <w:tcW w:w="1240" w:type="dxa"/>
            <w:vAlign w:val="bottom"/>
            <w:shd w:val="clear" w:color="auto" w:fill="E0E7ED"/>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780" w:type="dxa"/>
            <w:vAlign w:val="bottom"/>
          </w:tcPr>
          <w:p>
            <w:pPr>
              <w:ind w:left="180"/>
              <w:spacing w:after="0" w:line="176" w:lineRule="exact"/>
              <w:rPr>
                <w:sz w:val="20"/>
                <w:szCs w:val="20"/>
                <w:color w:val="auto"/>
              </w:rPr>
            </w:pPr>
            <w:r>
              <w:rPr>
                <w:rFonts w:ascii="Verdana" w:cs="Verdana" w:eastAsia="Verdana" w:hAnsi="Verdana"/>
                <w:sz w:val="13"/>
                <w:szCs w:val="13"/>
                <w:color w:val="auto"/>
              </w:rPr>
              <w:t>Net interest spread</w:t>
            </w:r>
            <w:r>
              <w:rPr>
                <w:rFonts w:ascii="Verdana" w:cs="Verdana" w:eastAsia="Verdana" w:hAnsi="Verdana"/>
                <w:sz w:val="16"/>
                <w:szCs w:val="16"/>
                <w:color w:val="auto"/>
                <w:vertAlign w:val="superscript"/>
              </w:rPr>
              <w:t>1</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2.24 %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2.13 %</w:t>
            </w:r>
          </w:p>
        </w:tc>
        <w:tc>
          <w:tcPr>
            <w:tcW w:w="0" w:type="dxa"/>
            <w:vAlign w:val="bottom"/>
          </w:tcPr>
          <w:p>
            <w:pPr>
              <w:spacing w:after="0"/>
              <w:rPr>
                <w:sz w:val="1"/>
                <w:szCs w:val="1"/>
                <w:color w:val="auto"/>
              </w:rPr>
            </w:pPr>
          </w:p>
        </w:tc>
      </w:tr>
      <w:tr>
        <w:trPr>
          <w:trHeight w:val="20"/>
        </w:trPr>
        <w:tc>
          <w:tcPr>
            <w:tcW w:w="378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180"/>
              <w:spacing w:after="0"/>
              <w:rPr>
                <w:sz w:val="20"/>
                <w:szCs w:val="20"/>
                <w:color w:val="auto"/>
              </w:rPr>
            </w:pPr>
            <w:r>
              <w:rPr>
                <w:rFonts w:ascii="Verdana" w:cs="Verdana" w:eastAsia="Verdana" w:hAnsi="Verdana"/>
                <w:sz w:val="13"/>
                <w:szCs w:val="13"/>
                <w:color w:val="auto"/>
              </w:rPr>
              <w:t>Noninterest-bearing deposits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2,706,858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2,925,244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7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Other liabilities</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205,008</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204,777</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80" w:type="dxa"/>
            <w:vAlign w:val="bottom"/>
            <w:tcBorders>
              <w:bottom w:val="single" w:sz="8" w:color="E0E7ED"/>
            </w:tcBorders>
          </w:tcPr>
          <w:p>
            <w:pPr>
              <w:ind w:left="180"/>
              <w:spacing w:after="0"/>
              <w:rPr>
                <w:sz w:val="20"/>
                <w:szCs w:val="20"/>
                <w:color w:val="auto"/>
              </w:rPr>
            </w:pPr>
            <w:r>
              <w:rPr>
                <w:rFonts w:ascii="Verdana" w:cs="Verdana" w:eastAsia="Verdana" w:hAnsi="Verdana"/>
                <w:sz w:val="13"/>
                <w:szCs w:val="13"/>
                <w:color w:val="auto"/>
              </w:rPr>
              <w:t>Stockholders’ equity</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1,364,377</w:t>
            </w: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E0E7ED"/>
            </w:tcBorders>
          </w:tcPr>
          <w:p>
            <w:pPr>
              <w:spacing w:after="0"/>
              <w:rPr>
                <w:sz w:val="14"/>
                <w:szCs w:val="14"/>
                <w:color w:val="auto"/>
              </w:rPr>
            </w:pPr>
          </w:p>
        </w:tc>
        <w:tc>
          <w:tcPr>
            <w:tcW w:w="940" w:type="dxa"/>
            <w:vAlign w:val="bottom"/>
            <w:tcBorders>
              <w:bottom w:val="single" w:sz="8" w:color="E0E7ED"/>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220" w:type="dxa"/>
            <w:vAlign w:val="bottom"/>
            <w:tcBorders>
              <w:bottom w:val="single" w:sz="8" w:color="E0E7ED"/>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1,208,407</w:t>
            </w: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E0E7ED"/>
            </w:tcBorders>
          </w:tcPr>
          <w:p>
            <w:pPr>
              <w:spacing w:after="0"/>
              <w:rPr>
                <w:sz w:val="14"/>
                <w:szCs w:val="14"/>
                <w:color w:val="auto"/>
              </w:rPr>
            </w:pPr>
          </w:p>
        </w:tc>
        <w:tc>
          <w:tcPr>
            <w:tcW w:w="940" w:type="dxa"/>
            <w:vAlign w:val="bottom"/>
            <w:tcBorders>
              <w:bottom w:val="single" w:sz="8" w:color="E0E7ED"/>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240" w:type="dxa"/>
            <w:vAlign w:val="bottom"/>
            <w:tcBorders>
              <w:bottom w:val="single" w:sz="8" w:color="E0E7ED"/>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78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3"/>
                <w:szCs w:val="13"/>
                <w:color w:val="auto"/>
              </w:rPr>
              <w:t>Total liabilities and stockholders’ equity</w:t>
            </w:r>
          </w:p>
        </w:tc>
        <w:tc>
          <w:tcPr>
            <w:tcW w:w="200" w:type="dxa"/>
            <w:vAlign w:val="bottom"/>
            <w:tcBorders>
              <w:bottom w:val="single" w:sz="8" w:color="auto"/>
            </w:tcBorders>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12,007,702</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122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12,202,783</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1240" w:type="dxa"/>
            <w:vAlign w:val="bottom"/>
            <w:tcBorders>
              <w:bottom w:val="single" w:sz="8" w:color="E0E7ED"/>
            </w:tcBorders>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2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4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80" w:type="dxa"/>
            <w:vAlign w:val="bottom"/>
            <w:shd w:val="clear" w:color="auto" w:fill="E0E7ED"/>
          </w:tcPr>
          <w:p>
            <w:pPr>
              <w:ind w:left="20"/>
              <w:spacing w:after="0" w:line="176" w:lineRule="exact"/>
              <w:rPr>
                <w:sz w:val="20"/>
                <w:szCs w:val="20"/>
                <w:color w:val="auto"/>
              </w:rPr>
            </w:pPr>
            <w:r>
              <w:rPr>
                <w:rFonts w:ascii="Verdana" w:cs="Verdana" w:eastAsia="Verdana" w:hAnsi="Verdana"/>
                <w:sz w:val="13"/>
                <w:szCs w:val="13"/>
                <w:color w:val="auto"/>
              </w:rPr>
              <w:t>Interest income / earning assets</w:t>
            </w:r>
            <w:r>
              <w:rPr>
                <w:rFonts w:ascii="Verdana" w:cs="Verdana" w:eastAsia="Verdana" w:hAnsi="Verdana"/>
                <w:sz w:val="16"/>
                <w:szCs w:val="16"/>
                <w:color w:val="auto"/>
                <w:vertAlign w:val="superscript"/>
              </w:rPr>
              <w:t>1, 3</w:t>
            </w:r>
          </w:p>
        </w:tc>
        <w:tc>
          <w:tcPr>
            <w:tcW w:w="200" w:type="dxa"/>
            <w:vAlign w:val="bottom"/>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10,936,611</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134,896</w:t>
            </w: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4.91 %</w:t>
            </w:r>
          </w:p>
        </w:tc>
        <w:tc>
          <w:tcPr>
            <w:tcW w:w="280" w:type="dxa"/>
            <w:vAlign w:val="bottom"/>
            <w:gridSpan w:val="2"/>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11,118,167</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123,222</w:t>
            </w: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4.40 %</w:t>
            </w:r>
          </w:p>
        </w:tc>
        <w:tc>
          <w:tcPr>
            <w:tcW w:w="0" w:type="dxa"/>
            <w:vAlign w:val="bottom"/>
          </w:tcPr>
          <w:p>
            <w:pPr>
              <w:spacing w:after="0"/>
              <w:rPr>
                <w:sz w:val="1"/>
                <w:szCs w:val="1"/>
                <w:color w:val="auto"/>
              </w:rPr>
            </w:pPr>
          </w:p>
        </w:tc>
      </w:tr>
      <w:tr>
        <w:trPr>
          <w:trHeight w:val="170"/>
        </w:trPr>
        <w:tc>
          <w:tcPr>
            <w:tcW w:w="3780" w:type="dxa"/>
            <w:vAlign w:val="bottom"/>
            <w:tcBorders>
              <w:bottom w:val="single" w:sz="8" w:color="E0E7ED"/>
            </w:tcBorders>
          </w:tcPr>
          <w:p>
            <w:pPr>
              <w:ind w:left="20"/>
              <w:spacing w:after="0"/>
              <w:rPr>
                <w:sz w:val="20"/>
                <w:szCs w:val="20"/>
                <w:color w:val="auto"/>
              </w:rPr>
            </w:pPr>
            <w:r>
              <w:rPr>
                <w:rFonts w:ascii="Verdana" w:cs="Verdana" w:eastAsia="Verdana" w:hAnsi="Verdana"/>
                <w:sz w:val="13"/>
                <w:szCs w:val="13"/>
                <w:color w:val="auto"/>
              </w:rPr>
              <w:t>Interest expense / earning assets</w:t>
            </w:r>
          </w:p>
        </w:tc>
        <w:tc>
          <w:tcPr>
            <w:tcW w:w="200" w:type="dxa"/>
            <w:vAlign w:val="bottom"/>
            <w:tcBorders>
              <w:bottom w:val="single" w:sz="8" w:color="E0E7ED"/>
            </w:tcBorders>
          </w:tcPr>
          <w:p>
            <w:pPr>
              <w:spacing w:after="0"/>
              <w:rPr>
                <w:sz w:val="14"/>
                <w:szCs w:val="14"/>
                <w:color w:val="auto"/>
              </w:rPr>
            </w:pPr>
          </w:p>
        </w:tc>
        <w:tc>
          <w:tcPr>
            <w:tcW w:w="940" w:type="dxa"/>
            <w:vAlign w:val="bottom"/>
            <w:tcBorders>
              <w:bottom w:val="single" w:sz="8" w:color="E0E7ED"/>
            </w:tcBorders>
          </w:tcPr>
          <w:p>
            <w:pPr>
              <w:jc w:val="right"/>
              <w:spacing w:after="0"/>
              <w:rPr>
                <w:sz w:val="20"/>
                <w:szCs w:val="20"/>
                <w:color w:val="auto"/>
              </w:rPr>
            </w:pPr>
            <w:r>
              <w:rPr>
                <w:rFonts w:ascii="Verdana" w:cs="Verdana" w:eastAsia="Verdana" w:hAnsi="Verdana"/>
                <w:sz w:val="13"/>
                <w:szCs w:val="13"/>
                <w:color w:val="auto"/>
              </w:rPr>
              <w:t>10,936,611</w:t>
            </w: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51,959</w:t>
            </w:r>
          </w:p>
        </w:tc>
        <w:tc>
          <w:tcPr>
            <w:tcW w:w="100" w:type="dxa"/>
            <w:vAlign w:val="bottom"/>
            <w:tcBorders>
              <w:bottom w:val="single" w:sz="8" w:color="E0E7ED"/>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1.89 %</w:t>
            </w: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E0E7ED"/>
            </w:tcBorders>
          </w:tcPr>
          <w:p>
            <w:pPr>
              <w:spacing w:after="0"/>
              <w:rPr>
                <w:sz w:val="14"/>
                <w:szCs w:val="14"/>
                <w:color w:val="auto"/>
              </w:rPr>
            </w:pPr>
          </w:p>
        </w:tc>
        <w:tc>
          <w:tcPr>
            <w:tcW w:w="940" w:type="dxa"/>
            <w:vAlign w:val="bottom"/>
            <w:tcBorders>
              <w:bottom w:val="single" w:sz="8" w:color="E0E7ED"/>
            </w:tcBorders>
          </w:tcPr>
          <w:p>
            <w:pPr>
              <w:jc w:val="right"/>
              <w:spacing w:after="0"/>
              <w:rPr>
                <w:sz w:val="20"/>
                <w:szCs w:val="20"/>
                <w:color w:val="auto"/>
              </w:rPr>
            </w:pPr>
            <w:r>
              <w:rPr>
                <w:rFonts w:ascii="Verdana" w:cs="Verdana" w:eastAsia="Verdana" w:hAnsi="Verdana"/>
                <w:sz w:val="13"/>
                <w:szCs w:val="13"/>
                <w:color w:val="auto"/>
              </w:rPr>
              <w:t>11,118,167</w:t>
            </w: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44,878</w:t>
            </w:r>
          </w:p>
        </w:tc>
        <w:tc>
          <w:tcPr>
            <w:tcW w:w="100" w:type="dxa"/>
            <w:vAlign w:val="bottom"/>
            <w:tcBorders>
              <w:bottom w:val="single" w:sz="8" w:color="E0E7ED"/>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1.60 %</w:t>
            </w:r>
          </w:p>
        </w:tc>
        <w:tc>
          <w:tcPr>
            <w:tcW w:w="0" w:type="dxa"/>
            <w:vAlign w:val="bottom"/>
          </w:tcPr>
          <w:p>
            <w:pPr>
              <w:spacing w:after="0"/>
              <w:rPr>
                <w:sz w:val="1"/>
                <w:szCs w:val="1"/>
                <w:color w:val="auto"/>
              </w:rPr>
            </w:pPr>
          </w:p>
        </w:tc>
      </w:tr>
      <w:tr>
        <w:trPr>
          <w:trHeight w:val="199"/>
        </w:trPr>
        <w:tc>
          <w:tcPr>
            <w:tcW w:w="3780" w:type="dxa"/>
            <w:vAlign w:val="bottom"/>
            <w:tcBorders>
              <w:bottom w:val="single" w:sz="8" w:color="E0E7ED"/>
            </w:tcBorders>
            <w:shd w:val="clear" w:color="auto" w:fill="E0E7ED"/>
          </w:tcPr>
          <w:p>
            <w:pPr>
              <w:ind w:left="20"/>
              <w:spacing w:after="0" w:line="175" w:lineRule="exact"/>
              <w:rPr>
                <w:sz w:val="20"/>
                <w:szCs w:val="20"/>
                <w:color w:val="auto"/>
              </w:rPr>
            </w:pPr>
            <w:r>
              <w:rPr>
                <w:rFonts w:ascii="Verdana" w:cs="Verdana" w:eastAsia="Verdana" w:hAnsi="Verdana"/>
                <w:sz w:val="13"/>
                <w:szCs w:val="13"/>
                <w:color w:val="auto"/>
              </w:rPr>
              <w:t>Net interest margin</w:t>
            </w:r>
            <w:r>
              <w:rPr>
                <w:rFonts w:ascii="Verdana" w:cs="Verdana" w:eastAsia="Verdana" w:hAnsi="Verdana"/>
                <w:sz w:val="16"/>
                <w:szCs w:val="16"/>
                <w:color w:val="auto"/>
                <w:vertAlign w:val="superscript"/>
              </w:rPr>
              <w:t>1</w:t>
            </w:r>
          </w:p>
        </w:tc>
        <w:tc>
          <w:tcPr>
            <w:tcW w:w="20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82,937</w:t>
            </w:r>
          </w:p>
        </w:tc>
        <w:tc>
          <w:tcPr>
            <w:tcW w:w="100" w:type="dxa"/>
            <w:vAlign w:val="bottom"/>
            <w:tcBorders>
              <w:bottom w:val="single" w:sz="8" w:color="E0E7ED"/>
            </w:tcBorders>
            <w:shd w:val="clear" w:color="auto" w:fill="E0E7ED"/>
          </w:tcPr>
          <w:p>
            <w:pPr>
              <w:spacing w:after="0"/>
              <w:rPr>
                <w:sz w:val="16"/>
                <w:szCs w:val="16"/>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3.02 %</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78,344</w:t>
            </w:r>
          </w:p>
        </w:tc>
        <w:tc>
          <w:tcPr>
            <w:tcW w:w="100" w:type="dxa"/>
            <w:vAlign w:val="bottom"/>
            <w:tcBorders>
              <w:bottom w:val="single" w:sz="8" w:color="E0E7ED"/>
            </w:tcBorders>
            <w:shd w:val="clear" w:color="auto" w:fill="E0E7ED"/>
          </w:tcPr>
          <w:p>
            <w:pPr>
              <w:spacing w:after="0"/>
              <w:rPr>
                <w:sz w:val="16"/>
                <w:szCs w:val="16"/>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2.80 %</w:t>
            </w:r>
          </w:p>
        </w:tc>
        <w:tc>
          <w:tcPr>
            <w:tcW w:w="0" w:type="dxa"/>
            <w:vAlign w:val="bottom"/>
          </w:tcPr>
          <w:p>
            <w:pPr>
              <w:spacing w:after="0"/>
              <w:rPr>
                <w:sz w:val="1"/>
                <w:szCs w:val="1"/>
                <w:color w:val="auto"/>
              </w:rPr>
            </w:pPr>
          </w:p>
        </w:tc>
      </w:tr>
      <w:tr>
        <w:trPr>
          <w:trHeight w:val="20"/>
        </w:trPr>
        <w:tc>
          <w:tcPr>
            <w:tcW w:w="37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500" w:hanging="330"/>
        <w:spacing w:after="0" w:line="235" w:lineRule="auto"/>
        <w:tabs>
          <w:tab w:leader="none" w:pos="491" w:val="left"/>
        </w:tabs>
        <w:numPr>
          <w:ilvl w:val="0"/>
          <w:numId w:val="22"/>
        </w:numPr>
        <w:rPr>
          <w:rFonts w:ascii="Verdana" w:cs="Verdana" w:eastAsia="Verdana" w:hAnsi="Verdana"/>
          <w:sz w:val="13"/>
          <w:szCs w:val="13"/>
          <w:color w:val="auto"/>
        </w:rPr>
      </w:pPr>
      <w:r>
        <w:rPr>
          <w:rFonts w:ascii="Verdana" w:cs="Verdana" w:eastAsia="Verdana" w:hAnsi="Verdana"/>
          <w:sz w:val="13"/>
          <w:szCs w:val="13"/>
          <w:color w:val="auto"/>
        </w:rPr>
        <w:t xml:space="preserve">On a tax-equivalent basis and assuming a federal income tax rate of 21.0%. For a reconciliation of non-GAAP measures to the most directly comparable GAAP financial measures, see </w:t>
      </w:r>
      <w:r>
        <w:rPr>
          <w:rFonts w:ascii="Verdana" w:cs="Verdana" w:eastAsia="Verdana" w:hAnsi="Verdana"/>
          <w:sz w:val="13"/>
          <w:szCs w:val="13"/>
          <w:i w:val="1"/>
          <w:iCs w:val="1"/>
          <w:u w:val="single" w:color="auto"/>
          <w:color w:val="0000FF"/>
        </w:rPr>
        <w:t>“Item 2. Management’s Discussion and Analysis—Non-GAAP Financial Information</w:t>
      </w:r>
      <w:r>
        <w:rPr>
          <w:rFonts w:ascii="Verdana" w:cs="Verdana" w:eastAsia="Verdana" w:hAnsi="Verdana"/>
          <w:sz w:val="13"/>
          <w:szCs w:val="13"/>
          <w:u w:val="single" w:color="auto"/>
          <w:color w:val="0000FF"/>
        </w:rPr>
        <w:t>”</w:t>
      </w:r>
      <w:r>
        <w:rPr>
          <w:rFonts w:ascii="Verdana" w:cs="Verdana" w:eastAsia="Verdana" w:hAnsi="Verdana"/>
          <w:sz w:val="13"/>
          <w:szCs w:val="13"/>
          <w:color w:val="auto"/>
        </w:rPr>
        <w:t xml:space="preserve"> included in this Quarterly Report.</w:t>
      </w:r>
    </w:p>
    <w:p>
      <w:pPr>
        <w:spacing w:after="0" w:line="1" w:lineRule="exact"/>
        <w:rPr>
          <w:rFonts w:ascii="Verdana" w:cs="Verdana" w:eastAsia="Verdana" w:hAnsi="Verdana"/>
          <w:sz w:val="13"/>
          <w:szCs w:val="13"/>
          <w:color w:val="auto"/>
        </w:rPr>
      </w:pPr>
    </w:p>
    <w:p>
      <w:pPr>
        <w:ind w:left="480" w:hanging="310"/>
        <w:spacing w:after="0" w:line="225" w:lineRule="auto"/>
        <w:tabs>
          <w:tab w:leader="none" w:pos="480" w:val="left"/>
        </w:tabs>
        <w:numPr>
          <w:ilvl w:val="0"/>
          <w:numId w:val="22"/>
        </w:numPr>
        <w:rPr>
          <w:rFonts w:ascii="Verdana" w:cs="Verdana" w:eastAsia="Verdana" w:hAnsi="Verdana"/>
          <w:sz w:val="13"/>
          <w:szCs w:val="13"/>
          <w:color w:val="auto"/>
        </w:rPr>
      </w:pPr>
      <w:r>
        <w:rPr>
          <w:rFonts w:ascii="Verdana" w:cs="Verdana" w:eastAsia="Verdana" w:hAnsi="Verdana"/>
          <w:sz w:val="13"/>
          <w:szCs w:val="13"/>
          <w:color w:val="auto"/>
        </w:rPr>
        <w:t>Non-accrual loans have been included in average portfolio loans.</w:t>
      </w:r>
    </w:p>
    <w:p>
      <w:pPr>
        <w:ind w:left="480" w:hanging="310"/>
        <w:spacing w:after="0" w:line="225" w:lineRule="auto"/>
        <w:tabs>
          <w:tab w:leader="none" w:pos="480" w:val="left"/>
        </w:tabs>
        <w:numPr>
          <w:ilvl w:val="0"/>
          <w:numId w:val="22"/>
        </w:numPr>
        <w:rPr>
          <w:rFonts w:ascii="Verdana" w:cs="Verdana" w:eastAsia="Verdana" w:hAnsi="Verdana"/>
          <w:sz w:val="13"/>
          <w:szCs w:val="13"/>
          <w:color w:val="auto"/>
        </w:rPr>
      </w:pPr>
      <w:r>
        <w:rPr>
          <w:rFonts w:ascii="Verdana" w:cs="Verdana" w:eastAsia="Verdana" w:hAnsi="Verdana"/>
          <w:sz w:val="13"/>
          <w:szCs w:val="13"/>
          <w:color w:val="auto"/>
        </w:rPr>
        <w:t>Interest income includes tax-equivalent adjustments of $0.4 million and $0.6 million for the three months ended September 30, 2024 and 2023, respectively.</w:t>
      </w:r>
    </w:p>
    <w:p>
      <w:pPr>
        <w:ind w:left="480" w:hanging="310"/>
        <w:spacing w:after="0" w:line="225" w:lineRule="auto"/>
        <w:tabs>
          <w:tab w:leader="none" w:pos="480" w:val="left"/>
        </w:tabs>
        <w:numPr>
          <w:ilvl w:val="0"/>
          <w:numId w:val="22"/>
        </w:numPr>
        <w:rPr>
          <w:rFonts w:ascii="Verdana" w:cs="Verdana" w:eastAsia="Verdana" w:hAnsi="Verdana"/>
          <w:sz w:val="13"/>
          <w:szCs w:val="13"/>
          <w:color w:val="auto"/>
        </w:rPr>
      </w:pPr>
      <w:r>
        <w:rPr>
          <w:rFonts w:ascii="Verdana" w:cs="Verdana" w:eastAsia="Verdana" w:hAnsi="Verdana"/>
          <w:sz w:val="13"/>
          <w:szCs w:val="13"/>
          <w:color w:val="auto"/>
        </w:rPr>
        <w:t>Includes short-term and long-term borrowings. Interest expense includes non-usage fees on a revolving loan.</w:t>
      </w:r>
    </w:p>
    <w:p>
      <w:pPr>
        <w:ind w:left="480" w:hanging="310"/>
        <w:spacing w:after="0"/>
        <w:tabs>
          <w:tab w:leader="none" w:pos="480" w:val="left"/>
        </w:tabs>
        <w:numPr>
          <w:ilvl w:val="0"/>
          <w:numId w:val="22"/>
        </w:numPr>
        <w:rPr>
          <w:rFonts w:ascii="Verdana" w:cs="Verdana" w:eastAsia="Verdana" w:hAnsi="Verdana"/>
          <w:sz w:val="13"/>
          <w:szCs w:val="13"/>
          <w:color w:val="auto"/>
        </w:rPr>
      </w:pPr>
      <w:r>
        <w:rPr>
          <w:rFonts w:ascii="Verdana" w:cs="Verdana" w:eastAsia="Verdana" w:hAnsi="Verdana"/>
          <w:sz w:val="13"/>
          <w:szCs w:val="13"/>
          <w:color w:val="auto"/>
        </w:rPr>
        <w:t>Annualized.</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5" w:name="page76"/>
    <w:bookmarkEnd w:id="75"/>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5"/>
          </w:tcPr>
          <w:p>
            <w:pPr>
              <w:ind w:left="60"/>
              <w:spacing w:after="0"/>
              <w:rPr>
                <w:sz w:val="20"/>
                <w:szCs w:val="20"/>
                <w:color w:val="auto"/>
              </w:rPr>
            </w:pPr>
            <w:r>
              <w:rPr>
                <w:rFonts w:ascii="Verdana" w:cs="Verdana" w:eastAsia="Verdana" w:hAnsi="Verdana"/>
                <w:sz w:val="13"/>
                <w:szCs w:val="13"/>
                <w:b w:val="1"/>
                <w:bCs w:val="1"/>
                <w:color w:val="auto"/>
                <w:w w:val="97"/>
              </w:rPr>
              <w:t>Nine Months Ended September 30,</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77"/>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7"/>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ind w:left="80"/>
              <w:spacing w:after="0" w:line="120" w:lineRule="exact"/>
              <w:rPr>
                <w:sz w:val="20"/>
                <w:szCs w:val="20"/>
                <w:color w:val="auto"/>
              </w:rPr>
            </w:pPr>
            <w:r>
              <w:rPr>
                <w:rFonts w:ascii="Verdana" w:cs="Verdana" w:eastAsia="Verdana" w:hAnsi="Verdana"/>
                <w:sz w:val="13"/>
                <w:szCs w:val="13"/>
                <w:b w:val="1"/>
                <w:bCs w:val="1"/>
                <w:color w:val="auto"/>
              </w:rPr>
              <w:t>Average</w:t>
            </w:r>
          </w:p>
        </w:tc>
        <w:tc>
          <w:tcPr>
            <w:tcW w:w="180" w:type="dxa"/>
            <w:vAlign w:val="bottom"/>
          </w:tcPr>
          <w:p>
            <w:pPr>
              <w:spacing w:after="0"/>
              <w:rPr>
                <w:sz w:val="10"/>
                <w:szCs w:val="10"/>
                <w:color w:val="auto"/>
              </w:rPr>
            </w:pPr>
          </w:p>
        </w:tc>
        <w:tc>
          <w:tcPr>
            <w:tcW w:w="1040" w:type="dxa"/>
            <w:vAlign w:val="bottom"/>
            <w:gridSpan w:val="2"/>
          </w:tcPr>
          <w:p>
            <w:pPr>
              <w:ind w:left="60"/>
              <w:spacing w:after="0" w:line="120" w:lineRule="exact"/>
              <w:rPr>
                <w:sz w:val="20"/>
                <w:szCs w:val="20"/>
                <w:color w:val="auto"/>
              </w:rPr>
            </w:pPr>
            <w:r>
              <w:rPr>
                <w:rFonts w:ascii="Verdana" w:cs="Verdana" w:eastAsia="Verdana" w:hAnsi="Verdana"/>
                <w:sz w:val="13"/>
                <w:szCs w:val="13"/>
                <w:b w:val="1"/>
                <w:bCs w:val="1"/>
                <w:color w:val="auto"/>
              </w:rPr>
              <w:t>Income/</w:t>
            </w:r>
          </w:p>
        </w:tc>
        <w:tc>
          <w:tcPr>
            <w:tcW w:w="1220" w:type="dxa"/>
            <w:vAlign w:val="bottom"/>
          </w:tcPr>
          <w:p>
            <w:pPr>
              <w:jc w:val="right"/>
              <w:ind w:right="337"/>
              <w:spacing w:after="0" w:line="120" w:lineRule="exact"/>
              <w:rPr>
                <w:sz w:val="20"/>
                <w:szCs w:val="20"/>
                <w:color w:val="auto"/>
              </w:rPr>
            </w:pPr>
            <w:r>
              <w:rPr>
                <w:rFonts w:ascii="Verdana" w:cs="Verdana" w:eastAsia="Verdana" w:hAnsi="Verdana"/>
                <w:sz w:val="13"/>
                <w:szCs w:val="13"/>
                <w:b w:val="1"/>
                <w:bCs w:val="1"/>
                <w:color w:val="auto"/>
              </w:rPr>
              <w:t>Yield/</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ind w:left="100"/>
              <w:spacing w:after="0" w:line="120" w:lineRule="exact"/>
              <w:rPr>
                <w:sz w:val="20"/>
                <w:szCs w:val="20"/>
                <w:color w:val="auto"/>
              </w:rPr>
            </w:pPr>
            <w:r>
              <w:rPr>
                <w:rFonts w:ascii="Verdana" w:cs="Verdana" w:eastAsia="Verdana" w:hAnsi="Verdana"/>
                <w:sz w:val="13"/>
                <w:szCs w:val="13"/>
                <w:b w:val="1"/>
                <w:bCs w:val="1"/>
                <w:color w:val="auto"/>
              </w:rPr>
              <w:t>Average</w:t>
            </w:r>
          </w:p>
        </w:tc>
        <w:tc>
          <w:tcPr>
            <w:tcW w:w="180" w:type="dxa"/>
            <w:vAlign w:val="bottom"/>
          </w:tcPr>
          <w:p>
            <w:pPr>
              <w:spacing w:after="0"/>
              <w:rPr>
                <w:sz w:val="10"/>
                <w:szCs w:val="10"/>
                <w:color w:val="auto"/>
              </w:rPr>
            </w:pPr>
          </w:p>
        </w:tc>
        <w:tc>
          <w:tcPr>
            <w:tcW w:w="1040" w:type="dxa"/>
            <w:vAlign w:val="bottom"/>
            <w:gridSpan w:val="2"/>
          </w:tcPr>
          <w:p>
            <w:pPr>
              <w:ind w:left="80"/>
              <w:spacing w:after="0" w:line="120" w:lineRule="exact"/>
              <w:rPr>
                <w:sz w:val="20"/>
                <w:szCs w:val="20"/>
                <w:color w:val="auto"/>
              </w:rPr>
            </w:pPr>
            <w:r>
              <w:rPr>
                <w:rFonts w:ascii="Verdana" w:cs="Verdana" w:eastAsia="Verdana" w:hAnsi="Verdana"/>
                <w:sz w:val="13"/>
                <w:szCs w:val="13"/>
                <w:b w:val="1"/>
                <w:bCs w:val="1"/>
                <w:color w:val="auto"/>
              </w:rPr>
              <w:t>Income/</w:t>
            </w:r>
          </w:p>
        </w:tc>
        <w:tc>
          <w:tcPr>
            <w:tcW w:w="1240" w:type="dxa"/>
            <w:vAlign w:val="bottom"/>
          </w:tcPr>
          <w:p>
            <w:pPr>
              <w:jc w:val="right"/>
              <w:ind w:right="337"/>
              <w:spacing w:after="0" w:line="120" w:lineRule="exact"/>
              <w:rPr>
                <w:sz w:val="20"/>
                <w:szCs w:val="20"/>
                <w:color w:val="auto"/>
              </w:rPr>
            </w:pPr>
            <w:r>
              <w:rPr>
                <w:rFonts w:ascii="Verdana" w:cs="Verdana" w:eastAsia="Verdana" w:hAnsi="Verdana"/>
                <w:sz w:val="13"/>
                <w:szCs w:val="13"/>
                <w:b w:val="1"/>
                <w:bCs w:val="1"/>
                <w:color w:val="auto"/>
              </w:rPr>
              <w:t>Yield/</w:t>
            </w: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Verdana" w:cs="Verdana" w:eastAsia="Verdana" w:hAnsi="Verdana"/>
                <w:sz w:val="13"/>
                <w:szCs w:val="13"/>
                <w:b w:val="1"/>
                <w:bCs w:val="1"/>
                <w:color w:val="auto"/>
              </w:rPr>
              <w:t>Balance</w:t>
            </w:r>
          </w:p>
        </w:tc>
        <w:tc>
          <w:tcPr>
            <w:tcW w:w="18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Verdana" w:cs="Verdana" w:eastAsia="Verdana" w:hAnsi="Verdana"/>
                <w:sz w:val="13"/>
                <w:szCs w:val="13"/>
                <w:b w:val="1"/>
                <w:bCs w:val="1"/>
                <w:color w:val="auto"/>
              </w:rPr>
              <w:t>Expense</w:t>
            </w:r>
          </w:p>
        </w:tc>
        <w:tc>
          <w:tcPr>
            <w:tcW w:w="1220" w:type="dxa"/>
            <w:vAlign w:val="bottom"/>
          </w:tcPr>
          <w:p>
            <w:pPr>
              <w:jc w:val="right"/>
              <w:ind w:right="357"/>
              <w:spacing w:after="0" w:line="176" w:lineRule="exact"/>
              <w:rPr>
                <w:sz w:val="20"/>
                <w:szCs w:val="20"/>
                <w:color w:val="auto"/>
              </w:rPr>
            </w:pPr>
            <w:r>
              <w:rPr>
                <w:rFonts w:ascii="Verdana" w:cs="Verdana" w:eastAsia="Verdana" w:hAnsi="Verdana"/>
                <w:sz w:val="13"/>
                <w:szCs w:val="13"/>
                <w:b w:val="1"/>
                <w:bCs w:val="1"/>
                <w:color w:val="auto"/>
              </w:rPr>
              <w:t>Rate</w:t>
            </w:r>
            <w:r>
              <w:rPr>
                <w:rFonts w:ascii="Verdana" w:cs="Verdana" w:eastAsia="Verdana" w:hAnsi="Verdana"/>
                <w:sz w:val="16"/>
                <w:szCs w:val="16"/>
                <w:b w:val="1"/>
                <w:bCs w:val="1"/>
                <w:color w:val="auto"/>
                <w:vertAlign w:val="superscript"/>
              </w:rPr>
              <w:t>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Verdana" w:cs="Verdana" w:eastAsia="Verdana" w:hAnsi="Verdana"/>
                <w:sz w:val="13"/>
                <w:szCs w:val="13"/>
                <w:b w:val="1"/>
                <w:bCs w:val="1"/>
                <w:color w:val="auto"/>
              </w:rPr>
              <w:t>Balance</w:t>
            </w:r>
          </w:p>
        </w:tc>
        <w:tc>
          <w:tcPr>
            <w:tcW w:w="18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Verdana" w:cs="Verdana" w:eastAsia="Verdana" w:hAnsi="Verdana"/>
                <w:sz w:val="13"/>
                <w:szCs w:val="13"/>
                <w:b w:val="1"/>
                <w:bCs w:val="1"/>
                <w:color w:val="auto"/>
              </w:rPr>
              <w:t>Expense</w:t>
            </w:r>
          </w:p>
        </w:tc>
        <w:tc>
          <w:tcPr>
            <w:tcW w:w="1240" w:type="dxa"/>
            <w:vAlign w:val="bottom"/>
          </w:tcPr>
          <w:p>
            <w:pPr>
              <w:jc w:val="right"/>
              <w:ind w:right="377"/>
              <w:spacing w:after="0" w:line="176" w:lineRule="exact"/>
              <w:rPr>
                <w:sz w:val="20"/>
                <w:szCs w:val="20"/>
                <w:color w:val="auto"/>
              </w:rPr>
            </w:pPr>
            <w:r>
              <w:rPr>
                <w:rFonts w:ascii="Verdana" w:cs="Verdana" w:eastAsia="Verdana" w:hAnsi="Verdana"/>
                <w:sz w:val="13"/>
                <w:szCs w:val="13"/>
                <w:b w:val="1"/>
                <w:bCs w:val="1"/>
                <w:color w:val="auto"/>
              </w:rPr>
              <w:t>Rate</w:t>
            </w:r>
            <w:r>
              <w:rPr>
                <w:rFonts w:ascii="Verdana" w:cs="Verdana" w:eastAsia="Verdana" w:hAnsi="Verdana"/>
                <w:sz w:val="16"/>
                <w:szCs w:val="16"/>
                <w:b w:val="1"/>
                <w:bCs w:val="1"/>
                <w:color w:val="auto"/>
                <w:vertAlign w:val="superscript"/>
              </w:rPr>
              <w:t>5</w:t>
            </w:r>
          </w:p>
        </w:tc>
        <w:tc>
          <w:tcPr>
            <w:tcW w:w="0" w:type="dxa"/>
            <w:vAlign w:val="bottom"/>
          </w:tcPr>
          <w:p>
            <w:pPr>
              <w:spacing w:after="0"/>
              <w:rPr>
                <w:sz w:val="1"/>
                <w:szCs w:val="1"/>
                <w:color w:val="auto"/>
              </w:rPr>
            </w:pPr>
          </w:p>
        </w:tc>
      </w:tr>
      <w:tr>
        <w:trPr>
          <w:trHeight w:val="156"/>
        </w:trPr>
        <w:tc>
          <w:tcPr>
            <w:tcW w:w="3780" w:type="dxa"/>
            <w:vAlign w:val="bottom"/>
            <w:tcBorders>
              <w:top w:val="single" w:sz="8" w:color="E0E7ED"/>
            </w:tcBorders>
            <w:shd w:val="clear" w:color="auto" w:fill="E0E7ED"/>
          </w:tcPr>
          <w:p>
            <w:pPr>
              <w:ind w:left="20"/>
              <w:spacing w:after="0" w:line="145" w:lineRule="exact"/>
              <w:rPr>
                <w:sz w:val="20"/>
                <w:szCs w:val="20"/>
                <w:color w:val="auto"/>
              </w:rPr>
            </w:pPr>
            <w:r>
              <w:rPr>
                <w:rFonts w:ascii="Verdana" w:cs="Verdana" w:eastAsia="Verdana" w:hAnsi="Verdana"/>
                <w:sz w:val="13"/>
                <w:szCs w:val="13"/>
                <w:b w:val="1"/>
                <w:bCs w:val="1"/>
                <w:color w:val="auto"/>
              </w:rPr>
              <w:t>Assets</w:t>
            </w:r>
          </w:p>
        </w:tc>
        <w:tc>
          <w:tcPr>
            <w:tcW w:w="200" w:type="dxa"/>
            <w:vAlign w:val="bottom"/>
            <w:tcBorders>
              <w:top w:val="single" w:sz="8" w:color="auto"/>
            </w:tcBorders>
            <w:shd w:val="clear" w:color="auto" w:fill="E0E7ED"/>
          </w:tcPr>
          <w:p>
            <w:pPr>
              <w:spacing w:after="0"/>
              <w:rPr>
                <w:sz w:val="13"/>
                <w:szCs w:val="13"/>
                <w:color w:val="auto"/>
              </w:rPr>
            </w:pPr>
          </w:p>
        </w:tc>
        <w:tc>
          <w:tcPr>
            <w:tcW w:w="940" w:type="dxa"/>
            <w:vAlign w:val="bottom"/>
            <w:tcBorders>
              <w:top w:val="single" w:sz="8" w:color="auto"/>
            </w:tcBorders>
            <w:shd w:val="clear" w:color="auto" w:fill="E0E7ED"/>
          </w:tcPr>
          <w:p>
            <w:pPr>
              <w:spacing w:after="0"/>
              <w:rPr>
                <w:sz w:val="13"/>
                <w:szCs w:val="13"/>
                <w:color w:val="auto"/>
              </w:rPr>
            </w:pPr>
          </w:p>
        </w:tc>
        <w:tc>
          <w:tcPr>
            <w:tcW w:w="100" w:type="dxa"/>
            <w:vAlign w:val="bottom"/>
            <w:tcBorders>
              <w:top w:val="single" w:sz="8" w:color="E0E7ED"/>
            </w:tcBorders>
            <w:shd w:val="clear" w:color="auto" w:fill="E0E7ED"/>
          </w:tcPr>
          <w:p>
            <w:pPr>
              <w:spacing w:after="0"/>
              <w:rPr>
                <w:sz w:val="13"/>
                <w:szCs w:val="13"/>
                <w:color w:val="auto"/>
              </w:rPr>
            </w:pPr>
          </w:p>
        </w:tc>
        <w:tc>
          <w:tcPr>
            <w:tcW w:w="180" w:type="dxa"/>
            <w:vAlign w:val="bottom"/>
            <w:tcBorders>
              <w:top w:val="single" w:sz="8" w:color="auto"/>
            </w:tcBorders>
            <w:shd w:val="clear" w:color="auto" w:fill="E0E7ED"/>
          </w:tcPr>
          <w:p>
            <w:pPr>
              <w:spacing w:after="0"/>
              <w:rPr>
                <w:sz w:val="13"/>
                <w:szCs w:val="13"/>
                <w:color w:val="auto"/>
              </w:rPr>
            </w:pPr>
          </w:p>
        </w:tc>
        <w:tc>
          <w:tcPr>
            <w:tcW w:w="940" w:type="dxa"/>
            <w:vAlign w:val="bottom"/>
            <w:tcBorders>
              <w:top w:val="single" w:sz="8" w:color="auto"/>
            </w:tcBorders>
            <w:shd w:val="clear" w:color="auto" w:fill="E0E7ED"/>
          </w:tcPr>
          <w:p>
            <w:pPr>
              <w:spacing w:after="0"/>
              <w:rPr>
                <w:sz w:val="13"/>
                <w:szCs w:val="13"/>
                <w:color w:val="auto"/>
              </w:rPr>
            </w:pPr>
          </w:p>
        </w:tc>
        <w:tc>
          <w:tcPr>
            <w:tcW w:w="100" w:type="dxa"/>
            <w:vAlign w:val="bottom"/>
            <w:tcBorders>
              <w:top w:val="single" w:sz="8" w:color="E0E7ED"/>
            </w:tcBorders>
            <w:shd w:val="clear" w:color="auto" w:fill="E0E7ED"/>
          </w:tcPr>
          <w:p>
            <w:pPr>
              <w:spacing w:after="0"/>
              <w:rPr>
                <w:sz w:val="13"/>
                <w:szCs w:val="13"/>
                <w:color w:val="auto"/>
              </w:rPr>
            </w:pPr>
          </w:p>
        </w:tc>
        <w:tc>
          <w:tcPr>
            <w:tcW w:w="1220" w:type="dxa"/>
            <w:vAlign w:val="bottom"/>
            <w:tcBorders>
              <w:top w:val="single" w:sz="8" w:color="auto"/>
            </w:tcBorders>
            <w:shd w:val="clear" w:color="auto" w:fill="E0E7ED"/>
          </w:tcPr>
          <w:p>
            <w:pPr>
              <w:spacing w:after="0"/>
              <w:rPr>
                <w:sz w:val="13"/>
                <w:szCs w:val="13"/>
                <w:color w:val="auto"/>
              </w:rPr>
            </w:pPr>
          </w:p>
        </w:tc>
        <w:tc>
          <w:tcPr>
            <w:tcW w:w="100" w:type="dxa"/>
            <w:vAlign w:val="bottom"/>
            <w:tcBorders>
              <w:top w:val="single" w:sz="8" w:color="E0E7ED"/>
            </w:tcBorders>
            <w:shd w:val="clear" w:color="auto" w:fill="E0E7ED"/>
          </w:tcPr>
          <w:p>
            <w:pPr>
              <w:spacing w:after="0"/>
              <w:rPr>
                <w:sz w:val="13"/>
                <w:szCs w:val="13"/>
                <w:color w:val="auto"/>
              </w:rPr>
            </w:pPr>
          </w:p>
        </w:tc>
        <w:tc>
          <w:tcPr>
            <w:tcW w:w="180" w:type="dxa"/>
            <w:vAlign w:val="bottom"/>
            <w:tcBorders>
              <w:top w:val="single" w:sz="8" w:color="auto"/>
            </w:tcBorders>
            <w:shd w:val="clear" w:color="auto" w:fill="E0E7ED"/>
          </w:tcPr>
          <w:p>
            <w:pPr>
              <w:spacing w:after="0"/>
              <w:rPr>
                <w:sz w:val="13"/>
                <w:szCs w:val="13"/>
                <w:color w:val="auto"/>
              </w:rPr>
            </w:pPr>
          </w:p>
        </w:tc>
        <w:tc>
          <w:tcPr>
            <w:tcW w:w="940" w:type="dxa"/>
            <w:vAlign w:val="bottom"/>
            <w:tcBorders>
              <w:top w:val="single" w:sz="8" w:color="auto"/>
            </w:tcBorders>
            <w:shd w:val="clear" w:color="auto" w:fill="E0E7ED"/>
          </w:tcPr>
          <w:p>
            <w:pPr>
              <w:spacing w:after="0"/>
              <w:rPr>
                <w:sz w:val="13"/>
                <w:szCs w:val="13"/>
                <w:color w:val="auto"/>
              </w:rPr>
            </w:pPr>
          </w:p>
        </w:tc>
        <w:tc>
          <w:tcPr>
            <w:tcW w:w="100" w:type="dxa"/>
            <w:vAlign w:val="bottom"/>
            <w:tcBorders>
              <w:top w:val="single" w:sz="8" w:color="E0E7ED"/>
            </w:tcBorders>
            <w:shd w:val="clear" w:color="auto" w:fill="E0E7ED"/>
          </w:tcPr>
          <w:p>
            <w:pPr>
              <w:spacing w:after="0"/>
              <w:rPr>
                <w:sz w:val="13"/>
                <w:szCs w:val="13"/>
                <w:color w:val="auto"/>
              </w:rPr>
            </w:pPr>
          </w:p>
        </w:tc>
        <w:tc>
          <w:tcPr>
            <w:tcW w:w="180" w:type="dxa"/>
            <w:vAlign w:val="bottom"/>
            <w:tcBorders>
              <w:top w:val="single" w:sz="8" w:color="auto"/>
            </w:tcBorders>
            <w:shd w:val="clear" w:color="auto" w:fill="E0E7ED"/>
          </w:tcPr>
          <w:p>
            <w:pPr>
              <w:spacing w:after="0"/>
              <w:rPr>
                <w:sz w:val="13"/>
                <w:szCs w:val="13"/>
                <w:color w:val="auto"/>
              </w:rPr>
            </w:pPr>
          </w:p>
        </w:tc>
        <w:tc>
          <w:tcPr>
            <w:tcW w:w="940" w:type="dxa"/>
            <w:vAlign w:val="bottom"/>
            <w:tcBorders>
              <w:top w:val="single" w:sz="8" w:color="auto"/>
            </w:tcBorders>
            <w:shd w:val="clear" w:color="auto" w:fill="E0E7ED"/>
          </w:tcPr>
          <w:p>
            <w:pPr>
              <w:spacing w:after="0"/>
              <w:rPr>
                <w:sz w:val="13"/>
                <w:szCs w:val="13"/>
                <w:color w:val="auto"/>
              </w:rPr>
            </w:pPr>
          </w:p>
        </w:tc>
        <w:tc>
          <w:tcPr>
            <w:tcW w:w="100" w:type="dxa"/>
            <w:vAlign w:val="bottom"/>
            <w:tcBorders>
              <w:top w:val="single" w:sz="8" w:color="E0E7ED"/>
            </w:tcBorders>
            <w:shd w:val="clear" w:color="auto" w:fill="E0E7ED"/>
          </w:tcPr>
          <w:p>
            <w:pPr>
              <w:spacing w:after="0"/>
              <w:rPr>
                <w:sz w:val="13"/>
                <w:szCs w:val="13"/>
                <w:color w:val="auto"/>
              </w:rPr>
            </w:pPr>
          </w:p>
        </w:tc>
        <w:tc>
          <w:tcPr>
            <w:tcW w:w="1240" w:type="dxa"/>
            <w:vAlign w:val="bottom"/>
            <w:tcBorders>
              <w:top w:val="single" w:sz="8" w:color="auto"/>
            </w:tcBorders>
            <w:shd w:val="clear" w:color="auto" w:fill="E0E7ED"/>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180"/>
              <w:spacing w:after="0"/>
              <w:rPr>
                <w:sz w:val="20"/>
                <w:szCs w:val="20"/>
                <w:color w:val="auto"/>
              </w:rPr>
            </w:pPr>
            <w:r>
              <w:rPr>
                <w:rFonts w:ascii="Verdana" w:cs="Verdana" w:eastAsia="Verdana" w:hAnsi="Verdana"/>
                <w:sz w:val="13"/>
                <w:szCs w:val="13"/>
                <w:color w:val="auto"/>
              </w:rPr>
              <w:t>Interest-bearing bank deposits and federal funds sold</w:t>
            </w: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940" w:type="dxa"/>
            <w:vAlign w:val="bottom"/>
          </w:tcPr>
          <w:p>
            <w:pPr>
              <w:jc w:val="right"/>
              <w:spacing w:after="0"/>
              <w:rPr>
                <w:sz w:val="20"/>
                <w:szCs w:val="20"/>
                <w:color w:val="auto"/>
              </w:rPr>
            </w:pPr>
            <w:r>
              <w:rPr>
                <w:rFonts w:ascii="Verdana" w:cs="Verdana" w:eastAsia="Verdana" w:hAnsi="Verdana"/>
                <w:sz w:val="13"/>
                <w:szCs w:val="13"/>
                <w:color w:val="auto"/>
              </w:rPr>
              <w:t>371,472</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Pr>
          <w:p>
            <w:pPr>
              <w:jc w:val="right"/>
              <w:ind w:right="17"/>
              <w:spacing w:after="0"/>
              <w:rPr>
                <w:sz w:val="20"/>
                <w:szCs w:val="20"/>
                <w:color w:val="auto"/>
              </w:rPr>
            </w:pPr>
            <w:r>
              <w:rPr>
                <w:rFonts w:ascii="Verdana" w:cs="Verdana" w:eastAsia="Verdana" w:hAnsi="Verdana"/>
                <w:sz w:val="13"/>
                <w:szCs w:val="13"/>
                <w:color w:val="auto"/>
              </w:rPr>
              <w:t>14,590</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Verdana" w:cs="Verdana" w:eastAsia="Verdana" w:hAnsi="Verdana"/>
                <w:sz w:val="13"/>
                <w:szCs w:val="13"/>
                <w:color w:val="auto"/>
              </w:rPr>
              <w:t>5.25 %</w:t>
            </w:r>
          </w:p>
        </w:tc>
        <w:tc>
          <w:tcPr>
            <w:tcW w:w="280" w:type="dxa"/>
            <w:vAlign w:val="bottom"/>
            <w:gridSpan w:val="2"/>
          </w:tcPr>
          <w:p>
            <w:pPr>
              <w:jc w:val="right"/>
              <w:ind w:right="17"/>
              <w:spacing w:after="0"/>
              <w:rPr>
                <w:sz w:val="20"/>
                <w:szCs w:val="20"/>
                <w:color w:val="auto"/>
              </w:rPr>
            </w:pPr>
            <w:r>
              <w:rPr>
                <w:rFonts w:ascii="Verdana" w:cs="Verdana" w:eastAsia="Verdana" w:hAnsi="Verdana"/>
                <w:sz w:val="13"/>
                <w:szCs w:val="13"/>
                <w:color w:val="auto"/>
              </w:rPr>
              <w:t>$</w:t>
            </w:r>
          </w:p>
        </w:tc>
        <w:tc>
          <w:tcPr>
            <w:tcW w:w="940" w:type="dxa"/>
            <w:vAlign w:val="bottom"/>
          </w:tcPr>
          <w:p>
            <w:pPr>
              <w:jc w:val="right"/>
              <w:spacing w:after="0"/>
              <w:rPr>
                <w:sz w:val="20"/>
                <w:szCs w:val="20"/>
                <w:color w:val="auto"/>
              </w:rPr>
            </w:pPr>
            <w:r>
              <w:rPr>
                <w:rFonts w:ascii="Verdana" w:cs="Verdana" w:eastAsia="Verdana" w:hAnsi="Verdana"/>
                <w:sz w:val="13"/>
                <w:szCs w:val="13"/>
                <w:color w:val="auto"/>
              </w:rPr>
              <w:t>119,393</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Pr>
          <w:p>
            <w:pPr>
              <w:jc w:val="right"/>
              <w:spacing w:after="0"/>
              <w:rPr>
                <w:sz w:val="20"/>
                <w:szCs w:val="20"/>
                <w:color w:val="auto"/>
              </w:rPr>
            </w:pPr>
            <w:r>
              <w:rPr>
                <w:rFonts w:ascii="Verdana" w:cs="Verdana" w:eastAsia="Verdana" w:hAnsi="Verdana"/>
                <w:sz w:val="13"/>
                <w:szCs w:val="13"/>
                <w:color w:val="auto"/>
              </w:rPr>
              <w:t>3,890</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4.36 %</w:t>
            </w:r>
          </w:p>
        </w:tc>
        <w:tc>
          <w:tcPr>
            <w:tcW w:w="0" w:type="dxa"/>
            <w:vAlign w:val="bottom"/>
          </w:tcPr>
          <w:p>
            <w:pPr>
              <w:spacing w:after="0"/>
              <w:rPr>
                <w:sz w:val="1"/>
                <w:szCs w:val="1"/>
                <w:color w:val="auto"/>
              </w:rPr>
            </w:pPr>
          </w:p>
        </w:tc>
      </w:tr>
      <w:tr>
        <w:trPr>
          <w:trHeight w:val="181"/>
        </w:trPr>
        <w:tc>
          <w:tcPr>
            <w:tcW w:w="37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Investment securities:</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360"/>
              <w:spacing w:after="0"/>
              <w:rPr>
                <w:sz w:val="20"/>
                <w:szCs w:val="20"/>
                <w:color w:val="auto"/>
              </w:rPr>
            </w:pPr>
            <w:r>
              <w:rPr>
                <w:rFonts w:ascii="Verdana" w:cs="Verdana" w:eastAsia="Verdana" w:hAnsi="Verdana"/>
                <w:sz w:val="13"/>
                <w:szCs w:val="13"/>
                <w:color w:val="auto"/>
              </w:rPr>
              <w:t>U.S. Government obligations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6,805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7"/>
              <w:spacing w:after="0"/>
              <w:rPr>
                <w:sz w:val="20"/>
                <w:szCs w:val="20"/>
                <w:color w:val="auto"/>
              </w:rPr>
            </w:pPr>
            <w:r>
              <w:rPr>
                <w:rFonts w:ascii="Verdana" w:cs="Verdana" w:eastAsia="Verdana" w:hAnsi="Verdana"/>
                <w:sz w:val="13"/>
                <w:szCs w:val="13"/>
                <w:color w:val="auto"/>
              </w:rPr>
              <w:t>139</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Verdana" w:cs="Verdana" w:eastAsia="Verdana" w:hAnsi="Verdana"/>
                <w:sz w:val="13"/>
                <w:szCs w:val="13"/>
                <w:color w:val="auto"/>
              </w:rPr>
              <w:t>2.73 %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91,468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478</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0.70 %</w:t>
            </w:r>
          </w:p>
        </w:tc>
        <w:tc>
          <w:tcPr>
            <w:tcW w:w="0" w:type="dxa"/>
            <w:vAlign w:val="bottom"/>
          </w:tcPr>
          <w:p>
            <w:pPr>
              <w:spacing w:after="0"/>
              <w:rPr>
                <w:sz w:val="1"/>
                <w:szCs w:val="1"/>
                <w:color w:val="auto"/>
              </w:rPr>
            </w:pPr>
          </w:p>
        </w:tc>
      </w:tr>
      <w:tr>
        <w:trPr>
          <w:trHeight w:val="181"/>
        </w:trPr>
        <w:tc>
          <w:tcPr>
            <w:tcW w:w="3780" w:type="dxa"/>
            <w:vAlign w:val="bottom"/>
            <w:shd w:val="clear" w:color="auto" w:fill="E0E7ED"/>
          </w:tcPr>
          <w:p>
            <w:pPr>
              <w:ind w:left="360"/>
              <w:spacing w:after="0" w:line="181" w:lineRule="exact"/>
              <w:rPr>
                <w:sz w:val="20"/>
                <w:szCs w:val="20"/>
                <w:color w:val="auto"/>
              </w:rPr>
            </w:pPr>
            <w:r>
              <w:rPr>
                <w:rFonts w:ascii="Verdana" w:cs="Verdana" w:eastAsia="Verdana" w:hAnsi="Verdana"/>
                <w:sz w:val="13"/>
                <w:szCs w:val="13"/>
                <w:color w:val="auto"/>
              </w:rPr>
              <w:t>Obligations of states and political subdivisions</w:t>
            </w:r>
            <w:r>
              <w:rPr>
                <w:rFonts w:ascii="Verdana" w:cs="Verdana" w:eastAsia="Verdana" w:hAnsi="Verdana"/>
                <w:sz w:val="16"/>
                <w:szCs w:val="16"/>
                <w:color w:val="auto"/>
                <w:vertAlign w:val="superscript"/>
              </w:rPr>
              <w:t>1</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155,213</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3,292</w:t>
            </w: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2.83 %</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244,139</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5,123</w:t>
            </w: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2.81 %</w:t>
            </w:r>
          </w:p>
        </w:tc>
        <w:tc>
          <w:tcPr>
            <w:tcW w:w="0" w:type="dxa"/>
            <w:vAlign w:val="bottom"/>
          </w:tcPr>
          <w:p>
            <w:pPr>
              <w:spacing w:after="0"/>
              <w:rPr>
                <w:sz w:val="1"/>
                <w:szCs w:val="1"/>
                <w:color w:val="auto"/>
              </w:rPr>
            </w:pPr>
          </w:p>
        </w:tc>
      </w:tr>
      <w:tr>
        <w:trPr>
          <w:trHeight w:val="170"/>
        </w:trPr>
        <w:tc>
          <w:tcPr>
            <w:tcW w:w="3780" w:type="dxa"/>
            <w:vAlign w:val="bottom"/>
          </w:tcPr>
          <w:p>
            <w:pPr>
              <w:ind w:left="360"/>
              <w:spacing w:after="0"/>
              <w:rPr>
                <w:sz w:val="20"/>
                <w:szCs w:val="20"/>
                <w:color w:val="auto"/>
              </w:rPr>
            </w:pPr>
            <w:r>
              <w:rPr>
                <w:rFonts w:ascii="Verdana" w:cs="Verdana" w:eastAsia="Verdana" w:hAnsi="Verdana"/>
                <w:sz w:val="13"/>
                <w:szCs w:val="13"/>
                <w:color w:val="auto"/>
              </w:rPr>
              <w:t>Other securities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2,607,844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7"/>
              <w:spacing w:after="0"/>
              <w:rPr>
                <w:sz w:val="20"/>
                <w:szCs w:val="20"/>
                <w:color w:val="auto"/>
              </w:rPr>
            </w:pPr>
            <w:r>
              <w:rPr>
                <w:rFonts w:ascii="Verdana" w:cs="Verdana" w:eastAsia="Verdana" w:hAnsi="Verdana"/>
                <w:sz w:val="13"/>
                <w:szCs w:val="13"/>
                <w:color w:val="auto"/>
              </w:rPr>
              <w:t>53,994</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Verdana" w:cs="Verdana" w:eastAsia="Verdana" w:hAnsi="Verdana"/>
                <w:sz w:val="13"/>
                <w:szCs w:val="13"/>
                <w:color w:val="auto"/>
              </w:rPr>
              <w:t>2.77 %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2,918,447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57,327</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2.63 %</w:t>
            </w:r>
          </w:p>
        </w:tc>
        <w:tc>
          <w:tcPr>
            <w:tcW w:w="0" w:type="dxa"/>
            <w:vAlign w:val="bottom"/>
          </w:tcPr>
          <w:p>
            <w:pPr>
              <w:spacing w:after="0"/>
              <w:rPr>
                <w:sz w:val="1"/>
                <w:szCs w:val="1"/>
                <w:color w:val="auto"/>
              </w:rPr>
            </w:pPr>
          </w:p>
        </w:tc>
      </w:tr>
      <w:tr>
        <w:trPr>
          <w:trHeight w:val="181"/>
        </w:trPr>
        <w:tc>
          <w:tcPr>
            <w:tcW w:w="37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Loans held for sale</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8,585</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417</w:t>
            </w: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6.49 %</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1,955</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86</w:t>
            </w: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5.87 %</w:t>
            </w:r>
          </w:p>
        </w:tc>
        <w:tc>
          <w:tcPr>
            <w:tcW w:w="0" w:type="dxa"/>
            <w:vAlign w:val="bottom"/>
          </w:tcPr>
          <w:p>
            <w:pPr>
              <w:spacing w:after="0"/>
              <w:rPr>
                <w:sz w:val="1"/>
                <w:szCs w:val="1"/>
                <w:color w:val="auto"/>
              </w:rPr>
            </w:pPr>
          </w:p>
        </w:tc>
      </w:tr>
      <w:tr>
        <w:trPr>
          <w:trHeight w:val="176"/>
        </w:trPr>
        <w:tc>
          <w:tcPr>
            <w:tcW w:w="3780" w:type="dxa"/>
            <w:vAlign w:val="bottom"/>
            <w:tcBorders>
              <w:bottom w:val="single" w:sz="8" w:color="E0E7ED"/>
            </w:tcBorders>
          </w:tcPr>
          <w:p>
            <w:pPr>
              <w:ind w:left="180"/>
              <w:spacing w:after="0" w:line="176" w:lineRule="exact"/>
              <w:rPr>
                <w:sz w:val="20"/>
                <w:szCs w:val="20"/>
                <w:color w:val="auto"/>
              </w:rPr>
            </w:pPr>
            <w:r>
              <w:rPr>
                <w:rFonts w:ascii="Verdana" w:cs="Verdana" w:eastAsia="Verdana" w:hAnsi="Verdana"/>
                <w:sz w:val="13"/>
                <w:szCs w:val="13"/>
                <w:color w:val="auto"/>
              </w:rPr>
              <w:t>Portfolio loans</w:t>
            </w:r>
            <w:r>
              <w:rPr>
                <w:rFonts w:ascii="Verdana" w:cs="Verdana" w:eastAsia="Verdana" w:hAnsi="Verdana"/>
                <w:sz w:val="16"/>
                <w:szCs w:val="16"/>
                <w:color w:val="auto"/>
                <w:vertAlign w:val="superscript"/>
              </w:rPr>
              <w:t>1, 2</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7,826,741</w:t>
            </w:r>
          </w:p>
        </w:tc>
        <w:tc>
          <w:tcPr>
            <w:tcW w:w="10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320,889</w:t>
            </w:r>
          </w:p>
        </w:tc>
        <w:tc>
          <w:tcPr>
            <w:tcW w:w="100" w:type="dxa"/>
            <w:vAlign w:val="bottom"/>
            <w:tcBorders>
              <w:bottom w:val="single" w:sz="8" w:color="E0E7ED"/>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5.48 %</w:t>
            </w:r>
          </w:p>
        </w:tc>
        <w:tc>
          <w:tcPr>
            <w:tcW w:w="10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7,767,378</w:t>
            </w:r>
          </w:p>
        </w:tc>
        <w:tc>
          <w:tcPr>
            <w:tcW w:w="10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285,441</w:t>
            </w:r>
          </w:p>
        </w:tc>
        <w:tc>
          <w:tcPr>
            <w:tcW w:w="100" w:type="dxa"/>
            <w:vAlign w:val="bottom"/>
            <w:tcBorders>
              <w:bottom w:val="single" w:sz="8" w:color="E0E7ED"/>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4.91 %</w:t>
            </w:r>
          </w:p>
        </w:tc>
        <w:tc>
          <w:tcPr>
            <w:tcW w:w="0" w:type="dxa"/>
            <w:vAlign w:val="bottom"/>
          </w:tcPr>
          <w:p>
            <w:pPr>
              <w:spacing w:after="0"/>
              <w:rPr>
                <w:sz w:val="1"/>
                <w:szCs w:val="1"/>
                <w:color w:val="auto"/>
              </w:rPr>
            </w:pPr>
          </w:p>
        </w:tc>
      </w:tr>
      <w:tr>
        <w:trPr>
          <w:trHeight w:val="194"/>
        </w:trPr>
        <w:tc>
          <w:tcPr>
            <w:tcW w:w="3780" w:type="dxa"/>
            <w:vAlign w:val="bottom"/>
            <w:tcBorders>
              <w:bottom w:val="single" w:sz="8" w:color="E0E7ED"/>
            </w:tcBorders>
            <w:shd w:val="clear" w:color="auto" w:fill="E0E7ED"/>
          </w:tcPr>
          <w:p>
            <w:pPr>
              <w:ind w:left="180"/>
              <w:spacing w:after="0" w:line="169" w:lineRule="exact"/>
              <w:rPr>
                <w:sz w:val="20"/>
                <w:szCs w:val="20"/>
                <w:color w:val="auto"/>
              </w:rPr>
            </w:pPr>
            <w:r>
              <w:rPr>
                <w:rFonts w:ascii="Verdana" w:cs="Verdana" w:eastAsia="Verdana" w:hAnsi="Verdana"/>
                <w:sz w:val="13"/>
                <w:szCs w:val="13"/>
                <w:color w:val="auto"/>
              </w:rPr>
              <w:t>Total interest-earning assets</w:t>
            </w:r>
            <w:r>
              <w:rPr>
                <w:rFonts w:ascii="Verdana" w:cs="Verdana" w:eastAsia="Verdana" w:hAnsi="Verdana"/>
                <w:sz w:val="16"/>
                <w:szCs w:val="16"/>
                <w:color w:val="auto"/>
                <w:vertAlign w:val="superscript"/>
              </w:rPr>
              <w:t>1, 3</w:t>
            </w:r>
          </w:p>
        </w:tc>
        <w:tc>
          <w:tcPr>
            <w:tcW w:w="20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jc w:val="right"/>
              <w:spacing w:after="0"/>
              <w:rPr>
                <w:sz w:val="20"/>
                <w:szCs w:val="20"/>
                <w:color w:val="auto"/>
              </w:rPr>
            </w:pPr>
            <w:r>
              <w:rPr>
                <w:rFonts w:ascii="Verdana" w:cs="Verdana" w:eastAsia="Verdana" w:hAnsi="Verdana"/>
                <w:sz w:val="13"/>
                <w:szCs w:val="13"/>
                <w:color w:val="auto"/>
              </w:rPr>
              <w:t>10,976,660</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393,321</w:t>
            </w:r>
          </w:p>
        </w:tc>
        <w:tc>
          <w:tcPr>
            <w:tcW w:w="100" w:type="dxa"/>
            <w:vAlign w:val="bottom"/>
            <w:tcBorders>
              <w:bottom w:val="single" w:sz="8" w:color="E0E7ED"/>
            </w:tcBorders>
            <w:shd w:val="clear" w:color="auto" w:fill="E0E7ED"/>
          </w:tcPr>
          <w:p>
            <w:pPr>
              <w:spacing w:after="0"/>
              <w:rPr>
                <w:sz w:val="16"/>
                <w:szCs w:val="16"/>
                <w:color w:val="auto"/>
              </w:rPr>
            </w:pPr>
          </w:p>
        </w:tc>
        <w:tc>
          <w:tcPr>
            <w:tcW w:w="1220" w:type="dxa"/>
            <w:vAlign w:val="bottom"/>
            <w:tcBorders>
              <w:bottom w:val="single" w:sz="8" w:color="E0E7ED"/>
            </w:tcBorders>
            <w:shd w:val="clear" w:color="auto" w:fill="E0E7ED"/>
          </w:tcPr>
          <w:p>
            <w:pPr>
              <w:jc w:val="right"/>
              <w:spacing w:after="0"/>
              <w:rPr>
                <w:sz w:val="20"/>
                <w:szCs w:val="20"/>
                <w:color w:val="auto"/>
              </w:rPr>
            </w:pPr>
            <w:r>
              <w:rPr>
                <w:rFonts w:ascii="Verdana" w:cs="Verdana" w:eastAsia="Verdana" w:hAnsi="Verdana"/>
                <w:sz w:val="13"/>
                <w:szCs w:val="13"/>
                <w:color w:val="auto"/>
              </w:rPr>
              <w:t>4.79 %</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jc w:val="right"/>
              <w:spacing w:after="0"/>
              <w:rPr>
                <w:sz w:val="20"/>
                <w:szCs w:val="20"/>
                <w:color w:val="auto"/>
              </w:rPr>
            </w:pPr>
            <w:r>
              <w:rPr>
                <w:rFonts w:ascii="Verdana" w:cs="Verdana" w:eastAsia="Verdana" w:hAnsi="Verdana"/>
                <w:sz w:val="13"/>
                <w:szCs w:val="13"/>
                <w:color w:val="auto"/>
              </w:rPr>
              <w:t>11,142,780</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352,345</w:t>
            </w:r>
          </w:p>
        </w:tc>
        <w:tc>
          <w:tcPr>
            <w:tcW w:w="100" w:type="dxa"/>
            <w:vAlign w:val="bottom"/>
            <w:tcBorders>
              <w:bottom w:val="single" w:sz="8" w:color="E0E7ED"/>
            </w:tcBorders>
            <w:shd w:val="clear" w:color="auto" w:fill="E0E7ED"/>
          </w:tcPr>
          <w:p>
            <w:pPr>
              <w:spacing w:after="0"/>
              <w:rPr>
                <w:sz w:val="16"/>
                <w:szCs w:val="16"/>
                <w:color w:val="auto"/>
              </w:rPr>
            </w:pPr>
          </w:p>
        </w:tc>
        <w:tc>
          <w:tcPr>
            <w:tcW w:w="1240" w:type="dxa"/>
            <w:vAlign w:val="bottom"/>
            <w:tcBorders>
              <w:bottom w:val="single" w:sz="8" w:color="E0E7ED"/>
            </w:tcBorders>
            <w:shd w:val="clear" w:color="auto" w:fill="E0E7ED"/>
          </w:tcPr>
          <w:p>
            <w:pPr>
              <w:jc w:val="right"/>
              <w:spacing w:after="0"/>
              <w:rPr>
                <w:sz w:val="20"/>
                <w:szCs w:val="20"/>
                <w:color w:val="auto"/>
              </w:rPr>
            </w:pPr>
            <w:r>
              <w:rPr>
                <w:rFonts w:ascii="Verdana" w:cs="Verdana" w:eastAsia="Verdana" w:hAnsi="Verdana"/>
                <w:sz w:val="13"/>
                <w:szCs w:val="13"/>
                <w:color w:val="auto"/>
              </w:rPr>
              <w:t>4.23 %</w:t>
            </w:r>
          </w:p>
        </w:tc>
        <w:tc>
          <w:tcPr>
            <w:tcW w:w="0" w:type="dxa"/>
            <w:vAlign w:val="bottom"/>
          </w:tcPr>
          <w:p>
            <w:pPr>
              <w:spacing w:after="0"/>
              <w:rPr>
                <w:sz w:val="1"/>
                <w:szCs w:val="1"/>
                <w:color w:val="auto"/>
              </w:rPr>
            </w:pPr>
          </w:p>
        </w:tc>
      </w:tr>
      <w:tr>
        <w:trPr>
          <w:trHeight w:val="20"/>
        </w:trPr>
        <w:tc>
          <w:tcPr>
            <w:tcW w:w="37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2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4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Cash and due from banks</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109,507</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117,977</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180"/>
              <w:spacing w:after="0"/>
              <w:rPr>
                <w:sz w:val="20"/>
                <w:szCs w:val="20"/>
                <w:color w:val="auto"/>
              </w:rPr>
            </w:pPr>
            <w:r>
              <w:rPr>
                <w:rFonts w:ascii="Verdana" w:cs="Verdana" w:eastAsia="Verdana" w:hAnsi="Verdana"/>
                <w:sz w:val="13"/>
                <w:szCs w:val="13"/>
                <w:color w:val="auto"/>
              </w:rPr>
              <w:t>Premises and equipment</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122,178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125,069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7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ACL</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(90,497)</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(92,912)</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80" w:type="dxa"/>
            <w:vAlign w:val="bottom"/>
            <w:tcBorders>
              <w:bottom w:val="single" w:sz="8" w:color="E0E7ED"/>
            </w:tcBorders>
          </w:tcPr>
          <w:p>
            <w:pPr>
              <w:ind w:left="180"/>
              <w:spacing w:after="0"/>
              <w:rPr>
                <w:sz w:val="20"/>
                <w:szCs w:val="20"/>
                <w:color w:val="auto"/>
              </w:rPr>
            </w:pPr>
            <w:r>
              <w:rPr>
                <w:rFonts w:ascii="Verdana" w:cs="Verdana" w:eastAsia="Verdana" w:hAnsi="Verdana"/>
                <w:sz w:val="13"/>
                <w:szCs w:val="13"/>
                <w:color w:val="auto"/>
              </w:rPr>
              <w:t>Other assets</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922,566</w:t>
            </w: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E0E7ED"/>
            </w:tcBorders>
          </w:tcPr>
          <w:p>
            <w:pPr>
              <w:spacing w:after="0"/>
              <w:rPr>
                <w:sz w:val="14"/>
                <w:szCs w:val="14"/>
                <w:color w:val="auto"/>
              </w:rPr>
            </w:pPr>
          </w:p>
        </w:tc>
        <w:tc>
          <w:tcPr>
            <w:tcW w:w="940" w:type="dxa"/>
            <w:vAlign w:val="bottom"/>
            <w:tcBorders>
              <w:bottom w:val="single" w:sz="8" w:color="E0E7ED"/>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220" w:type="dxa"/>
            <w:vAlign w:val="bottom"/>
            <w:tcBorders>
              <w:bottom w:val="single" w:sz="8" w:color="E0E7ED"/>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932,318</w:t>
            </w: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E0E7ED"/>
            </w:tcBorders>
          </w:tcPr>
          <w:p>
            <w:pPr>
              <w:spacing w:after="0"/>
              <w:rPr>
                <w:sz w:val="14"/>
                <w:szCs w:val="14"/>
                <w:color w:val="auto"/>
              </w:rPr>
            </w:pPr>
          </w:p>
        </w:tc>
        <w:tc>
          <w:tcPr>
            <w:tcW w:w="940" w:type="dxa"/>
            <w:vAlign w:val="bottom"/>
            <w:tcBorders>
              <w:bottom w:val="single" w:sz="8" w:color="E0E7ED"/>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240" w:type="dxa"/>
            <w:vAlign w:val="bottom"/>
            <w:tcBorders>
              <w:bottom w:val="single" w:sz="8" w:color="E0E7ED"/>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78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3"/>
                <w:szCs w:val="13"/>
                <w:color w:val="auto"/>
              </w:rPr>
              <w:t>Total assets</w:t>
            </w:r>
          </w:p>
        </w:tc>
        <w:tc>
          <w:tcPr>
            <w:tcW w:w="200" w:type="dxa"/>
            <w:vAlign w:val="bottom"/>
            <w:tcBorders>
              <w:bottom w:val="single" w:sz="8" w:color="auto"/>
            </w:tcBorders>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12,040,414</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122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12,225,232</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1240" w:type="dxa"/>
            <w:vAlign w:val="bottom"/>
            <w:tcBorders>
              <w:bottom w:val="single" w:sz="8" w:color="E0E7ED"/>
            </w:tcBorders>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2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4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80" w:type="dxa"/>
            <w:vAlign w:val="bottom"/>
            <w:shd w:val="clear" w:color="auto" w:fill="E0E7ED"/>
          </w:tcPr>
          <w:p>
            <w:pPr>
              <w:ind w:left="20"/>
              <w:spacing w:after="0"/>
              <w:rPr>
                <w:sz w:val="20"/>
                <w:szCs w:val="20"/>
                <w:color w:val="auto"/>
              </w:rPr>
            </w:pPr>
            <w:r>
              <w:rPr>
                <w:rFonts w:ascii="Verdana" w:cs="Verdana" w:eastAsia="Verdana" w:hAnsi="Verdana"/>
                <w:sz w:val="13"/>
                <w:szCs w:val="13"/>
                <w:b w:val="1"/>
                <w:bCs w:val="1"/>
                <w:color w:val="auto"/>
              </w:rPr>
              <w:t>Liabilities and stockholders’ equity</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180"/>
              <w:spacing w:after="0"/>
              <w:rPr>
                <w:sz w:val="20"/>
                <w:szCs w:val="20"/>
                <w:color w:val="auto"/>
              </w:rPr>
            </w:pPr>
            <w:r>
              <w:rPr>
                <w:rFonts w:ascii="Verdana" w:cs="Verdana" w:eastAsia="Verdana" w:hAnsi="Verdana"/>
                <w:sz w:val="13"/>
                <w:szCs w:val="13"/>
                <w:color w:val="auto"/>
              </w:rPr>
              <w:t>Interest-bearing transaction deposits</w:t>
            </w: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940" w:type="dxa"/>
            <w:vAlign w:val="bottom"/>
          </w:tcPr>
          <w:p>
            <w:pPr>
              <w:jc w:val="right"/>
              <w:spacing w:after="0"/>
              <w:rPr>
                <w:sz w:val="20"/>
                <w:szCs w:val="20"/>
                <w:color w:val="auto"/>
              </w:rPr>
            </w:pPr>
            <w:r>
              <w:rPr>
                <w:rFonts w:ascii="Verdana" w:cs="Verdana" w:eastAsia="Verdana" w:hAnsi="Verdana"/>
                <w:sz w:val="13"/>
                <w:szCs w:val="13"/>
                <w:color w:val="auto"/>
              </w:rPr>
              <w:t>2,467,803</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Pr>
          <w:p>
            <w:pPr>
              <w:jc w:val="right"/>
              <w:ind w:right="17"/>
              <w:spacing w:after="0"/>
              <w:rPr>
                <w:sz w:val="20"/>
                <w:szCs w:val="20"/>
                <w:color w:val="auto"/>
              </w:rPr>
            </w:pPr>
            <w:r>
              <w:rPr>
                <w:rFonts w:ascii="Verdana" w:cs="Verdana" w:eastAsia="Verdana" w:hAnsi="Verdana"/>
                <w:sz w:val="13"/>
                <w:szCs w:val="13"/>
                <w:color w:val="auto"/>
              </w:rPr>
              <w:t>32,550</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Verdana" w:cs="Verdana" w:eastAsia="Verdana" w:hAnsi="Verdana"/>
                <w:sz w:val="13"/>
                <w:szCs w:val="13"/>
                <w:color w:val="auto"/>
              </w:rPr>
              <w:t>1.76 %</w:t>
            </w:r>
          </w:p>
        </w:tc>
        <w:tc>
          <w:tcPr>
            <w:tcW w:w="280" w:type="dxa"/>
            <w:vAlign w:val="bottom"/>
            <w:gridSpan w:val="2"/>
          </w:tcPr>
          <w:p>
            <w:pPr>
              <w:jc w:val="right"/>
              <w:ind w:right="17"/>
              <w:spacing w:after="0"/>
              <w:rPr>
                <w:sz w:val="20"/>
                <w:szCs w:val="20"/>
                <w:color w:val="auto"/>
              </w:rPr>
            </w:pPr>
            <w:r>
              <w:rPr>
                <w:rFonts w:ascii="Verdana" w:cs="Verdana" w:eastAsia="Verdana" w:hAnsi="Verdana"/>
                <w:sz w:val="13"/>
                <w:szCs w:val="13"/>
                <w:color w:val="auto"/>
              </w:rPr>
              <w:t>$</w:t>
            </w:r>
          </w:p>
        </w:tc>
        <w:tc>
          <w:tcPr>
            <w:tcW w:w="940" w:type="dxa"/>
            <w:vAlign w:val="bottom"/>
          </w:tcPr>
          <w:p>
            <w:pPr>
              <w:jc w:val="right"/>
              <w:spacing w:after="0"/>
              <w:rPr>
                <w:sz w:val="20"/>
                <w:szCs w:val="20"/>
                <w:color w:val="auto"/>
              </w:rPr>
            </w:pPr>
            <w:r>
              <w:rPr>
                <w:rFonts w:ascii="Verdana" w:cs="Verdana" w:eastAsia="Verdana" w:hAnsi="Verdana"/>
                <w:sz w:val="13"/>
                <w:szCs w:val="13"/>
                <w:color w:val="auto"/>
              </w:rPr>
              <w:t>2,745,757</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Pr>
          <w:p>
            <w:pPr>
              <w:jc w:val="right"/>
              <w:spacing w:after="0"/>
              <w:rPr>
                <w:sz w:val="20"/>
                <w:szCs w:val="20"/>
                <w:color w:val="auto"/>
              </w:rPr>
            </w:pPr>
            <w:r>
              <w:rPr>
                <w:rFonts w:ascii="Verdana" w:cs="Verdana" w:eastAsia="Verdana" w:hAnsi="Verdana"/>
                <w:sz w:val="13"/>
                <w:szCs w:val="13"/>
                <w:color w:val="auto"/>
              </w:rPr>
              <w:t>28,930</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1.41 %</w:t>
            </w:r>
          </w:p>
        </w:tc>
        <w:tc>
          <w:tcPr>
            <w:tcW w:w="0" w:type="dxa"/>
            <w:vAlign w:val="bottom"/>
          </w:tcPr>
          <w:p>
            <w:pPr>
              <w:spacing w:after="0"/>
              <w:rPr>
                <w:sz w:val="1"/>
                <w:szCs w:val="1"/>
                <w:color w:val="auto"/>
              </w:rPr>
            </w:pPr>
          </w:p>
        </w:tc>
      </w:tr>
      <w:tr>
        <w:trPr>
          <w:trHeight w:val="181"/>
        </w:trPr>
        <w:tc>
          <w:tcPr>
            <w:tcW w:w="37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Savings and money market deposits</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3,213,521</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55,332</w:t>
            </w: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2.30 %</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2,847,211</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22,777</w:t>
            </w: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1.07 %</w:t>
            </w:r>
          </w:p>
        </w:tc>
        <w:tc>
          <w:tcPr>
            <w:tcW w:w="0" w:type="dxa"/>
            <w:vAlign w:val="bottom"/>
          </w:tcPr>
          <w:p>
            <w:pPr>
              <w:spacing w:after="0"/>
              <w:rPr>
                <w:sz w:val="1"/>
                <w:szCs w:val="1"/>
                <w:color w:val="auto"/>
              </w:rPr>
            </w:pPr>
          </w:p>
        </w:tc>
      </w:tr>
      <w:tr>
        <w:trPr>
          <w:trHeight w:val="170"/>
        </w:trPr>
        <w:tc>
          <w:tcPr>
            <w:tcW w:w="3780" w:type="dxa"/>
            <w:vAlign w:val="bottom"/>
          </w:tcPr>
          <w:p>
            <w:pPr>
              <w:ind w:left="180"/>
              <w:spacing w:after="0"/>
              <w:rPr>
                <w:sz w:val="20"/>
                <w:szCs w:val="20"/>
                <w:color w:val="auto"/>
              </w:rPr>
            </w:pPr>
            <w:r>
              <w:rPr>
                <w:rFonts w:ascii="Verdana" w:cs="Verdana" w:eastAsia="Verdana" w:hAnsi="Verdana"/>
                <w:sz w:val="13"/>
                <w:szCs w:val="13"/>
                <w:color w:val="auto"/>
              </w:rPr>
              <w:t>Time deposits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1,611,560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7"/>
              <w:spacing w:after="0"/>
              <w:rPr>
                <w:sz w:val="20"/>
                <w:szCs w:val="20"/>
                <w:color w:val="auto"/>
              </w:rPr>
            </w:pPr>
            <w:r>
              <w:rPr>
                <w:rFonts w:ascii="Verdana" w:cs="Verdana" w:eastAsia="Verdana" w:hAnsi="Verdana"/>
                <w:sz w:val="13"/>
                <w:szCs w:val="13"/>
                <w:color w:val="auto"/>
              </w:rPr>
              <w:t>46,429</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Verdana" w:cs="Verdana" w:eastAsia="Verdana" w:hAnsi="Verdana"/>
                <w:sz w:val="13"/>
                <w:szCs w:val="13"/>
                <w:color w:val="auto"/>
              </w:rPr>
              <w:t>3.85 %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1,293,309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26,869</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2.78 %</w:t>
            </w:r>
          </w:p>
        </w:tc>
        <w:tc>
          <w:tcPr>
            <w:tcW w:w="0" w:type="dxa"/>
            <w:vAlign w:val="bottom"/>
          </w:tcPr>
          <w:p>
            <w:pPr>
              <w:spacing w:after="0"/>
              <w:rPr>
                <w:sz w:val="1"/>
                <w:szCs w:val="1"/>
                <w:color w:val="auto"/>
              </w:rPr>
            </w:pPr>
          </w:p>
        </w:tc>
      </w:tr>
      <w:tr>
        <w:trPr>
          <w:trHeight w:val="181"/>
        </w:trPr>
        <w:tc>
          <w:tcPr>
            <w:tcW w:w="37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Federal funds purchased and repurchase agreements</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151,835</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3,393</w:t>
            </w: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2.98 %</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207,014</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3,772</w:t>
            </w: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2.44 %</w:t>
            </w:r>
          </w:p>
        </w:tc>
        <w:tc>
          <w:tcPr>
            <w:tcW w:w="0" w:type="dxa"/>
            <w:vAlign w:val="bottom"/>
          </w:tcPr>
          <w:p>
            <w:pPr>
              <w:spacing w:after="0"/>
              <w:rPr>
                <w:sz w:val="1"/>
                <w:szCs w:val="1"/>
                <w:color w:val="auto"/>
              </w:rPr>
            </w:pPr>
          </w:p>
        </w:tc>
      </w:tr>
      <w:tr>
        <w:trPr>
          <w:trHeight w:val="175"/>
        </w:trPr>
        <w:tc>
          <w:tcPr>
            <w:tcW w:w="3780" w:type="dxa"/>
            <w:vAlign w:val="bottom"/>
          </w:tcPr>
          <w:p>
            <w:pPr>
              <w:ind w:left="180"/>
              <w:spacing w:after="0" w:line="176" w:lineRule="exact"/>
              <w:rPr>
                <w:sz w:val="20"/>
                <w:szCs w:val="20"/>
                <w:color w:val="auto"/>
              </w:rPr>
            </w:pPr>
            <w:r>
              <w:rPr>
                <w:rFonts w:ascii="Verdana" w:cs="Verdana" w:eastAsia="Verdana" w:hAnsi="Verdana"/>
                <w:sz w:val="13"/>
                <w:szCs w:val="13"/>
                <w:color w:val="auto"/>
              </w:rPr>
              <w:t>Borrowings</w:t>
            </w:r>
            <w:r>
              <w:rPr>
                <w:rFonts w:ascii="Verdana" w:cs="Verdana" w:eastAsia="Verdana" w:hAnsi="Verdana"/>
                <w:sz w:val="16"/>
                <w:szCs w:val="16"/>
                <w:color w:val="auto"/>
                <w:vertAlign w:val="superscript"/>
              </w:rPr>
              <w:t>4</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244,359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7"/>
              <w:spacing w:after="0"/>
              <w:rPr>
                <w:sz w:val="20"/>
                <w:szCs w:val="20"/>
                <w:color w:val="auto"/>
              </w:rPr>
            </w:pPr>
            <w:r>
              <w:rPr>
                <w:rFonts w:ascii="Verdana" w:cs="Verdana" w:eastAsia="Verdana" w:hAnsi="Verdana"/>
                <w:sz w:val="13"/>
                <w:szCs w:val="13"/>
                <w:color w:val="auto"/>
              </w:rPr>
              <w:t>10,443</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Verdana" w:cs="Verdana" w:eastAsia="Verdana" w:hAnsi="Verdana"/>
                <w:sz w:val="13"/>
                <w:szCs w:val="13"/>
                <w:color w:val="auto"/>
              </w:rPr>
              <w:t>5.71 %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583,056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23,158</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5.31 %</w:t>
            </w:r>
          </w:p>
        </w:tc>
        <w:tc>
          <w:tcPr>
            <w:tcW w:w="0" w:type="dxa"/>
            <w:vAlign w:val="bottom"/>
          </w:tcPr>
          <w:p>
            <w:pPr>
              <w:spacing w:after="0"/>
              <w:rPr>
                <w:sz w:val="1"/>
                <w:szCs w:val="1"/>
                <w:color w:val="auto"/>
              </w:rPr>
            </w:pPr>
          </w:p>
        </w:tc>
      </w:tr>
      <w:tr>
        <w:trPr>
          <w:trHeight w:val="122"/>
        </w:trPr>
        <w:tc>
          <w:tcPr>
            <w:tcW w:w="3780" w:type="dxa"/>
            <w:vAlign w:val="bottom"/>
            <w:shd w:val="clear" w:color="auto" w:fill="E0E7ED"/>
          </w:tcPr>
          <w:p>
            <w:pPr>
              <w:ind w:left="180"/>
              <w:spacing w:after="0" w:line="122" w:lineRule="exact"/>
              <w:rPr>
                <w:sz w:val="20"/>
                <w:szCs w:val="20"/>
                <w:color w:val="auto"/>
              </w:rPr>
            </w:pPr>
            <w:r>
              <w:rPr>
                <w:rFonts w:ascii="Verdana" w:cs="Verdana" w:eastAsia="Verdana" w:hAnsi="Verdana"/>
                <w:sz w:val="13"/>
                <w:szCs w:val="13"/>
                <w:color w:val="auto"/>
              </w:rPr>
              <w:t>Junior subordinated debt issued to unconsolidated</w:t>
            </w:r>
          </w:p>
        </w:tc>
        <w:tc>
          <w:tcPr>
            <w:tcW w:w="200" w:type="dxa"/>
            <w:vAlign w:val="bottom"/>
            <w:shd w:val="clear" w:color="auto" w:fill="E0E7ED"/>
          </w:tcPr>
          <w:p>
            <w:pPr>
              <w:spacing w:after="0"/>
              <w:rPr>
                <w:sz w:val="10"/>
                <w:szCs w:val="10"/>
                <w:color w:val="auto"/>
              </w:rPr>
            </w:pPr>
          </w:p>
        </w:tc>
        <w:tc>
          <w:tcPr>
            <w:tcW w:w="94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73,789</w:t>
            </w:r>
          </w:p>
        </w:tc>
        <w:tc>
          <w:tcPr>
            <w:tcW w:w="100" w:type="dxa"/>
            <w:vAlign w:val="bottom"/>
            <w:shd w:val="clear" w:color="auto" w:fill="E0E7ED"/>
          </w:tcPr>
          <w:p>
            <w:pPr>
              <w:spacing w:after="0"/>
              <w:rPr>
                <w:sz w:val="10"/>
                <w:szCs w:val="10"/>
                <w:color w:val="auto"/>
              </w:rPr>
            </w:pPr>
          </w:p>
        </w:tc>
        <w:tc>
          <w:tcPr>
            <w:tcW w:w="180" w:type="dxa"/>
            <w:vAlign w:val="bottom"/>
            <w:shd w:val="clear" w:color="auto" w:fill="E0E7ED"/>
          </w:tcPr>
          <w:p>
            <w:pPr>
              <w:spacing w:after="0"/>
              <w:rPr>
                <w:sz w:val="10"/>
                <w:szCs w:val="10"/>
                <w:color w:val="auto"/>
              </w:rPr>
            </w:pPr>
          </w:p>
        </w:tc>
        <w:tc>
          <w:tcPr>
            <w:tcW w:w="94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3,185</w:t>
            </w:r>
          </w:p>
        </w:tc>
        <w:tc>
          <w:tcPr>
            <w:tcW w:w="100" w:type="dxa"/>
            <w:vAlign w:val="bottom"/>
            <w:shd w:val="clear" w:color="auto" w:fill="E0E7ED"/>
          </w:tcPr>
          <w:p>
            <w:pPr>
              <w:spacing w:after="0"/>
              <w:rPr>
                <w:sz w:val="10"/>
                <w:szCs w:val="10"/>
                <w:color w:val="auto"/>
              </w:rPr>
            </w:pPr>
          </w:p>
        </w:tc>
        <w:tc>
          <w:tcPr>
            <w:tcW w:w="122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5.77 %</w:t>
            </w:r>
          </w:p>
        </w:tc>
        <w:tc>
          <w:tcPr>
            <w:tcW w:w="100" w:type="dxa"/>
            <w:vAlign w:val="bottom"/>
            <w:shd w:val="clear" w:color="auto" w:fill="E0E7ED"/>
          </w:tcPr>
          <w:p>
            <w:pPr>
              <w:spacing w:after="0"/>
              <w:rPr>
                <w:sz w:val="10"/>
                <w:szCs w:val="10"/>
                <w:color w:val="auto"/>
              </w:rPr>
            </w:pPr>
          </w:p>
        </w:tc>
        <w:tc>
          <w:tcPr>
            <w:tcW w:w="180" w:type="dxa"/>
            <w:vAlign w:val="bottom"/>
            <w:shd w:val="clear" w:color="auto" w:fill="E0E7ED"/>
          </w:tcPr>
          <w:p>
            <w:pPr>
              <w:spacing w:after="0"/>
              <w:rPr>
                <w:sz w:val="10"/>
                <w:szCs w:val="10"/>
                <w:color w:val="auto"/>
              </w:rPr>
            </w:pPr>
          </w:p>
        </w:tc>
        <w:tc>
          <w:tcPr>
            <w:tcW w:w="94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71,871</w:t>
            </w:r>
          </w:p>
        </w:tc>
        <w:tc>
          <w:tcPr>
            <w:tcW w:w="100" w:type="dxa"/>
            <w:vAlign w:val="bottom"/>
            <w:shd w:val="clear" w:color="auto" w:fill="E0E7ED"/>
          </w:tcPr>
          <w:p>
            <w:pPr>
              <w:spacing w:after="0"/>
              <w:rPr>
                <w:sz w:val="10"/>
                <w:szCs w:val="10"/>
                <w:color w:val="auto"/>
              </w:rPr>
            </w:pPr>
          </w:p>
        </w:tc>
        <w:tc>
          <w:tcPr>
            <w:tcW w:w="180" w:type="dxa"/>
            <w:vAlign w:val="bottom"/>
            <w:shd w:val="clear" w:color="auto" w:fill="E0E7ED"/>
          </w:tcPr>
          <w:p>
            <w:pPr>
              <w:spacing w:after="0"/>
              <w:rPr>
                <w:sz w:val="10"/>
                <w:szCs w:val="10"/>
                <w:color w:val="auto"/>
              </w:rPr>
            </w:pPr>
          </w:p>
        </w:tc>
        <w:tc>
          <w:tcPr>
            <w:tcW w:w="94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2,849</w:t>
            </w:r>
          </w:p>
        </w:tc>
        <w:tc>
          <w:tcPr>
            <w:tcW w:w="100" w:type="dxa"/>
            <w:vAlign w:val="bottom"/>
            <w:shd w:val="clear" w:color="auto" w:fill="E0E7ED"/>
          </w:tcPr>
          <w:p>
            <w:pPr>
              <w:spacing w:after="0"/>
              <w:rPr>
                <w:sz w:val="10"/>
                <w:szCs w:val="10"/>
                <w:color w:val="auto"/>
              </w:rPr>
            </w:pPr>
          </w:p>
        </w:tc>
        <w:tc>
          <w:tcPr>
            <w:tcW w:w="124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5.30 %</w:t>
            </w:r>
          </w:p>
        </w:tc>
        <w:tc>
          <w:tcPr>
            <w:tcW w:w="0" w:type="dxa"/>
            <w:vAlign w:val="bottom"/>
          </w:tcPr>
          <w:p>
            <w:pPr>
              <w:spacing w:after="0"/>
              <w:rPr>
                <w:sz w:val="1"/>
                <w:szCs w:val="1"/>
                <w:color w:val="auto"/>
              </w:rPr>
            </w:pPr>
          </w:p>
        </w:tc>
      </w:tr>
      <w:tr>
        <w:trPr>
          <w:trHeight w:val="170"/>
        </w:trPr>
        <w:tc>
          <w:tcPr>
            <w:tcW w:w="37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trusts</w:t>
            </w:r>
          </w:p>
        </w:tc>
        <w:tc>
          <w:tcPr>
            <w:tcW w:w="200" w:type="dxa"/>
            <w:vAlign w:val="bottom"/>
            <w:tcBorders>
              <w:bottom w:val="single" w:sz="8" w:color="auto"/>
            </w:tcBorders>
            <w:shd w:val="clear" w:color="auto" w:fill="E0E7ED"/>
          </w:tcPr>
          <w:p>
            <w:pPr>
              <w:spacing w:after="0"/>
              <w:rPr>
                <w:sz w:val="14"/>
                <w:szCs w:val="14"/>
                <w:color w:val="auto"/>
              </w:rPr>
            </w:pPr>
          </w:p>
        </w:tc>
        <w:tc>
          <w:tcPr>
            <w:tcW w:w="940" w:type="dxa"/>
            <w:vAlign w:val="bottom"/>
            <w:tcBorders>
              <w:bottom w:val="single" w:sz="8" w:color="auto"/>
            </w:tcBorders>
            <w:vMerge w:val="continue"/>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180" w:type="dxa"/>
            <w:vAlign w:val="bottom"/>
            <w:tcBorders>
              <w:bottom w:val="single" w:sz="8" w:color="auto"/>
            </w:tcBorders>
            <w:shd w:val="clear" w:color="auto" w:fill="E0E7ED"/>
          </w:tcPr>
          <w:p>
            <w:pPr>
              <w:spacing w:after="0"/>
              <w:rPr>
                <w:sz w:val="14"/>
                <w:szCs w:val="14"/>
                <w:color w:val="auto"/>
              </w:rPr>
            </w:pPr>
          </w:p>
        </w:tc>
        <w:tc>
          <w:tcPr>
            <w:tcW w:w="940" w:type="dxa"/>
            <w:vAlign w:val="bottom"/>
            <w:tcBorders>
              <w:bottom w:val="single" w:sz="8" w:color="auto"/>
            </w:tcBorders>
            <w:vMerge w:val="continue"/>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1220" w:type="dxa"/>
            <w:vAlign w:val="bottom"/>
            <w:tcBorders>
              <w:bottom w:val="single" w:sz="8" w:color="auto"/>
            </w:tcBorders>
            <w:vMerge w:val="continue"/>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180" w:type="dxa"/>
            <w:vAlign w:val="bottom"/>
            <w:tcBorders>
              <w:bottom w:val="single" w:sz="8" w:color="auto"/>
            </w:tcBorders>
            <w:shd w:val="clear" w:color="auto" w:fill="E0E7ED"/>
          </w:tcPr>
          <w:p>
            <w:pPr>
              <w:spacing w:after="0"/>
              <w:rPr>
                <w:sz w:val="14"/>
                <w:szCs w:val="14"/>
                <w:color w:val="auto"/>
              </w:rPr>
            </w:pPr>
          </w:p>
        </w:tc>
        <w:tc>
          <w:tcPr>
            <w:tcW w:w="940" w:type="dxa"/>
            <w:vAlign w:val="bottom"/>
            <w:tcBorders>
              <w:bottom w:val="single" w:sz="8" w:color="auto"/>
            </w:tcBorders>
            <w:vMerge w:val="continue"/>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180" w:type="dxa"/>
            <w:vAlign w:val="bottom"/>
            <w:tcBorders>
              <w:bottom w:val="single" w:sz="8" w:color="auto"/>
            </w:tcBorders>
            <w:shd w:val="clear" w:color="auto" w:fill="E0E7ED"/>
          </w:tcPr>
          <w:p>
            <w:pPr>
              <w:spacing w:after="0"/>
              <w:rPr>
                <w:sz w:val="14"/>
                <w:szCs w:val="14"/>
                <w:color w:val="auto"/>
              </w:rPr>
            </w:pPr>
          </w:p>
        </w:tc>
        <w:tc>
          <w:tcPr>
            <w:tcW w:w="940" w:type="dxa"/>
            <w:vAlign w:val="bottom"/>
            <w:tcBorders>
              <w:bottom w:val="single" w:sz="8" w:color="auto"/>
            </w:tcBorders>
            <w:vMerge w:val="continue"/>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1240" w:type="dxa"/>
            <w:vAlign w:val="bottom"/>
            <w:tcBorders>
              <w:bottom w:val="single" w:sz="8" w:color="auto"/>
            </w:tcBorders>
            <w:vMerge w:val="continue"/>
            <w:shd w:val="clear" w:color="auto" w:fill="E0E7ED"/>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780" w:type="dxa"/>
            <w:vAlign w:val="bottom"/>
          </w:tcPr>
          <w:p>
            <w:pPr>
              <w:ind w:left="180"/>
              <w:spacing w:after="0"/>
              <w:rPr>
                <w:sz w:val="20"/>
                <w:szCs w:val="20"/>
                <w:color w:val="auto"/>
              </w:rPr>
            </w:pPr>
            <w:r>
              <w:rPr>
                <w:rFonts w:ascii="Verdana" w:cs="Verdana" w:eastAsia="Verdana" w:hAnsi="Verdana"/>
                <w:sz w:val="13"/>
                <w:szCs w:val="13"/>
                <w:color w:val="auto"/>
              </w:rPr>
              <w:t>Total interest-bearing liabilities</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7,762,867</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151,332</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Verdana" w:cs="Verdana" w:eastAsia="Verdana" w:hAnsi="Verdana"/>
                <w:sz w:val="13"/>
                <w:szCs w:val="13"/>
                <w:color w:val="auto"/>
              </w:rPr>
              <w:t>2.60 %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7,748,218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108,355</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1.87 %</w:t>
            </w:r>
          </w:p>
        </w:tc>
        <w:tc>
          <w:tcPr>
            <w:tcW w:w="0" w:type="dxa"/>
            <w:vAlign w:val="bottom"/>
          </w:tcPr>
          <w:p>
            <w:pPr>
              <w:spacing w:after="0"/>
              <w:rPr>
                <w:sz w:val="1"/>
                <w:szCs w:val="1"/>
                <w:color w:val="auto"/>
              </w:rPr>
            </w:pPr>
          </w:p>
        </w:tc>
      </w:tr>
      <w:tr>
        <w:trPr>
          <w:trHeight w:val="20"/>
        </w:trPr>
        <w:tc>
          <w:tcPr>
            <w:tcW w:w="378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22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240" w:type="dxa"/>
            <w:vAlign w:val="bottom"/>
            <w:tcBorders>
              <w:bottom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180"/>
              <w:spacing w:after="0" w:line="176" w:lineRule="exact"/>
              <w:rPr>
                <w:sz w:val="20"/>
                <w:szCs w:val="20"/>
                <w:color w:val="auto"/>
              </w:rPr>
            </w:pPr>
            <w:r>
              <w:rPr>
                <w:rFonts w:ascii="Verdana" w:cs="Verdana" w:eastAsia="Verdana" w:hAnsi="Verdana"/>
                <w:sz w:val="13"/>
                <w:szCs w:val="13"/>
                <w:color w:val="auto"/>
              </w:rPr>
              <w:t>Net interest spread</w:t>
            </w:r>
            <w:r>
              <w:rPr>
                <w:rFonts w:ascii="Verdana" w:cs="Verdana" w:eastAsia="Verdana" w:hAnsi="Verdana"/>
                <w:sz w:val="16"/>
                <w:szCs w:val="16"/>
                <w:color w:val="auto"/>
                <w:vertAlign w:val="superscript"/>
              </w:rPr>
              <w:t>1</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2.19 %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2.36 %</w:t>
            </w:r>
          </w:p>
        </w:tc>
        <w:tc>
          <w:tcPr>
            <w:tcW w:w="0" w:type="dxa"/>
            <w:vAlign w:val="bottom"/>
          </w:tcPr>
          <w:p>
            <w:pPr>
              <w:spacing w:after="0"/>
              <w:rPr>
                <w:sz w:val="1"/>
                <w:szCs w:val="1"/>
                <w:color w:val="auto"/>
              </w:rPr>
            </w:pPr>
          </w:p>
        </w:tc>
      </w:tr>
      <w:tr>
        <w:trPr>
          <w:trHeight w:val="20"/>
        </w:trPr>
        <w:tc>
          <w:tcPr>
            <w:tcW w:w="378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180"/>
              <w:spacing w:after="0"/>
              <w:rPr>
                <w:sz w:val="20"/>
                <w:szCs w:val="20"/>
                <w:color w:val="auto"/>
              </w:rPr>
            </w:pPr>
            <w:r>
              <w:rPr>
                <w:rFonts w:ascii="Verdana" w:cs="Verdana" w:eastAsia="Verdana" w:hAnsi="Verdana"/>
                <w:sz w:val="13"/>
                <w:szCs w:val="13"/>
                <w:color w:val="auto"/>
              </w:rPr>
              <w:t>Noninterest-bearing deposits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2,743,777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3,082,884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7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Other liabilities</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209,651</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198,272</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80" w:type="dxa"/>
            <w:vAlign w:val="bottom"/>
            <w:tcBorders>
              <w:bottom w:val="single" w:sz="8" w:color="E0E7ED"/>
            </w:tcBorders>
          </w:tcPr>
          <w:p>
            <w:pPr>
              <w:ind w:left="180"/>
              <w:spacing w:after="0"/>
              <w:rPr>
                <w:sz w:val="20"/>
                <w:szCs w:val="20"/>
                <w:color w:val="auto"/>
              </w:rPr>
            </w:pPr>
            <w:r>
              <w:rPr>
                <w:rFonts w:ascii="Verdana" w:cs="Verdana" w:eastAsia="Verdana" w:hAnsi="Verdana"/>
                <w:sz w:val="13"/>
                <w:szCs w:val="13"/>
                <w:color w:val="auto"/>
              </w:rPr>
              <w:t>Stockholders’ equity</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1,324,119</w:t>
            </w: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E0E7ED"/>
            </w:tcBorders>
          </w:tcPr>
          <w:p>
            <w:pPr>
              <w:spacing w:after="0"/>
              <w:rPr>
                <w:sz w:val="14"/>
                <w:szCs w:val="14"/>
                <w:color w:val="auto"/>
              </w:rPr>
            </w:pPr>
          </w:p>
        </w:tc>
        <w:tc>
          <w:tcPr>
            <w:tcW w:w="940" w:type="dxa"/>
            <w:vAlign w:val="bottom"/>
            <w:tcBorders>
              <w:bottom w:val="single" w:sz="8" w:color="E0E7ED"/>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220" w:type="dxa"/>
            <w:vAlign w:val="bottom"/>
            <w:tcBorders>
              <w:bottom w:val="single" w:sz="8" w:color="E0E7ED"/>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1,195,858</w:t>
            </w: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E0E7ED"/>
            </w:tcBorders>
          </w:tcPr>
          <w:p>
            <w:pPr>
              <w:spacing w:after="0"/>
              <w:rPr>
                <w:sz w:val="14"/>
                <w:szCs w:val="14"/>
                <w:color w:val="auto"/>
              </w:rPr>
            </w:pPr>
          </w:p>
        </w:tc>
        <w:tc>
          <w:tcPr>
            <w:tcW w:w="940" w:type="dxa"/>
            <w:vAlign w:val="bottom"/>
            <w:tcBorders>
              <w:bottom w:val="single" w:sz="8" w:color="E0E7ED"/>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240" w:type="dxa"/>
            <w:vAlign w:val="bottom"/>
            <w:tcBorders>
              <w:bottom w:val="single" w:sz="8" w:color="E0E7ED"/>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78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3"/>
                <w:szCs w:val="13"/>
                <w:color w:val="auto"/>
              </w:rPr>
              <w:t>Total liabilities and stockholders’ equity</w:t>
            </w:r>
          </w:p>
        </w:tc>
        <w:tc>
          <w:tcPr>
            <w:tcW w:w="200" w:type="dxa"/>
            <w:vAlign w:val="bottom"/>
            <w:tcBorders>
              <w:bottom w:val="single" w:sz="8" w:color="auto"/>
            </w:tcBorders>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12,040,414</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122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12,225,232</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1240" w:type="dxa"/>
            <w:vAlign w:val="bottom"/>
            <w:tcBorders>
              <w:bottom w:val="single" w:sz="8" w:color="E0E7ED"/>
            </w:tcBorders>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2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4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80" w:type="dxa"/>
            <w:vAlign w:val="bottom"/>
            <w:shd w:val="clear" w:color="auto" w:fill="E0E7ED"/>
          </w:tcPr>
          <w:p>
            <w:pPr>
              <w:ind w:left="20"/>
              <w:spacing w:after="0" w:line="176" w:lineRule="exact"/>
              <w:rPr>
                <w:sz w:val="20"/>
                <w:szCs w:val="20"/>
                <w:color w:val="auto"/>
              </w:rPr>
            </w:pPr>
            <w:r>
              <w:rPr>
                <w:rFonts w:ascii="Verdana" w:cs="Verdana" w:eastAsia="Verdana" w:hAnsi="Verdana"/>
                <w:sz w:val="13"/>
                <w:szCs w:val="13"/>
                <w:color w:val="auto"/>
              </w:rPr>
              <w:t>Interest income / earning assets</w:t>
            </w:r>
            <w:r>
              <w:rPr>
                <w:rFonts w:ascii="Verdana" w:cs="Verdana" w:eastAsia="Verdana" w:hAnsi="Verdana"/>
                <w:sz w:val="16"/>
                <w:szCs w:val="16"/>
                <w:color w:val="auto"/>
                <w:vertAlign w:val="superscript"/>
              </w:rPr>
              <w:t>1, 3</w:t>
            </w:r>
          </w:p>
        </w:tc>
        <w:tc>
          <w:tcPr>
            <w:tcW w:w="200" w:type="dxa"/>
            <w:vAlign w:val="bottom"/>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10,976,660</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393,321</w:t>
            </w: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4.79 %</w:t>
            </w:r>
          </w:p>
        </w:tc>
        <w:tc>
          <w:tcPr>
            <w:tcW w:w="280" w:type="dxa"/>
            <w:vAlign w:val="bottom"/>
            <w:gridSpan w:val="2"/>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11,142,780</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352,345</w:t>
            </w: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4.23 %</w:t>
            </w:r>
          </w:p>
        </w:tc>
        <w:tc>
          <w:tcPr>
            <w:tcW w:w="0" w:type="dxa"/>
            <w:vAlign w:val="bottom"/>
          </w:tcPr>
          <w:p>
            <w:pPr>
              <w:spacing w:after="0"/>
              <w:rPr>
                <w:sz w:val="1"/>
                <w:szCs w:val="1"/>
                <w:color w:val="auto"/>
              </w:rPr>
            </w:pPr>
          </w:p>
        </w:tc>
      </w:tr>
      <w:tr>
        <w:trPr>
          <w:trHeight w:val="170"/>
        </w:trPr>
        <w:tc>
          <w:tcPr>
            <w:tcW w:w="3780" w:type="dxa"/>
            <w:vAlign w:val="bottom"/>
            <w:tcBorders>
              <w:bottom w:val="single" w:sz="8" w:color="E0E7ED"/>
            </w:tcBorders>
          </w:tcPr>
          <w:p>
            <w:pPr>
              <w:ind w:left="20"/>
              <w:spacing w:after="0"/>
              <w:rPr>
                <w:sz w:val="20"/>
                <w:szCs w:val="20"/>
                <w:color w:val="auto"/>
              </w:rPr>
            </w:pPr>
            <w:r>
              <w:rPr>
                <w:rFonts w:ascii="Verdana" w:cs="Verdana" w:eastAsia="Verdana" w:hAnsi="Verdana"/>
                <w:sz w:val="13"/>
                <w:szCs w:val="13"/>
                <w:color w:val="auto"/>
              </w:rPr>
              <w:t>Interest expense / earning assets</w:t>
            </w:r>
          </w:p>
        </w:tc>
        <w:tc>
          <w:tcPr>
            <w:tcW w:w="200" w:type="dxa"/>
            <w:vAlign w:val="bottom"/>
            <w:tcBorders>
              <w:bottom w:val="single" w:sz="8" w:color="E0E7ED"/>
            </w:tcBorders>
          </w:tcPr>
          <w:p>
            <w:pPr>
              <w:spacing w:after="0"/>
              <w:rPr>
                <w:sz w:val="14"/>
                <w:szCs w:val="14"/>
                <w:color w:val="auto"/>
              </w:rPr>
            </w:pPr>
          </w:p>
        </w:tc>
        <w:tc>
          <w:tcPr>
            <w:tcW w:w="940" w:type="dxa"/>
            <w:vAlign w:val="bottom"/>
            <w:tcBorders>
              <w:bottom w:val="single" w:sz="8" w:color="E0E7ED"/>
            </w:tcBorders>
          </w:tcPr>
          <w:p>
            <w:pPr>
              <w:jc w:val="right"/>
              <w:spacing w:after="0"/>
              <w:rPr>
                <w:sz w:val="20"/>
                <w:szCs w:val="20"/>
                <w:color w:val="auto"/>
              </w:rPr>
            </w:pPr>
            <w:r>
              <w:rPr>
                <w:rFonts w:ascii="Verdana" w:cs="Verdana" w:eastAsia="Verdana" w:hAnsi="Verdana"/>
                <w:sz w:val="13"/>
                <w:szCs w:val="13"/>
                <w:color w:val="auto"/>
              </w:rPr>
              <w:t>10,976,660</w:t>
            </w: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151,332</w:t>
            </w:r>
          </w:p>
        </w:tc>
        <w:tc>
          <w:tcPr>
            <w:tcW w:w="100" w:type="dxa"/>
            <w:vAlign w:val="bottom"/>
            <w:tcBorders>
              <w:bottom w:val="single" w:sz="8" w:color="E0E7ED"/>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1.85 %</w:t>
            </w: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E0E7ED"/>
            </w:tcBorders>
          </w:tcPr>
          <w:p>
            <w:pPr>
              <w:spacing w:after="0"/>
              <w:rPr>
                <w:sz w:val="14"/>
                <w:szCs w:val="14"/>
                <w:color w:val="auto"/>
              </w:rPr>
            </w:pPr>
          </w:p>
        </w:tc>
        <w:tc>
          <w:tcPr>
            <w:tcW w:w="940" w:type="dxa"/>
            <w:vAlign w:val="bottom"/>
            <w:tcBorders>
              <w:bottom w:val="single" w:sz="8" w:color="E0E7ED"/>
            </w:tcBorders>
          </w:tcPr>
          <w:p>
            <w:pPr>
              <w:jc w:val="right"/>
              <w:spacing w:after="0"/>
              <w:rPr>
                <w:sz w:val="20"/>
                <w:szCs w:val="20"/>
                <w:color w:val="auto"/>
              </w:rPr>
            </w:pPr>
            <w:r>
              <w:rPr>
                <w:rFonts w:ascii="Verdana" w:cs="Verdana" w:eastAsia="Verdana" w:hAnsi="Verdana"/>
                <w:sz w:val="13"/>
                <w:szCs w:val="13"/>
                <w:color w:val="auto"/>
              </w:rPr>
              <w:t>11,142,780</w:t>
            </w: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108,355</w:t>
            </w:r>
          </w:p>
        </w:tc>
        <w:tc>
          <w:tcPr>
            <w:tcW w:w="100" w:type="dxa"/>
            <w:vAlign w:val="bottom"/>
            <w:tcBorders>
              <w:bottom w:val="single" w:sz="8" w:color="E0E7ED"/>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1.30 %</w:t>
            </w:r>
          </w:p>
        </w:tc>
        <w:tc>
          <w:tcPr>
            <w:tcW w:w="0" w:type="dxa"/>
            <w:vAlign w:val="bottom"/>
          </w:tcPr>
          <w:p>
            <w:pPr>
              <w:spacing w:after="0"/>
              <w:rPr>
                <w:sz w:val="1"/>
                <w:szCs w:val="1"/>
                <w:color w:val="auto"/>
              </w:rPr>
            </w:pPr>
          </w:p>
        </w:tc>
      </w:tr>
      <w:tr>
        <w:trPr>
          <w:trHeight w:val="199"/>
        </w:trPr>
        <w:tc>
          <w:tcPr>
            <w:tcW w:w="3780" w:type="dxa"/>
            <w:vAlign w:val="bottom"/>
            <w:tcBorders>
              <w:bottom w:val="single" w:sz="8" w:color="E0E7ED"/>
            </w:tcBorders>
            <w:shd w:val="clear" w:color="auto" w:fill="E0E7ED"/>
          </w:tcPr>
          <w:p>
            <w:pPr>
              <w:ind w:left="20"/>
              <w:spacing w:after="0" w:line="175" w:lineRule="exact"/>
              <w:rPr>
                <w:sz w:val="20"/>
                <w:szCs w:val="20"/>
                <w:color w:val="auto"/>
              </w:rPr>
            </w:pPr>
            <w:r>
              <w:rPr>
                <w:rFonts w:ascii="Verdana" w:cs="Verdana" w:eastAsia="Verdana" w:hAnsi="Verdana"/>
                <w:sz w:val="13"/>
                <w:szCs w:val="13"/>
                <w:color w:val="auto"/>
              </w:rPr>
              <w:t>Net interest margin</w:t>
            </w:r>
            <w:r>
              <w:rPr>
                <w:rFonts w:ascii="Verdana" w:cs="Verdana" w:eastAsia="Verdana" w:hAnsi="Verdana"/>
                <w:sz w:val="16"/>
                <w:szCs w:val="16"/>
                <w:color w:val="auto"/>
                <w:vertAlign w:val="superscript"/>
              </w:rPr>
              <w:t>1</w:t>
            </w:r>
          </w:p>
        </w:tc>
        <w:tc>
          <w:tcPr>
            <w:tcW w:w="20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241,989</w:t>
            </w:r>
          </w:p>
        </w:tc>
        <w:tc>
          <w:tcPr>
            <w:tcW w:w="100" w:type="dxa"/>
            <w:vAlign w:val="bottom"/>
            <w:tcBorders>
              <w:bottom w:val="single" w:sz="8" w:color="E0E7ED"/>
            </w:tcBorders>
            <w:shd w:val="clear" w:color="auto" w:fill="E0E7ED"/>
          </w:tcPr>
          <w:p>
            <w:pPr>
              <w:spacing w:after="0"/>
              <w:rPr>
                <w:sz w:val="16"/>
                <w:szCs w:val="16"/>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2.94 %</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243,990</w:t>
            </w:r>
          </w:p>
        </w:tc>
        <w:tc>
          <w:tcPr>
            <w:tcW w:w="100" w:type="dxa"/>
            <w:vAlign w:val="bottom"/>
            <w:tcBorders>
              <w:bottom w:val="single" w:sz="8" w:color="E0E7ED"/>
            </w:tcBorders>
            <w:shd w:val="clear" w:color="auto" w:fill="E0E7ED"/>
          </w:tcPr>
          <w:p>
            <w:pPr>
              <w:spacing w:after="0"/>
              <w:rPr>
                <w:sz w:val="16"/>
                <w:szCs w:val="16"/>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2.93 %</w:t>
            </w:r>
          </w:p>
        </w:tc>
        <w:tc>
          <w:tcPr>
            <w:tcW w:w="0" w:type="dxa"/>
            <w:vAlign w:val="bottom"/>
          </w:tcPr>
          <w:p>
            <w:pPr>
              <w:spacing w:after="0"/>
              <w:rPr>
                <w:sz w:val="1"/>
                <w:szCs w:val="1"/>
                <w:color w:val="auto"/>
              </w:rPr>
            </w:pPr>
          </w:p>
        </w:tc>
      </w:tr>
      <w:tr>
        <w:trPr>
          <w:trHeight w:val="20"/>
        </w:trPr>
        <w:tc>
          <w:tcPr>
            <w:tcW w:w="37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spacing w:after="0" w:line="4" w:lineRule="exact"/>
        <w:rPr>
          <w:sz w:val="20"/>
          <w:szCs w:val="20"/>
          <w:color w:val="auto"/>
        </w:rPr>
      </w:pPr>
    </w:p>
    <w:p>
      <w:pPr>
        <w:ind w:left="500" w:hanging="330"/>
        <w:spacing w:after="0" w:line="225" w:lineRule="auto"/>
        <w:tabs>
          <w:tab w:leader="none" w:pos="491" w:val="left"/>
        </w:tabs>
        <w:numPr>
          <w:ilvl w:val="0"/>
          <w:numId w:val="23"/>
        </w:numPr>
        <w:rPr>
          <w:rFonts w:ascii="Verdana" w:cs="Verdana" w:eastAsia="Verdana" w:hAnsi="Verdana"/>
          <w:sz w:val="13"/>
          <w:szCs w:val="13"/>
          <w:color w:val="auto"/>
        </w:rPr>
      </w:pPr>
      <w:r>
        <w:rPr>
          <w:rFonts w:ascii="Verdana" w:cs="Verdana" w:eastAsia="Verdana" w:hAnsi="Verdana"/>
          <w:sz w:val="13"/>
          <w:szCs w:val="13"/>
          <w:color w:val="auto"/>
        </w:rPr>
        <w:t xml:space="preserve">On a tax-equivalent basis and assuming a federal income tax rate of 21.0%. For a reconciliation of non-GAAP measures to the most directly comparable GAAP financial measures, see </w:t>
      </w:r>
      <w:r>
        <w:rPr>
          <w:rFonts w:ascii="Verdana" w:cs="Verdana" w:eastAsia="Verdana" w:hAnsi="Verdana"/>
          <w:sz w:val="13"/>
          <w:szCs w:val="13"/>
          <w:u w:val="single" w:color="auto"/>
          <w:color w:val="0000FF"/>
        </w:rPr>
        <w:t>“</w:t>
      </w:r>
      <w:r>
        <w:rPr>
          <w:rFonts w:ascii="Verdana" w:cs="Verdana" w:eastAsia="Verdana" w:hAnsi="Verdana"/>
          <w:sz w:val="13"/>
          <w:szCs w:val="13"/>
          <w:i w:val="1"/>
          <w:iCs w:val="1"/>
          <w:u w:val="single" w:color="auto"/>
          <w:color w:val="0000FF"/>
        </w:rPr>
        <w:t>Item 2. Management’s Discussion and Analysis—Non-GAAP Financial Information</w:t>
      </w:r>
      <w:r>
        <w:rPr>
          <w:rFonts w:ascii="Verdana" w:cs="Verdana" w:eastAsia="Verdana" w:hAnsi="Verdana"/>
          <w:sz w:val="13"/>
          <w:szCs w:val="13"/>
          <w:u w:val="single" w:color="auto"/>
          <w:color w:val="0000FF"/>
        </w:rPr>
        <w:t>”</w:t>
      </w:r>
      <w:r>
        <w:rPr>
          <w:rFonts w:ascii="Verdana" w:cs="Verdana" w:eastAsia="Verdana" w:hAnsi="Verdana"/>
          <w:sz w:val="13"/>
          <w:szCs w:val="13"/>
          <w:color w:val="auto"/>
        </w:rPr>
        <w:t xml:space="preserve"> included in this Quarterly Report.</w:t>
      </w:r>
    </w:p>
    <w:p>
      <w:pPr>
        <w:ind w:left="480" w:hanging="310"/>
        <w:spacing w:after="0" w:line="225" w:lineRule="auto"/>
        <w:tabs>
          <w:tab w:leader="none" w:pos="480" w:val="left"/>
        </w:tabs>
        <w:numPr>
          <w:ilvl w:val="0"/>
          <w:numId w:val="23"/>
        </w:numPr>
        <w:rPr>
          <w:rFonts w:ascii="Verdana" w:cs="Verdana" w:eastAsia="Verdana" w:hAnsi="Verdana"/>
          <w:sz w:val="13"/>
          <w:szCs w:val="13"/>
          <w:color w:val="auto"/>
        </w:rPr>
      </w:pPr>
      <w:r>
        <w:rPr>
          <w:rFonts w:ascii="Verdana" w:cs="Verdana" w:eastAsia="Verdana" w:hAnsi="Verdana"/>
          <w:sz w:val="13"/>
          <w:szCs w:val="13"/>
          <w:color w:val="auto"/>
        </w:rPr>
        <w:t>Non-accrual loans have been included in average portfolio loans.</w:t>
      </w:r>
    </w:p>
    <w:p>
      <w:pPr>
        <w:ind w:left="480" w:hanging="310"/>
        <w:spacing w:after="0" w:line="225" w:lineRule="auto"/>
        <w:tabs>
          <w:tab w:leader="none" w:pos="480" w:val="left"/>
        </w:tabs>
        <w:numPr>
          <w:ilvl w:val="0"/>
          <w:numId w:val="23"/>
        </w:numPr>
        <w:rPr>
          <w:rFonts w:ascii="Verdana" w:cs="Verdana" w:eastAsia="Verdana" w:hAnsi="Verdana"/>
          <w:sz w:val="13"/>
          <w:szCs w:val="13"/>
          <w:color w:val="auto"/>
        </w:rPr>
      </w:pPr>
      <w:r>
        <w:rPr>
          <w:rFonts w:ascii="Verdana" w:cs="Verdana" w:eastAsia="Verdana" w:hAnsi="Verdana"/>
          <w:sz w:val="13"/>
          <w:szCs w:val="13"/>
          <w:color w:val="auto"/>
        </w:rPr>
        <w:t>Interest income includes tax-equivalent adjustments of $1.2 million and $1.7 million for the nine months ended September 30, 2024 and 2023, respectively.</w:t>
      </w:r>
    </w:p>
    <w:p>
      <w:pPr>
        <w:ind w:left="480" w:hanging="310"/>
        <w:spacing w:after="0" w:line="225" w:lineRule="auto"/>
        <w:tabs>
          <w:tab w:leader="none" w:pos="480" w:val="left"/>
        </w:tabs>
        <w:numPr>
          <w:ilvl w:val="0"/>
          <w:numId w:val="23"/>
        </w:numPr>
        <w:rPr>
          <w:rFonts w:ascii="Verdana" w:cs="Verdana" w:eastAsia="Verdana" w:hAnsi="Verdana"/>
          <w:sz w:val="13"/>
          <w:szCs w:val="13"/>
          <w:color w:val="auto"/>
        </w:rPr>
      </w:pPr>
      <w:r>
        <w:rPr>
          <w:rFonts w:ascii="Verdana" w:cs="Verdana" w:eastAsia="Verdana" w:hAnsi="Verdana"/>
          <w:sz w:val="13"/>
          <w:szCs w:val="13"/>
          <w:color w:val="auto"/>
        </w:rPr>
        <w:t>Includes short-term and long-term borrowings. Interest expense includes non-usage fees on a revolving loan.</w:t>
      </w:r>
    </w:p>
    <w:p>
      <w:pPr>
        <w:ind w:left="480" w:hanging="310"/>
        <w:spacing w:after="0"/>
        <w:tabs>
          <w:tab w:leader="none" w:pos="480" w:val="left"/>
        </w:tabs>
        <w:numPr>
          <w:ilvl w:val="0"/>
          <w:numId w:val="23"/>
        </w:numPr>
        <w:rPr>
          <w:rFonts w:ascii="Verdana" w:cs="Verdana" w:eastAsia="Verdana" w:hAnsi="Verdana"/>
          <w:sz w:val="13"/>
          <w:szCs w:val="13"/>
          <w:color w:val="auto"/>
        </w:rPr>
      </w:pPr>
      <w:r>
        <w:rPr>
          <w:rFonts w:ascii="Verdana" w:cs="Verdana" w:eastAsia="Verdana" w:hAnsi="Verdana"/>
          <w:sz w:val="13"/>
          <w:szCs w:val="13"/>
          <w:color w:val="auto"/>
        </w:rPr>
        <w:t>Annualized.</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6" w:name="page77"/>
    <w:bookmarkEnd w:id="76"/>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 xml:space="preserve">Notable changes in average assets and average liabilities are summarized as follows for the periods presented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300" w:type="dxa"/>
            <w:vAlign w:val="bottom"/>
            <w:gridSpan w:val="8"/>
          </w:tcPr>
          <w:p>
            <w:pPr>
              <w:jc w:val="center"/>
              <w:ind w:right="340"/>
              <w:spacing w:after="0"/>
              <w:rPr>
                <w:sz w:val="20"/>
                <w:szCs w:val="20"/>
                <w:color w:val="auto"/>
              </w:rPr>
            </w:pPr>
            <w:r>
              <w:rPr>
                <w:rFonts w:ascii="Verdana" w:cs="Verdana" w:eastAsia="Verdana" w:hAnsi="Verdana"/>
                <w:sz w:val="13"/>
                <w:szCs w:val="13"/>
                <w:b w:val="1"/>
                <w:bCs w:val="1"/>
                <w:color w:val="auto"/>
                <w:w w:val="96"/>
              </w:rPr>
              <w:t>Three Months Ended September 30,</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0"/>
        </w:trPr>
        <w:tc>
          <w:tcPr>
            <w:tcW w:w="45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556"/>
              <w:spacing w:after="0"/>
              <w:rPr>
                <w:sz w:val="20"/>
                <w:szCs w:val="20"/>
                <w:color w:val="auto"/>
              </w:rPr>
            </w:pPr>
            <w:r>
              <w:rPr>
                <w:rFonts w:ascii="Verdana" w:cs="Verdana" w:eastAsia="Verdana" w:hAnsi="Verdana"/>
                <w:sz w:val="13"/>
                <w:szCs w:val="13"/>
                <w:b w:val="1"/>
                <w:bCs w:val="1"/>
                <w:color w:val="auto"/>
              </w:rPr>
              <w:t>2024</w:t>
            </w: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573"/>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4"/>
          </w:tcPr>
          <w:p>
            <w:pPr>
              <w:ind w:left="160"/>
              <w:spacing w:after="0"/>
              <w:rPr>
                <w:sz w:val="20"/>
                <w:szCs w:val="20"/>
                <w:color w:val="auto"/>
              </w:rPr>
            </w:pPr>
            <w:r>
              <w:rPr>
                <w:rFonts w:ascii="Verdana" w:cs="Verdana" w:eastAsia="Verdana" w:hAnsi="Verdana"/>
                <w:sz w:val="13"/>
                <w:szCs w:val="13"/>
                <w:b w:val="1"/>
                <w:bCs w:val="1"/>
                <w:color w:val="auto"/>
              </w:rPr>
              <w:t>Change</w:t>
            </w:r>
          </w:p>
        </w:tc>
        <w:tc>
          <w:tcPr>
            <w:tcW w:w="1560" w:type="dxa"/>
            <w:vAlign w:val="bottom"/>
          </w:tcPr>
          <w:p>
            <w:pPr>
              <w:jc w:val="right"/>
              <w:ind w:right="335"/>
              <w:spacing w:after="0"/>
              <w:rPr>
                <w:sz w:val="20"/>
                <w:szCs w:val="20"/>
                <w:color w:val="auto"/>
              </w:rPr>
            </w:pPr>
            <w:r>
              <w:rPr>
                <w:rFonts w:ascii="Verdana" w:cs="Verdana" w:eastAsia="Verdana" w:hAnsi="Verdana"/>
                <w:sz w:val="13"/>
                <w:szCs w:val="13"/>
                <w:b w:val="1"/>
                <w:bCs w:val="1"/>
                <w:color w:val="auto"/>
              </w:rPr>
              <w:t>% Change</w:t>
            </w:r>
          </w:p>
        </w:tc>
      </w:tr>
      <w:tr>
        <w:trPr>
          <w:trHeight w:val="269"/>
        </w:trPr>
        <w:tc>
          <w:tcPr>
            <w:tcW w:w="45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Average interest-earning assets</w:t>
            </w:r>
          </w:p>
        </w:tc>
        <w:tc>
          <w:tcPr>
            <w:tcW w:w="240" w:type="dxa"/>
            <w:vAlign w:val="bottom"/>
            <w:tcBorders>
              <w:top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420" w:type="dxa"/>
            <w:vAlign w:val="bottom"/>
            <w:tcBorders>
              <w:top w:val="single" w:sz="8" w:color="auto"/>
            </w:tcBorders>
            <w:shd w:val="clear" w:color="auto" w:fill="E0E7ED"/>
          </w:tcPr>
          <w:p>
            <w:pPr>
              <w:jc w:val="right"/>
              <w:ind w:right="176"/>
              <w:spacing w:after="0"/>
              <w:rPr>
                <w:sz w:val="20"/>
                <w:szCs w:val="20"/>
                <w:color w:val="auto"/>
              </w:rPr>
            </w:pPr>
            <w:r>
              <w:rPr>
                <w:rFonts w:ascii="Verdana" w:cs="Verdana" w:eastAsia="Verdana" w:hAnsi="Verdana"/>
                <w:sz w:val="18"/>
                <w:szCs w:val="18"/>
                <w:color w:val="auto"/>
              </w:rPr>
              <w:t>10,936,611</w:t>
            </w:r>
          </w:p>
        </w:tc>
        <w:tc>
          <w:tcPr>
            <w:tcW w:w="20" w:type="dxa"/>
            <w:vAlign w:val="bottom"/>
            <w:tcBorders>
              <w:top w:val="single" w:sz="8" w:color="auto"/>
            </w:tcBorders>
            <w:shd w:val="clear" w:color="auto" w:fill="E0E7ED"/>
          </w:tcPr>
          <w:p>
            <w:pPr>
              <w:spacing w:after="0"/>
              <w:rPr>
                <w:sz w:val="23"/>
                <w:szCs w:val="23"/>
                <w:color w:val="auto"/>
              </w:rPr>
            </w:pPr>
          </w:p>
        </w:tc>
        <w:tc>
          <w:tcPr>
            <w:tcW w:w="80" w:type="dxa"/>
            <w:vAlign w:val="bottom"/>
            <w:tcBorders>
              <w:top w:val="single" w:sz="8" w:color="E0E7ED"/>
            </w:tcBorders>
            <w:shd w:val="clear" w:color="auto" w:fill="E0E7ED"/>
          </w:tcPr>
          <w:p>
            <w:pPr>
              <w:spacing w:after="0"/>
              <w:rPr>
                <w:sz w:val="23"/>
                <w:szCs w:val="23"/>
                <w:color w:val="auto"/>
              </w:rPr>
            </w:pPr>
          </w:p>
        </w:tc>
        <w:tc>
          <w:tcPr>
            <w:tcW w:w="20" w:type="dxa"/>
            <w:vAlign w:val="bottom"/>
            <w:tcBorders>
              <w:top w:val="single" w:sz="8" w:color="E0E7ED"/>
            </w:tcBorders>
            <w:shd w:val="clear" w:color="auto" w:fill="E0E7ED"/>
          </w:tcPr>
          <w:p>
            <w:pPr>
              <w:spacing w:after="0"/>
              <w:rPr>
                <w:sz w:val="23"/>
                <w:szCs w:val="23"/>
                <w:color w:val="auto"/>
              </w:rPr>
            </w:pPr>
          </w:p>
        </w:tc>
        <w:tc>
          <w:tcPr>
            <w:tcW w:w="220" w:type="dxa"/>
            <w:vAlign w:val="bottom"/>
            <w:tcBorders>
              <w:top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440" w:type="dxa"/>
            <w:vAlign w:val="bottom"/>
            <w:tcBorders>
              <w:top w:val="single" w:sz="8" w:color="auto"/>
            </w:tcBorders>
            <w:shd w:val="clear" w:color="auto" w:fill="E0E7ED"/>
          </w:tcPr>
          <w:p>
            <w:pPr>
              <w:jc w:val="right"/>
              <w:ind w:right="193"/>
              <w:spacing w:after="0"/>
              <w:rPr>
                <w:sz w:val="20"/>
                <w:szCs w:val="20"/>
                <w:color w:val="auto"/>
              </w:rPr>
            </w:pPr>
            <w:r>
              <w:rPr>
                <w:rFonts w:ascii="Verdana" w:cs="Verdana" w:eastAsia="Verdana" w:hAnsi="Verdana"/>
                <w:sz w:val="18"/>
                <w:szCs w:val="18"/>
                <w:color w:val="auto"/>
              </w:rPr>
              <w:t>11,118,167</w:t>
            </w:r>
          </w:p>
        </w:tc>
        <w:tc>
          <w:tcPr>
            <w:tcW w:w="80" w:type="dxa"/>
            <w:vAlign w:val="bottom"/>
            <w:tcBorders>
              <w:top w:val="single" w:sz="8" w:color="E0E7ED"/>
            </w:tcBorders>
            <w:shd w:val="clear" w:color="auto" w:fill="E0E7ED"/>
          </w:tcPr>
          <w:p>
            <w:pPr>
              <w:spacing w:after="0"/>
              <w:rPr>
                <w:sz w:val="23"/>
                <w:szCs w:val="23"/>
                <w:color w:val="auto"/>
              </w:rPr>
            </w:pPr>
          </w:p>
        </w:tc>
        <w:tc>
          <w:tcPr>
            <w:tcW w:w="20" w:type="dxa"/>
            <w:vAlign w:val="bottom"/>
            <w:tcBorders>
              <w:top w:val="single" w:sz="8" w:color="E0E7ED"/>
            </w:tcBorders>
            <w:shd w:val="clear" w:color="auto" w:fill="E0E7ED"/>
          </w:tcPr>
          <w:p>
            <w:pPr>
              <w:spacing w:after="0"/>
              <w:rPr>
                <w:sz w:val="23"/>
                <w:szCs w:val="23"/>
                <w:color w:val="auto"/>
              </w:rPr>
            </w:pPr>
          </w:p>
        </w:tc>
        <w:tc>
          <w:tcPr>
            <w:tcW w:w="300" w:type="dxa"/>
            <w:vAlign w:val="bottom"/>
            <w:tcBorders>
              <w:top w:val="single" w:sz="8" w:color="auto"/>
            </w:tcBorders>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1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(181,556)</w:t>
            </w:r>
          </w:p>
        </w:tc>
        <w:tc>
          <w:tcPr>
            <w:tcW w:w="20" w:type="dxa"/>
            <w:vAlign w:val="bottom"/>
            <w:tcBorders>
              <w:top w:val="single" w:sz="8" w:color="auto"/>
            </w:tcBorders>
            <w:shd w:val="clear" w:color="auto" w:fill="E0E7ED"/>
          </w:tcPr>
          <w:p>
            <w:pPr>
              <w:spacing w:after="0"/>
              <w:rPr>
                <w:sz w:val="23"/>
                <w:szCs w:val="23"/>
                <w:color w:val="auto"/>
              </w:rPr>
            </w:pPr>
          </w:p>
        </w:tc>
        <w:tc>
          <w:tcPr>
            <w:tcW w:w="80" w:type="dxa"/>
            <w:vAlign w:val="bottom"/>
            <w:tcBorders>
              <w:top w:val="single" w:sz="8" w:color="E0E7ED"/>
            </w:tcBorders>
            <w:shd w:val="clear" w:color="auto" w:fill="E0E7ED"/>
          </w:tcPr>
          <w:p>
            <w:pPr>
              <w:spacing w:after="0"/>
              <w:rPr>
                <w:sz w:val="23"/>
                <w:szCs w:val="23"/>
                <w:color w:val="auto"/>
              </w:rPr>
            </w:pPr>
          </w:p>
        </w:tc>
        <w:tc>
          <w:tcPr>
            <w:tcW w:w="20" w:type="dxa"/>
            <w:vAlign w:val="bottom"/>
            <w:tcBorders>
              <w:top w:val="single" w:sz="8" w:color="E0E7ED"/>
            </w:tcBorders>
            <w:shd w:val="clear" w:color="auto" w:fill="E0E7ED"/>
          </w:tcPr>
          <w:p>
            <w:pPr>
              <w:spacing w:after="0"/>
              <w:rPr>
                <w:sz w:val="23"/>
                <w:szCs w:val="23"/>
                <w:color w:val="auto"/>
              </w:rPr>
            </w:pPr>
          </w:p>
        </w:tc>
        <w:tc>
          <w:tcPr>
            <w:tcW w:w="156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(1.6)%</w:t>
            </w:r>
          </w:p>
        </w:tc>
      </w:tr>
      <w:tr>
        <w:trPr>
          <w:trHeight w:val="263"/>
        </w:trPr>
        <w:tc>
          <w:tcPr>
            <w:tcW w:w="4580" w:type="dxa"/>
            <w:vAlign w:val="bottom"/>
          </w:tcPr>
          <w:p>
            <w:pPr>
              <w:ind w:left="20"/>
              <w:spacing w:after="0"/>
              <w:rPr>
                <w:sz w:val="20"/>
                <w:szCs w:val="20"/>
                <w:color w:val="auto"/>
              </w:rPr>
            </w:pPr>
            <w:r>
              <w:rPr>
                <w:rFonts w:ascii="Verdana" w:cs="Verdana" w:eastAsia="Verdana" w:hAnsi="Verdana"/>
                <w:sz w:val="18"/>
                <w:szCs w:val="18"/>
                <w:color w:val="auto"/>
              </w:rPr>
              <w:t>Average interest-bearing liabilities</w:t>
            </w:r>
          </w:p>
        </w:tc>
        <w:tc>
          <w:tcPr>
            <w:tcW w:w="240" w:type="dxa"/>
            <w:vAlign w:val="bottom"/>
          </w:tcPr>
          <w:p>
            <w:pPr>
              <w:spacing w:after="0"/>
              <w:rPr>
                <w:sz w:val="22"/>
                <w:szCs w:val="22"/>
                <w:color w:val="auto"/>
              </w:rPr>
            </w:pPr>
          </w:p>
        </w:tc>
        <w:tc>
          <w:tcPr>
            <w:tcW w:w="1420" w:type="dxa"/>
            <w:vAlign w:val="bottom"/>
          </w:tcPr>
          <w:p>
            <w:pPr>
              <w:jc w:val="right"/>
              <w:ind w:right="176"/>
              <w:spacing w:after="0"/>
              <w:rPr>
                <w:sz w:val="20"/>
                <w:szCs w:val="20"/>
                <w:color w:val="auto"/>
              </w:rPr>
            </w:pPr>
            <w:r>
              <w:rPr>
                <w:rFonts w:ascii="Verdana" w:cs="Verdana" w:eastAsia="Verdana" w:hAnsi="Verdana"/>
                <w:sz w:val="18"/>
                <w:szCs w:val="18"/>
                <w:color w:val="auto"/>
              </w:rPr>
              <w:t>7,731,459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jc w:val="right"/>
              <w:ind w:right="193"/>
              <w:spacing w:after="0"/>
              <w:rPr>
                <w:sz w:val="20"/>
                <w:szCs w:val="20"/>
                <w:color w:val="auto"/>
              </w:rPr>
            </w:pPr>
            <w:r>
              <w:rPr>
                <w:rFonts w:ascii="Verdana" w:cs="Verdana" w:eastAsia="Verdana" w:hAnsi="Verdana"/>
                <w:sz w:val="18"/>
                <w:szCs w:val="18"/>
                <w:color w:val="auto"/>
              </w:rPr>
              <w:t>7,864,355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(132,896)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Verdana" w:cs="Verdana" w:eastAsia="Verdana" w:hAnsi="Verdana"/>
                <w:sz w:val="18"/>
                <w:szCs w:val="18"/>
                <w:color w:val="auto"/>
              </w:rPr>
              <w:t>(1.7)%</w:t>
            </w:r>
          </w:p>
        </w:tc>
      </w:tr>
      <w:tr>
        <w:trPr>
          <w:trHeight w:val="277"/>
        </w:trPr>
        <w:tc>
          <w:tcPr>
            <w:tcW w:w="45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Average noninterest-bearing deposits</w:t>
            </w:r>
          </w:p>
        </w:tc>
        <w:tc>
          <w:tcPr>
            <w:tcW w:w="240" w:type="dxa"/>
            <w:vAlign w:val="bottom"/>
            <w:shd w:val="clear" w:color="auto" w:fill="E0E7ED"/>
          </w:tcPr>
          <w:p>
            <w:pPr>
              <w:spacing w:after="0"/>
              <w:rPr>
                <w:sz w:val="24"/>
                <w:szCs w:val="24"/>
                <w:color w:val="auto"/>
              </w:rPr>
            </w:pPr>
          </w:p>
        </w:tc>
        <w:tc>
          <w:tcPr>
            <w:tcW w:w="1420" w:type="dxa"/>
            <w:vAlign w:val="bottom"/>
            <w:shd w:val="clear" w:color="auto" w:fill="E0E7ED"/>
          </w:tcPr>
          <w:p>
            <w:pPr>
              <w:jc w:val="right"/>
              <w:ind w:right="176"/>
              <w:spacing w:after="0"/>
              <w:rPr>
                <w:sz w:val="20"/>
                <w:szCs w:val="20"/>
                <w:color w:val="auto"/>
              </w:rPr>
            </w:pPr>
            <w:r>
              <w:rPr>
                <w:rFonts w:ascii="Verdana" w:cs="Verdana" w:eastAsia="Verdana" w:hAnsi="Verdana"/>
                <w:sz w:val="18"/>
                <w:szCs w:val="18"/>
                <w:color w:val="auto"/>
              </w:rPr>
              <w:t>2,706,858</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4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2,925,244</w:t>
            </w: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(218,386)</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15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(7.5)%</w:t>
            </w:r>
          </w:p>
        </w:tc>
      </w:tr>
      <w:tr>
        <w:trPr>
          <w:trHeight w:val="270"/>
        </w:trPr>
        <w:tc>
          <w:tcPr>
            <w:tcW w:w="4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45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average deposits</w:t>
            </w:r>
          </w:p>
        </w:tc>
        <w:tc>
          <w:tcPr>
            <w:tcW w:w="240" w:type="dxa"/>
            <w:vAlign w:val="bottom"/>
            <w:shd w:val="clear" w:color="auto" w:fill="E0E7ED"/>
          </w:tcPr>
          <w:p>
            <w:pPr>
              <w:spacing w:after="0"/>
              <w:rPr>
                <w:sz w:val="23"/>
                <w:szCs w:val="23"/>
                <w:color w:val="auto"/>
              </w:rPr>
            </w:pPr>
          </w:p>
        </w:tc>
        <w:tc>
          <w:tcPr>
            <w:tcW w:w="1420" w:type="dxa"/>
            <w:vAlign w:val="bottom"/>
            <w:shd w:val="clear" w:color="auto" w:fill="E0E7ED"/>
          </w:tcPr>
          <w:p>
            <w:pPr>
              <w:jc w:val="right"/>
              <w:ind w:right="176"/>
              <w:spacing w:after="0"/>
              <w:rPr>
                <w:sz w:val="20"/>
                <w:szCs w:val="20"/>
                <w:color w:val="auto"/>
              </w:rPr>
            </w:pPr>
            <w:r>
              <w:rPr>
                <w:rFonts w:ascii="Verdana" w:cs="Verdana" w:eastAsia="Verdana" w:hAnsi="Verdana"/>
                <w:sz w:val="18"/>
                <w:szCs w:val="18"/>
                <w:color w:val="auto"/>
              </w:rPr>
              <w:t>10,003,779</w:t>
            </w:r>
          </w:p>
        </w:tc>
        <w:tc>
          <w:tcPr>
            <w:tcW w:w="2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0" w:type="dxa"/>
            <w:vAlign w:val="bottom"/>
            <w:shd w:val="clear" w:color="auto" w:fill="E0E7ED"/>
          </w:tcPr>
          <w:p>
            <w:pPr>
              <w:spacing w:after="0"/>
              <w:rPr>
                <w:sz w:val="23"/>
                <w:szCs w:val="23"/>
                <w:color w:val="auto"/>
              </w:rPr>
            </w:pPr>
          </w:p>
        </w:tc>
        <w:tc>
          <w:tcPr>
            <w:tcW w:w="220" w:type="dxa"/>
            <w:vAlign w:val="bottom"/>
            <w:shd w:val="clear" w:color="auto" w:fill="E0E7ED"/>
          </w:tcPr>
          <w:p>
            <w:pPr>
              <w:spacing w:after="0"/>
              <w:rPr>
                <w:sz w:val="23"/>
                <w:szCs w:val="23"/>
                <w:color w:val="auto"/>
              </w:rPr>
            </w:pPr>
          </w:p>
        </w:tc>
        <w:tc>
          <w:tcPr>
            <w:tcW w:w="144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10,142,707</w:t>
            </w:r>
          </w:p>
        </w:tc>
        <w:tc>
          <w:tcPr>
            <w:tcW w:w="80" w:type="dxa"/>
            <w:vAlign w:val="bottom"/>
            <w:shd w:val="clear" w:color="auto" w:fill="E0E7ED"/>
          </w:tcPr>
          <w:p>
            <w:pPr>
              <w:spacing w:after="0"/>
              <w:rPr>
                <w:sz w:val="23"/>
                <w:szCs w:val="23"/>
                <w:color w:val="auto"/>
              </w:rPr>
            </w:pPr>
          </w:p>
        </w:tc>
        <w:tc>
          <w:tcPr>
            <w:tcW w:w="2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(138,928)</w:t>
            </w:r>
          </w:p>
        </w:tc>
        <w:tc>
          <w:tcPr>
            <w:tcW w:w="2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0" w:type="dxa"/>
            <w:vAlign w:val="bottom"/>
            <w:shd w:val="clear" w:color="auto" w:fill="E0E7ED"/>
          </w:tcPr>
          <w:p>
            <w:pPr>
              <w:spacing w:after="0"/>
              <w:rPr>
                <w:sz w:val="23"/>
                <w:szCs w:val="23"/>
                <w:color w:val="auto"/>
              </w:rPr>
            </w:pPr>
          </w:p>
        </w:tc>
        <w:tc>
          <w:tcPr>
            <w:tcW w:w="15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w:t>
            </w:r>
          </w:p>
        </w:tc>
      </w:tr>
      <w:tr>
        <w:trPr>
          <w:trHeight w:val="263"/>
        </w:trPr>
        <w:tc>
          <w:tcPr>
            <w:tcW w:w="4580" w:type="dxa"/>
            <w:vAlign w:val="bottom"/>
          </w:tcPr>
          <w:p>
            <w:pPr>
              <w:ind w:left="20"/>
              <w:spacing w:after="0"/>
              <w:rPr>
                <w:sz w:val="20"/>
                <w:szCs w:val="20"/>
                <w:color w:val="auto"/>
              </w:rPr>
            </w:pPr>
            <w:r>
              <w:rPr>
                <w:rFonts w:ascii="Verdana" w:cs="Verdana" w:eastAsia="Verdana" w:hAnsi="Verdana"/>
                <w:sz w:val="18"/>
                <w:szCs w:val="18"/>
                <w:color w:val="auto"/>
              </w:rPr>
              <w:t>Total average liabilities</w:t>
            </w:r>
          </w:p>
        </w:tc>
        <w:tc>
          <w:tcPr>
            <w:tcW w:w="240" w:type="dxa"/>
            <w:vAlign w:val="bottom"/>
          </w:tcPr>
          <w:p>
            <w:pPr>
              <w:spacing w:after="0"/>
              <w:rPr>
                <w:sz w:val="22"/>
                <w:szCs w:val="22"/>
                <w:color w:val="auto"/>
              </w:rPr>
            </w:pPr>
          </w:p>
        </w:tc>
        <w:tc>
          <w:tcPr>
            <w:tcW w:w="1420" w:type="dxa"/>
            <w:vAlign w:val="bottom"/>
          </w:tcPr>
          <w:p>
            <w:pPr>
              <w:jc w:val="right"/>
              <w:ind w:right="176"/>
              <w:spacing w:after="0"/>
              <w:rPr>
                <w:sz w:val="20"/>
                <w:szCs w:val="20"/>
                <w:color w:val="auto"/>
              </w:rPr>
            </w:pPr>
            <w:r>
              <w:rPr>
                <w:rFonts w:ascii="Verdana" w:cs="Verdana" w:eastAsia="Verdana" w:hAnsi="Verdana"/>
                <w:sz w:val="18"/>
                <w:szCs w:val="18"/>
                <w:color w:val="auto"/>
              </w:rPr>
              <w:t>10,643,325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jc w:val="right"/>
              <w:ind w:right="193"/>
              <w:spacing w:after="0"/>
              <w:rPr>
                <w:sz w:val="20"/>
                <w:szCs w:val="20"/>
                <w:color w:val="auto"/>
              </w:rPr>
            </w:pPr>
            <w:r>
              <w:rPr>
                <w:rFonts w:ascii="Verdana" w:cs="Verdana" w:eastAsia="Verdana" w:hAnsi="Verdana"/>
                <w:sz w:val="18"/>
                <w:szCs w:val="18"/>
                <w:color w:val="auto"/>
              </w:rPr>
              <w:t>10,994,376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(351,051)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Verdana" w:cs="Verdana" w:eastAsia="Verdana" w:hAnsi="Verdana"/>
                <w:sz w:val="18"/>
                <w:szCs w:val="18"/>
                <w:color w:val="auto"/>
              </w:rPr>
              <w:t>(3.2)%</w:t>
            </w:r>
          </w:p>
        </w:tc>
      </w:tr>
      <w:tr>
        <w:trPr>
          <w:trHeight w:val="277"/>
        </w:trPr>
        <w:tc>
          <w:tcPr>
            <w:tcW w:w="45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2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4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4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1560" w:type="dxa"/>
            <w:vAlign w:val="bottom"/>
            <w:shd w:val="clear" w:color="auto" w:fill="E0E7ED"/>
          </w:tcPr>
          <w:p>
            <w:pPr>
              <w:spacing w:after="0"/>
              <w:rPr>
                <w:sz w:val="24"/>
                <w:szCs w:val="24"/>
                <w:color w:val="auto"/>
              </w:rPr>
            </w:pPr>
          </w:p>
        </w:tc>
      </w:tr>
      <w:tr>
        <w:trPr>
          <w:trHeight w:val="238"/>
        </w:trPr>
        <w:tc>
          <w:tcPr>
            <w:tcW w:w="4580" w:type="dxa"/>
            <w:vAlign w:val="bottom"/>
          </w:tcPr>
          <w:p>
            <w:pPr>
              <w:ind w:left="20"/>
              <w:spacing w:after="0"/>
              <w:rPr>
                <w:sz w:val="20"/>
                <w:szCs w:val="20"/>
                <w:color w:val="auto"/>
              </w:rPr>
            </w:pPr>
            <w:r>
              <w:rPr>
                <w:rFonts w:ascii="Verdana" w:cs="Verdana" w:eastAsia="Verdana" w:hAnsi="Verdana"/>
                <w:sz w:val="18"/>
                <w:szCs w:val="18"/>
                <w:color w:val="auto"/>
              </w:rPr>
              <w:t>Average noninterest-bearing deposits as a</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42"/>
        </w:trPr>
        <w:tc>
          <w:tcPr>
            <w:tcW w:w="4580" w:type="dxa"/>
            <w:vAlign w:val="bottom"/>
          </w:tcPr>
          <w:p>
            <w:pPr>
              <w:ind w:left="20"/>
              <w:spacing w:after="0"/>
              <w:rPr>
                <w:sz w:val="20"/>
                <w:szCs w:val="20"/>
                <w:color w:val="auto"/>
              </w:rPr>
            </w:pPr>
            <w:r>
              <w:rPr>
                <w:rFonts w:ascii="Verdana" w:cs="Verdana" w:eastAsia="Verdana" w:hAnsi="Verdana"/>
                <w:sz w:val="18"/>
                <w:szCs w:val="18"/>
                <w:color w:val="auto"/>
              </w:rPr>
              <w:t>percent of total average deposits</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Verdana" w:cs="Verdana" w:eastAsia="Verdana" w:hAnsi="Verdana"/>
                <w:sz w:val="18"/>
                <w:szCs w:val="18"/>
                <w:color w:val="auto"/>
              </w:rPr>
              <w:t>27.1 %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Verdana" w:cs="Verdana" w:eastAsia="Verdana" w:hAnsi="Verdana"/>
                <w:sz w:val="18"/>
                <w:szCs w:val="18"/>
                <w:color w:val="auto"/>
              </w:rPr>
              <w:t>28.8 %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4"/>
          </w:tcPr>
          <w:p>
            <w:pPr>
              <w:jc w:val="right"/>
              <w:ind w:right="120"/>
              <w:spacing w:after="0"/>
              <w:rPr>
                <w:sz w:val="20"/>
                <w:szCs w:val="20"/>
                <w:color w:val="auto"/>
              </w:rPr>
            </w:pPr>
            <w:r>
              <w:rPr>
                <w:rFonts w:ascii="Verdana" w:cs="Verdana" w:eastAsia="Verdana" w:hAnsi="Verdana"/>
                <w:sz w:val="18"/>
                <w:szCs w:val="18"/>
                <w:color w:val="auto"/>
              </w:rPr>
              <w:t>(170) bps</w:t>
            </w:r>
          </w:p>
        </w:tc>
        <w:tc>
          <w:tcPr>
            <w:tcW w:w="1560" w:type="dxa"/>
            <w:vAlign w:val="bottom"/>
          </w:tcPr>
          <w:p>
            <w:pPr>
              <w:spacing w:after="0"/>
              <w:rPr>
                <w:sz w:val="21"/>
                <w:szCs w:val="21"/>
                <w:color w:val="auto"/>
              </w:rPr>
            </w:pPr>
          </w:p>
        </w:tc>
      </w:tr>
      <w:tr>
        <w:trPr>
          <w:trHeight w:val="244"/>
        </w:trPr>
        <w:tc>
          <w:tcPr>
            <w:tcW w:w="45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average deposits as a percent of total</w:t>
            </w:r>
          </w:p>
        </w:tc>
        <w:tc>
          <w:tcPr>
            <w:tcW w:w="240" w:type="dxa"/>
            <w:vAlign w:val="bottom"/>
            <w:shd w:val="clear" w:color="auto" w:fill="E0E7ED"/>
          </w:tcPr>
          <w:p>
            <w:pPr>
              <w:spacing w:after="0"/>
              <w:rPr>
                <w:sz w:val="21"/>
                <w:szCs w:val="21"/>
                <w:color w:val="auto"/>
              </w:rPr>
            </w:pPr>
          </w:p>
        </w:tc>
        <w:tc>
          <w:tcPr>
            <w:tcW w:w="142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1560" w:type="dxa"/>
            <w:vAlign w:val="bottom"/>
            <w:shd w:val="clear" w:color="auto" w:fill="E0E7ED"/>
          </w:tcPr>
          <w:p>
            <w:pPr>
              <w:spacing w:after="0"/>
              <w:rPr>
                <w:sz w:val="21"/>
                <w:szCs w:val="21"/>
                <w:color w:val="auto"/>
              </w:rPr>
            </w:pPr>
          </w:p>
        </w:tc>
      </w:tr>
      <w:tr>
        <w:trPr>
          <w:trHeight w:val="248"/>
        </w:trPr>
        <w:tc>
          <w:tcPr>
            <w:tcW w:w="45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average liabilities</w:t>
            </w:r>
          </w:p>
        </w:tc>
        <w:tc>
          <w:tcPr>
            <w:tcW w:w="240" w:type="dxa"/>
            <w:vAlign w:val="bottom"/>
            <w:shd w:val="clear" w:color="auto" w:fill="E0E7ED"/>
          </w:tcPr>
          <w:p>
            <w:pPr>
              <w:spacing w:after="0"/>
              <w:rPr>
                <w:sz w:val="21"/>
                <w:szCs w:val="21"/>
                <w:color w:val="auto"/>
              </w:rPr>
            </w:pPr>
          </w:p>
        </w:tc>
        <w:tc>
          <w:tcPr>
            <w:tcW w:w="14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94.0 %</w:t>
            </w: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92.3 %</w:t>
            </w: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60" w:type="dxa"/>
            <w:vAlign w:val="bottom"/>
            <w:gridSpan w:val="4"/>
            <w:shd w:val="clear" w:color="auto" w:fill="E0E7ED"/>
          </w:tcPr>
          <w:p>
            <w:pPr>
              <w:jc w:val="right"/>
              <w:ind w:right="120"/>
              <w:spacing w:after="0"/>
              <w:rPr>
                <w:sz w:val="20"/>
                <w:szCs w:val="20"/>
                <w:color w:val="auto"/>
              </w:rPr>
            </w:pPr>
            <w:r>
              <w:rPr>
                <w:rFonts w:ascii="Verdana" w:cs="Verdana" w:eastAsia="Verdana" w:hAnsi="Verdana"/>
                <w:sz w:val="18"/>
                <w:szCs w:val="18"/>
                <w:color w:val="auto"/>
              </w:rPr>
              <w:t>170 bps</w:t>
            </w:r>
          </w:p>
        </w:tc>
        <w:tc>
          <w:tcPr>
            <w:tcW w:w="1560" w:type="dxa"/>
            <w:vAlign w:val="bottom"/>
            <w:shd w:val="clear" w:color="auto" w:fill="E0E7ED"/>
          </w:tcPr>
          <w:p>
            <w:pPr>
              <w:spacing w:after="0"/>
              <w:rPr>
                <w:sz w:val="21"/>
                <w:szCs w:val="21"/>
                <w:color w:val="auto"/>
              </w:rPr>
            </w:pPr>
          </w:p>
        </w:tc>
      </w:tr>
      <w:tr>
        <w:trPr>
          <w:trHeight w:val="493"/>
        </w:trPr>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00" w:type="dxa"/>
            <w:vAlign w:val="bottom"/>
            <w:gridSpan w:val="8"/>
          </w:tcPr>
          <w:p>
            <w:pPr>
              <w:jc w:val="center"/>
              <w:ind w:right="340"/>
              <w:spacing w:after="0"/>
              <w:rPr>
                <w:sz w:val="20"/>
                <w:szCs w:val="20"/>
                <w:color w:val="auto"/>
              </w:rPr>
            </w:pPr>
            <w:r>
              <w:rPr>
                <w:rFonts w:ascii="Verdana" w:cs="Verdana" w:eastAsia="Verdana" w:hAnsi="Verdana"/>
                <w:sz w:val="13"/>
                <w:szCs w:val="13"/>
                <w:b w:val="1"/>
                <w:bCs w:val="1"/>
                <w:color w:val="auto"/>
                <w:w w:val="96"/>
              </w:rPr>
              <w:t>Nine Months Ended September 30,</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0"/>
        </w:trPr>
        <w:tc>
          <w:tcPr>
            <w:tcW w:w="45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576"/>
              <w:spacing w:after="0"/>
              <w:rPr>
                <w:sz w:val="20"/>
                <w:szCs w:val="20"/>
                <w:color w:val="auto"/>
              </w:rPr>
            </w:pPr>
            <w:r>
              <w:rPr>
                <w:rFonts w:ascii="Verdana" w:cs="Verdana" w:eastAsia="Verdana" w:hAnsi="Verdana"/>
                <w:sz w:val="13"/>
                <w:szCs w:val="13"/>
                <w:b w:val="1"/>
                <w:bCs w:val="1"/>
                <w:color w:val="auto"/>
              </w:rPr>
              <w:t>2024</w:t>
            </w: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573"/>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4"/>
          </w:tcPr>
          <w:p>
            <w:pPr>
              <w:ind w:left="160"/>
              <w:spacing w:after="0"/>
              <w:rPr>
                <w:sz w:val="20"/>
                <w:szCs w:val="20"/>
                <w:color w:val="auto"/>
              </w:rPr>
            </w:pPr>
            <w:r>
              <w:rPr>
                <w:rFonts w:ascii="Verdana" w:cs="Verdana" w:eastAsia="Verdana" w:hAnsi="Verdana"/>
                <w:sz w:val="13"/>
                <w:szCs w:val="13"/>
                <w:b w:val="1"/>
                <w:bCs w:val="1"/>
                <w:color w:val="auto"/>
              </w:rPr>
              <w:t>Change</w:t>
            </w:r>
          </w:p>
        </w:tc>
        <w:tc>
          <w:tcPr>
            <w:tcW w:w="1560" w:type="dxa"/>
            <w:vAlign w:val="bottom"/>
          </w:tcPr>
          <w:p>
            <w:pPr>
              <w:jc w:val="right"/>
              <w:ind w:right="335"/>
              <w:spacing w:after="0"/>
              <w:rPr>
                <w:sz w:val="20"/>
                <w:szCs w:val="20"/>
                <w:color w:val="auto"/>
              </w:rPr>
            </w:pPr>
            <w:r>
              <w:rPr>
                <w:rFonts w:ascii="Verdana" w:cs="Verdana" w:eastAsia="Verdana" w:hAnsi="Verdana"/>
                <w:sz w:val="13"/>
                <w:szCs w:val="13"/>
                <w:b w:val="1"/>
                <w:bCs w:val="1"/>
                <w:color w:val="auto"/>
              </w:rPr>
              <w:t>% Change</w:t>
            </w:r>
          </w:p>
        </w:tc>
      </w:tr>
      <w:tr>
        <w:trPr>
          <w:trHeight w:val="269"/>
        </w:trPr>
        <w:tc>
          <w:tcPr>
            <w:tcW w:w="45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Average interest-earning assets</w:t>
            </w:r>
          </w:p>
        </w:tc>
        <w:tc>
          <w:tcPr>
            <w:tcW w:w="240" w:type="dxa"/>
            <w:vAlign w:val="bottom"/>
            <w:tcBorders>
              <w:top w:val="single" w:sz="8" w:color="auto"/>
            </w:tcBorders>
            <w:shd w:val="clear" w:color="auto" w:fill="E0E7ED"/>
          </w:tcPr>
          <w:p>
            <w:pPr>
              <w:jc w:val="right"/>
              <w:ind w:right="30"/>
              <w:spacing w:after="0"/>
              <w:rPr>
                <w:sz w:val="20"/>
                <w:szCs w:val="20"/>
                <w:color w:val="auto"/>
              </w:rPr>
            </w:pPr>
            <w:r>
              <w:rPr>
                <w:rFonts w:ascii="Verdana" w:cs="Verdana" w:eastAsia="Verdana" w:hAnsi="Verdana"/>
                <w:sz w:val="18"/>
                <w:szCs w:val="18"/>
                <w:color w:val="auto"/>
                <w:w w:val="86"/>
              </w:rPr>
              <w:t>$</w:t>
            </w:r>
          </w:p>
        </w:tc>
        <w:tc>
          <w:tcPr>
            <w:tcW w:w="1420" w:type="dxa"/>
            <w:vAlign w:val="bottom"/>
            <w:tcBorders>
              <w:top w:val="single" w:sz="8" w:color="auto"/>
            </w:tcBorders>
            <w:shd w:val="clear" w:color="auto" w:fill="E0E7ED"/>
          </w:tcPr>
          <w:p>
            <w:pPr>
              <w:jc w:val="right"/>
              <w:ind w:right="196"/>
              <w:spacing w:after="0"/>
              <w:rPr>
                <w:sz w:val="20"/>
                <w:szCs w:val="20"/>
                <w:color w:val="auto"/>
              </w:rPr>
            </w:pPr>
            <w:r>
              <w:rPr>
                <w:rFonts w:ascii="Verdana" w:cs="Verdana" w:eastAsia="Verdana" w:hAnsi="Verdana"/>
                <w:sz w:val="18"/>
                <w:szCs w:val="18"/>
                <w:color w:val="auto"/>
              </w:rPr>
              <w:t>10,976,660</w:t>
            </w:r>
          </w:p>
        </w:tc>
        <w:tc>
          <w:tcPr>
            <w:tcW w:w="20" w:type="dxa"/>
            <w:vAlign w:val="bottom"/>
            <w:tcBorders>
              <w:top w:val="single" w:sz="8" w:color="E0E7ED"/>
            </w:tcBorders>
            <w:shd w:val="clear" w:color="auto" w:fill="E0E7ED"/>
          </w:tcPr>
          <w:p>
            <w:pPr>
              <w:spacing w:after="0"/>
              <w:rPr>
                <w:sz w:val="23"/>
                <w:szCs w:val="23"/>
                <w:color w:val="auto"/>
              </w:rPr>
            </w:pPr>
          </w:p>
        </w:tc>
        <w:tc>
          <w:tcPr>
            <w:tcW w:w="80" w:type="dxa"/>
            <w:vAlign w:val="bottom"/>
            <w:tcBorders>
              <w:top w:val="single" w:sz="8" w:color="E0E7ED"/>
            </w:tcBorders>
            <w:shd w:val="clear" w:color="auto" w:fill="E0E7ED"/>
          </w:tcPr>
          <w:p>
            <w:pPr>
              <w:spacing w:after="0"/>
              <w:rPr>
                <w:sz w:val="23"/>
                <w:szCs w:val="23"/>
                <w:color w:val="auto"/>
              </w:rPr>
            </w:pPr>
          </w:p>
        </w:tc>
        <w:tc>
          <w:tcPr>
            <w:tcW w:w="20" w:type="dxa"/>
            <w:vAlign w:val="bottom"/>
            <w:tcBorders>
              <w:top w:val="single" w:sz="8" w:color="auto"/>
            </w:tcBorders>
            <w:shd w:val="clear" w:color="auto" w:fill="E0E7ED"/>
          </w:tcPr>
          <w:p>
            <w:pPr>
              <w:spacing w:after="0"/>
              <w:rPr>
                <w:sz w:val="23"/>
                <w:szCs w:val="23"/>
                <w:color w:val="auto"/>
              </w:rPr>
            </w:pPr>
          </w:p>
        </w:tc>
        <w:tc>
          <w:tcPr>
            <w:tcW w:w="220" w:type="dxa"/>
            <w:vAlign w:val="bottom"/>
            <w:tcBorders>
              <w:top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440" w:type="dxa"/>
            <w:vAlign w:val="bottom"/>
            <w:tcBorders>
              <w:top w:val="single" w:sz="8" w:color="auto"/>
            </w:tcBorders>
            <w:shd w:val="clear" w:color="auto" w:fill="E0E7ED"/>
          </w:tcPr>
          <w:p>
            <w:pPr>
              <w:jc w:val="right"/>
              <w:ind w:right="193"/>
              <w:spacing w:after="0"/>
              <w:rPr>
                <w:sz w:val="20"/>
                <w:szCs w:val="20"/>
                <w:color w:val="auto"/>
              </w:rPr>
            </w:pPr>
            <w:r>
              <w:rPr>
                <w:rFonts w:ascii="Verdana" w:cs="Verdana" w:eastAsia="Verdana" w:hAnsi="Verdana"/>
                <w:sz w:val="18"/>
                <w:szCs w:val="18"/>
                <w:color w:val="auto"/>
              </w:rPr>
              <w:t>11,142,780</w:t>
            </w:r>
          </w:p>
        </w:tc>
        <w:tc>
          <w:tcPr>
            <w:tcW w:w="80" w:type="dxa"/>
            <w:vAlign w:val="bottom"/>
            <w:tcBorders>
              <w:top w:val="single" w:sz="8" w:color="E0E7ED"/>
            </w:tcBorders>
            <w:shd w:val="clear" w:color="auto" w:fill="E0E7ED"/>
          </w:tcPr>
          <w:p>
            <w:pPr>
              <w:spacing w:after="0"/>
              <w:rPr>
                <w:sz w:val="23"/>
                <w:szCs w:val="23"/>
                <w:color w:val="auto"/>
              </w:rPr>
            </w:pPr>
          </w:p>
        </w:tc>
        <w:tc>
          <w:tcPr>
            <w:tcW w:w="20" w:type="dxa"/>
            <w:vAlign w:val="bottom"/>
            <w:tcBorders>
              <w:top w:val="single" w:sz="8" w:color="auto"/>
            </w:tcBorders>
            <w:shd w:val="clear" w:color="auto" w:fill="E0E7ED"/>
          </w:tcPr>
          <w:p>
            <w:pPr>
              <w:spacing w:after="0"/>
              <w:rPr>
                <w:sz w:val="23"/>
                <w:szCs w:val="23"/>
                <w:color w:val="auto"/>
              </w:rPr>
            </w:pPr>
          </w:p>
        </w:tc>
        <w:tc>
          <w:tcPr>
            <w:tcW w:w="300" w:type="dxa"/>
            <w:vAlign w:val="bottom"/>
            <w:tcBorders>
              <w:top w:val="single" w:sz="8" w:color="auto"/>
            </w:tcBorders>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1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(166,120)</w:t>
            </w:r>
          </w:p>
        </w:tc>
        <w:tc>
          <w:tcPr>
            <w:tcW w:w="20" w:type="dxa"/>
            <w:vAlign w:val="bottom"/>
            <w:tcBorders>
              <w:top w:val="single" w:sz="8" w:color="E0E7ED"/>
            </w:tcBorders>
            <w:shd w:val="clear" w:color="auto" w:fill="E0E7ED"/>
          </w:tcPr>
          <w:p>
            <w:pPr>
              <w:spacing w:after="0"/>
              <w:rPr>
                <w:sz w:val="23"/>
                <w:szCs w:val="23"/>
                <w:color w:val="auto"/>
              </w:rPr>
            </w:pPr>
          </w:p>
        </w:tc>
        <w:tc>
          <w:tcPr>
            <w:tcW w:w="80" w:type="dxa"/>
            <w:vAlign w:val="bottom"/>
            <w:tcBorders>
              <w:top w:val="single" w:sz="8" w:color="E0E7ED"/>
            </w:tcBorders>
            <w:shd w:val="clear" w:color="auto" w:fill="E0E7ED"/>
          </w:tcPr>
          <w:p>
            <w:pPr>
              <w:spacing w:after="0"/>
              <w:rPr>
                <w:sz w:val="23"/>
                <w:szCs w:val="23"/>
                <w:color w:val="auto"/>
              </w:rPr>
            </w:pPr>
          </w:p>
        </w:tc>
        <w:tc>
          <w:tcPr>
            <w:tcW w:w="20" w:type="dxa"/>
            <w:vAlign w:val="bottom"/>
            <w:tcBorders>
              <w:top w:val="single" w:sz="8" w:color="auto"/>
            </w:tcBorders>
            <w:shd w:val="clear" w:color="auto" w:fill="E0E7ED"/>
          </w:tcPr>
          <w:p>
            <w:pPr>
              <w:spacing w:after="0"/>
              <w:rPr>
                <w:sz w:val="23"/>
                <w:szCs w:val="23"/>
                <w:color w:val="auto"/>
              </w:rPr>
            </w:pPr>
          </w:p>
        </w:tc>
        <w:tc>
          <w:tcPr>
            <w:tcW w:w="156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(1.5)%</w:t>
            </w:r>
          </w:p>
        </w:tc>
      </w:tr>
      <w:tr>
        <w:trPr>
          <w:trHeight w:val="263"/>
        </w:trPr>
        <w:tc>
          <w:tcPr>
            <w:tcW w:w="4580" w:type="dxa"/>
            <w:vAlign w:val="bottom"/>
          </w:tcPr>
          <w:p>
            <w:pPr>
              <w:ind w:left="20"/>
              <w:spacing w:after="0"/>
              <w:rPr>
                <w:sz w:val="20"/>
                <w:szCs w:val="20"/>
                <w:color w:val="auto"/>
              </w:rPr>
            </w:pPr>
            <w:r>
              <w:rPr>
                <w:rFonts w:ascii="Verdana" w:cs="Verdana" w:eastAsia="Verdana" w:hAnsi="Verdana"/>
                <w:sz w:val="18"/>
                <w:szCs w:val="18"/>
                <w:color w:val="auto"/>
              </w:rPr>
              <w:t>Average interest-bearing liabilities</w:t>
            </w:r>
          </w:p>
        </w:tc>
        <w:tc>
          <w:tcPr>
            <w:tcW w:w="240" w:type="dxa"/>
            <w:vAlign w:val="bottom"/>
          </w:tcPr>
          <w:p>
            <w:pPr>
              <w:spacing w:after="0"/>
              <w:rPr>
                <w:sz w:val="22"/>
                <w:szCs w:val="22"/>
                <w:color w:val="auto"/>
              </w:rPr>
            </w:pPr>
          </w:p>
        </w:tc>
        <w:tc>
          <w:tcPr>
            <w:tcW w:w="1420" w:type="dxa"/>
            <w:vAlign w:val="bottom"/>
          </w:tcPr>
          <w:p>
            <w:pPr>
              <w:jc w:val="right"/>
              <w:ind w:right="196"/>
              <w:spacing w:after="0"/>
              <w:rPr>
                <w:sz w:val="20"/>
                <w:szCs w:val="20"/>
                <w:color w:val="auto"/>
              </w:rPr>
            </w:pPr>
            <w:r>
              <w:rPr>
                <w:rFonts w:ascii="Verdana" w:cs="Verdana" w:eastAsia="Verdana" w:hAnsi="Verdana"/>
                <w:sz w:val="18"/>
                <w:szCs w:val="18"/>
                <w:color w:val="auto"/>
              </w:rPr>
              <w:t>7,762,867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jc w:val="right"/>
              <w:ind w:right="193"/>
              <w:spacing w:after="0"/>
              <w:rPr>
                <w:sz w:val="20"/>
                <w:szCs w:val="20"/>
                <w:color w:val="auto"/>
              </w:rPr>
            </w:pPr>
            <w:r>
              <w:rPr>
                <w:rFonts w:ascii="Verdana" w:cs="Verdana" w:eastAsia="Verdana" w:hAnsi="Verdana"/>
                <w:sz w:val="18"/>
                <w:szCs w:val="18"/>
                <w:color w:val="auto"/>
              </w:rPr>
              <w:t>7,748,218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14,649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Verdana" w:cs="Verdana" w:eastAsia="Verdana" w:hAnsi="Verdana"/>
                <w:sz w:val="18"/>
                <w:szCs w:val="18"/>
                <w:color w:val="auto"/>
              </w:rPr>
              <w:t>0.2 %</w:t>
            </w:r>
          </w:p>
        </w:tc>
      </w:tr>
      <w:tr>
        <w:trPr>
          <w:trHeight w:val="277"/>
        </w:trPr>
        <w:tc>
          <w:tcPr>
            <w:tcW w:w="45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Average noninterest-bearing deposits</w:t>
            </w:r>
          </w:p>
        </w:tc>
        <w:tc>
          <w:tcPr>
            <w:tcW w:w="240" w:type="dxa"/>
            <w:vAlign w:val="bottom"/>
            <w:shd w:val="clear" w:color="auto" w:fill="E0E7ED"/>
          </w:tcPr>
          <w:p>
            <w:pPr>
              <w:spacing w:after="0"/>
              <w:rPr>
                <w:sz w:val="24"/>
                <w:szCs w:val="24"/>
                <w:color w:val="auto"/>
              </w:rPr>
            </w:pPr>
          </w:p>
        </w:tc>
        <w:tc>
          <w:tcPr>
            <w:tcW w:w="1420" w:type="dxa"/>
            <w:vAlign w:val="bottom"/>
            <w:shd w:val="clear" w:color="auto" w:fill="E0E7ED"/>
          </w:tcPr>
          <w:p>
            <w:pPr>
              <w:jc w:val="right"/>
              <w:ind w:right="196"/>
              <w:spacing w:after="0"/>
              <w:rPr>
                <w:sz w:val="20"/>
                <w:szCs w:val="20"/>
                <w:color w:val="auto"/>
              </w:rPr>
            </w:pPr>
            <w:r>
              <w:rPr>
                <w:rFonts w:ascii="Verdana" w:cs="Verdana" w:eastAsia="Verdana" w:hAnsi="Verdana"/>
                <w:sz w:val="18"/>
                <w:szCs w:val="18"/>
                <w:color w:val="auto"/>
              </w:rPr>
              <w:t>2,743,777</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4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3,082,884</w:t>
            </w: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(339,107)</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15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(11.0)%</w:t>
            </w:r>
          </w:p>
        </w:tc>
      </w:tr>
      <w:tr>
        <w:trPr>
          <w:trHeight w:val="270"/>
        </w:trPr>
        <w:tc>
          <w:tcPr>
            <w:tcW w:w="4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45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average deposits</w:t>
            </w:r>
          </w:p>
        </w:tc>
        <w:tc>
          <w:tcPr>
            <w:tcW w:w="240" w:type="dxa"/>
            <w:vAlign w:val="bottom"/>
            <w:shd w:val="clear" w:color="auto" w:fill="E0E7ED"/>
          </w:tcPr>
          <w:p>
            <w:pPr>
              <w:spacing w:after="0"/>
              <w:rPr>
                <w:sz w:val="23"/>
                <w:szCs w:val="23"/>
                <w:color w:val="auto"/>
              </w:rPr>
            </w:pPr>
          </w:p>
        </w:tc>
        <w:tc>
          <w:tcPr>
            <w:tcW w:w="1420" w:type="dxa"/>
            <w:vAlign w:val="bottom"/>
            <w:shd w:val="clear" w:color="auto" w:fill="E0E7ED"/>
          </w:tcPr>
          <w:p>
            <w:pPr>
              <w:jc w:val="right"/>
              <w:ind w:right="196"/>
              <w:spacing w:after="0"/>
              <w:rPr>
                <w:sz w:val="20"/>
                <w:szCs w:val="20"/>
                <w:color w:val="auto"/>
              </w:rPr>
            </w:pPr>
            <w:r>
              <w:rPr>
                <w:rFonts w:ascii="Verdana" w:cs="Verdana" w:eastAsia="Verdana" w:hAnsi="Verdana"/>
                <w:sz w:val="18"/>
                <w:szCs w:val="18"/>
                <w:color w:val="auto"/>
              </w:rPr>
              <w:t>10,036,661</w:t>
            </w:r>
          </w:p>
        </w:tc>
        <w:tc>
          <w:tcPr>
            <w:tcW w:w="2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0" w:type="dxa"/>
            <w:vAlign w:val="bottom"/>
            <w:shd w:val="clear" w:color="auto" w:fill="E0E7ED"/>
          </w:tcPr>
          <w:p>
            <w:pPr>
              <w:spacing w:after="0"/>
              <w:rPr>
                <w:sz w:val="23"/>
                <w:szCs w:val="23"/>
                <w:color w:val="auto"/>
              </w:rPr>
            </w:pPr>
          </w:p>
        </w:tc>
        <w:tc>
          <w:tcPr>
            <w:tcW w:w="220" w:type="dxa"/>
            <w:vAlign w:val="bottom"/>
            <w:shd w:val="clear" w:color="auto" w:fill="E0E7ED"/>
          </w:tcPr>
          <w:p>
            <w:pPr>
              <w:spacing w:after="0"/>
              <w:rPr>
                <w:sz w:val="23"/>
                <w:szCs w:val="23"/>
                <w:color w:val="auto"/>
              </w:rPr>
            </w:pPr>
          </w:p>
        </w:tc>
        <w:tc>
          <w:tcPr>
            <w:tcW w:w="144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9,969,161</w:t>
            </w:r>
          </w:p>
        </w:tc>
        <w:tc>
          <w:tcPr>
            <w:tcW w:w="80" w:type="dxa"/>
            <w:vAlign w:val="bottom"/>
            <w:shd w:val="clear" w:color="auto" w:fill="E0E7ED"/>
          </w:tcPr>
          <w:p>
            <w:pPr>
              <w:spacing w:after="0"/>
              <w:rPr>
                <w:sz w:val="23"/>
                <w:szCs w:val="23"/>
                <w:color w:val="auto"/>
              </w:rPr>
            </w:pPr>
          </w:p>
        </w:tc>
        <w:tc>
          <w:tcPr>
            <w:tcW w:w="2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67,500</w:t>
            </w:r>
          </w:p>
        </w:tc>
        <w:tc>
          <w:tcPr>
            <w:tcW w:w="2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0" w:type="dxa"/>
            <w:vAlign w:val="bottom"/>
            <w:shd w:val="clear" w:color="auto" w:fill="E0E7ED"/>
          </w:tcPr>
          <w:p>
            <w:pPr>
              <w:spacing w:after="0"/>
              <w:rPr>
                <w:sz w:val="23"/>
                <w:szCs w:val="23"/>
                <w:color w:val="auto"/>
              </w:rPr>
            </w:pPr>
          </w:p>
        </w:tc>
        <w:tc>
          <w:tcPr>
            <w:tcW w:w="15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0.7 %</w:t>
            </w:r>
          </w:p>
        </w:tc>
      </w:tr>
      <w:tr>
        <w:trPr>
          <w:trHeight w:val="263"/>
        </w:trPr>
        <w:tc>
          <w:tcPr>
            <w:tcW w:w="4580" w:type="dxa"/>
            <w:vAlign w:val="bottom"/>
          </w:tcPr>
          <w:p>
            <w:pPr>
              <w:ind w:left="20"/>
              <w:spacing w:after="0"/>
              <w:rPr>
                <w:sz w:val="20"/>
                <w:szCs w:val="20"/>
                <w:color w:val="auto"/>
              </w:rPr>
            </w:pPr>
            <w:r>
              <w:rPr>
                <w:rFonts w:ascii="Verdana" w:cs="Verdana" w:eastAsia="Verdana" w:hAnsi="Verdana"/>
                <w:sz w:val="18"/>
                <w:szCs w:val="18"/>
                <w:color w:val="auto"/>
              </w:rPr>
              <w:t>Total average liabilities</w:t>
            </w:r>
          </w:p>
        </w:tc>
        <w:tc>
          <w:tcPr>
            <w:tcW w:w="240" w:type="dxa"/>
            <w:vAlign w:val="bottom"/>
          </w:tcPr>
          <w:p>
            <w:pPr>
              <w:spacing w:after="0"/>
              <w:rPr>
                <w:sz w:val="22"/>
                <w:szCs w:val="22"/>
                <w:color w:val="auto"/>
              </w:rPr>
            </w:pPr>
          </w:p>
        </w:tc>
        <w:tc>
          <w:tcPr>
            <w:tcW w:w="1420" w:type="dxa"/>
            <w:vAlign w:val="bottom"/>
          </w:tcPr>
          <w:p>
            <w:pPr>
              <w:jc w:val="right"/>
              <w:ind w:right="196"/>
              <w:spacing w:after="0"/>
              <w:rPr>
                <w:sz w:val="20"/>
                <w:szCs w:val="20"/>
                <w:color w:val="auto"/>
              </w:rPr>
            </w:pPr>
            <w:r>
              <w:rPr>
                <w:rFonts w:ascii="Verdana" w:cs="Verdana" w:eastAsia="Verdana" w:hAnsi="Verdana"/>
                <w:sz w:val="18"/>
                <w:szCs w:val="18"/>
                <w:color w:val="auto"/>
              </w:rPr>
              <w:t>10,716,295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jc w:val="right"/>
              <w:ind w:right="193"/>
              <w:spacing w:after="0"/>
              <w:rPr>
                <w:sz w:val="20"/>
                <w:szCs w:val="20"/>
                <w:color w:val="auto"/>
              </w:rPr>
            </w:pPr>
            <w:r>
              <w:rPr>
                <w:rFonts w:ascii="Verdana" w:cs="Verdana" w:eastAsia="Verdana" w:hAnsi="Verdana"/>
                <w:sz w:val="18"/>
                <w:szCs w:val="18"/>
                <w:color w:val="auto"/>
              </w:rPr>
              <w:t>11,029,374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(313,079)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Verdana" w:cs="Verdana" w:eastAsia="Verdana" w:hAnsi="Verdana"/>
                <w:sz w:val="18"/>
                <w:szCs w:val="18"/>
                <w:color w:val="auto"/>
              </w:rPr>
              <w:t>(2.8)%</w:t>
            </w:r>
          </w:p>
        </w:tc>
      </w:tr>
      <w:tr>
        <w:trPr>
          <w:trHeight w:val="277"/>
        </w:trPr>
        <w:tc>
          <w:tcPr>
            <w:tcW w:w="45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2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4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4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1560" w:type="dxa"/>
            <w:vAlign w:val="bottom"/>
            <w:shd w:val="clear" w:color="auto" w:fill="E0E7ED"/>
          </w:tcPr>
          <w:p>
            <w:pPr>
              <w:spacing w:after="0"/>
              <w:rPr>
                <w:sz w:val="24"/>
                <w:szCs w:val="24"/>
                <w:color w:val="auto"/>
              </w:rPr>
            </w:pPr>
          </w:p>
        </w:tc>
      </w:tr>
      <w:tr>
        <w:trPr>
          <w:trHeight w:val="238"/>
        </w:trPr>
        <w:tc>
          <w:tcPr>
            <w:tcW w:w="4580" w:type="dxa"/>
            <w:vAlign w:val="bottom"/>
          </w:tcPr>
          <w:p>
            <w:pPr>
              <w:ind w:left="20"/>
              <w:spacing w:after="0"/>
              <w:rPr>
                <w:sz w:val="20"/>
                <w:szCs w:val="20"/>
                <w:color w:val="auto"/>
              </w:rPr>
            </w:pPr>
            <w:r>
              <w:rPr>
                <w:rFonts w:ascii="Verdana" w:cs="Verdana" w:eastAsia="Verdana" w:hAnsi="Verdana"/>
                <w:sz w:val="18"/>
                <w:szCs w:val="18"/>
                <w:color w:val="auto"/>
              </w:rPr>
              <w:t>Average noninterest-bearing deposits as a</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42"/>
        </w:trPr>
        <w:tc>
          <w:tcPr>
            <w:tcW w:w="4580" w:type="dxa"/>
            <w:vAlign w:val="bottom"/>
          </w:tcPr>
          <w:p>
            <w:pPr>
              <w:ind w:left="20"/>
              <w:spacing w:after="0"/>
              <w:rPr>
                <w:sz w:val="20"/>
                <w:szCs w:val="20"/>
                <w:color w:val="auto"/>
              </w:rPr>
            </w:pPr>
            <w:r>
              <w:rPr>
                <w:rFonts w:ascii="Verdana" w:cs="Verdana" w:eastAsia="Verdana" w:hAnsi="Verdana"/>
                <w:sz w:val="18"/>
                <w:szCs w:val="18"/>
                <w:color w:val="auto"/>
              </w:rPr>
              <w:t>percent of total average deposits</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Verdana" w:cs="Verdana" w:eastAsia="Verdana" w:hAnsi="Verdana"/>
                <w:sz w:val="18"/>
                <w:szCs w:val="18"/>
                <w:color w:val="auto"/>
              </w:rPr>
              <w:t>27.3 %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Verdana" w:cs="Verdana" w:eastAsia="Verdana" w:hAnsi="Verdana"/>
                <w:sz w:val="18"/>
                <w:szCs w:val="18"/>
                <w:color w:val="auto"/>
              </w:rPr>
              <w:t>30.9 %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4"/>
          </w:tcPr>
          <w:p>
            <w:pPr>
              <w:jc w:val="right"/>
              <w:ind w:right="140"/>
              <w:spacing w:after="0"/>
              <w:rPr>
                <w:sz w:val="20"/>
                <w:szCs w:val="20"/>
                <w:color w:val="auto"/>
              </w:rPr>
            </w:pPr>
            <w:r>
              <w:rPr>
                <w:rFonts w:ascii="Verdana" w:cs="Verdana" w:eastAsia="Verdana" w:hAnsi="Verdana"/>
                <w:sz w:val="18"/>
                <w:szCs w:val="18"/>
                <w:color w:val="auto"/>
              </w:rPr>
              <w:t>(360) bps</w:t>
            </w:r>
          </w:p>
        </w:tc>
        <w:tc>
          <w:tcPr>
            <w:tcW w:w="1560" w:type="dxa"/>
            <w:vAlign w:val="bottom"/>
          </w:tcPr>
          <w:p>
            <w:pPr>
              <w:spacing w:after="0"/>
              <w:rPr>
                <w:sz w:val="21"/>
                <w:szCs w:val="21"/>
                <w:color w:val="auto"/>
              </w:rPr>
            </w:pPr>
          </w:p>
        </w:tc>
      </w:tr>
      <w:tr>
        <w:trPr>
          <w:trHeight w:val="244"/>
        </w:trPr>
        <w:tc>
          <w:tcPr>
            <w:tcW w:w="45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average deposits as a percent of total</w:t>
            </w:r>
          </w:p>
        </w:tc>
        <w:tc>
          <w:tcPr>
            <w:tcW w:w="240" w:type="dxa"/>
            <w:vAlign w:val="bottom"/>
            <w:shd w:val="clear" w:color="auto" w:fill="E0E7ED"/>
          </w:tcPr>
          <w:p>
            <w:pPr>
              <w:spacing w:after="0"/>
              <w:rPr>
                <w:sz w:val="21"/>
                <w:szCs w:val="21"/>
                <w:color w:val="auto"/>
              </w:rPr>
            </w:pPr>
          </w:p>
        </w:tc>
        <w:tc>
          <w:tcPr>
            <w:tcW w:w="142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1560" w:type="dxa"/>
            <w:vAlign w:val="bottom"/>
            <w:shd w:val="clear" w:color="auto" w:fill="E0E7ED"/>
          </w:tcPr>
          <w:p>
            <w:pPr>
              <w:spacing w:after="0"/>
              <w:rPr>
                <w:sz w:val="21"/>
                <w:szCs w:val="21"/>
                <w:color w:val="auto"/>
              </w:rPr>
            </w:pPr>
          </w:p>
        </w:tc>
      </w:tr>
      <w:tr>
        <w:trPr>
          <w:trHeight w:val="248"/>
        </w:trPr>
        <w:tc>
          <w:tcPr>
            <w:tcW w:w="45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average liabilities</w:t>
            </w:r>
          </w:p>
        </w:tc>
        <w:tc>
          <w:tcPr>
            <w:tcW w:w="240" w:type="dxa"/>
            <w:vAlign w:val="bottom"/>
            <w:shd w:val="clear" w:color="auto" w:fill="E0E7ED"/>
          </w:tcPr>
          <w:p>
            <w:pPr>
              <w:spacing w:after="0"/>
              <w:rPr>
                <w:sz w:val="21"/>
                <w:szCs w:val="21"/>
                <w:color w:val="auto"/>
              </w:rPr>
            </w:pPr>
          </w:p>
        </w:tc>
        <w:tc>
          <w:tcPr>
            <w:tcW w:w="14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93.7 %</w:t>
            </w: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90.4 %</w:t>
            </w: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60" w:type="dxa"/>
            <w:vAlign w:val="bottom"/>
            <w:gridSpan w:val="4"/>
            <w:shd w:val="clear" w:color="auto" w:fill="E0E7ED"/>
          </w:tcPr>
          <w:p>
            <w:pPr>
              <w:jc w:val="right"/>
              <w:ind w:right="140"/>
              <w:spacing w:after="0"/>
              <w:rPr>
                <w:sz w:val="20"/>
                <w:szCs w:val="20"/>
                <w:color w:val="auto"/>
              </w:rPr>
            </w:pPr>
            <w:r>
              <w:rPr>
                <w:rFonts w:ascii="Verdana" w:cs="Verdana" w:eastAsia="Verdana" w:hAnsi="Verdana"/>
                <w:sz w:val="18"/>
                <w:szCs w:val="18"/>
                <w:color w:val="auto"/>
              </w:rPr>
              <w:t>330 bps</w:t>
            </w:r>
          </w:p>
        </w:tc>
        <w:tc>
          <w:tcPr>
            <w:tcW w:w="1560" w:type="dxa"/>
            <w:vAlign w:val="bottom"/>
            <w:shd w:val="clear" w:color="auto" w:fill="E0E7ED"/>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7" w:name="page78"/>
    <w:bookmarkEnd w:id="77"/>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 xml:space="preserve">Changes in net interest income and net interest margin are summarized as follows for the periods presented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0" w:type="dxa"/>
            <w:vAlign w:val="bottom"/>
            <w:gridSpan w:val="5"/>
          </w:tcPr>
          <w:p>
            <w:pPr>
              <w:jc w:val="center"/>
              <w:ind w:right="360"/>
              <w:spacing w:after="0"/>
              <w:rPr>
                <w:sz w:val="20"/>
                <w:szCs w:val="20"/>
                <w:color w:val="auto"/>
              </w:rPr>
            </w:pPr>
            <w:r>
              <w:rPr>
                <w:rFonts w:ascii="Verdana" w:cs="Verdana" w:eastAsia="Verdana" w:hAnsi="Verdana"/>
                <w:sz w:val="13"/>
                <w:szCs w:val="13"/>
                <w:b w:val="1"/>
                <w:bCs w:val="1"/>
                <w:color w:val="auto"/>
                <w:w w:val="96"/>
              </w:rPr>
              <w:t>Three Months Ended September 30,</w:t>
            </w: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0"/>
        </w:trPr>
        <w:tc>
          <w:tcPr>
            <w:tcW w:w="4620" w:type="dxa"/>
            <w:vAlign w:val="bottom"/>
            <w:tcBorders>
              <w:bottom w:val="single" w:sz="8" w:color="E0E7ED"/>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top w:val="single" w:sz="8" w:color="auto"/>
              <w:bottom w:val="single" w:sz="8" w:color="E0E7ED"/>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575"/>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75"/>
              <w:spacing w:after="0"/>
              <w:rPr>
                <w:sz w:val="20"/>
                <w:szCs w:val="20"/>
                <w:color w:val="auto"/>
              </w:rPr>
            </w:pPr>
            <w:r>
              <w:rPr>
                <w:rFonts w:ascii="Verdana" w:cs="Verdana" w:eastAsia="Verdana" w:hAnsi="Verdana"/>
                <w:sz w:val="13"/>
                <w:szCs w:val="13"/>
                <w:b w:val="1"/>
                <w:bCs w:val="1"/>
                <w:color w:val="auto"/>
              </w:rPr>
              <w:t>Change</w:t>
            </w:r>
          </w:p>
        </w:tc>
        <w:tc>
          <w:tcPr>
            <w:tcW w:w="80" w:type="dxa"/>
            <w:vAlign w:val="bottom"/>
            <w:tcBorders>
              <w:bottom w:val="single" w:sz="8" w:color="E0E7ED"/>
            </w:tcBorders>
          </w:tcPr>
          <w:p>
            <w:pPr>
              <w:spacing w:after="0"/>
              <w:rPr>
                <w:sz w:val="14"/>
                <w:szCs w:val="14"/>
                <w:color w:val="auto"/>
              </w:rPr>
            </w:pPr>
          </w:p>
        </w:tc>
        <w:tc>
          <w:tcPr>
            <w:tcW w:w="1600" w:type="dxa"/>
            <w:vAlign w:val="bottom"/>
            <w:tcBorders>
              <w:bottom w:val="single" w:sz="8" w:color="auto"/>
            </w:tcBorders>
          </w:tcPr>
          <w:p>
            <w:pPr>
              <w:jc w:val="right"/>
              <w:ind w:right="377"/>
              <w:spacing w:after="0"/>
              <w:rPr>
                <w:sz w:val="20"/>
                <w:szCs w:val="20"/>
                <w:color w:val="auto"/>
              </w:rPr>
            </w:pPr>
            <w:r>
              <w:rPr>
                <w:rFonts w:ascii="Verdana" w:cs="Verdana" w:eastAsia="Verdana" w:hAnsi="Verdana"/>
                <w:sz w:val="13"/>
                <w:szCs w:val="13"/>
                <w:b w:val="1"/>
                <w:bCs w:val="1"/>
                <w:color w:val="auto"/>
              </w:rPr>
              <w:t>% Change</w:t>
            </w:r>
          </w:p>
        </w:tc>
      </w:tr>
      <w:tr>
        <w:trPr>
          <w:trHeight w:val="255"/>
        </w:trPr>
        <w:tc>
          <w:tcPr>
            <w:tcW w:w="46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Net interest income</w:t>
            </w:r>
          </w:p>
        </w:tc>
        <w:tc>
          <w:tcPr>
            <w:tcW w:w="280" w:type="dxa"/>
            <w:vAlign w:val="bottom"/>
            <w:shd w:val="clear" w:color="auto" w:fill="E0E7ED"/>
          </w:tcPr>
          <w:p>
            <w:pPr>
              <w:spacing w:after="0"/>
              <w:rPr>
                <w:sz w:val="22"/>
                <w:szCs w:val="22"/>
                <w:color w:val="auto"/>
              </w:rPr>
            </w:pPr>
          </w:p>
        </w:tc>
        <w:tc>
          <w:tcPr>
            <w:tcW w:w="138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34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300" w:type="dxa"/>
            <w:vAlign w:val="bottom"/>
            <w:shd w:val="clear" w:color="auto" w:fill="E0E7ED"/>
          </w:tcPr>
          <w:p>
            <w:pPr>
              <w:spacing w:after="0"/>
              <w:rPr>
                <w:sz w:val="22"/>
                <w:szCs w:val="22"/>
                <w:color w:val="auto"/>
              </w:rPr>
            </w:pPr>
          </w:p>
        </w:tc>
        <w:tc>
          <w:tcPr>
            <w:tcW w:w="116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600" w:type="dxa"/>
            <w:vAlign w:val="bottom"/>
            <w:shd w:val="clear" w:color="auto" w:fill="E0E7ED"/>
          </w:tcPr>
          <w:p>
            <w:pPr>
              <w:spacing w:after="0"/>
              <w:rPr>
                <w:sz w:val="22"/>
                <w:szCs w:val="22"/>
                <w:color w:val="auto"/>
              </w:rPr>
            </w:pPr>
          </w:p>
        </w:tc>
      </w:tr>
      <w:tr>
        <w:trPr>
          <w:trHeight w:val="270"/>
        </w:trPr>
        <w:tc>
          <w:tcPr>
            <w:tcW w:w="4620" w:type="dxa"/>
            <w:vAlign w:val="bottom"/>
          </w:tcPr>
          <w:p>
            <w:pPr>
              <w:ind w:left="180"/>
              <w:spacing w:after="0" w:line="270" w:lineRule="exact"/>
              <w:rPr>
                <w:sz w:val="20"/>
                <w:szCs w:val="20"/>
                <w:color w:val="auto"/>
              </w:rPr>
            </w:pPr>
            <w:r>
              <w:rPr>
                <w:rFonts w:ascii="Verdana" w:cs="Verdana" w:eastAsia="Verdana" w:hAnsi="Verdana"/>
                <w:sz w:val="18"/>
                <w:szCs w:val="18"/>
                <w:color w:val="auto"/>
              </w:rPr>
              <w:t>Interest income, on a tax-equivalent basis</w:t>
            </w:r>
            <w:r>
              <w:rPr>
                <w:rFonts w:ascii="Verdana" w:cs="Verdana" w:eastAsia="Verdana" w:hAnsi="Verdana"/>
                <w:sz w:val="23"/>
                <w:szCs w:val="23"/>
                <w:color w:val="auto"/>
                <w:vertAlign w:val="superscript"/>
              </w:rPr>
              <w:t>1</w:t>
            </w:r>
          </w:p>
        </w:tc>
        <w:tc>
          <w:tcPr>
            <w:tcW w:w="280" w:type="dxa"/>
            <w:vAlign w:val="bottom"/>
          </w:tcPr>
          <w:p>
            <w:pPr>
              <w:jc w:val="right"/>
              <w:ind w:right="50"/>
              <w:spacing w:after="0"/>
              <w:rPr>
                <w:sz w:val="20"/>
                <w:szCs w:val="20"/>
                <w:color w:val="auto"/>
              </w:rPr>
            </w:pPr>
            <w:r>
              <w:rPr>
                <w:rFonts w:ascii="Verdana" w:cs="Verdana" w:eastAsia="Verdana" w:hAnsi="Verdana"/>
                <w:sz w:val="18"/>
                <w:szCs w:val="18"/>
                <w:color w:val="auto"/>
              </w:rPr>
              <w:t>$</w:t>
            </w:r>
          </w:p>
        </w:tc>
        <w:tc>
          <w:tcPr>
            <w:tcW w:w="1380" w:type="dxa"/>
            <w:vAlign w:val="bottom"/>
          </w:tcPr>
          <w:p>
            <w:pPr>
              <w:jc w:val="right"/>
              <w:ind w:right="199"/>
              <w:spacing w:after="0"/>
              <w:rPr>
                <w:sz w:val="20"/>
                <w:szCs w:val="20"/>
                <w:color w:val="auto"/>
              </w:rPr>
            </w:pPr>
            <w:r>
              <w:rPr>
                <w:rFonts w:ascii="Verdana" w:cs="Verdana" w:eastAsia="Verdana" w:hAnsi="Verdana"/>
                <w:sz w:val="18"/>
                <w:szCs w:val="18"/>
                <w:color w:val="auto"/>
              </w:rPr>
              <w:t>134,896</w:t>
            </w:r>
          </w:p>
        </w:tc>
        <w:tc>
          <w:tcPr>
            <w:tcW w:w="80" w:type="dxa"/>
            <w:vAlign w:val="bottom"/>
          </w:tcPr>
          <w:p>
            <w:pPr>
              <w:spacing w:after="0"/>
              <w:rPr>
                <w:sz w:val="23"/>
                <w:szCs w:val="23"/>
                <w:color w:val="auto"/>
              </w:rPr>
            </w:pPr>
          </w:p>
        </w:tc>
        <w:tc>
          <w:tcPr>
            <w:tcW w:w="340" w:type="dxa"/>
            <w:vAlign w:val="bottom"/>
          </w:tcPr>
          <w:p>
            <w:pPr>
              <w:jc w:val="right"/>
              <w:ind w:right="110"/>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ind w:right="195"/>
              <w:spacing w:after="0"/>
              <w:rPr>
                <w:sz w:val="20"/>
                <w:szCs w:val="20"/>
                <w:color w:val="auto"/>
              </w:rPr>
            </w:pPr>
            <w:r>
              <w:rPr>
                <w:rFonts w:ascii="Verdana" w:cs="Verdana" w:eastAsia="Verdana" w:hAnsi="Verdana"/>
                <w:sz w:val="18"/>
                <w:szCs w:val="18"/>
                <w:color w:val="auto"/>
              </w:rPr>
              <w:t>123,222</w:t>
            </w:r>
          </w:p>
        </w:tc>
        <w:tc>
          <w:tcPr>
            <w:tcW w:w="80" w:type="dxa"/>
            <w:vAlign w:val="bottom"/>
          </w:tcPr>
          <w:p>
            <w:pPr>
              <w:spacing w:after="0"/>
              <w:rPr>
                <w:sz w:val="23"/>
                <w:szCs w:val="23"/>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160" w:type="dxa"/>
            <w:vAlign w:val="bottom"/>
          </w:tcPr>
          <w:p>
            <w:pPr>
              <w:jc w:val="right"/>
              <w:ind w:right="15"/>
              <w:spacing w:after="0"/>
              <w:rPr>
                <w:sz w:val="20"/>
                <w:szCs w:val="20"/>
                <w:color w:val="auto"/>
              </w:rPr>
            </w:pPr>
            <w:r>
              <w:rPr>
                <w:rFonts w:ascii="Verdana" w:cs="Verdana" w:eastAsia="Verdana" w:hAnsi="Verdana"/>
                <w:sz w:val="18"/>
                <w:szCs w:val="18"/>
                <w:color w:val="auto"/>
              </w:rPr>
              <w:t>11,674</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9.5 %</w:t>
            </w:r>
          </w:p>
        </w:tc>
      </w:tr>
      <w:tr>
        <w:trPr>
          <w:trHeight w:val="263"/>
        </w:trPr>
        <w:tc>
          <w:tcPr>
            <w:tcW w:w="46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Interest expense</w:t>
            </w:r>
          </w:p>
        </w:tc>
        <w:tc>
          <w:tcPr>
            <w:tcW w:w="280" w:type="dxa"/>
            <w:vAlign w:val="bottom"/>
            <w:tcBorders>
              <w:bottom w:val="single" w:sz="8" w:color="auto"/>
            </w:tcBorders>
            <w:shd w:val="clear" w:color="auto" w:fill="E0E7ED"/>
          </w:tcPr>
          <w:p>
            <w:pPr>
              <w:spacing w:after="0"/>
              <w:rPr>
                <w:sz w:val="22"/>
                <w:szCs w:val="22"/>
                <w:color w:val="auto"/>
              </w:rPr>
            </w:pPr>
          </w:p>
        </w:tc>
        <w:tc>
          <w:tcPr>
            <w:tcW w:w="1380" w:type="dxa"/>
            <w:vAlign w:val="bottom"/>
            <w:tcBorders>
              <w:bottom w:val="single" w:sz="8" w:color="auto"/>
            </w:tcBorders>
            <w:shd w:val="clear" w:color="auto" w:fill="E0E7ED"/>
          </w:tcPr>
          <w:p>
            <w:pPr>
              <w:jc w:val="right"/>
              <w:ind w:right="139"/>
              <w:spacing w:after="0"/>
              <w:rPr>
                <w:sz w:val="20"/>
                <w:szCs w:val="20"/>
                <w:color w:val="auto"/>
              </w:rPr>
            </w:pPr>
            <w:r>
              <w:rPr>
                <w:rFonts w:ascii="Verdana" w:cs="Verdana" w:eastAsia="Verdana" w:hAnsi="Verdana"/>
                <w:sz w:val="18"/>
                <w:szCs w:val="18"/>
                <w:color w:val="auto"/>
              </w:rPr>
              <w:t>(51,959)</w:t>
            </w:r>
          </w:p>
        </w:tc>
        <w:tc>
          <w:tcPr>
            <w:tcW w:w="80" w:type="dxa"/>
            <w:vAlign w:val="bottom"/>
            <w:shd w:val="clear" w:color="auto" w:fill="E0E7ED"/>
          </w:tcPr>
          <w:p>
            <w:pPr>
              <w:spacing w:after="0"/>
              <w:rPr>
                <w:sz w:val="22"/>
                <w:szCs w:val="22"/>
                <w:color w:val="auto"/>
              </w:rPr>
            </w:pPr>
          </w:p>
        </w:tc>
        <w:tc>
          <w:tcPr>
            <w:tcW w:w="340" w:type="dxa"/>
            <w:vAlign w:val="bottom"/>
            <w:tcBorders>
              <w:bottom w:val="single" w:sz="8" w:color="auto"/>
            </w:tcBorders>
            <w:shd w:val="clear" w:color="auto" w:fill="E0E7ED"/>
          </w:tcPr>
          <w:p>
            <w:pPr>
              <w:spacing w:after="0"/>
              <w:rPr>
                <w:sz w:val="22"/>
                <w:szCs w:val="22"/>
                <w:color w:val="auto"/>
              </w:rPr>
            </w:pPr>
          </w:p>
        </w:tc>
        <w:tc>
          <w:tcPr>
            <w:tcW w:w="1320" w:type="dxa"/>
            <w:vAlign w:val="bottom"/>
            <w:tcBorders>
              <w:bottom w:val="single" w:sz="8" w:color="auto"/>
            </w:tcBorders>
            <w:shd w:val="clear" w:color="auto" w:fill="E0E7ED"/>
          </w:tcPr>
          <w:p>
            <w:pPr>
              <w:jc w:val="right"/>
              <w:ind w:right="135"/>
              <w:spacing w:after="0"/>
              <w:rPr>
                <w:sz w:val="20"/>
                <w:szCs w:val="20"/>
                <w:color w:val="auto"/>
              </w:rPr>
            </w:pPr>
            <w:r>
              <w:rPr>
                <w:rFonts w:ascii="Verdana" w:cs="Verdana" w:eastAsia="Verdana" w:hAnsi="Verdana"/>
                <w:sz w:val="18"/>
                <w:szCs w:val="18"/>
                <w:color w:val="auto"/>
              </w:rPr>
              <w:t>(44,878)</w:t>
            </w:r>
          </w:p>
        </w:tc>
        <w:tc>
          <w:tcPr>
            <w:tcW w:w="80" w:type="dxa"/>
            <w:vAlign w:val="bottom"/>
            <w:shd w:val="clear" w:color="auto" w:fill="E0E7ED"/>
          </w:tcPr>
          <w:p>
            <w:pPr>
              <w:spacing w:after="0"/>
              <w:rPr>
                <w:sz w:val="22"/>
                <w:szCs w:val="22"/>
                <w:color w:val="auto"/>
              </w:rPr>
            </w:pPr>
          </w:p>
        </w:tc>
        <w:tc>
          <w:tcPr>
            <w:tcW w:w="300" w:type="dxa"/>
            <w:vAlign w:val="bottom"/>
            <w:tcBorders>
              <w:bottom w:val="single" w:sz="8" w:color="auto"/>
            </w:tcBorders>
            <w:shd w:val="clear" w:color="auto" w:fill="E0E7ED"/>
          </w:tcPr>
          <w:p>
            <w:pPr>
              <w:spacing w:after="0"/>
              <w:rPr>
                <w:sz w:val="22"/>
                <w:szCs w:val="22"/>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(7,081)</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(15.8)%</w:t>
            </w:r>
          </w:p>
        </w:tc>
      </w:tr>
      <w:tr>
        <w:trPr>
          <w:trHeight w:val="270"/>
        </w:trPr>
        <w:tc>
          <w:tcPr>
            <w:tcW w:w="4620" w:type="dxa"/>
            <w:vAlign w:val="bottom"/>
          </w:tcPr>
          <w:p>
            <w:pPr>
              <w:ind w:left="20"/>
              <w:spacing w:after="0" w:line="270" w:lineRule="exact"/>
              <w:rPr>
                <w:sz w:val="20"/>
                <w:szCs w:val="20"/>
                <w:color w:val="auto"/>
              </w:rPr>
            </w:pPr>
            <w:r>
              <w:rPr>
                <w:rFonts w:ascii="Verdana" w:cs="Verdana" w:eastAsia="Verdana" w:hAnsi="Verdana"/>
                <w:sz w:val="18"/>
                <w:szCs w:val="18"/>
                <w:color w:val="auto"/>
              </w:rPr>
              <w:t>Net interest income, on a tax-equivalent basis</w:t>
            </w:r>
            <w:r>
              <w:rPr>
                <w:rFonts w:ascii="Verdana" w:cs="Verdana" w:eastAsia="Verdana" w:hAnsi="Verdana"/>
                <w:sz w:val="23"/>
                <w:szCs w:val="23"/>
                <w:color w:val="auto"/>
                <w:vertAlign w:val="superscript"/>
              </w:rPr>
              <w:t>1</w:t>
            </w:r>
          </w:p>
        </w:tc>
        <w:tc>
          <w:tcPr>
            <w:tcW w:w="280" w:type="dxa"/>
            <w:vAlign w:val="bottom"/>
            <w:tcBorders>
              <w:bottom w:val="single" w:sz="8" w:color="auto"/>
            </w:tcBorders>
          </w:tcPr>
          <w:p>
            <w:pPr>
              <w:jc w:val="right"/>
              <w:ind w:right="50"/>
              <w:spacing w:after="0"/>
              <w:rPr>
                <w:sz w:val="20"/>
                <w:szCs w:val="20"/>
                <w:color w:val="auto"/>
              </w:rPr>
            </w:pPr>
            <w:r>
              <w:rPr>
                <w:rFonts w:ascii="Verdana" w:cs="Verdana" w:eastAsia="Verdana" w:hAnsi="Verdana"/>
                <w:sz w:val="18"/>
                <w:szCs w:val="18"/>
                <w:color w:val="auto"/>
              </w:rPr>
              <w:t>$</w:t>
            </w:r>
          </w:p>
        </w:tc>
        <w:tc>
          <w:tcPr>
            <w:tcW w:w="1380" w:type="dxa"/>
            <w:vAlign w:val="bottom"/>
            <w:tcBorders>
              <w:bottom w:val="single" w:sz="8" w:color="auto"/>
            </w:tcBorders>
          </w:tcPr>
          <w:p>
            <w:pPr>
              <w:jc w:val="right"/>
              <w:ind w:right="199"/>
              <w:spacing w:after="0"/>
              <w:rPr>
                <w:sz w:val="20"/>
                <w:szCs w:val="20"/>
                <w:color w:val="auto"/>
              </w:rPr>
            </w:pPr>
            <w:r>
              <w:rPr>
                <w:rFonts w:ascii="Verdana" w:cs="Verdana" w:eastAsia="Verdana" w:hAnsi="Verdana"/>
                <w:sz w:val="18"/>
                <w:szCs w:val="18"/>
                <w:color w:val="auto"/>
              </w:rPr>
              <w:t>82,937</w:t>
            </w:r>
          </w:p>
        </w:tc>
        <w:tc>
          <w:tcPr>
            <w:tcW w:w="80" w:type="dxa"/>
            <w:vAlign w:val="bottom"/>
          </w:tcPr>
          <w:p>
            <w:pPr>
              <w:spacing w:after="0"/>
              <w:rPr>
                <w:sz w:val="23"/>
                <w:szCs w:val="23"/>
                <w:color w:val="auto"/>
              </w:rPr>
            </w:pPr>
          </w:p>
        </w:tc>
        <w:tc>
          <w:tcPr>
            <w:tcW w:w="340" w:type="dxa"/>
            <w:vAlign w:val="bottom"/>
            <w:tcBorders>
              <w:bottom w:val="single" w:sz="8" w:color="auto"/>
            </w:tcBorders>
          </w:tcPr>
          <w:p>
            <w:pPr>
              <w:jc w:val="right"/>
              <w:ind w:right="110"/>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tcPr>
          <w:p>
            <w:pPr>
              <w:jc w:val="right"/>
              <w:ind w:right="195"/>
              <w:spacing w:after="0"/>
              <w:rPr>
                <w:sz w:val="20"/>
                <w:szCs w:val="20"/>
                <w:color w:val="auto"/>
              </w:rPr>
            </w:pPr>
            <w:r>
              <w:rPr>
                <w:rFonts w:ascii="Verdana" w:cs="Verdana" w:eastAsia="Verdana" w:hAnsi="Verdana"/>
                <w:sz w:val="18"/>
                <w:szCs w:val="18"/>
                <w:color w:val="auto"/>
              </w:rPr>
              <w:t>78,344</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16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4,593</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5.9 %</w:t>
            </w:r>
          </w:p>
        </w:tc>
      </w:tr>
      <w:tr>
        <w:trPr>
          <w:trHeight w:val="20"/>
        </w:trPr>
        <w:tc>
          <w:tcPr>
            <w:tcW w:w="4620" w:type="dxa"/>
            <w:vAlign w:val="bottom"/>
            <w:tcBorders>
              <w:bottom w:val="single" w:sz="8" w:color="E0E7E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600" w:type="dxa"/>
            <w:vAlign w:val="bottom"/>
            <w:tcBorders>
              <w:bottom w:val="single" w:sz="8" w:color="E0E7ED"/>
            </w:tcBorders>
          </w:tcPr>
          <w:p>
            <w:pPr>
              <w:spacing w:after="0" w:line="20" w:lineRule="exact"/>
              <w:rPr>
                <w:sz w:val="1"/>
                <w:szCs w:val="1"/>
                <w:color w:val="auto"/>
              </w:rPr>
            </w:pPr>
          </w:p>
        </w:tc>
      </w:tr>
      <w:tr>
        <w:trPr>
          <w:trHeight w:val="237"/>
        </w:trPr>
        <w:tc>
          <w:tcPr>
            <w:tcW w:w="4620" w:type="dxa"/>
            <w:vAlign w:val="bottom"/>
            <w:shd w:val="clear" w:color="auto" w:fill="E0E7ED"/>
          </w:tcPr>
          <w:p>
            <w:pPr>
              <w:spacing w:after="0"/>
              <w:rPr>
                <w:sz w:val="20"/>
                <w:szCs w:val="20"/>
                <w:color w:val="auto"/>
              </w:rPr>
            </w:pPr>
          </w:p>
        </w:tc>
        <w:tc>
          <w:tcPr>
            <w:tcW w:w="280" w:type="dxa"/>
            <w:vAlign w:val="bottom"/>
            <w:shd w:val="clear" w:color="auto" w:fill="E0E7ED"/>
          </w:tcPr>
          <w:p>
            <w:pPr>
              <w:spacing w:after="0"/>
              <w:rPr>
                <w:sz w:val="20"/>
                <w:szCs w:val="20"/>
                <w:color w:val="auto"/>
              </w:rPr>
            </w:pPr>
          </w:p>
        </w:tc>
        <w:tc>
          <w:tcPr>
            <w:tcW w:w="138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40" w:type="dxa"/>
            <w:vAlign w:val="bottom"/>
            <w:shd w:val="clear" w:color="auto" w:fill="E0E7ED"/>
          </w:tcPr>
          <w:p>
            <w:pPr>
              <w:spacing w:after="0"/>
              <w:rPr>
                <w:sz w:val="20"/>
                <w:szCs w:val="20"/>
                <w:color w:val="auto"/>
              </w:rPr>
            </w:pPr>
          </w:p>
        </w:tc>
        <w:tc>
          <w:tcPr>
            <w:tcW w:w="132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16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600" w:type="dxa"/>
            <w:vAlign w:val="bottom"/>
            <w:shd w:val="clear" w:color="auto" w:fill="E0E7ED"/>
          </w:tcPr>
          <w:p>
            <w:pPr>
              <w:spacing w:after="0"/>
              <w:rPr>
                <w:sz w:val="20"/>
                <w:szCs w:val="20"/>
                <w:color w:val="auto"/>
              </w:rPr>
            </w:pPr>
          </w:p>
        </w:tc>
      </w:tr>
      <w:tr>
        <w:trPr>
          <w:trHeight w:val="345"/>
        </w:trPr>
        <w:tc>
          <w:tcPr>
            <w:tcW w:w="4620" w:type="dxa"/>
            <w:vAlign w:val="bottom"/>
          </w:tcPr>
          <w:p>
            <w:pPr>
              <w:ind w:left="20"/>
              <w:spacing w:after="0"/>
              <w:rPr>
                <w:sz w:val="20"/>
                <w:szCs w:val="20"/>
                <w:color w:val="auto"/>
              </w:rPr>
            </w:pPr>
            <w:r>
              <w:rPr>
                <w:rFonts w:ascii="Verdana" w:cs="Verdana" w:eastAsia="Verdana" w:hAnsi="Verdana"/>
                <w:sz w:val="18"/>
                <w:szCs w:val="18"/>
                <w:color w:val="auto"/>
              </w:rPr>
              <w:t>Net interest margin</w:t>
            </w:r>
            <w:r>
              <w:rPr>
                <w:rFonts w:ascii="Verdana" w:cs="Verdana" w:eastAsia="Verdana" w:hAnsi="Verdana"/>
                <w:sz w:val="23"/>
                <w:szCs w:val="23"/>
                <w:color w:val="auto"/>
                <w:vertAlign w:val="superscript"/>
              </w:rPr>
              <w:t>1, 2</w:t>
            </w:r>
          </w:p>
        </w:tc>
        <w:tc>
          <w:tcPr>
            <w:tcW w:w="2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Verdana" w:cs="Verdana" w:eastAsia="Verdana" w:hAnsi="Verdana"/>
                <w:sz w:val="18"/>
                <w:szCs w:val="18"/>
                <w:color w:val="auto"/>
              </w:rPr>
              <w:t>3.02 %</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2.80 %</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Verdana" w:cs="Verdana" w:eastAsia="Verdana" w:hAnsi="Verdana"/>
                <w:sz w:val="18"/>
                <w:szCs w:val="18"/>
                <w:color w:val="auto"/>
              </w:rPr>
              <w:t>22 bps</w:t>
            </w: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91"/>
        </w:trPr>
        <w:tc>
          <w:tcPr>
            <w:tcW w:w="4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0" w:type="dxa"/>
            <w:vAlign w:val="bottom"/>
            <w:gridSpan w:val="5"/>
          </w:tcPr>
          <w:p>
            <w:pPr>
              <w:jc w:val="center"/>
              <w:ind w:right="360"/>
              <w:spacing w:after="0"/>
              <w:rPr>
                <w:sz w:val="20"/>
                <w:szCs w:val="20"/>
                <w:color w:val="auto"/>
              </w:rPr>
            </w:pPr>
            <w:r>
              <w:rPr>
                <w:rFonts w:ascii="Verdana" w:cs="Verdana" w:eastAsia="Verdana" w:hAnsi="Verdana"/>
                <w:sz w:val="13"/>
                <w:szCs w:val="13"/>
                <w:b w:val="1"/>
                <w:bCs w:val="1"/>
                <w:color w:val="auto"/>
                <w:w w:val="96"/>
              </w:rPr>
              <w:t>Nine Months Ended September 30,</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0"/>
        </w:trPr>
        <w:tc>
          <w:tcPr>
            <w:tcW w:w="4620" w:type="dxa"/>
            <w:vAlign w:val="bottom"/>
            <w:tcBorders>
              <w:bottom w:val="single" w:sz="8" w:color="E0E7ED"/>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top w:val="single" w:sz="8" w:color="auto"/>
              <w:bottom w:val="single" w:sz="8" w:color="E0E7ED"/>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575"/>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75"/>
              <w:spacing w:after="0"/>
              <w:rPr>
                <w:sz w:val="20"/>
                <w:szCs w:val="20"/>
                <w:color w:val="auto"/>
              </w:rPr>
            </w:pPr>
            <w:r>
              <w:rPr>
                <w:rFonts w:ascii="Verdana" w:cs="Verdana" w:eastAsia="Verdana" w:hAnsi="Verdana"/>
                <w:sz w:val="13"/>
                <w:szCs w:val="13"/>
                <w:b w:val="1"/>
                <w:bCs w:val="1"/>
                <w:color w:val="auto"/>
              </w:rPr>
              <w:t>Change</w:t>
            </w:r>
          </w:p>
        </w:tc>
        <w:tc>
          <w:tcPr>
            <w:tcW w:w="80" w:type="dxa"/>
            <w:vAlign w:val="bottom"/>
            <w:tcBorders>
              <w:bottom w:val="single" w:sz="8" w:color="E0E7ED"/>
            </w:tcBorders>
          </w:tcPr>
          <w:p>
            <w:pPr>
              <w:spacing w:after="0"/>
              <w:rPr>
                <w:sz w:val="14"/>
                <w:szCs w:val="14"/>
                <w:color w:val="auto"/>
              </w:rPr>
            </w:pPr>
          </w:p>
        </w:tc>
        <w:tc>
          <w:tcPr>
            <w:tcW w:w="1600" w:type="dxa"/>
            <w:vAlign w:val="bottom"/>
            <w:tcBorders>
              <w:bottom w:val="single" w:sz="8" w:color="auto"/>
            </w:tcBorders>
          </w:tcPr>
          <w:p>
            <w:pPr>
              <w:jc w:val="right"/>
              <w:ind w:right="377"/>
              <w:spacing w:after="0"/>
              <w:rPr>
                <w:sz w:val="20"/>
                <w:szCs w:val="20"/>
                <w:color w:val="auto"/>
              </w:rPr>
            </w:pPr>
            <w:r>
              <w:rPr>
                <w:rFonts w:ascii="Verdana" w:cs="Verdana" w:eastAsia="Verdana" w:hAnsi="Verdana"/>
                <w:sz w:val="13"/>
                <w:szCs w:val="13"/>
                <w:b w:val="1"/>
                <w:bCs w:val="1"/>
                <w:color w:val="auto"/>
              </w:rPr>
              <w:t>% Change</w:t>
            </w:r>
          </w:p>
        </w:tc>
      </w:tr>
      <w:tr>
        <w:trPr>
          <w:trHeight w:val="255"/>
        </w:trPr>
        <w:tc>
          <w:tcPr>
            <w:tcW w:w="46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Net interest income</w:t>
            </w:r>
          </w:p>
        </w:tc>
        <w:tc>
          <w:tcPr>
            <w:tcW w:w="280" w:type="dxa"/>
            <w:vAlign w:val="bottom"/>
            <w:shd w:val="clear" w:color="auto" w:fill="E0E7ED"/>
          </w:tcPr>
          <w:p>
            <w:pPr>
              <w:spacing w:after="0"/>
              <w:rPr>
                <w:sz w:val="22"/>
                <w:szCs w:val="22"/>
                <w:color w:val="auto"/>
              </w:rPr>
            </w:pPr>
          </w:p>
        </w:tc>
        <w:tc>
          <w:tcPr>
            <w:tcW w:w="138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34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300" w:type="dxa"/>
            <w:vAlign w:val="bottom"/>
            <w:shd w:val="clear" w:color="auto" w:fill="E0E7ED"/>
          </w:tcPr>
          <w:p>
            <w:pPr>
              <w:spacing w:after="0"/>
              <w:rPr>
                <w:sz w:val="22"/>
                <w:szCs w:val="22"/>
                <w:color w:val="auto"/>
              </w:rPr>
            </w:pPr>
          </w:p>
        </w:tc>
        <w:tc>
          <w:tcPr>
            <w:tcW w:w="116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600" w:type="dxa"/>
            <w:vAlign w:val="bottom"/>
            <w:shd w:val="clear" w:color="auto" w:fill="E0E7ED"/>
          </w:tcPr>
          <w:p>
            <w:pPr>
              <w:spacing w:after="0"/>
              <w:rPr>
                <w:sz w:val="22"/>
                <w:szCs w:val="22"/>
                <w:color w:val="auto"/>
              </w:rPr>
            </w:pPr>
          </w:p>
        </w:tc>
      </w:tr>
      <w:tr>
        <w:trPr>
          <w:trHeight w:val="270"/>
        </w:trPr>
        <w:tc>
          <w:tcPr>
            <w:tcW w:w="4620" w:type="dxa"/>
            <w:vAlign w:val="bottom"/>
          </w:tcPr>
          <w:p>
            <w:pPr>
              <w:ind w:left="180"/>
              <w:spacing w:after="0" w:line="270" w:lineRule="exact"/>
              <w:rPr>
                <w:sz w:val="20"/>
                <w:szCs w:val="20"/>
                <w:color w:val="auto"/>
              </w:rPr>
            </w:pPr>
            <w:r>
              <w:rPr>
                <w:rFonts w:ascii="Verdana" w:cs="Verdana" w:eastAsia="Verdana" w:hAnsi="Verdana"/>
                <w:sz w:val="18"/>
                <w:szCs w:val="18"/>
                <w:color w:val="auto"/>
              </w:rPr>
              <w:t>Interest income, on a tax-equivalent basis</w:t>
            </w:r>
            <w:r>
              <w:rPr>
                <w:rFonts w:ascii="Verdana" w:cs="Verdana" w:eastAsia="Verdana" w:hAnsi="Verdana"/>
                <w:sz w:val="23"/>
                <w:szCs w:val="23"/>
                <w:color w:val="auto"/>
                <w:vertAlign w:val="superscript"/>
              </w:rPr>
              <w:t>1</w:t>
            </w:r>
          </w:p>
        </w:tc>
        <w:tc>
          <w:tcPr>
            <w:tcW w:w="280" w:type="dxa"/>
            <w:vAlign w:val="bottom"/>
          </w:tcPr>
          <w:p>
            <w:pPr>
              <w:jc w:val="right"/>
              <w:ind w:right="50"/>
              <w:spacing w:after="0"/>
              <w:rPr>
                <w:sz w:val="20"/>
                <w:szCs w:val="20"/>
                <w:color w:val="auto"/>
              </w:rPr>
            </w:pPr>
            <w:r>
              <w:rPr>
                <w:rFonts w:ascii="Verdana" w:cs="Verdana" w:eastAsia="Verdana" w:hAnsi="Verdana"/>
                <w:sz w:val="18"/>
                <w:szCs w:val="18"/>
                <w:color w:val="auto"/>
              </w:rPr>
              <w:t>$</w:t>
            </w:r>
          </w:p>
        </w:tc>
        <w:tc>
          <w:tcPr>
            <w:tcW w:w="1380" w:type="dxa"/>
            <w:vAlign w:val="bottom"/>
          </w:tcPr>
          <w:p>
            <w:pPr>
              <w:jc w:val="right"/>
              <w:ind w:right="199"/>
              <w:spacing w:after="0"/>
              <w:rPr>
                <w:sz w:val="20"/>
                <w:szCs w:val="20"/>
                <w:color w:val="auto"/>
              </w:rPr>
            </w:pPr>
            <w:r>
              <w:rPr>
                <w:rFonts w:ascii="Verdana" w:cs="Verdana" w:eastAsia="Verdana" w:hAnsi="Verdana"/>
                <w:sz w:val="18"/>
                <w:szCs w:val="18"/>
                <w:color w:val="auto"/>
              </w:rPr>
              <w:t>393,321</w:t>
            </w:r>
          </w:p>
        </w:tc>
        <w:tc>
          <w:tcPr>
            <w:tcW w:w="80" w:type="dxa"/>
            <w:vAlign w:val="bottom"/>
          </w:tcPr>
          <w:p>
            <w:pPr>
              <w:spacing w:after="0"/>
              <w:rPr>
                <w:sz w:val="23"/>
                <w:szCs w:val="23"/>
                <w:color w:val="auto"/>
              </w:rPr>
            </w:pPr>
          </w:p>
        </w:tc>
        <w:tc>
          <w:tcPr>
            <w:tcW w:w="340" w:type="dxa"/>
            <w:vAlign w:val="bottom"/>
          </w:tcPr>
          <w:p>
            <w:pPr>
              <w:jc w:val="right"/>
              <w:ind w:right="110"/>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ind w:right="195"/>
              <w:spacing w:after="0"/>
              <w:rPr>
                <w:sz w:val="20"/>
                <w:szCs w:val="20"/>
                <w:color w:val="auto"/>
              </w:rPr>
            </w:pPr>
            <w:r>
              <w:rPr>
                <w:rFonts w:ascii="Verdana" w:cs="Verdana" w:eastAsia="Verdana" w:hAnsi="Verdana"/>
                <w:sz w:val="18"/>
                <w:szCs w:val="18"/>
                <w:color w:val="auto"/>
              </w:rPr>
              <w:t>352,345</w:t>
            </w:r>
          </w:p>
        </w:tc>
        <w:tc>
          <w:tcPr>
            <w:tcW w:w="80" w:type="dxa"/>
            <w:vAlign w:val="bottom"/>
          </w:tcPr>
          <w:p>
            <w:pPr>
              <w:spacing w:after="0"/>
              <w:rPr>
                <w:sz w:val="23"/>
                <w:szCs w:val="23"/>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160" w:type="dxa"/>
            <w:vAlign w:val="bottom"/>
          </w:tcPr>
          <w:p>
            <w:pPr>
              <w:jc w:val="right"/>
              <w:ind w:right="15"/>
              <w:spacing w:after="0"/>
              <w:rPr>
                <w:sz w:val="20"/>
                <w:szCs w:val="20"/>
                <w:color w:val="auto"/>
              </w:rPr>
            </w:pPr>
            <w:r>
              <w:rPr>
                <w:rFonts w:ascii="Verdana" w:cs="Verdana" w:eastAsia="Verdana" w:hAnsi="Verdana"/>
                <w:sz w:val="18"/>
                <w:szCs w:val="18"/>
                <w:color w:val="auto"/>
              </w:rPr>
              <w:t>40,976</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11.6 %</w:t>
            </w:r>
          </w:p>
        </w:tc>
      </w:tr>
      <w:tr>
        <w:trPr>
          <w:trHeight w:val="263"/>
        </w:trPr>
        <w:tc>
          <w:tcPr>
            <w:tcW w:w="46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Interest expense</w:t>
            </w:r>
          </w:p>
        </w:tc>
        <w:tc>
          <w:tcPr>
            <w:tcW w:w="280" w:type="dxa"/>
            <w:vAlign w:val="bottom"/>
            <w:tcBorders>
              <w:bottom w:val="single" w:sz="8" w:color="auto"/>
            </w:tcBorders>
            <w:shd w:val="clear" w:color="auto" w:fill="E0E7ED"/>
          </w:tcPr>
          <w:p>
            <w:pPr>
              <w:spacing w:after="0"/>
              <w:rPr>
                <w:sz w:val="22"/>
                <w:szCs w:val="22"/>
                <w:color w:val="auto"/>
              </w:rPr>
            </w:pPr>
          </w:p>
        </w:tc>
        <w:tc>
          <w:tcPr>
            <w:tcW w:w="1380" w:type="dxa"/>
            <w:vAlign w:val="bottom"/>
            <w:tcBorders>
              <w:bottom w:val="single" w:sz="8" w:color="auto"/>
            </w:tcBorders>
            <w:shd w:val="clear" w:color="auto" w:fill="E0E7ED"/>
          </w:tcPr>
          <w:p>
            <w:pPr>
              <w:jc w:val="right"/>
              <w:ind w:right="139"/>
              <w:spacing w:after="0"/>
              <w:rPr>
                <w:sz w:val="20"/>
                <w:szCs w:val="20"/>
                <w:color w:val="auto"/>
              </w:rPr>
            </w:pPr>
            <w:r>
              <w:rPr>
                <w:rFonts w:ascii="Verdana" w:cs="Verdana" w:eastAsia="Verdana" w:hAnsi="Verdana"/>
                <w:sz w:val="18"/>
                <w:szCs w:val="18"/>
                <w:color w:val="auto"/>
              </w:rPr>
              <w:t>(151,332)</w:t>
            </w:r>
          </w:p>
        </w:tc>
        <w:tc>
          <w:tcPr>
            <w:tcW w:w="80" w:type="dxa"/>
            <w:vAlign w:val="bottom"/>
            <w:shd w:val="clear" w:color="auto" w:fill="E0E7ED"/>
          </w:tcPr>
          <w:p>
            <w:pPr>
              <w:spacing w:after="0"/>
              <w:rPr>
                <w:sz w:val="22"/>
                <w:szCs w:val="22"/>
                <w:color w:val="auto"/>
              </w:rPr>
            </w:pPr>
          </w:p>
        </w:tc>
        <w:tc>
          <w:tcPr>
            <w:tcW w:w="340" w:type="dxa"/>
            <w:vAlign w:val="bottom"/>
            <w:tcBorders>
              <w:bottom w:val="single" w:sz="8" w:color="auto"/>
            </w:tcBorders>
            <w:shd w:val="clear" w:color="auto" w:fill="E0E7ED"/>
          </w:tcPr>
          <w:p>
            <w:pPr>
              <w:spacing w:after="0"/>
              <w:rPr>
                <w:sz w:val="22"/>
                <w:szCs w:val="22"/>
                <w:color w:val="auto"/>
              </w:rPr>
            </w:pPr>
          </w:p>
        </w:tc>
        <w:tc>
          <w:tcPr>
            <w:tcW w:w="1320" w:type="dxa"/>
            <w:vAlign w:val="bottom"/>
            <w:tcBorders>
              <w:bottom w:val="single" w:sz="8" w:color="auto"/>
            </w:tcBorders>
            <w:shd w:val="clear" w:color="auto" w:fill="E0E7ED"/>
          </w:tcPr>
          <w:p>
            <w:pPr>
              <w:jc w:val="right"/>
              <w:ind w:right="135"/>
              <w:spacing w:after="0"/>
              <w:rPr>
                <w:sz w:val="20"/>
                <w:szCs w:val="20"/>
                <w:color w:val="auto"/>
              </w:rPr>
            </w:pPr>
            <w:r>
              <w:rPr>
                <w:rFonts w:ascii="Verdana" w:cs="Verdana" w:eastAsia="Verdana" w:hAnsi="Verdana"/>
                <w:sz w:val="18"/>
                <w:szCs w:val="18"/>
                <w:color w:val="auto"/>
              </w:rPr>
              <w:t>(108,355)</w:t>
            </w:r>
          </w:p>
        </w:tc>
        <w:tc>
          <w:tcPr>
            <w:tcW w:w="80" w:type="dxa"/>
            <w:vAlign w:val="bottom"/>
            <w:shd w:val="clear" w:color="auto" w:fill="E0E7ED"/>
          </w:tcPr>
          <w:p>
            <w:pPr>
              <w:spacing w:after="0"/>
              <w:rPr>
                <w:sz w:val="22"/>
                <w:szCs w:val="22"/>
                <w:color w:val="auto"/>
              </w:rPr>
            </w:pPr>
          </w:p>
        </w:tc>
        <w:tc>
          <w:tcPr>
            <w:tcW w:w="300" w:type="dxa"/>
            <w:vAlign w:val="bottom"/>
            <w:tcBorders>
              <w:bottom w:val="single" w:sz="8" w:color="auto"/>
            </w:tcBorders>
            <w:shd w:val="clear" w:color="auto" w:fill="E0E7ED"/>
          </w:tcPr>
          <w:p>
            <w:pPr>
              <w:spacing w:after="0"/>
              <w:rPr>
                <w:sz w:val="22"/>
                <w:szCs w:val="22"/>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(42,977)</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(39.7)%</w:t>
            </w:r>
          </w:p>
        </w:tc>
      </w:tr>
      <w:tr>
        <w:trPr>
          <w:trHeight w:val="270"/>
        </w:trPr>
        <w:tc>
          <w:tcPr>
            <w:tcW w:w="4620" w:type="dxa"/>
            <w:vAlign w:val="bottom"/>
          </w:tcPr>
          <w:p>
            <w:pPr>
              <w:ind w:left="20"/>
              <w:spacing w:after="0" w:line="270" w:lineRule="exact"/>
              <w:rPr>
                <w:sz w:val="20"/>
                <w:szCs w:val="20"/>
                <w:color w:val="auto"/>
              </w:rPr>
            </w:pPr>
            <w:r>
              <w:rPr>
                <w:rFonts w:ascii="Verdana" w:cs="Verdana" w:eastAsia="Verdana" w:hAnsi="Verdana"/>
                <w:sz w:val="18"/>
                <w:szCs w:val="18"/>
                <w:color w:val="auto"/>
              </w:rPr>
              <w:t>Net interest income, on a tax-equivalent basis</w:t>
            </w:r>
            <w:r>
              <w:rPr>
                <w:rFonts w:ascii="Verdana" w:cs="Verdana" w:eastAsia="Verdana" w:hAnsi="Verdana"/>
                <w:sz w:val="23"/>
                <w:szCs w:val="23"/>
                <w:color w:val="auto"/>
                <w:vertAlign w:val="superscript"/>
              </w:rPr>
              <w:t>1</w:t>
            </w:r>
          </w:p>
        </w:tc>
        <w:tc>
          <w:tcPr>
            <w:tcW w:w="280" w:type="dxa"/>
            <w:vAlign w:val="bottom"/>
            <w:tcBorders>
              <w:bottom w:val="single" w:sz="8" w:color="auto"/>
            </w:tcBorders>
          </w:tcPr>
          <w:p>
            <w:pPr>
              <w:jc w:val="right"/>
              <w:ind w:right="50"/>
              <w:spacing w:after="0"/>
              <w:rPr>
                <w:sz w:val="20"/>
                <w:szCs w:val="20"/>
                <w:color w:val="auto"/>
              </w:rPr>
            </w:pPr>
            <w:r>
              <w:rPr>
                <w:rFonts w:ascii="Verdana" w:cs="Verdana" w:eastAsia="Verdana" w:hAnsi="Verdana"/>
                <w:sz w:val="18"/>
                <w:szCs w:val="18"/>
                <w:color w:val="auto"/>
              </w:rPr>
              <w:t>$</w:t>
            </w:r>
          </w:p>
        </w:tc>
        <w:tc>
          <w:tcPr>
            <w:tcW w:w="1380" w:type="dxa"/>
            <w:vAlign w:val="bottom"/>
            <w:tcBorders>
              <w:bottom w:val="single" w:sz="8" w:color="auto"/>
            </w:tcBorders>
          </w:tcPr>
          <w:p>
            <w:pPr>
              <w:jc w:val="right"/>
              <w:ind w:right="199"/>
              <w:spacing w:after="0"/>
              <w:rPr>
                <w:sz w:val="20"/>
                <w:szCs w:val="20"/>
                <w:color w:val="auto"/>
              </w:rPr>
            </w:pPr>
            <w:r>
              <w:rPr>
                <w:rFonts w:ascii="Verdana" w:cs="Verdana" w:eastAsia="Verdana" w:hAnsi="Verdana"/>
                <w:sz w:val="18"/>
                <w:szCs w:val="18"/>
                <w:color w:val="auto"/>
              </w:rPr>
              <w:t>241,989</w:t>
            </w:r>
          </w:p>
        </w:tc>
        <w:tc>
          <w:tcPr>
            <w:tcW w:w="80" w:type="dxa"/>
            <w:vAlign w:val="bottom"/>
          </w:tcPr>
          <w:p>
            <w:pPr>
              <w:spacing w:after="0"/>
              <w:rPr>
                <w:sz w:val="23"/>
                <w:szCs w:val="23"/>
                <w:color w:val="auto"/>
              </w:rPr>
            </w:pPr>
          </w:p>
        </w:tc>
        <w:tc>
          <w:tcPr>
            <w:tcW w:w="340" w:type="dxa"/>
            <w:vAlign w:val="bottom"/>
            <w:tcBorders>
              <w:bottom w:val="single" w:sz="8" w:color="auto"/>
            </w:tcBorders>
          </w:tcPr>
          <w:p>
            <w:pPr>
              <w:jc w:val="right"/>
              <w:ind w:right="110"/>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tcPr>
          <w:p>
            <w:pPr>
              <w:jc w:val="right"/>
              <w:ind w:right="195"/>
              <w:spacing w:after="0"/>
              <w:rPr>
                <w:sz w:val="20"/>
                <w:szCs w:val="20"/>
                <w:color w:val="auto"/>
              </w:rPr>
            </w:pPr>
            <w:r>
              <w:rPr>
                <w:rFonts w:ascii="Verdana" w:cs="Verdana" w:eastAsia="Verdana" w:hAnsi="Verdana"/>
                <w:sz w:val="18"/>
                <w:szCs w:val="18"/>
                <w:color w:val="auto"/>
              </w:rPr>
              <w:t>243,990</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(2,001)</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(0.8)%</w:t>
            </w:r>
          </w:p>
        </w:tc>
      </w:tr>
      <w:tr>
        <w:trPr>
          <w:trHeight w:val="20"/>
        </w:trPr>
        <w:tc>
          <w:tcPr>
            <w:tcW w:w="4620" w:type="dxa"/>
            <w:vAlign w:val="bottom"/>
            <w:tcBorders>
              <w:bottom w:val="single" w:sz="8" w:color="E0E7E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600" w:type="dxa"/>
            <w:vAlign w:val="bottom"/>
            <w:tcBorders>
              <w:bottom w:val="single" w:sz="8" w:color="E0E7ED"/>
            </w:tcBorders>
          </w:tcPr>
          <w:p>
            <w:pPr>
              <w:spacing w:after="0" w:line="20" w:lineRule="exact"/>
              <w:rPr>
                <w:sz w:val="1"/>
                <w:szCs w:val="1"/>
                <w:color w:val="auto"/>
              </w:rPr>
            </w:pPr>
          </w:p>
        </w:tc>
      </w:tr>
      <w:tr>
        <w:trPr>
          <w:trHeight w:val="237"/>
        </w:trPr>
        <w:tc>
          <w:tcPr>
            <w:tcW w:w="4620" w:type="dxa"/>
            <w:vAlign w:val="bottom"/>
            <w:shd w:val="clear" w:color="auto" w:fill="E0E7ED"/>
          </w:tcPr>
          <w:p>
            <w:pPr>
              <w:spacing w:after="0"/>
              <w:rPr>
                <w:sz w:val="20"/>
                <w:szCs w:val="20"/>
                <w:color w:val="auto"/>
              </w:rPr>
            </w:pPr>
          </w:p>
        </w:tc>
        <w:tc>
          <w:tcPr>
            <w:tcW w:w="280" w:type="dxa"/>
            <w:vAlign w:val="bottom"/>
            <w:shd w:val="clear" w:color="auto" w:fill="E0E7ED"/>
          </w:tcPr>
          <w:p>
            <w:pPr>
              <w:spacing w:after="0"/>
              <w:rPr>
                <w:sz w:val="20"/>
                <w:szCs w:val="20"/>
                <w:color w:val="auto"/>
              </w:rPr>
            </w:pPr>
          </w:p>
        </w:tc>
        <w:tc>
          <w:tcPr>
            <w:tcW w:w="138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40" w:type="dxa"/>
            <w:vAlign w:val="bottom"/>
            <w:shd w:val="clear" w:color="auto" w:fill="E0E7ED"/>
          </w:tcPr>
          <w:p>
            <w:pPr>
              <w:spacing w:after="0"/>
              <w:rPr>
                <w:sz w:val="20"/>
                <w:szCs w:val="20"/>
                <w:color w:val="auto"/>
              </w:rPr>
            </w:pPr>
          </w:p>
        </w:tc>
        <w:tc>
          <w:tcPr>
            <w:tcW w:w="132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16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600" w:type="dxa"/>
            <w:vAlign w:val="bottom"/>
            <w:shd w:val="clear" w:color="auto" w:fill="E0E7ED"/>
          </w:tcPr>
          <w:p>
            <w:pPr>
              <w:spacing w:after="0"/>
              <w:rPr>
                <w:sz w:val="20"/>
                <w:szCs w:val="20"/>
                <w:color w:val="auto"/>
              </w:rPr>
            </w:pPr>
          </w:p>
        </w:tc>
      </w:tr>
      <w:tr>
        <w:trPr>
          <w:trHeight w:val="345"/>
        </w:trPr>
        <w:tc>
          <w:tcPr>
            <w:tcW w:w="4620" w:type="dxa"/>
            <w:vAlign w:val="bottom"/>
          </w:tcPr>
          <w:p>
            <w:pPr>
              <w:ind w:left="20"/>
              <w:spacing w:after="0"/>
              <w:rPr>
                <w:sz w:val="20"/>
                <w:szCs w:val="20"/>
                <w:color w:val="auto"/>
              </w:rPr>
            </w:pPr>
            <w:r>
              <w:rPr>
                <w:rFonts w:ascii="Verdana" w:cs="Verdana" w:eastAsia="Verdana" w:hAnsi="Verdana"/>
                <w:sz w:val="18"/>
                <w:szCs w:val="18"/>
                <w:color w:val="auto"/>
              </w:rPr>
              <w:t>Net interest margin</w:t>
            </w:r>
            <w:r>
              <w:rPr>
                <w:rFonts w:ascii="Verdana" w:cs="Verdana" w:eastAsia="Verdana" w:hAnsi="Verdana"/>
                <w:sz w:val="23"/>
                <w:szCs w:val="23"/>
                <w:color w:val="auto"/>
                <w:vertAlign w:val="superscript"/>
              </w:rPr>
              <w:t>1, 2</w:t>
            </w:r>
          </w:p>
        </w:tc>
        <w:tc>
          <w:tcPr>
            <w:tcW w:w="2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Verdana" w:cs="Verdana" w:eastAsia="Verdana" w:hAnsi="Verdana"/>
                <w:sz w:val="18"/>
                <w:szCs w:val="18"/>
                <w:color w:val="auto"/>
              </w:rPr>
              <w:t>2.94 %</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2.93 %</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Verdana" w:cs="Verdana" w:eastAsia="Verdana" w:hAnsi="Verdana"/>
                <w:sz w:val="18"/>
                <w:szCs w:val="18"/>
                <w:color w:val="auto"/>
              </w:rPr>
              <w:t>1 bps</w:t>
            </w: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49"/>
        </w:trPr>
        <w:tc>
          <w:tcPr>
            <w:tcW w:w="4620" w:type="dxa"/>
            <w:vAlign w:val="bottom"/>
          </w:tcPr>
          <w:p>
            <w:pPr>
              <w:spacing w:after="0" w:line="149" w:lineRule="exact"/>
              <w:rPr>
                <w:sz w:val="20"/>
                <w:szCs w:val="20"/>
                <w:color w:val="auto"/>
              </w:rPr>
            </w:pPr>
            <w:r>
              <w:rPr>
                <w:rFonts w:ascii="Verdana" w:cs="Verdana" w:eastAsia="Verdana" w:hAnsi="Verdana"/>
                <w:sz w:val="13"/>
                <w:szCs w:val="13"/>
                <w:color w:val="auto"/>
              </w:rPr>
              <w:t>___________________________________________</w:t>
            </w: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r>
    </w:tbl>
    <w:p>
      <w:pPr>
        <w:ind w:left="500" w:hanging="330"/>
        <w:spacing w:after="0" w:line="235" w:lineRule="auto"/>
        <w:tabs>
          <w:tab w:leader="none" w:pos="491" w:val="left"/>
        </w:tabs>
        <w:numPr>
          <w:ilvl w:val="0"/>
          <w:numId w:val="24"/>
        </w:numPr>
        <w:rPr>
          <w:rFonts w:ascii="Verdana" w:cs="Verdana" w:eastAsia="Verdana" w:hAnsi="Verdana"/>
          <w:sz w:val="13"/>
          <w:szCs w:val="13"/>
          <w:color w:val="auto"/>
        </w:rPr>
      </w:pPr>
      <w:r>
        <w:rPr>
          <w:rFonts w:ascii="Verdana" w:cs="Verdana" w:eastAsia="Verdana" w:hAnsi="Verdana"/>
          <w:sz w:val="13"/>
          <w:szCs w:val="13"/>
          <w:color w:val="auto"/>
        </w:rPr>
        <w:t xml:space="preserve">Assuming a federal income tax rate of 21.0%. For a reconciliation of non-GAAP measures to the most directly comparable GAAP financial measures, see </w:t>
      </w:r>
      <w:r>
        <w:rPr>
          <w:rFonts w:ascii="Verdana" w:cs="Verdana" w:eastAsia="Verdana" w:hAnsi="Verdana"/>
          <w:sz w:val="13"/>
          <w:szCs w:val="13"/>
          <w:i w:val="1"/>
          <w:iCs w:val="1"/>
          <w:color w:val="auto"/>
        </w:rPr>
        <w:t>“</w:t>
      </w:r>
      <w:r>
        <w:rPr>
          <w:rFonts w:ascii="Verdana" w:cs="Verdana" w:eastAsia="Verdana" w:hAnsi="Verdana"/>
          <w:sz w:val="13"/>
          <w:szCs w:val="13"/>
          <w:i w:val="1"/>
          <w:iCs w:val="1"/>
          <w:u w:val="single" w:color="auto"/>
          <w:color w:val="0000FF"/>
        </w:rPr>
        <w:t>Item 2.</w:t>
      </w:r>
      <w:r>
        <w:rPr>
          <w:rFonts w:ascii="Verdana" w:cs="Verdana" w:eastAsia="Verdana" w:hAnsi="Verdana"/>
          <w:sz w:val="13"/>
          <w:szCs w:val="13"/>
          <w:color w:val="auto"/>
        </w:rPr>
        <w:t xml:space="preserve"> </w:t>
      </w:r>
      <w:r>
        <w:rPr>
          <w:rFonts w:ascii="Verdana" w:cs="Verdana" w:eastAsia="Verdana" w:hAnsi="Verdana"/>
          <w:sz w:val="13"/>
          <w:szCs w:val="13"/>
          <w:i w:val="1"/>
          <w:iCs w:val="1"/>
          <w:u w:val="single" w:color="auto"/>
          <w:color w:val="0000FF"/>
        </w:rPr>
        <w:t>Management’s Discussion and Analysis—Non-GAAP Financial Information</w:t>
      </w:r>
      <w:r>
        <w:rPr>
          <w:rFonts w:ascii="Verdana" w:cs="Verdana" w:eastAsia="Verdana" w:hAnsi="Verdana"/>
          <w:sz w:val="13"/>
          <w:szCs w:val="13"/>
          <w:i w:val="1"/>
          <w:iCs w:val="1"/>
          <w:color w:val="000000"/>
        </w:rPr>
        <w:t>”</w:t>
      </w:r>
      <w:r>
        <w:rPr>
          <w:rFonts w:ascii="Verdana" w:cs="Verdana" w:eastAsia="Verdana" w:hAnsi="Verdana"/>
          <w:sz w:val="13"/>
          <w:szCs w:val="13"/>
          <w:i w:val="1"/>
          <w:iCs w:val="1"/>
          <w:color w:val="0000FF"/>
        </w:rPr>
        <w:t xml:space="preserve"> </w:t>
      </w:r>
      <w:r>
        <w:rPr>
          <w:rFonts w:ascii="Verdana" w:cs="Verdana" w:eastAsia="Verdana" w:hAnsi="Verdana"/>
          <w:sz w:val="13"/>
          <w:szCs w:val="13"/>
          <w:color w:val="000000"/>
        </w:rPr>
        <w:t>included in this Quarterly Report.</w:t>
      </w:r>
    </w:p>
    <w:p>
      <w:pPr>
        <w:spacing w:after="0" w:line="1" w:lineRule="exact"/>
        <w:rPr>
          <w:rFonts w:ascii="Verdana" w:cs="Verdana" w:eastAsia="Verdana" w:hAnsi="Verdana"/>
          <w:sz w:val="13"/>
          <w:szCs w:val="13"/>
          <w:color w:val="auto"/>
        </w:rPr>
      </w:pPr>
    </w:p>
    <w:p>
      <w:pPr>
        <w:ind w:left="480" w:hanging="310"/>
        <w:spacing w:after="0"/>
        <w:tabs>
          <w:tab w:leader="none" w:pos="480" w:val="left"/>
        </w:tabs>
        <w:numPr>
          <w:ilvl w:val="0"/>
          <w:numId w:val="24"/>
        </w:numPr>
        <w:rPr>
          <w:rFonts w:ascii="Verdana" w:cs="Verdana" w:eastAsia="Verdana" w:hAnsi="Verdana"/>
          <w:sz w:val="13"/>
          <w:szCs w:val="13"/>
          <w:color w:val="auto"/>
        </w:rPr>
      </w:pPr>
      <w:r>
        <w:rPr>
          <w:rFonts w:ascii="Verdana" w:cs="Verdana" w:eastAsia="Verdana" w:hAnsi="Verdana"/>
          <w:sz w:val="13"/>
          <w:szCs w:val="13"/>
          <w:color w:val="auto"/>
        </w:rPr>
        <w:t>Net interest income expressed as a percentage of average earning assets, stated on a tax-equivalent basis.</w:t>
      </w:r>
    </w:p>
    <w:p>
      <w:pPr>
        <w:spacing w:after="0" w:line="166"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After raising federal funds rates by a total of 525 bps between March 2022 and July 2023, the FOMC lowered rates by 50 bps in September 2024. In anticipation of the FOMC pivot to an easing cycle, we limited our exposure to term funding structures and intentionally priced savings specials to encourage maturing CD balances to migrate to managed rate non-maturity products. During September we began lowering rates on special priced deposit accounts and other managed rate products to benefit from the FOMC rate cuts. In addition, approximately 6% of our deposit portfolio is indexed and immediately repriced with the rate cuts by the FOMC. Our short duration CD balances comprise only 15% of the deposit funding base, providing us the ability to quickly reprice the book at lower market rates. We continue to offer CD specials with shorter term structures as well as offering attractive premium savings rates to encourage rotation of maturing CD deposits into nimble pricing products. Beginning in the second quarter of 2024, we also saw the full benefit of the December 2023 and March 2024 targeted balance sheet repositionings in our net interest margin.</w:t>
      </w:r>
    </w:p>
    <w:p>
      <w:pPr>
        <w:spacing w:after="0" w:line="171"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Net interest spread represents the difference between the average rate earned on earning assets and the average rate paid on interest-bearing liabilities, and is presented in the table below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20" w:type="dxa"/>
            <w:vAlign w:val="bottom"/>
          </w:tcPr>
          <w:p>
            <w:pPr>
              <w:spacing w:after="0"/>
              <w:rPr>
                <w:sz w:val="15"/>
                <w:szCs w:val="15"/>
                <w:color w:val="auto"/>
              </w:rPr>
            </w:pPr>
          </w:p>
        </w:tc>
        <w:tc>
          <w:tcPr>
            <w:tcW w:w="3360" w:type="dxa"/>
            <w:vAlign w:val="bottom"/>
            <w:gridSpan w:val="4"/>
          </w:tcPr>
          <w:p>
            <w:pPr>
              <w:ind w:left="360"/>
              <w:spacing w:after="0"/>
              <w:rPr>
                <w:sz w:val="20"/>
                <w:szCs w:val="20"/>
                <w:color w:val="auto"/>
              </w:rPr>
            </w:pPr>
            <w:r>
              <w:rPr>
                <w:rFonts w:ascii="Verdana" w:cs="Verdana" w:eastAsia="Verdana" w:hAnsi="Verdana"/>
                <w:sz w:val="13"/>
                <w:szCs w:val="13"/>
                <w:b w:val="1"/>
                <w:bCs w:val="1"/>
                <w:color w:val="auto"/>
              </w:rPr>
              <w:t>Three Months Ended September 30,</w:t>
            </w:r>
          </w:p>
        </w:tc>
        <w:tc>
          <w:tcPr>
            <w:tcW w:w="3260" w:type="dxa"/>
            <w:vAlign w:val="bottom"/>
            <w:gridSpan w:val="3"/>
          </w:tcPr>
          <w:p>
            <w:pPr>
              <w:jc w:val="right"/>
              <w:ind w:right="344"/>
              <w:spacing w:after="0"/>
              <w:rPr>
                <w:sz w:val="20"/>
                <w:szCs w:val="20"/>
                <w:color w:val="auto"/>
              </w:rPr>
            </w:pPr>
            <w:r>
              <w:rPr>
                <w:rFonts w:ascii="Verdana" w:cs="Verdana" w:eastAsia="Verdana" w:hAnsi="Verdana"/>
                <w:sz w:val="13"/>
                <w:szCs w:val="13"/>
                <w:b w:val="1"/>
                <w:bCs w:val="1"/>
                <w:color w:val="auto"/>
              </w:rPr>
              <w:t>Nine Months Ended September 30,</w:t>
            </w:r>
          </w:p>
        </w:tc>
      </w:tr>
      <w:tr>
        <w:trPr>
          <w:trHeight w:val="170"/>
        </w:trPr>
        <w:tc>
          <w:tcPr>
            <w:tcW w:w="4620" w:type="dxa"/>
            <w:vAlign w:val="bottom"/>
            <w:tcBorders>
              <w:bottom w:val="single" w:sz="8" w:color="E0E7ED"/>
            </w:tcBorders>
          </w:tcPr>
          <w:p>
            <w:pPr>
              <w:spacing w:after="0"/>
              <w:rPr>
                <w:sz w:val="14"/>
                <w:szCs w:val="14"/>
                <w:color w:val="auto"/>
              </w:rPr>
            </w:pPr>
          </w:p>
        </w:tc>
        <w:tc>
          <w:tcPr>
            <w:tcW w:w="1580" w:type="dxa"/>
            <w:vAlign w:val="bottom"/>
            <w:tcBorders>
              <w:top w:val="single" w:sz="8" w:color="auto"/>
              <w:bottom w:val="single" w:sz="8" w:color="auto"/>
            </w:tcBorders>
          </w:tcPr>
          <w:p>
            <w:pPr>
              <w:jc w:val="right"/>
              <w:ind w:right="528"/>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1580" w:type="dxa"/>
            <w:vAlign w:val="bottom"/>
            <w:tcBorders>
              <w:top w:val="single" w:sz="8" w:color="auto"/>
              <w:bottom w:val="single" w:sz="8" w:color="auto"/>
            </w:tcBorders>
          </w:tcPr>
          <w:p>
            <w:pPr>
              <w:jc w:val="right"/>
              <w:ind w:right="544"/>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1580" w:type="dxa"/>
            <w:vAlign w:val="bottom"/>
            <w:tcBorders>
              <w:top w:val="single" w:sz="8" w:color="auto"/>
              <w:bottom w:val="single" w:sz="8" w:color="auto"/>
            </w:tcBorders>
          </w:tcPr>
          <w:p>
            <w:pPr>
              <w:jc w:val="right"/>
              <w:ind w:right="548"/>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top w:val="single" w:sz="8" w:color="auto"/>
              <w:bottom w:val="single" w:sz="8" w:color="E0E7ED"/>
            </w:tcBorders>
          </w:tcPr>
          <w:p>
            <w:pPr>
              <w:spacing w:after="0"/>
              <w:rPr>
                <w:sz w:val="14"/>
                <w:szCs w:val="14"/>
                <w:color w:val="auto"/>
              </w:rPr>
            </w:pPr>
          </w:p>
        </w:tc>
        <w:tc>
          <w:tcPr>
            <w:tcW w:w="1600" w:type="dxa"/>
            <w:vAlign w:val="bottom"/>
            <w:tcBorders>
              <w:top w:val="single" w:sz="8" w:color="auto"/>
              <w:bottom w:val="single" w:sz="8" w:color="auto"/>
            </w:tcBorders>
          </w:tcPr>
          <w:p>
            <w:pPr>
              <w:jc w:val="right"/>
              <w:ind w:right="544"/>
              <w:spacing w:after="0"/>
              <w:rPr>
                <w:sz w:val="20"/>
                <w:szCs w:val="20"/>
                <w:color w:val="auto"/>
              </w:rPr>
            </w:pPr>
            <w:r>
              <w:rPr>
                <w:rFonts w:ascii="Verdana" w:cs="Verdana" w:eastAsia="Verdana" w:hAnsi="Verdana"/>
                <w:sz w:val="13"/>
                <w:szCs w:val="13"/>
                <w:b w:val="1"/>
                <w:bCs w:val="1"/>
                <w:color w:val="auto"/>
              </w:rPr>
              <w:t>2023</w:t>
            </w:r>
          </w:p>
        </w:tc>
      </w:tr>
      <w:tr>
        <w:trPr>
          <w:trHeight w:val="269"/>
        </w:trPr>
        <w:tc>
          <w:tcPr>
            <w:tcW w:w="4620" w:type="dxa"/>
            <w:vAlign w:val="bottom"/>
            <w:shd w:val="clear" w:color="auto" w:fill="E0E7ED"/>
          </w:tcPr>
          <w:p>
            <w:pPr>
              <w:ind w:left="20"/>
              <w:spacing w:after="0" w:line="268" w:lineRule="exact"/>
              <w:rPr>
                <w:sz w:val="20"/>
                <w:szCs w:val="20"/>
                <w:color w:val="auto"/>
              </w:rPr>
            </w:pPr>
            <w:r>
              <w:rPr>
                <w:rFonts w:ascii="Verdana" w:cs="Verdana" w:eastAsia="Verdana" w:hAnsi="Verdana"/>
                <w:sz w:val="18"/>
                <w:szCs w:val="18"/>
                <w:color w:val="auto"/>
              </w:rPr>
              <w:t>Net interest spread</w:t>
            </w:r>
            <w:r>
              <w:rPr>
                <w:rFonts w:ascii="Verdana" w:cs="Verdana" w:eastAsia="Verdana" w:hAnsi="Verdana"/>
                <w:sz w:val="23"/>
                <w:szCs w:val="23"/>
                <w:color w:val="auto"/>
                <w:vertAlign w:val="superscript"/>
              </w:rPr>
              <w:t>1</w:t>
            </w:r>
          </w:p>
        </w:tc>
        <w:tc>
          <w:tcPr>
            <w:tcW w:w="15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2.24 %</w:t>
            </w:r>
          </w:p>
        </w:tc>
        <w:tc>
          <w:tcPr>
            <w:tcW w:w="100" w:type="dxa"/>
            <w:vAlign w:val="bottom"/>
            <w:shd w:val="clear" w:color="auto" w:fill="E0E7ED"/>
          </w:tcPr>
          <w:p>
            <w:pPr>
              <w:spacing w:after="0"/>
              <w:rPr>
                <w:sz w:val="23"/>
                <w:szCs w:val="23"/>
                <w:color w:val="auto"/>
              </w:rPr>
            </w:pPr>
          </w:p>
        </w:tc>
        <w:tc>
          <w:tcPr>
            <w:tcW w:w="15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2.13 %</w:t>
            </w:r>
          </w:p>
        </w:tc>
        <w:tc>
          <w:tcPr>
            <w:tcW w:w="100" w:type="dxa"/>
            <w:vAlign w:val="bottom"/>
            <w:shd w:val="clear" w:color="auto" w:fill="E0E7ED"/>
          </w:tcPr>
          <w:p>
            <w:pPr>
              <w:spacing w:after="0"/>
              <w:rPr>
                <w:sz w:val="23"/>
                <w:szCs w:val="23"/>
                <w:color w:val="auto"/>
              </w:rPr>
            </w:pPr>
          </w:p>
        </w:tc>
        <w:tc>
          <w:tcPr>
            <w:tcW w:w="15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2.19 %</w:t>
            </w:r>
          </w:p>
        </w:tc>
        <w:tc>
          <w:tcPr>
            <w:tcW w:w="80" w:type="dxa"/>
            <w:vAlign w:val="bottom"/>
            <w:shd w:val="clear" w:color="auto" w:fill="E0E7ED"/>
          </w:tcPr>
          <w:p>
            <w:pPr>
              <w:spacing w:after="0"/>
              <w:rPr>
                <w:sz w:val="23"/>
                <w:szCs w:val="23"/>
                <w:color w:val="auto"/>
              </w:rPr>
            </w:pPr>
          </w:p>
        </w:tc>
        <w:tc>
          <w:tcPr>
            <w:tcW w:w="16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2.36 %</w:t>
            </w:r>
          </w:p>
        </w:tc>
      </w:tr>
    </w:tbl>
    <w:p>
      <w:pPr>
        <w:spacing w:after="0" w:line="80"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tabs>
          <w:tab w:leader="none" w:pos="480" w:val="left"/>
        </w:tabs>
        <w:numPr>
          <w:ilvl w:val="0"/>
          <w:numId w:val="25"/>
        </w:numPr>
        <w:rPr>
          <w:rFonts w:ascii="Verdana" w:cs="Verdana" w:eastAsia="Verdana" w:hAnsi="Verdana"/>
          <w:sz w:val="13"/>
          <w:szCs w:val="13"/>
          <w:color w:val="auto"/>
        </w:rPr>
      </w:pPr>
      <w:r>
        <w:rPr>
          <w:rFonts w:ascii="Verdana" w:cs="Verdana" w:eastAsia="Verdana" w:hAnsi="Verdana"/>
          <w:sz w:val="13"/>
          <w:szCs w:val="13"/>
          <w:color w:val="auto"/>
        </w:rPr>
        <w:t>Net interest spread is calculated on a tax-equivalent basis.</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8" w:name="page79"/>
    <w:bookmarkEnd w:id="78"/>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The net interest margin discussion above is based upon the results and average balances for the three and nine months ended September 30, 2024 and 2023. Annualized net interest margins for the quarterly periods indicated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60" w:type="dxa"/>
            <w:vAlign w:val="bottom"/>
            <w:tcBorders>
              <w:bottom w:val="single" w:sz="8" w:color="E0E7ED"/>
            </w:tcBorders>
          </w:tcPr>
          <w:p>
            <w:pPr>
              <w:spacing w:after="0"/>
              <w:rPr>
                <w:sz w:val="15"/>
                <w:szCs w:val="15"/>
                <w:color w:val="auto"/>
              </w:rPr>
            </w:pPr>
          </w:p>
        </w:tc>
        <w:tc>
          <w:tcPr>
            <w:tcW w:w="1640" w:type="dxa"/>
            <w:vAlign w:val="bottom"/>
            <w:tcBorders>
              <w:bottom w:val="single" w:sz="8" w:color="auto"/>
            </w:tcBorders>
          </w:tcPr>
          <w:p>
            <w:pPr>
              <w:jc w:val="right"/>
              <w:ind w:right="557"/>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bottom w:val="single" w:sz="8" w:color="E0E7ED"/>
            </w:tcBorders>
          </w:tcPr>
          <w:p>
            <w:pPr>
              <w:spacing w:after="0"/>
              <w:rPr>
                <w:sz w:val="15"/>
                <w:szCs w:val="15"/>
                <w:color w:val="auto"/>
              </w:rPr>
            </w:pPr>
          </w:p>
        </w:tc>
        <w:tc>
          <w:tcPr>
            <w:tcW w:w="1640" w:type="dxa"/>
            <w:vAlign w:val="bottom"/>
            <w:tcBorders>
              <w:bottom w:val="single" w:sz="8" w:color="auto"/>
            </w:tcBorders>
          </w:tcPr>
          <w:p>
            <w:pPr>
              <w:jc w:val="right"/>
              <w:ind w:right="555"/>
              <w:spacing w:after="0"/>
              <w:rPr>
                <w:sz w:val="20"/>
                <w:szCs w:val="20"/>
                <w:color w:val="auto"/>
              </w:rPr>
            </w:pPr>
            <w:r>
              <w:rPr>
                <w:rFonts w:ascii="Verdana" w:cs="Verdana" w:eastAsia="Verdana" w:hAnsi="Verdana"/>
                <w:sz w:val="13"/>
                <w:szCs w:val="13"/>
                <w:b w:val="1"/>
                <w:bCs w:val="1"/>
                <w:color w:val="auto"/>
              </w:rPr>
              <w:t>2023</w:t>
            </w:r>
          </w:p>
        </w:tc>
      </w:tr>
      <w:tr>
        <w:trPr>
          <w:trHeight w:val="270"/>
        </w:trPr>
        <w:tc>
          <w:tcPr>
            <w:tcW w:w="78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First Quarter</w:t>
            </w:r>
          </w:p>
        </w:tc>
        <w:tc>
          <w:tcPr>
            <w:tcW w:w="16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2.79 %</w:t>
            </w:r>
          </w:p>
        </w:tc>
        <w:tc>
          <w:tcPr>
            <w:tcW w:w="100" w:type="dxa"/>
            <w:vAlign w:val="bottom"/>
            <w:shd w:val="clear" w:color="auto" w:fill="E0E7ED"/>
          </w:tcPr>
          <w:p>
            <w:pPr>
              <w:spacing w:after="0"/>
              <w:rPr>
                <w:sz w:val="23"/>
                <w:szCs w:val="23"/>
                <w:color w:val="auto"/>
              </w:rPr>
            </w:pPr>
          </w:p>
        </w:tc>
        <w:tc>
          <w:tcPr>
            <w:tcW w:w="16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3.13 %</w:t>
            </w:r>
          </w:p>
        </w:tc>
      </w:tr>
      <w:tr>
        <w:trPr>
          <w:trHeight w:val="263"/>
        </w:trPr>
        <w:tc>
          <w:tcPr>
            <w:tcW w:w="7860" w:type="dxa"/>
            <w:vAlign w:val="bottom"/>
          </w:tcPr>
          <w:p>
            <w:pPr>
              <w:ind w:left="20"/>
              <w:spacing w:after="0"/>
              <w:rPr>
                <w:sz w:val="20"/>
                <w:szCs w:val="20"/>
                <w:color w:val="auto"/>
              </w:rPr>
            </w:pPr>
            <w:r>
              <w:rPr>
                <w:rFonts w:ascii="Verdana" w:cs="Verdana" w:eastAsia="Verdana" w:hAnsi="Verdana"/>
                <w:sz w:val="18"/>
                <w:szCs w:val="18"/>
                <w:color w:val="auto"/>
              </w:rPr>
              <w:t>Second Quarter</w:t>
            </w:r>
          </w:p>
        </w:tc>
        <w:tc>
          <w:tcPr>
            <w:tcW w:w="1640" w:type="dxa"/>
            <w:vAlign w:val="bottom"/>
          </w:tcPr>
          <w:p>
            <w:pPr>
              <w:jc w:val="right"/>
              <w:spacing w:after="0"/>
              <w:rPr>
                <w:sz w:val="20"/>
                <w:szCs w:val="20"/>
                <w:color w:val="auto"/>
              </w:rPr>
            </w:pPr>
            <w:r>
              <w:rPr>
                <w:rFonts w:ascii="Verdana" w:cs="Verdana" w:eastAsia="Verdana" w:hAnsi="Verdana"/>
                <w:sz w:val="18"/>
                <w:szCs w:val="18"/>
                <w:color w:val="auto"/>
              </w:rPr>
              <w:t>3.03 %</w:t>
            </w:r>
          </w:p>
        </w:tc>
        <w:tc>
          <w:tcPr>
            <w:tcW w:w="1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Verdana" w:cs="Verdana" w:eastAsia="Verdana" w:hAnsi="Verdana"/>
                <w:sz w:val="18"/>
                <w:szCs w:val="18"/>
                <w:color w:val="auto"/>
              </w:rPr>
              <w:t>2.86 %</w:t>
            </w:r>
          </w:p>
        </w:tc>
      </w:tr>
      <w:tr>
        <w:trPr>
          <w:trHeight w:val="277"/>
        </w:trPr>
        <w:tc>
          <w:tcPr>
            <w:tcW w:w="78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Third Quarter</w:t>
            </w:r>
          </w:p>
        </w:tc>
        <w:tc>
          <w:tcPr>
            <w:tcW w:w="16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3.02 %</w:t>
            </w:r>
          </w:p>
        </w:tc>
        <w:tc>
          <w:tcPr>
            <w:tcW w:w="100" w:type="dxa"/>
            <w:vAlign w:val="bottom"/>
            <w:shd w:val="clear" w:color="auto" w:fill="E0E7ED"/>
          </w:tcPr>
          <w:p>
            <w:pPr>
              <w:spacing w:after="0"/>
              <w:rPr>
                <w:sz w:val="24"/>
                <w:szCs w:val="24"/>
                <w:color w:val="auto"/>
              </w:rPr>
            </w:pPr>
          </w:p>
        </w:tc>
        <w:tc>
          <w:tcPr>
            <w:tcW w:w="16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2.80 %</w:t>
            </w:r>
          </w:p>
        </w:tc>
      </w:tr>
      <w:tr>
        <w:trPr>
          <w:trHeight w:val="257"/>
        </w:trPr>
        <w:tc>
          <w:tcPr>
            <w:tcW w:w="7860" w:type="dxa"/>
            <w:vAlign w:val="bottom"/>
          </w:tcPr>
          <w:p>
            <w:pPr>
              <w:ind w:left="20"/>
              <w:spacing w:after="0"/>
              <w:rPr>
                <w:sz w:val="20"/>
                <w:szCs w:val="20"/>
                <w:color w:val="auto"/>
              </w:rPr>
            </w:pPr>
            <w:r>
              <w:rPr>
                <w:rFonts w:ascii="Verdana" w:cs="Verdana" w:eastAsia="Verdana" w:hAnsi="Verdana"/>
                <w:sz w:val="18"/>
                <w:szCs w:val="18"/>
                <w:color w:val="auto"/>
              </w:rPr>
              <w:t>Fourth Quarter</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Verdana" w:cs="Verdana" w:eastAsia="Verdana" w:hAnsi="Verdana"/>
                <w:sz w:val="18"/>
                <w:szCs w:val="18"/>
                <w:color w:val="auto"/>
              </w:rPr>
              <w:t>2.74 %</w:t>
            </w:r>
          </w:p>
        </w:tc>
      </w:tr>
    </w:tbl>
    <w:p>
      <w:pPr>
        <w:spacing w:after="0" w:line="278" w:lineRule="exact"/>
        <w:rPr>
          <w:sz w:val="20"/>
          <w:szCs w:val="20"/>
          <w:color w:val="auto"/>
        </w:rPr>
      </w:pPr>
    </w:p>
    <w:p>
      <w:pPr>
        <w:jc w:val="both"/>
        <w:spacing w:after="0" w:line="242" w:lineRule="auto"/>
        <w:rPr>
          <w:rFonts w:ascii="Verdana" w:cs="Verdana" w:eastAsia="Verdana" w:hAnsi="Verdana"/>
          <w:sz w:val="18"/>
          <w:szCs w:val="18"/>
          <w:color w:val="auto"/>
        </w:rPr>
      </w:pPr>
      <w:r>
        <w:rPr>
          <w:rFonts w:ascii="Verdana" w:cs="Verdana" w:eastAsia="Verdana" w:hAnsi="Verdana"/>
          <w:sz w:val="18"/>
          <w:szCs w:val="18"/>
          <w:color w:val="auto"/>
        </w:rPr>
        <w:t xml:space="preserve">Management attempts to mitigate the effects of an unpredictable interest-rate environment through effective portfolio management, prudent loan underwriting and pricing discipline, and operational efficiencies. For a description of accounting policies underlying the recognition of interest income and expense, refer to the </w:t>
      </w:r>
      <w:hyperlink r:id="rId98">
        <w:r>
          <w:rPr>
            <w:rFonts w:ascii="Verdana" w:cs="Verdana" w:eastAsia="Verdana" w:hAnsi="Verdana"/>
            <w:sz w:val="18"/>
            <w:szCs w:val="18"/>
            <w:u w:val="single" w:color="auto"/>
            <w:color w:val="0000FF"/>
          </w:rPr>
          <w:t>Notes to Consolidated Financial Statements</w:t>
        </w:r>
      </w:hyperlink>
      <w:r>
        <w:rPr>
          <w:rFonts w:ascii="Verdana" w:cs="Verdana" w:eastAsia="Verdana" w:hAnsi="Verdana"/>
          <w:sz w:val="18"/>
          <w:szCs w:val="18"/>
          <w:color w:val="auto"/>
        </w:rPr>
        <w:t xml:space="preserve"> in </w:t>
      </w:r>
      <w:hyperlink r:id="rId25">
        <w:r>
          <w:rPr>
            <w:rFonts w:ascii="Verdana" w:cs="Verdana" w:eastAsia="Verdana" w:hAnsi="Verdana"/>
            <w:sz w:val="18"/>
            <w:szCs w:val="18"/>
            <w:u w:val="single" w:color="auto"/>
            <w:color w:val="0000FF"/>
          </w:rPr>
          <w:t>Busey’s 2023 Annual Report</w:t>
        </w:r>
      </w:hyperlink>
      <w:r>
        <w:rPr>
          <w:rFonts w:ascii="Verdana" w:cs="Verdana" w:eastAsia="Verdana" w:hAnsi="Verdana"/>
          <w:sz w:val="18"/>
          <w:szCs w:val="18"/>
          <w:color w:val="auto"/>
        </w:rPr>
        <w:t>.</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Noninterest Income</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Changes in noninterest income are summarized as follows for the periods presented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40" w:type="dxa"/>
            <w:vAlign w:val="bottom"/>
            <w:gridSpan w:val="5"/>
          </w:tcPr>
          <w:p>
            <w:pPr>
              <w:ind w:left="60"/>
              <w:spacing w:after="0"/>
              <w:rPr>
                <w:sz w:val="20"/>
                <w:szCs w:val="20"/>
                <w:color w:val="auto"/>
              </w:rPr>
            </w:pPr>
            <w:r>
              <w:rPr>
                <w:rFonts w:ascii="Verdana" w:cs="Verdana" w:eastAsia="Verdana" w:hAnsi="Verdana"/>
                <w:sz w:val="13"/>
                <w:szCs w:val="13"/>
                <w:b w:val="1"/>
                <w:bCs w:val="1"/>
                <w:color w:val="auto"/>
              </w:rPr>
              <w:t>Three Months Ended September 30,</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70"/>
        </w:trPr>
        <w:tc>
          <w:tcPr>
            <w:tcW w:w="490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474"/>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92"/>
              <w:spacing w:after="0"/>
              <w:rPr>
                <w:sz w:val="20"/>
                <w:szCs w:val="20"/>
                <w:color w:val="auto"/>
              </w:rPr>
            </w:pPr>
            <w:r>
              <w:rPr>
                <w:rFonts w:ascii="Verdana" w:cs="Verdana" w:eastAsia="Verdana" w:hAnsi="Verdana"/>
                <w:sz w:val="13"/>
                <w:szCs w:val="13"/>
                <w:b w:val="1"/>
                <w:bCs w:val="1"/>
                <w:color w:val="auto"/>
              </w:rPr>
              <w:t>Change</w:t>
            </w:r>
          </w:p>
        </w:tc>
        <w:tc>
          <w:tcPr>
            <w:tcW w:w="80" w:type="dxa"/>
            <w:vAlign w:val="bottom"/>
            <w:tcBorders>
              <w:bottom w:val="single" w:sz="8" w:color="E0E7ED"/>
            </w:tcBorders>
          </w:tcPr>
          <w:p>
            <w:pPr>
              <w:spacing w:after="0"/>
              <w:rPr>
                <w:sz w:val="14"/>
                <w:szCs w:val="14"/>
                <w:color w:val="auto"/>
              </w:rPr>
            </w:pPr>
          </w:p>
        </w:tc>
        <w:tc>
          <w:tcPr>
            <w:tcW w:w="1640" w:type="dxa"/>
            <w:vAlign w:val="bottom"/>
            <w:tcBorders>
              <w:bottom w:val="single" w:sz="8" w:color="auto"/>
            </w:tcBorders>
          </w:tcPr>
          <w:p>
            <w:pPr>
              <w:jc w:val="right"/>
              <w:ind w:right="397"/>
              <w:spacing w:after="0"/>
              <w:rPr>
                <w:sz w:val="20"/>
                <w:szCs w:val="20"/>
                <w:color w:val="auto"/>
              </w:rPr>
            </w:pPr>
            <w:r>
              <w:rPr>
                <w:rFonts w:ascii="Verdana" w:cs="Verdana" w:eastAsia="Verdana" w:hAnsi="Verdana"/>
                <w:sz w:val="13"/>
                <w:szCs w:val="13"/>
                <w:b w:val="1"/>
                <w:bCs w:val="1"/>
                <w:color w:val="auto"/>
              </w:rPr>
              <w:t>% Change</w:t>
            </w:r>
          </w:p>
        </w:tc>
      </w:tr>
      <w:tr>
        <w:trPr>
          <w:trHeight w:val="255"/>
        </w:trPr>
        <w:tc>
          <w:tcPr>
            <w:tcW w:w="49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Noninterest income</w:t>
            </w:r>
          </w:p>
        </w:tc>
        <w:tc>
          <w:tcPr>
            <w:tcW w:w="200" w:type="dxa"/>
            <w:vAlign w:val="bottom"/>
            <w:shd w:val="clear" w:color="auto" w:fill="E0E7ED"/>
          </w:tcPr>
          <w:p>
            <w:pPr>
              <w:spacing w:after="0"/>
              <w:rPr>
                <w:sz w:val="22"/>
                <w:szCs w:val="22"/>
                <w:color w:val="auto"/>
              </w:rPr>
            </w:pPr>
          </w:p>
        </w:tc>
        <w:tc>
          <w:tcPr>
            <w:tcW w:w="12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40" w:type="dxa"/>
            <w:vAlign w:val="bottom"/>
            <w:shd w:val="clear" w:color="auto" w:fill="E0E7ED"/>
          </w:tcPr>
          <w:p>
            <w:pPr>
              <w:spacing w:after="0"/>
              <w:rPr>
                <w:sz w:val="22"/>
                <w:szCs w:val="22"/>
                <w:color w:val="auto"/>
              </w:rPr>
            </w:pPr>
          </w:p>
        </w:tc>
        <w:tc>
          <w:tcPr>
            <w:tcW w:w="11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00" w:type="dxa"/>
            <w:vAlign w:val="bottom"/>
            <w:shd w:val="clear" w:color="auto" w:fill="E0E7ED"/>
          </w:tcPr>
          <w:p>
            <w:pPr>
              <w:spacing w:after="0"/>
              <w:rPr>
                <w:sz w:val="22"/>
                <w:szCs w:val="22"/>
                <w:color w:val="auto"/>
              </w:rPr>
            </w:pPr>
          </w:p>
        </w:tc>
        <w:tc>
          <w:tcPr>
            <w:tcW w:w="118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640" w:type="dxa"/>
            <w:vAlign w:val="bottom"/>
            <w:shd w:val="clear" w:color="auto" w:fill="E0E7ED"/>
          </w:tcPr>
          <w:p>
            <w:pPr>
              <w:spacing w:after="0"/>
              <w:rPr>
                <w:sz w:val="22"/>
                <w:szCs w:val="22"/>
                <w:color w:val="auto"/>
              </w:rPr>
            </w:pPr>
          </w:p>
        </w:tc>
      </w:tr>
      <w:tr>
        <w:trPr>
          <w:trHeight w:val="238"/>
        </w:trPr>
        <w:tc>
          <w:tcPr>
            <w:tcW w:w="4900" w:type="dxa"/>
            <w:vAlign w:val="bottom"/>
          </w:tcPr>
          <w:p>
            <w:pPr>
              <w:ind w:left="180"/>
              <w:spacing w:after="0"/>
              <w:rPr>
                <w:sz w:val="20"/>
                <w:szCs w:val="20"/>
                <w:color w:val="auto"/>
              </w:rPr>
            </w:pPr>
            <w:r>
              <w:rPr>
                <w:rFonts w:ascii="Verdana" w:cs="Verdana" w:eastAsia="Verdana" w:hAnsi="Verdana"/>
                <w:sz w:val="18"/>
                <w:szCs w:val="18"/>
                <w:color w:val="auto"/>
              </w:rPr>
              <w:t>Wealth management and payment technology</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42"/>
        </w:trPr>
        <w:tc>
          <w:tcPr>
            <w:tcW w:w="4900" w:type="dxa"/>
            <w:vAlign w:val="bottom"/>
          </w:tcPr>
          <w:p>
            <w:pPr>
              <w:ind w:left="180"/>
              <w:spacing w:after="0"/>
              <w:rPr>
                <w:sz w:val="20"/>
                <w:szCs w:val="20"/>
                <w:color w:val="auto"/>
              </w:rPr>
            </w:pPr>
            <w:r>
              <w:rPr>
                <w:rFonts w:ascii="Verdana" w:cs="Verdana" w:eastAsia="Verdana" w:hAnsi="Verdana"/>
                <w:sz w:val="18"/>
                <w:szCs w:val="18"/>
                <w:color w:val="auto"/>
              </w:rPr>
              <w:t>income:</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7"/>
        </w:trPr>
        <w:tc>
          <w:tcPr>
            <w:tcW w:w="49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Wealth management fees</w:t>
            </w:r>
          </w:p>
        </w:tc>
        <w:tc>
          <w:tcPr>
            <w:tcW w:w="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15,378</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jc w:val="right"/>
              <w:ind w:right="110"/>
              <w:spacing w:after="0"/>
              <w:rPr>
                <w:sz w:val="20"/>
                <w:szCs w:val="20"/>
                <w:color w:val="auto"/>
              </w:rPr>
            </w:pPr>
            <w:r>
              <w:rPr>
                <w:rFonts w:ascii="Verdana" w:cs="Verdana" w:eastAsia="Verdana" w:hAnsi="Verdana"/>
                <w:sz w:val="18"/>
                <w:szCs w:val="18"/>
                <w:color w:val="auto"/>
              </w:rPr>
              <w:t>$</w:t>
            </w: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14,235</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18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1,143</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8.0 %</w:t>
            </w:r>
          </w:p>
        </w:tc>
      </w:tr>
      <w:tr>
        <w:trPr>
          <w:trHeight w:val="264"/>
        </w:trPr>
        <w:tc>
          <w:tcPr>
            <w:tcW w:w="4900" w:type="dxa"/>
            <w:vAlign w:val="bottom"/>
            <w:tcBorders>
              <w:bottom w:val="single" w:sz="8" w:color="E0E7ED"/>
            </w:tcBorders>
          </w:tcPr>
          <w:p>
            <w:pPr>
              <w:ind w:left="360"/>
              <w:spacing w:after="0"/>
              <w:rPr>
                <w:sz w:val="20"/>
                <w:szCs w:val="20"/>
                <w:color w:val="auto"/>
              </w:rPr>
            </w:pPr>
            <w:r>
              <w:rPr>
                <w:rFonts w:ascii="Verdana" w:cs="Verdana" w:eastAsia="Verdana" w:hAnsi="Verdana"/>
                <w:sz w:val="18"/>
                <w:szCs w:val="18"/>
                <w:color w:val="auto"/>
              </w:rPr>
              <w:t>Payment technology solutions</w:t>
            </w: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5,265</w:t>
            </w:r>
          </w:p>
        </w:tc>
        <w:tc>
          <w:tcPr>
            <w:tcW w:w="10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5,226</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39</w:t>
            </w:r>
          </w:p>
        </w:tc>
        <w:tc>
          <w:tcPr>
            <w:tcW w:w="172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0.7 %</w:t>
            </w:r>
          </w:p>
        </w:tc>
      </w:tr>
      <w:tr>
        <w:trPr>
          <w:trHeight w:val="224"/>
        </w:trPr>
        <w:tc>
          <w:tcPr>
            <w:tcW w:w="4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Combined, wealth management fees and payment</w:t>
            </w:r>
          </w:p>
        </w:tc>
        <w:tc>
          <w:tcPr>
            <w:tcW w:w="200" w:type="dxa"/>
            <w:vAlign w:val="bottom"/>
            <w:shd w:val="clear" w:color="auto" w:fill="E0E7ED"/>
          </w:tcPr>
          <w:p>
            <w:pPr>
              <w:spacing w:after="0"/>
              <w:rPr>
                <w:sz w:val="19"/>
                <w:szCs w:val="19"/>
                <w:color w:val="auto"/>
              </w:rPr>
            </w:pPr>
          </w:p>
        </w:tc>
        <w:tc>
          <w:tcPr>
            <w:tcW w:w="126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40" w:type="dxa"/>
            <w:vAlign w:val="bottom"/>
            <w:shd w:val="clear" w:color="auto" w:fill="E0E7ED"/>
          </w:tcPr>
          <w:p>
            <w:pPr>
              <w:spacing w:after="0"/>
              <w:rPr>
                <w:sz w:val="19"/>
                <w:szCs w:val="19"/>
                <w:color w:val="auto"/>
              </w:rPr>
            </w:pPr>
          </w:p>
        </w:tc>
        <w:tc>
          <w:tcPr>
            <w:tcW w:w="114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00" w:type="dxa"/>
            <w:vAlign w:val="bottom"/>
            <w:shd w:val="clear" w:color="auto" w:fill="E0E7ED"/>
          </w:tcPr>
          <w:p>
            <w:pPr>
              <w:spacing w:after="0"/>
              <w:rPr>
                <w:sz w:val="19"/>
                <w:szCs w:val="19"/>
                <w:color w:val="auto"/>
              </w:rPr>
            </w:pPr>
          </w:p>
        </w:tc>
        <w:tc>
          <w:tcPr>
            <w:tcW w:w="118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1640" w:type="dxa"/>
            <w:vAlign w:val="bottom"/>
            <w:shd w:val="clear" w:color="auto" w:fill="E0E7ED"/>
          </w:tcPr>
          <w:p>
            <w:pPr>
              <w:spacing w:after="0"/>
              <w:rPr>
                <w:sz w:val="19"/>
                <w:szCs w:val="19"/>
                <w:color w:val="auto"/>
              </w:rPr>
            </w:pPr>
          </w:p>
        </w:tc>
      </w:tr>
      <w:tr>
        <w:trPr>
          <w:trHeight w:val="248"/>
        </w:trPr>
        <w:tc>
          <w:tcPr>
            <w:tcW w:w="4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technology solutions</w:t>
            </w:r>
          </w:p>
        </w:tc>
        <w:tc>
          <w:tcPr>
            <w:tcW w:w="200" w:type="dxa"/>
            <w:vAlign w:val="bottom"/>
            <w:shd w:val="clear" w:color="auto" w:fill="E0E7ED"/>
          </w:tcPr>
          <w:p>
            <w:pPr>
              <w:spacing w:after="0"/>
              <w:rPr>
                <w:sz w:val="21"/>
                <w:szCs w:val="21"/>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20,643</w:t>
            </w: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19,461</w:t>
            </w: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18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1,182</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6.1 %</w:t>
            </w:r>
          </w:p>
        </w:tc>
      </w:tr>
      <w:tr>
        <w:trPr>
          <w:trHeight w:val="270"/>
        </w:trPr>
        <w:tc>
          <w:tcPr>
            <w:tcW w:w="4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70"/>
        </w:trPr>
        <w:tc>
          <w:tcPr>
            <w:tcW w:w="4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Fees for customer services</w:t>
            </w:r>
          </w:p>
        </w:tc>
        <w:tc>
          <w:tcPr>
            <w:tcW w:w="200" w:type="dxa"/>
            <w:vAlign w:val="bottom"/>
            <w:shd w:val="clear" w:color="auto" w:fill="E0E7ED"/>
          </w:tcPr>
          <w:p>
            <w:pPr>
              <w:spacing w:after="0"/>
              <w:rPr>
                <w:sz w:val="23"/>
                <w:szCs w:val="23"/>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8,168</w:t>
            </w: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spacing w:after="0"/>
              <w:rPr>
                <w:sz w:val="23"/>
                <w:szCs w:val="23"/>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7,502</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18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666</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8.9 %</w:t>
            </w:r>
          </w:p>
        </w:tc>
      </w:tr>
      <w:tr>
        <w:trPr>
          <w:trHeight w:val="263"/>
        </w:trPr>
        <w:tc>
          <w:tcPr>
            <w:tcW w:w="4900" w:type="dxa"/>
            <w:vAlign w:val="bottom"/>
          </w:tcPr>
          <w:p>
            <w:pPr>
              <w:ind w:left="180"/>
              <w:spacing w:after="0"/>
              <w:rPr>
                <w:sz w:val="20"/>
                <w:szCs w:val="20"/>
                <w:color w:val="auto"/>
              </w:rPr>
            </w:pPr>
            <w:r>
              <w:rPr>
                <w:rFonts w:ascii="Verdana" w:cs="Verdana" w:eastAsia="Verdana" w:hAnsi="Verdana"/>
                <w:sz w:val="18"/>
                <w:szCs w:val="18"/>
                <w:color w:val="auto"/>
              </w:rPr>
              <w:t>Mortgage revenue</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355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311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Verdana" w:cs="Verdana" w:eastAsia="Verdana" w:hAnsi="Verdana"/>
                <w:sz w:val="18"/>
                <w:szCs w:val="18"/>
                <w:color w:val="auto"/>
              </w:rPr>
              <w:t>44</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14.1 %</w:t>
            </w:r>
          </w:p>
        </w:tc>
      </w:tr>
      <w:tr>
        <w:trPr>
          <w:trHeight w:val="277"/>
        </w:trPr>
        <w:tc>
          <w:tcPr>
            <w:tcW w:w="4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Income on bank owned life insurance</w:t>
            </w:r>
          </w:p>
        </w:tc>
        <w:tc>
          <w:tcPr>
            <w:tcW w:w="20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1,189</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1,001</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188</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18.8 %</w:t>
            </w:r>
          </w:p>
        </w:tc>
      </w:tr>
      <w:tr>
        <w:trPr>
          <w:trHeight w:val="238"/>
        </w:trPr>
        <w:tc>
          <w:tcPr>
            <w:tcW w:w="4900" w:type="dxa"/>
            <w:vAlign w:val="bottom"/>
          </w:tcPr>
          <w:p>
            <w:pPr>
              <w:ind w:left="180"/>
              <w:spacing w:after="0"/>
              <w:rPr>
                <w:sz w:val="20"/>
                <w:szCs w:val="20"/>
                <w:color w:val="auto"/>
              </w:rPr>
            </w:pPr>
            <w:r>
              <w:rPr>
                <w:rFonts w:ascii="Verdana" w:cs="Verdana" w:eastAsia="Verdana" w:hAnsi="Verdana"/>
                <w:sz w:val="18"/>
                <w:szCs w:val="18"/>
                <w:color w:val="auto"/>
              </w:rPr>
              <w:t>Realized net gains (losses) on the sale of mortgage</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42"/>
        </w:trPr>
        <w:tc>
          <w:tcPr>
            <w:tcW w:w="4900" w:type="dxa"/>
            <w:vAlign w:val="bottom"/>
          </w:tcPr>
          <w:p>
            <w:pPr>
              <w:ind w:left="180"/>
              <w:spacing w:after="0"/>
              <w:rPr>
                <w:sz w:val="20"/>
                <w:szCs w:val="20"/>
                <w:color w:val="auto"/>
              </w:rPr>
            </w:pPr>
            <w:r>
              <w:rPr>
                <w:rFonts w:ascii="Verdana" w:cs="Verdana" w:eastAsia="Verdana" w:hAnsi="Verdana"/>
                <w:sz w:val="18"/>
                <w:szCs w:val="18"/>
                <w:color w:val="auto"/>
              </w:rPr>
              <w:t>servicing rights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(18)</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(100.0)%</w:t>
            </w:r>
          </w:p>
        </w:tc>
      </w:tr>
      <w:tr>
        <w:trPr>
          <w:trHeight w:val="277"/>
        </w:trPr>
        <w:tc>
          <w:tcPr>
            <w:tcW w:w="49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26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14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1640" w:type="dxa"/>
            <w:vAlign w:val="bottom"/>
            <w:shd w:val="clear" w:color="auto" w:fill="E0E7ED"/>
          </w:tcPr>
          <w:p>
            <w:pPr>
              <w:spacing w:after="0"/>
              <w:rPr>
                <w:sz w:val="24"/>
                <w:szCs w:val="24"/>
                <w:color w:val="auto"/>
              </w:rPr>
            </w:pPr>
          </w:p>
        </w:tc>
      </w:tr>
      <w:tr>
        <w:trPr>
          <w:trHeight w:val="263"/>
        </w:trPr>
        <w:tc>
          <w:tcPr>
            <w:tcW w:w="4900" w:type="dxa"/>
            <w:vAlign w:val="bottom"/>
          </w:tcPr>
          <w:p>
            <w:pPr>
              <w:ind w:left="180"/>
              <w:spacing w:after="0"/>
              <w:rPr>
                <w:sz w:val="20"/>
                <w:szCs w:val="20"/>
                <w:color w:val="auto"/>
              </w:rPr>
            </w:pPr>
            <w:r>
              <w:rPr>
                <w:rFonts w:ascii="Verdana" w:cs="Verdana" w:eastAsia="Verdana" w:hAnsi="Verdana"/>
                <w:sz w:val="18"/>
                <w:szCs w:val="18"/>
                <w:color w:val="auto"/>
              </w:rPr>
              <w:t>Securities income:</w:t>
            </w: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77"/>
        </w:trPr>
        <w:tc>
          <w:tcPr>
            <w:tcW w:w="49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Realized net gains (losses) on securities</w:t>
            </w:r>
          </w:p>
        </w:tc>
        <w:tc>
          <w:tcPr>
            <w:tcW w:w="20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22</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66.7 %</w:t>
            </w:r>
          </w:p>
        </w:tc>
      </w:tr>
      <w:tr>
        <w:trPr>
          <w:trHeight w:val="238"/>
        </w:trPr>
        <w:tc>
          <w:tcPr>
            <w:tcW w:w="4900" w:type="dxa"/>
            <w:vAlign w:val="bottom"/>
          </w:tcPr>
          <w:p>
            <w:pPr>
              <w:ind w:left="360"/>
              <w:spacing w:after="0"/>
              <w:rPr>
                <w:sz w:val="20"/>
                <w:szCs w:val="20"/>
                <w:color w:val="auto"/>
              </w:rPr>
            </w:pPr>
            <w:r>
              <w:rPr>
                <w:rFonts w:ascii="Verdana" w:cs="Verdana" w:eastAsia="Verdana" w:hAnsi="Verdana"/>
                <w:sz w:val="18"/>
                <w:szCs w:val="18"/>
                <w:color w:val="auto"/>
              </w:rPr>
              <w:t>Unrealized net gains (losses) recognized on</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42"/>
        </w:trPr>
        <w:tc>
          <w:tcPr>
            <w:tcW w:w="4900" w:type="dxa"/>
            <w:vAlign w:val="bottom"/>
            <w:tcBorders>
              <w:bottom w:val="single" w:sz="8" w:color="E0E7ED"/>
            </w:tcBorders>
          </w:tcPr>
          <w:p>
            <w:pPr>
              <w:ind w:left="360"/>
              <w:spacing w:after="0"/>
              <w:rPr>
                <w:sz w:val="20"/>
                <w:szCs w:val="20"/>
                <w:color w:val="auto"/>
              </w:rPr>
            </w:pPr>
            <w:r>
              <w:rPr>
                <w:rFonts w:ascii="Verdana" w:cs="Verdana" w:eastAsia="Verdana" w:hAnsi="Verdana"/>
                <w:sz w:val="18"/>
                <w:szCs w:val="18"/>
                <w:color w:val="auto"/>
              </w:rPr>
              <w:t>equity securities</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833</w:t>
            </w:r>
          </w:p>
        </w:tc>
        <w:tc>
          <w:tcPr>
            <w:tcW w:w="100" w:type="dxa"/>
            <w:vAlign w:val="bottom"/>
            <w:tcBorders>
              <w:bottom w:val="single" w:sz="8" w:color="E0E7ED"/>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(252)</w:t>
            </w:r>
          </w:p>
        </w:tc>
        <w:tc>
          <w:tcPr>
            <w:tcW w:w="100" w:type="dxa"/>
            <w:vAlign w:val="bottom"/>
            <w:tcBorders>
              <w:bottom w:val="single" w:sz="8" w:color="E0E7ED"/>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1,085</w:t>
            </w:r>
          </w:p>
        </w:tc>
        <w:tc>
          <w:tcPr>
            <w:tcW w:w="172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430.6 %</w:t>
            </w:r>
          </w:p>
        </w:tc>
      </w:tr>
      <w:tr>
        <w:trPr>
          <w:trHeight w:val="270"/>
        </w:trPr>
        <w:tc>
          <w:tcPr>
            <w:tcW w:w="4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Net securities gains (losses)</w:t>
            </w:r>
          </w:p>
        </w:tc>
        <w:tc>
          <w:tcPr>
            <w:tcW w:w="200" w:type="dxa"/>
            <w:vAlign w:val="bottom"/>
            <w:shd w:val="clear" w:color="auto" w:fill="E0E7ED"/>
          </w:tcPr>
          <w:p>
            <w:pPr>
              <w:spacing w:after="0"/>
              <w:rPr>
                <w:sz w:val="23"/>
                <w:szCs w:val="23"/>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822</w:t>
            </w: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spacing w:after="0"/>
              <w:rPr>
                <w:sz w:val="23"/>
                <w:szCs w:val="23"/>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(285)</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18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1,107</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388.4 %</w:t>
            </w:r>
          </w:p>
        </w:tc>
      </w:tr>
      <w:tr>
        <w:trPr>
          <w:trHeight w:val="270"/>
        </w:trPr>
        <w:tc>
          <w:tcPr>
            <w:tcW w:w="4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63"/>
        </w:trPr>
        <w:tc>
          <w:tcPr>
            <w:tcW w:w="4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Other noninterest income</w:t>
            </w:r>
          </w:p>
        </w:tc>
        <w:tc>
          <w:tcPr>
            <w:tcW w:w="200" w:type="dxa"/>
            <w:vAlign w:val="bottom"/>
            <w:tcBorders>
              <w:bottom w:val="single" w:sz="8" w:color="auto"/>
            </w:tcBorders>
            <w:shd w:val="clear" w:color="auto" w:fill="E0E7ED"/>
          </w:tcPr>
          <w:p>
            <w:pPr>
              <w:spacing w:after="0"/>
              <w:rPr>
                <w:sz w:val="22"/>
                <w:szCs w:val="22"/>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4,792</w:t>
            </w:r>
          </w:p>
        </w:tc>
        <w:tc>
          <w:tcPr>
            <w:tcW w:w="100" w:type="dxa"/>
            <w:vAlign w:val="bottom"/>
            <w:shd w:val="clear" w:color="auto" w:fill="E0E7ED"/>
          </w:tcPr>
          <w:p>
            <w:pPr>
              <w:spacing w:after="0"/>
              <w:rPr>
                <w:sz w:val="22"/>
                <w:szCs w:val="22"/>
                <w:color w:val="auto"/>
              </w:rPr>
            </w:pPr>
          </w:p>
        </w:tc>
        <w:tc>
          <w:tcPr>
            <w:tcW w:w="340" w:type="dxa"/>
            <w:vAlign w:val="bottom"/>
            <w:tcBorders>
              <w:bottom w:val="single" w:sz="8" w:color="auto"/>
            </w:tcBorders>
            <w:shd w:val="clear" w:color="auto" w:fill="E0E7ED"/>
          </w:tcPr>
          <w:p>
            <w:pPr>
              <w:spacing w:after="0"/>
              <w:rPr>
                <w:sz w:val="22"/>
                <w:szCs w:val="22"/>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3,018</w:t>
            </w:r>
          </w:p>
        </w:tc>
        <w:tc>
          <w:tcPr>
            <w:tcW w:w="100" w:type="dxa"/>
            <w:vAlign w:val="bottom"/>
            <w:shd w:val="clear" w:color="auto" w:fill="E0E7ED"/>
          </w:tcPr>
          <w:p>
            <w:pPr>
              <w:spacing w:after="0"/>
              <w:rPr>
                <w:sz w:val="22"/>
                <w:szCs w:val="22"/>
                <w:color w:val="auto"/>
              </w:rPr>
            </w:pPr>
          </w:p>
        </w:tc>
        <w:tc>
          <w:tcPr>
            <w:tcW w:w="300" w:type="dxa"/>
            <w:vAlign w:val="bottom"/>
            <w:tcBorders>
              <w:bottom w:val="single" w:sz="8" w:color="auto"/>
            </w:tcBorders>
            <w:shd w:val="clear" w:color="auto" w:fill="E0E7ED"/>
          </w:tcPr>
          <w:p>
            <w:pPr>
              <w:spacing w:after="0"/>
              <w:rPr>
                <w:sz w:val="22"/>
                <w:szCs w:val="22"/>
                <w:color w:val="auto"/>
              </w:rPr>
            </w:pPr>
          </w:p>
        </w:tc>
        <w:tc>
          <w:tcPr>
            <w:tcW w:w="118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1,774</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58.8 %</w:t>
            </w:r>
          </w:p>
        </w:tc>
      </w:tr>
      <w:tr>
        <w:trPr>
          <w:trHeight w:val="270"/>
        </w:trPr>
        <w:tc>
          <w:tcPr>
            <w:tcW w:w="4900" w:type="dxa"/>
            <w:vAlign w:val="bottom"/>
          </w:tcPr>
          <w:p>
            <w:pPr>
              <w:ind w:left="20"/>
              <w:spacing w:after="0"/>
              <w:rPr>
                <w:sz w:val="20"/>
                <w:szCs w:val="20"/>
                <w:color w:val="auto"/>
              </w:rPr>
            </w:pPr>
            <w:r>
              <w:rPr>
                <w:rFonts w:ascii="Verdana" w:cs="Verdana" w:eastAsia="Verdana" w:hAnsi="Verdana"/>
                <w:sz w:val="18"/>
                <w:szCs w:val="18"/>
                <w:color w:val="auto"/>
              </w:rPr>
              <w:t>Total noninterest income</w:t>
            </w: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86"/>
              </w:rPr>
              <w:t>$</w:t>
            </w: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35,951</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10"/>
              <w:spacing w:after="0"/>
              <w:rPr>
                <w:sz w:val="20"/>
                <w:szCs w:val="20"/>
                <w:color w:val="auto"/>
              </w:rPr>
            </w:pPr>
            <w:r>
              <w:rPr>
                <w:rFonts w:ascii="Verdana" w:cs="Verdana" w:eastAsia="Verdana" w:hAnsi="Verdana"/>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31,008</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18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4,943</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15.9 %</w:t>
            </w:r>
          </w:p>
        </w:tc>
      </w:tr>
      <w:tr>
        <w:trPr>
          <w:trHeight w:val="21"/>
        </w:trPr>
        <w:tc>
          <w:tcPr>
            <w:tcW w:w="4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9" w:name="page80"/>
    <w:bookmarkEnd w:id="79"/>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60" w:type="dxa"/>
            <w:vAlign w:val="bottom"/>
            <w:gridSpan w:val="5"/>
          </w:tcPr>
          <w:p>
            <w:pPr>
              <w:ind w:left="100"/>
              <w:spacing w:after="0"/>
              <w:rPr>
                <w:sz w:val="20"/>
                <w:szCs w:val="20"/>
                <w:color w:val="auto"/>
              </w:rPr>
            </w:pPr>
            <w:r>
              <w:rPr>
                <w:rFonts w:ascii="Verdana" w:cs="Verdana" w:eastAsia="Verdana" w:hAnsi="Verdana"/>
                <w:sz w:val="13"/>
                <w:szCs w:val="13"/>
                <w:b w:val="1"/>
                <w:bCs w:val="1"/>
                <w:color w:val="auto"/>
              </w:rPr>
              <w:t>Nine Months Ended September 30,</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70"/>
        </w:trPr>
        <w:tc>
          <w:tcPr>
            <w:tcW w:w="4840" w:type="dxa"/>
            <w:vAlign w:val="bottom"/>
            <w:tcBorders>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494"/>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492"/>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92"/>
              <w:spacing w:after="0"/>
              <w:rPr>
                <w:sz w:val="20"/>
                <w:szCs w:val="20"/>
                <w:color w:val="auto"/>
              </w:rPr>
            </w:pPr>
            <w:r>
              <w:rPr>
                <w:rFonts w:ascii="Verdana" w:cs="Verdana" w:eastAsia="Verdana" w:hAnsi="Verdana"/>
                <w:sz w:val="13"/>
                <w:szCs w:val="13"/>
                <w:b w:val="1"/>
                <w:bCs w:val="1"/>
                <w:color w:val="auto"/>
              </w:rPr>
              <w:t>Change</w:t>
            </w:r>
          </w:p>
        </w:tc>
        <w:tc>
          <w:tcPr>
            <w:tcW w:w="80" w:type="dxa"/>
            <w:vAlign w:val="bottom"/>
            <w:tcBorders>
              <w:bottom w:val="single" w:sz="8" w:color="E0E7ED"/>
            </w:tcBorders>
          </w:tcPr>
          <w:p>
            <w:pPr>
              <w:spacing w:after="0"/>
              <w:rPr>
                <w:sz w:val="14"/>
                <w:szCs w:val="14"/>
                <w:color w:val="auto"/>
              </w:rPr>
            </w:pPr>
          </w:p>
        </w:tc>
        <w:tc>
          <w:tcPr>
            <w:tcW w:w="1640" w:type="dxa"/>
            <w:vAlign w:val="bottom"/>
            <w:tcBorders>
              <w:bottom w:val="single" w:sz="8" w:color="auto"/>
            </w:tcBorders>
          </w:tcPr>
          <w:p>
            <w:pPr>
              <w:jc w:val="right"/>
              <w:ind w:right="397"/>
              <w:spacing w:after="0"/>
              <w:rPr>
                <w:sz w:val="20"/>
                <w:szCs w:val="20"/>
                <w:color w:val="auto"/>
              </w:rPr>
            </w:pPr>
            <w:r>
              <w:rPr>
                <w:rFonts w:ascii="Verdana" w:cs="Verdana" w:eastAsia="Verdana" w:hAnsi="Verdana"/>
                <w:sz w:val="13"/>
                <w:szCs w:val="13"/>
                <w:b w:val="1"/>
                <w:bCs w:val="1"/>
                <w:color w:val="auto"/>
              </w:rPr>
              <w:t>% Change</w:t>
            </w:r>
          </w:p>
        </w:tc>
      </w:tr>
      <w:tr>
        <w:trPr>
          <w:trHeight w:val="255"/>
        </w:trPr>
        <w:tc>
          <w:tcPr>
            <w:tcW w:w="48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Noninterest income</w:t>
            </w:r>
          </w:p>
        </w:tc>
        <w:tc>
          <w:tcPr>
            <w:tcW w:w="220" w:type="dxa"/>
            <w:vAlign w:val="bottom"/>
            <w:shd w:val="clear" w:color="auto" w:fill="E0E7ED"/>
          </w:tcPr>
          <w:p>
            <w:pPr>
              <w:spacing w:after="0"/>
              <w:rPr>
                <w:sz w:val="22"/>
                <w:szCs w:val="22"/>
                <w:color w:val="auto"/>
              </w:rPr>
            </w:pPr>
          </w:p>
        </w:tc>
        <w:tc>
          <w:tcPr>
            <w:tcW w:w="12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40" w:type="dxa"/>
            <w:vAlign w:val="bottom"/>
            <w:shd w:val="clear" w:color="auto" w:fill="E0E7ED"/>
          </w:tcPr>
          <w:p>
            <w:pPr>
              <w:spacing w:after="0"/>
              <w:rPr>
                <w:sz w:val="22"/>
                <w:szCs w:val="22"/>
                <w:color w:val="auto"/>
              </w:rPr>
            </w:pPr>
          </w:p>
        </w:tc>
        <w:tc>
          <w:tcPr>
            <w:tcW w:w="126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300" w:type="dxa"/>
            <w:vAlign w:val="bottom"/>
            <w:shd w:val="clear" w:color="auto" w:fill="E0E7ED"/>
          </w:tcPr>
          <w:p>
            <w:pPr>
              <w:spacing w:after="0"/>
              <w:rPr>
                <w:sz w:val="22"/>
                <w:szCs w:val="22"/>
                <w:color w:val="auto"/>
              </w:rPr>
            </w:pPr>
          </w:p>
        </w:tc>
        <w:tc>
          <w:tcPr>
            <w:tcW w:w="120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640" w:type="dxa"/>
            <w:vAlign w:val="bottom"/>
            <w:shd w:val="clear" w:color="auto" w:fill="E0E7ED"/>
          </w:tcPr>
          <w:p>
            <w:pPr>
              <w:spacing w:after="0"/>
              <w:rPr>
                <w:sz w:val="22"/>
                <w:szCs w:val="22"/>
                <w:color w:val="auto"/>
              </w:rPr>
            </w:pPr>
          </w:p>
        </w:tc>
      </w:tr>
      <w:tr>
        <w:trPr>
          <w:trHeight w:val="238"/>
        </w:trPr>
        <w:tc>
          <w:tcPr>
            <w:tcW w:w="4840" w:type="dxa"/>
            <w:vAlign w:val="bottom"/>
          </w:tcPr>
          <w:p>
            <w:pPr>
              <w:ind w:left="180"/>
              <w:spacing w:after="0"/>
              <w:rPr>
                <w:sz w:val="20"/>
                <w:szCs w:val="20"/>
                <w:color w:val="auto"/>
              </w:rPr>
            </w:pPr>
            <w:r>
              <w:rPr>
                <w:rFonts w:ascii="Verdana" w:cs="Verdana" w:eastAsia="Verdana" w:hAnsi="Verdana"/>
                <w:sz w:val="18"/>
                <w:szCs w:val="18"/>
                <w:color w:val="auto"/>
              </w:rPr>
              <w:t>Wealth management and payment technology</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42"/>
        </w:trPr>
        <w:tc>
          <w:tcPr>
            <w:tcW w:w="4840" w:type="dxa"/>
            <w:vAlign w:val="bottom"/>
          </w:tcPr>
          <w:p>
            <w:pPr>
              <w:ind w:left="180"/>
              <w:spacing w:after="0"/>
              <w:rPr>
                <w:sz w:val="20"/>
                <w:szCs w:val="20"/>
                <w:color w:val="auto"/>
              </w:rPr>
            </w:pPr>
            <w:r>
              <w:rPr>
                <w:rFonts w:ascii="Verdana" w:cs="Verdana" w:eastAsia="Verdana" w:hAnsi="Verdana"/>
                <w:sz w:val="18"/>
                <w:szCs w:val="18"/>
                <w:color w:val="auto"/>
              </w:rPr>
              <w:t>solutions income:</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7"/>
        </w:trPr>
        <w:tc>
          <w:tcPr>
            <w:tcW w:w="484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Wealth management fees</w:t>
            </w:r>
          </w:p>
        </w:tc>
        <w:tc>
          <w:tcPr>
            <w:tcW w:w="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46,844</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w w:val="86"/>
              </w:rPr>
              <w:t>$</w:t>
            </w:r>
          </w:p>
        </w:tc>
        <w:tc>
          <w:tcPr>
            <w:tcW w:w="12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43,594</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3,250</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7.5 %</w:t>
            </w:r>
          </w:p>
        </w:tc>
      </w:tr>
      <w:tr>
        <w:trPr>
          <w:trHeight w:val="263"/>
        </w:trPr>
        <w:tc>
          <w:tcPr>
            <w:tcW w:w="4840" w:type="dxa"/>
            <w:vAlign w:val="bottom"/>
            <w:tcBorders>
              <w:bottom w:val="single" w:sz="8" w:color="E0E7ED"/>
            </w:tcBorders>
          </w:tcPr>
          <w:p>
            <w:pPr>
              <w:ind w:left="360"/>
              <w:spacing w:after="0"/>
              <w:rPr>
                <w:sz w:val="20"/>
                <w:szCs w:val="20"/>
                <w:color w:val="auto"/>
              </w:rPr>
            </w:pPr>
            <w:r>
              <w:rPr>
                <w:rFonts w:ascii="Verdana" w:cs="Verdana" w:eastAsia="Verdana" w:hAnsi="Verdana"/>
                <w:sz w:val="18"/>
                <w:szCs w:val="18"/>
                <w:color w:val="auto"/>
              </w:rPr>
              <w:t>Payment technology solutions</w:t>
            </w: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4"/>
              <w:spacing w:after="0"/>
              <w:rPr>
                <w:sz w:val="20"/>
                <w:szCs w:val="20"/>
                <w:color w:val="auto"/>
              </w:rPr>
            </w:pPr>
            <w:r>
              <w:rPr>
                <w:rFonts w:ascii="Verdana" w:cs="Verdana" w:eastAsia="Verdana" w:hAnsi="Verdana"/>
                <w:sz w:val="18"/>
                <w:szCs w:val="18"/>
                <w:color w:val="auto"/>
              </w:rPr>
              <w:t>16,889</w:t>
            </w:r>
          </w:p>
        </w:tc>
        <w:tc>
          <w:tcPr>
            <w:tcW w:w="100" w:type="dxa"/>
            <w:vAlign w:val="bottom"/>
            <w:tcBorders>
              <w:bottom w:val="single" w:sz="8" w:color="E0E7ED"/>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15,772</w:t>
            </w:r>
          </w:p>
        </w:tc>
        <w:tc>
          <w:tcPr>
            <w:tcW w:w="8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1,117</w:t>
            </w:r>
          </w:p>
        </w:tc>
        <w:tc>
          <w:tcPr>
            <w:tcW w:w="172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7.1 %</w:t>
            </w:r>
          </w:p>
        </w:tc>
      </w:tr>
      <w:tr>
        <w:trPr>
          <w:trHeight w:val="224"/>
        </w:trPr>
        <w:tc>
          <w:tcPr>
            <w:tcW w:w="48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Combined, wealth management fees and payment</w:t>
            </w:r>
          </w:p>
        </w:tc>
        <w:tc>
          <w:tcPr>
            <w:tcW w:w="220" w:type="dxa"/>
            <w:vAlign w:val="bottom"/>
            <w:shd w:val="clear" w:color="auto" w:fill="E0E7ED"/>
          </w:tcPr>
          <w:p>
            <w:pPr>
              <w:spacing w:after="0"/>
              <w:rPr>
                <w:sz w:val="19"/>
                <w:szCs w:val="19"/>
                <w:color w:val="auto"/>
              </w:rPr>
            </w:pPr>
          </w:p>
        </w:tc>
        <w:tc>
          <w:tcPr>
            <w:tcW w:w="128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240" w:type="dxa"/>
            <w:vAlign w:val="bottom"/>
            <w:shd w:val="clear" w:color="auto" w:fill="E0E7ED"/>
          </w:tcPr>
          <w:p>
            <w:pPr>
              <w:spacing w:after="0"/>
              <w:rPr>
                <w:sz w:val="19"/>
                <w:szCs w:val="19"/>
                <w:color w:val="auto"/>
              </w:rPr>
            </w:pPr>
          </w:p>
        </w:tc>
        <w:tc>
          <w:tcPr>
            <w:tcW w:w="126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300" w:type="dxa"/>
            <w:vAlign w:val="bottom"/>
            <w:shd w:val="clear" w:color="auto" w:fill="E0E7ED"/>
          </w:tcPr>
          <w:p>
            <w:pPr>
              <w:spacing w:after="0"/>
              <w:rPr>
                <w:sz w:val="19"/>
                <w:szCs w:val="19"/>
                <w:color w:val="auto"/>
              </w:rPr>
            </w:pPr>
          </w:p>
        </w:tc>
        <w:tc>
          <w:tcPr>
            <w:tcW w:w="120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1640" w:type="dxa"/>
            <w:vAlign w:val="bottom"/>
            <w:shd w:val="clear" w:color="auto" w:fill="E0E7ED"/>
          </w:tcPr>
          <w:p>
            <w:pPr>
              <w:spacing w:after="0"/>
              <w:rPr>
                <w:sz w:val="19"/>
                <w:szCs w:val="19"/>
                <w:color w:val="auto"/>
              </w:rPr>
            </w:pPr>
          </w:p>
        </w:tc>
      </w:tr>
      <w:tr>
        <w:trPr>
          <w:trHeight w:val="248"/>
        </w:trPr>
        <w:tc>
          <w:tcPr>
            <w:tcW w:w="48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technology solutions</w:t>
            </w:r>
          </w:p>
        </w:tc>
        <w:tc>
          <w:tcPr>
            <w:tcW w:w="220" w:type="dxa"/>
            <w:vAlign w:val="bottom"/>
            <w:shd w:val="clear" w:color="auto" w:fill="E0E7ED"/>
          </w:tcPr>
          <w:p>
            <w:pPr>
              <w:spacing w:after="0"/>
              <w:rPr>
                <w:sz w:val="21"/>
                <w:szCs w:val="21"/>
                <w:color w:val="auto"/>
              </w:rPr>
            </w:pPr>
          </w:p>
        </w:tc>
        <w:tc>
          <w:tcPr>
            <w:tcW w:w="128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63,733</w:t>
            </w: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59,366</w:t>
            </w: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4,367</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7.4 %</w:t>
            </w:r>
          </w:p>
        </w:tc>
      </w:tr>
      <w:tr>
        <w:trPr>
          <w:trHeight w:val="270"/>
        </w:trPr>
        <w:tc>
          <w:tcPr>
            <w:tcW w:w="4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70"/>
        </w:trPr>
        <w:tc>
          <w:tcPr>
            <w:tcW w:w="48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Fees for customer services</w:t>
            </w:r>
          </w:p>
        </w:tc>
        <w:tc>
          <w:tcPr>
            <w:tcW w:w="220" w:type="dxa"/>
            <w:vAlign w:val="bottom"/>
            <w:shd w:val="clear" w:color="auto" w:fill="E0E7ED"/>
          </w:tcPr>
          <w:p>
            <w:pPr>
              <w:spacing w:after="0"/>
              <w:rPr>
                <w:sz w:val="23"/>
                <w:szCs w:val="23"/>
                <w:color w:val="auto"/>
              </w:rPr>
            </w:pPr>
          </w:p>
        </w:tc>
        <w:tc>
          <w:tcPr>
            <w:tcW w:w="128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23,022</w:t>
            </w:r>
          </w:p>
        </w:tc>
        <w:tc>
          <w:tcPr>
            <w:tcW w:w="10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2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21,560</w:t>
            </w:r>
          </w:p>
        </w:tc>
        <w:tc>
          <w:tcPr>
            <w:tcW w:w="8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20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1,462</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6.8 %</w:t>
            </w:r>
          </w:p>
        </w:tc>
      </w:tr>
      <w:tr>
        <w:trPr>
          <w:trHeight w:val="263"/>
        </w:trPr>
        <w:tc>
          <w:tcPr>
            <w:tcW w:w="4840" w:type="dxa"/>
            <w:vAlign w:val="bottom"/>
          </w:tcPr>
          <w:p>
            <w:pPr>
              <w:ind w:left="180"/>
              <w:spacing w:after="0"/>
              <w:rPr>
                <w:sz w:val="20"/>
                <w:szCs w:val="20"/>
                <w:color w:val="auto"/>
              </w:rPr>
            </w:pPr>
            <w:r>
              <w:rPr>
                <w:rFonts w:ascii="Verdana" w:cs="Verdana" w:eastAsia="Verdana" w:hAnsi="Verdana"/>
                <w:sz w:val="18"/>
                <w:szCs w:val="18"/>
                <w:color w:val="auto"/>
              </w:rPr>
              <w:t>Mortgage revenue</w:t>
            </w:r>
          </w:p>
        </w:tc>
        <w:tc>
          <w:tcPr>
            <w:tcW w:w="220" w:type="dxa"/>
            <w:vAlign w:val="bottom"/>
          </w:tcPr>
          <w:p>
            <w:pPr>
              <w:spacing w:after="0"/>
              <w:rPr>
                <w:sz w:val="22"/>
                <w:szCs w:val="22"/>
                <w:color w:val="auto"/>
              </w:rPr>
            </w:pPr>
          </w:p>
        </w:tc>
        <w:tc>
          <w:tcPr>
            <w:tcW w:w="1280" w:type="dxa"/>
            <w:vAlign w:val="bottom"/>
          </w:tcPr>
          <w:p>
            <w:pPr>
              <w:jc w:val="right"/>
              <w:ind w:right="14"/>
              <w:spacing w:after="0"/>
              <w:rPr>
                <w:sz w:val="20"/>
                <w:szCs w:val="20"/>
                <w:color w:val="auto"/>
              </w:rPr>
            </w:pPr>
            <w:r>
              <w:rPr>
                <w:rFonts w:ascii="Verdana" w:cs="Verdana" w:eastAsia="Verdana" w:hAnsi="Verdana"/>
                <w:sz w:val="18"/>
                <w:szCs w:val="18"/>
                <w:color w:val="auto"/>
              </w:rPr>
              <w:t>1,579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Verdana" w:cs="Verdana" w:eastAsia="Verdana" w:hAnsi="Verdana"/>
                <w:sz w:val="18"/>
                <w:szCs w:val="18"/>
                <w:color w:val="auto"/>
              </w:rPr>
              <w:t>871</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Verdana" w:cs="Verdana" w:eastAsia="Verdana" w:hAnsi="Verdana"/>
                <w:sz w:val="18"/>
                <w:szCs w:val="18"/>
                <w:color w:val="auto"/>
              </w:rPr>
              <w:t>708</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81.3 %</w:t>
            </w:r>
          </w:p>
        </w:tc>
      </w:tr>
      <w:tr>
        <w:trPr>
          <w:trHeight w:val="277"/>
        </w:trPr>
        <w:tc>
          <w:tcPr>
            <w:tcW w:w="48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Income on bank owned life insurance</w:t>
            </w:r>
          </w:p>
        </w:tc>
        <w:tc>
          <w:tcPr>
            <w:tcW w:w="220" w:type="dxa"/>
            <w:vAlign w:val="bottom"/>
            <w:shd w:val="clear" w:color="auto" w:fill="E0E7ED"/>
          </w:tcPr>
          <w:p>
            <w:pPr>
              <w:spacing w:after="0"/>
              <w:rPr>
                <w:sz w:val="24"/>
                <w:szCs w:val="24"/>
                <w:color w:val="auto"/>
              </w:rPr>
            </w:pPr>
          </w:p>
        </w:tc>
        <w:tc>
          <w:tcPr>
            <w:tcW w:w="128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4,050</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3,682</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368</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10.0 %</w:t>
            </w:r>
          </w:p>
        </w:tc>
      </w:tr>
      <w:tr>
        <w:trPr>
          <w:trHeight w:val="238"/>
        </w:trPr>
        <w:tc>
          <w:tcPr>
            <w:tcW w:w="4840" w:type="dxa"/>
            <w:vAlign w:val="bottom"/>
          </w:tcPr>
          <w:p>
            <w:pPr>
              <w:ind w:left="180"/>
              <w:spacing w:after="0"/>
              <w:rPr>
                <w:sz w:val="20"/>
                <w:szCs w:val="20"/>
                <w:color w:val="auto"/>
              </w:rPr>
            </w:pPr>
            <w:r>
              <w:rPr>
                <w:rFonts w:ascii="Verdana" w:cs="Verdana" w:eastAsia="Verdana" w:hAnsi="Verdana"/>
                <w:sz w:val="18"/>
                <w:szCs w:val="18"/>
                <w:color w:val="auto"/>
              </w:rPr>
              <w:t>Realized net gains (losses) on the sale of</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42"/>
        </w:trPr>
        <w:tc>
          <w:tcPr>
            <w:tcW w:w="4840" w:type="dxa"/>
            <w:vAlign w:val="bottom"/>
          </w:tcPr>
          <w:p>
            <w:pPr>
              <w:ind w:left="180"/>
              <w:spacing w:after="0"/>
              <w:rPr>
                <w:sz w:val="20"/>
                <w:szCs w:val="20"/>
                <w:color w:val="auto"/>
              </w:rPr>
            </w:pPr>
            <w:r>
              <w:rPr>
                <w:rFonts w:ascii="Verdana" w:cs="Verdana" w:eastAsia="Verdana" w:hAnsi="Verdana"/>
                <w:sz w:val="18"/>
                <w:szCs w:val="18"/>
                <w:color w:val="auto"/>
              </w:rPr>
              <w:t>mortgage servicing rights</w:t>
            </w:r>
          </w:p>
        </w:tc>
        <w:tc>
          <w:tcPr>
            <w:tcW w:w="2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Verdana" w:cs="Verdana" w:eastAsia="Verdana" w:hAnsi="Verdana"/>
                <w:sz w:val="18"/>
                <w:szCs w:val="18"/>
                <w:color w:val="auto"/>
              </w:rPr>
              <w:t>7,724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Verdana" w:cs="Verdana" w:eastAsia="Verdana" w:hAnsi="Verdana"/>
                <w:sz w:val="18"/>
                <w:szCs w:val="18"/>
                <w:color w:val="auto"/>
              </w:rPr>
              <w:t>7,724</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100.0 %</w:t>
            </w:r>
          </w:p>
        </w:tc>
      </w:tr>
      <w:tr>
        <w:trPr>
          <w:trHeight w:val="277"/>
        </w:trPr>
        <w:tc>
          <w:tcPr>
            <w:tcW w:w="484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28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1640" w:type="dxa"/>
            <w:vAlign w:val="bottom"/>
            <w:shd w:val="clear" w:color="auto" w:fill="E0E7ED"/>
          </w:tcPr>
          <w:p>
            <w:pPr>
              <w:spacing w:after="0"/>
              <w:rPr>
                <w:sz w:val="24"/>
                <w:szCs w:val="24"/>
                <w:color w:val="auto"/>
              </w:rPr>
            </w:pPr>
          </w:p>
        </w:tc>
      </w:tr>
      <w:tr>
        <w:trPr>
          <w:trHeight w:val="263"/>
        </w:trPr>
        <w:tc>
          <w:tcPr>
            <w:tcW w:w="4840" w:type="dxa"/>
            <w:vAlign w:val="bottom"/>
          </w:tcPr>
          <w:p>
            <w:pPr>
              <w:ind w:left="180"/>
              <w:spacing w:after="0"/>
              <w:rPr>
                <w:sz w:val="20"/>
                <w:szCs w:val="20"/>
                <w:color w:val="auto"/>
              </w:rPr>
            </w:pPr>
            <w:r>
              <w:rPr>
                <w:rFonts w:ascii="Verdana" w:cs="Verdana" w:eastAsia="Verdana" w:hAnsi="Verdana"/>
                <w:sz w:val="18"/>
                <w:szCs w:val="18"/>
                <w:color w:val="auto"/>
              </w:rPr>
              <w:t>Securities income:</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77"/>
        </w:trPr>
        <w:tc>
          <w:tcPr>
            <w:tcW w:w="484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Realized net gains (losses) on securities</w:t>
            </w:r>
          </w:p>
        </w:tc>
        <w:tc>
          <w:tcPr>
            <w:tcW w:w="22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(6,817)</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(207)</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(6,610)</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(3,193.2)%</w:t>
            </w:r>
          </w:p>
        </w:tc>
      </w:tr>
      <w:tr>
        <w:trPr>
          <w:trHeight w:val="238"/>
        </w:trPr>
        <w:tc>
          <w:tcPr>
            <w:tcW w:w="4840" w:type="dxa"/>
            <w:vAlign w:val="bottom"/>
          </w:tcPr>
          <w:p>
            <w:pPr>
              <w:ind w:left="360"/>
              <w:spacing w:after="0"/>
              <w:rPr>
                <w:sz w:val="20"/>
                <w:szCs w:val="20"/>
                <w:color w:val="auto"/>
              </w:rPr>
            </w:pPr>
            <w:r>
              <w:rPr>
                <w:rFonts w:ascii="Verdana" w:cs="Verdana" w:eastAsia="Verdana" w:hAnsi="Verdana"/>
                <w:sz w:val="18"/>
                <w:szCs w:val="18"/>
                <w:color w:val="auto"/>
              </w:rPr>
              <w:t>Unrealized net gains (losses) recognized on</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42"/>
        </w:trPr>
        <w:tc>
          <w:tcPr>
            <w:tcW w:w="4840" w:type="dxa"/>
            <w:vAlign w:val="bottom"/>
            <w:tcBorders>
              <w:bottom w:val="single" w:sz="8" w:color="E0E7ED"/>
            </w:tcBorders>
          </w:tcPr>
          <w:p>
            <w:pPr>
              <w:ind w:left="360"/>
              <w:spacing w:after="0"/>
              <w:rPr>
                <w:sz w:val="20"/>
                <w:szCs w:val="20"/>
                <w:color w:val="auto"/>
              </w:rPr>
            </w:pPr>
            <w:r>
              <w:rPr>
                <w:rFonts w:ascii="Verdana" w:cs="Verdana" w:eastAsia="Verdana" w:hAnsi="Verdana"/>
                <w:sz w:val="18"/>
                <w:szCs w:val="18"/>
                <w:color w:val="auto"/>
              </w:rPr>
              <w:t>equity securities</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4"/>
              <w:spacing w:after="0"/>
              <w:rPr>
                <w:sz w:val="20"/>
                <w:szCs w:val="20"/>
                <w:color w:val="auto"/>
              </w:rPr>
            </w:pPr>
            <w:r>
              <w:rPr>
                <w:rFonts w:ascii="Verdana" w:cs="Verdana" w:eastAsia="Verdana" w:hAnsi="Verdana"/>
                <w:sz w:val="18"/>
                <w:szCs w:val="18"/>
                <w:color w:val="auto"/>
              </w:rPr>
              <w:t>911</w:t>
            </w:r>
          </w:p>
        </w:tc>
        <w:tc>
          <w:tcPr>
            <w:tcW w:w="100" w:type="dxa"/>
            <w:vAlign w:val="bottom"/>
            <w:tcBorders>
              <w:bottom w:val="single" w:sz="8" w:color="E0E7ED"/>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(2,753)</w:t>
            </w:r>
          </w:p>
        </w:tc>
        <w:tc>
          <w:tcPr>
            <w:tcW w:w="80" w:type="dxa"/>
            <w:vAlign w:val="bottom"/>
            <w:tcBorders>
              <w:bottom w:val="single" w:sz="8" w:color="E0E7ED"/>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3,664</w:t>
            </w:r>
          </w:p>
        </w:tc>
        <w:tc>
          <w:tcPr>
            <w:tcW w:w="172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133.1 %</w:t>
            </w:r>
          </w:p>
        </w:tc>
      </w:tr>
      <w:tr>
        <w:trPr>
          <w:trHeight w:val="270"/>
        </w:trPr>
        <w:tc>
          <w:tcPr>
            <w:tcW w:w="48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Net securities gains (losses)</w:t>
            </w:r>
          </w:p>
        </w:tc>
        <w:tc>
          <w:tcPr>
            <w:tcW w:w="220" w:type="dxa"/>
            <w:vAlign w:val="bottom"/>
            <w:shd w:val="clear" w:color="auto" w:fill="E0E7ED"/>
          </w:tcPr>
          <w:p>
            <w:pPr>
              <w:spacing w:after="0"/>
              <w:rPr>
                <w:sz w:val="23"/>
                <w:szCs w:val="23"/>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(5,906)</w:t>
            </w:r>
          </w:p>
        </w:tc>
        <w:tc>
          <w:tcPr>
            <w:tcW w:w="10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(2,960)</w:t>
            </w:r>
          </w:p>
        </w:tc>
        <w:tc>
          <w:tcPr>
            <w:tcW w:w="8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(2,946)</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(99.5)%</w:t>
            </w:r>
          </w:p>
        </w:tc>
      </w:tr>
      <w:tr>
        <w:trPr>
          <w:trHeight w:val="270"/>
        </w:trPr>
        <w:tc>
          <w:tcPr>
            <w:tcW w:w="4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63"/>
        </w:trPr>
        <w:tc>
          <w:tcPr>
            <w:tcW w:w="48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Other noninterest income</w:t>
            </w:r>
          </w:p>
        </w:tc>
        <w:tc>
          <w:tcPr>
            <w:tcW w:w="220" w:type="dxa"/>
            <w:vAlign w:val="bottom"/>
            <w:tcBorders>
              <w:bottom w:val="single" w:sz="8" w:color="auto"/>
            </w:tcBorders>
            <w:shd w:val="clear" w:color="auto" w:fill="E0E7ED"/>
          </w:tcPr>
          <w:p>
            <w:pPr>
              <w:spacing w:after="0"/>
              <w:rPr>
                <w:sz w:val="22"/>
                <w:szCs w:val="22"/>
                <w:color w:val="auto"/>
              </w:rPr>
            </w:pPr>
          </w:p>
        </w:tc>
        <w:tc>
          <w:tcPr>
            <w:tcW w:w="1280" w:type="dxa"/>
            <w:vAlign w:val="bottom"/>
            <w:tcBorders>
              <w:bottom w:val="single" w:sz="8" w:color="auto"/>
            </w:tcBorders>
            <w:shd w:val="clear" w:color="auto" w:fill="E0E7ED"/>
          </w:tcPr>
          <w:p>
            <w:pPr>
              <w:jc w:val="right"/>
              <w:ind w:right="14"/>
              <w:spacing w:after="0"/>
              <w:rPr>
                <w:sz w:val="20"/>
                <w:szCs w:val="20"/>
                <w:color w:val="auto"/>
              </w:rPr>
            </w:pPr>
            <w:r>
              <w:rPr>
                <w:rFonts w:ascii="Verdana" w:cs="Verdana" w:eastAsia="Verdana" w:hAnsi="Verdana"/>
                <w:sz w:val="18"/>
                <w:szCs w:val="18"/>
                <w:color w:val="auto"/>
              </w:rPr>
              <w:t>10,550</w:t>
            </w:r>
          </w:p>
        </w:tc>
        <w:tc>
          <w:tcPr>
            <w:tcW w:w="100" w:type="dxa"/>
            <w:vAlign w:val="bottom"/>
            <w:shd w:val="clear" w:color="auto" w:fill="E0E7ED"/>
          </w:tcPr>
          <w:p>
            <w:pPr>
              <w:spacing w:after="0"/>
              <w:rPr>
                <w:sz w:val="22"/>
                <w:szCs w:val="22"/>
                <w:color w:val="auto"/>
              </w:rPr>
            </w:pPr>
          </w:p>
        </w:tc>
        <w:tc>
          <w:tcPr>
            <w:tcW w:w="240" w:type="dxa"/>
            <w:vAlign w:val="bottom"/>
            <w:tcBorders>
              <w:bottom w:val="single" w:sz="8" w:color="auto"/>
            </w:tcBorders>
            <w:shd w:val="clear" w:color="auto" w:fill="E0E7ED"/>
          </w:tcPr>
          <w:p>
            <w:pPr>
              <w:spacing w:after="0"/>
              <w:rPr>
                <w:sz w:val="22"/>
                <w:szCs w:val="22"/>
                <w:color w:val="auto"/>
              </w:rPr>
            </w:pPr>
          </w:p>
        </w:tc>
        <w:tc>
          <w:tcPr>
            <w:tcW w:w="126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8,349</w:t>
            </w:r>
          </w:p>
        </w:tc>
        <w:tc>
          <w:tcPr>
            <w:tcW w:w="80" w:type="dxa"/>
            <w:vAlign w:val="bottom"/>
            <w:shd w:val="clear" w:color="auto" w:fill="E0E7ED"/>
          </w:tcPr>
          <w:p>
            <w:pPr>
              <w:spacing w:after="0"/>
              <w:rPr>
                <w:sz w:val="22"/>
                <w:szCs w:val="22"/>
                <w:color w:val="auto"/>
              </w:rPr>
            </w:pPr>
          </w:p>
        </w:tc>
        <w:tc>
          <w:tcPr>
            <w:tcW w:w="300" w:type="dxa"/>
            <w:vAlign w:val="bottom"/>
            <w:tcBorders>
              <w:bottom w:val="single" w:sz="8" w:color="auto"/>
            </w:tcBorders>
            <w:shd w:val="clear" w:color="auto" w:fill="E0E7ED"/>
          </w:tcPr>
          <w:p>
            <w:pPr>
              <w:spacing w:after="0"/>
              <w:rPr>
                <w:sz w:val="22"/>
                <w:szCs w:val="22"/>
                <w:color w:val="auto"/>
              </w:rPr>
            </w:pPr>
          </w:p>
        </w:tc>
        <w:tc>
          <w:tcPr>
            <w:tcW w:w="120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2,201</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26.4 %</w:t>
            </w:r>
          </w:p>
        </w:tc>
      </w:tr>
      <w:tr>
        <w:trPr>
          <w:trHeight w:val="270"/>
        </w:trPr>
        <w:tc>
          <w:tcPr>
            <w:tcW w:w="4840" w:type="dxa"/>
            <w:vAlign w:val="bottom"/>
          </w:tcPr>
          <w:p>
            <w:pPr>
              <w:ind w:left="20"/>
              <w:spacing w:after="0"/>
              <w:rPr>
                <w:sz w:val="20"/>
                <w:szCs w:val="20"/>
                <w:color w:val="auto"/>
              </w:rPr>
            </w:pPr>
            <w:r>
              <w:rPr>
                <w:rFonts w:ascii="Verdana" w:cs="Verdana" w:eastAsia="Verdana" w:hAnsi="Verdana"/>
                <w:sz w:val="18"/>
                <w:szCs w:val="18"/>
                <w:color w:val="auto"/>
              </w:rPr>
              <w:t>Total noninterest income</w:t>
            </w:r>
          </w:p>
        </w:tc>
        <w:tc>
          <w:tcPr>
            <w:tcW w:w="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Borders>
              <w:bottom w:val="single" w:sz="8" w:color="auto"/>
            </w:tcBorders>
          </w:tcPr>
          <w:p>
            <w:pPr>
              <w:jc w:val="right"/>
              <w:ind w:right="14"/>
              <w:spacing w:after="0"/>
              <w:rPr>
                <w:sz w:val="20"/>
                <w:szCs w:val="20"/>
                <w:color w:val="auto"/>
              </w:rPr>
            </w:pPr>
            <w:r>
              <w:rPr>
                <w:rFonts w:ascii="Verdana" w:cs="Verdana" w:eastAsia="Verdana" w:hAnsi="Verdana"/>
                <w:sz w:val="18"/>
                <w:szCs w:val="18"/>
                <w:color w:val="auto"/>
              </w:rPr>
              <w:t>104,752</w:t>
            </w:r>
          </w:p>
        </w:tc>
        <w:tc>
          <w:tcPr>
            <w:tcW w:w="100" w:type="dxa"/>
            <w:vAlign w:val="bottom"/>
          </w:tcPr>
          <w:p>
            <w:pPr>
              <w:spacing w:after="0"/>
              <w:rPr>
                <w:sz w:val="23"/>
                <w:szCs w:val="23"/>
                <w:color w:val="auto"/>
              </w:rPr>
            </w:pPr>
          </w:p>
        </w:tc>
        <w:tc>
          <w:tcPr>
            <w:tcW w:w="240" w:type="dxa"/>
            <w:vAlign w:val="bottom"/>
            <w:tcBorders>
              <w:bottom w:val="single" w:sz="8" w:color="auto"/>
            </w:tcBorders>
          </w:tcPr>
          <w:p>
            <w:pPr>
              <w:jc w:val="right"/>
              <w:ind w:right="30"/>
              <w:spacing w:after="0"/>
              <w:rPr>
                <w:sz w:val="20"/>
                <w:szCs w:val="20"/>
                <w:color w:val="auto"/>
              </w:rPr>
            </w:pPr>
            <w:r>
              <w:rPr>
                <w:rFonts w:ascii="Verdana" w:cs="Verdana" w:eastAsia="Verdana" w:hAnsi="Verdana"/>
                <w:sz w:val="18"/>
                <w:szCs w:val="18"/>
                <w:color w:val="auto"/>
                <w:w w:val="86"/>
              </w:rPr>
              <w:t>$</w:t>
            </w:r>
          </w:p>
        </w:tc>
        <w:tc>
          <w:tcPr>
            <w:tcW w:w="126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90,868</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13,884</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15.3 %</w:t>
            </w:r>
          </w:p>
        </w:tc>
      </w:tr>
      <w:tr>
        <w:trPr>
          <w:trHeight w:val="20"/>
        </w:trPr>
        <w:tc>
          <w:tcPr>
            <w:tcW w:w="4840" w:type="dxa"/>
            <w:vAlign w:val="bottom"/>
            <w:tcBorders>
              <w:bottom w:val="single" w:sz="8" w:color="E0E7E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640" w:type="dxa"/>
            <w:vAlign w:val="bottom"/>
            <w:tcBorders>
              <w:bottom w:val="single" w:sz="8" w:color="E0E7ED"/>
            </w:tcBorders>
          </w:tcPr>
          <w:p>
            <w:pPr>
              <w:spacing w:after="0" w:line="20" w:lineRule="exact"/>
              <w:rPr>
                <w:sz w:val="1"/>
                <w:szCs w:val="1"/>
                <w:color w:val="auto"/>
              </w:rPr>
            </w:pPr>
          </w:p>
        </w:tc>
      </w:tr>
      <w:tr>
        <w:trPr>
          <w:trHeight w:val="237"/>
        </w:trPr>
        <w:tc>
          <w:tcPr>
            <w:tcW w:w="484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12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126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20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640" w:type="dxa"/>
            <w:vAlign w:val="bottom"/>
            <w:shd w:val="clear" w:color="auto" w:fill="E0E7ED"/>
          </w:tcPr>
          <w:p>
            <w:pPr>
              <w:spacing w:after="0"/>
              <w:rPr>
                <w:sz w:val="20"/>
                <w:szCs w:val="20"/>
                <w:color w:val="auto"/>
              </w:rPr>
            </w:pPr>
          </w:p>
        </w:tc>
      </w:tr>
      <w:tr>
        <w:trPr>
          <w:trHeight w:val="257"/>
        </w:trPr>
        <w:tc>
          <w:tcPr>
            <w:tcW w:w="4840" w:type="dxa"/>
            <w:vAlign w:val="bottom"/>
          </w:tcPr>
          <w:p>
            <w:pPr>
              <w:ind w:left="20"/>
              <w:spacing w:after="0"/>
              <w:rPr>
                <w:sz w:val="20"/>
                <w:szCs w:val="20"/>
                <w:color w:val="auto"/>
              </w:rPr>
            </w:pPr>
            <w:r>
              <w:rPr>
                <w:rFonts w:ascii="Verdana" w:cs="Verdana" w:eastAsia="Verdana" w:hAnsi="Verdana"/>
                <w:sz w:val="18"/>
                <w:szCs w:val="18"/>
                <w:color w:val="auto"/>
              </w:rPr>
              <w:t>Assets under care as of period end</w:t>
            </w: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ind w:right="14"/>
              <w:spacing w:after="0"/>
              <w:rPr>
                <w:sz w:val="20"/>
                <w:szCs w:val="20"/>
                <w:color w:val="auto"/>
              </w:rPr>
            </w:pPr>
            <w:r>
              <w:rPr>
                <w:rFonts w:ascii="Verdana" w:cs="Verdana" w:eastAsia="Verdana" w:hAnsi="Verdana"/>
                <w:sz w:val="18"/>
                <w:szCs w:val="18"/>
                <w:color w:val="auto"/>
              </w:rPr>
              <w:t>13,690,374</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Verdana" w:cs="Verdana" w:eastAsia="Verdana" w:hAnsi="Verdana"/>
                <w:sz w:val="18"/>
                <w:szCs w:val="18"/>
                <w:color w:val="auto"/>
                <w:w w:val="86"/>
              </w:rPr>
              <w:t>$</w:t>
            </w:r>
          </w:p>
        </w:tc>
        <w:tc>
          <w:tcPr>
            <w:tcW w:w="1260" w:type="dxa"/>
            <w:vAlign w:val="bottom"/>
          </w:tcPr>
          <w:p>
            <w:pPr>
              <w:jc w:val="right"/>
              <w:ind w:right="12"/>
              <w:spacing w:after="0"/>
              <w:rPr>
                <w:sz w:val="20"/>
                <w:szCs w:val="20"/>
                <w:color w:val="auto"/>
              </w:rPr>
            </w:pPr>
            <w:r>
              <w:rPr>
                <w:rFonts w:ascii="Verdana" w:cs="Verdana" w:eastAsia="Verdana" w:hAnsi="Verdana"/>
                <w:sz w:val="18"/>
                <w:szCs w:val="18"/>
                <w:color w:val="auto"/>
              </w:rPr>
              <w:t>11,547,697</w:t>
            </w:r>
          </w:p>
        </w:tc>
        <w:tc>
          <w:tcPr>
            <w:tcW w:w="8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ind w:right="12"/>
              <w:spacing w:after="0"/>
              <w:rPr>
                <w:sz w:val="20"/>
                <w:szCs w:val="20"/>
                <w:color w:val="auto"/>
              </w:rPr>
            </w:pPr>
            <w:r>
              <w:rPr>
                <w:rFonts w:ascii="Verdana" w:cs="Verdana" w:eastAsia="Verdana" w:hAnsi="Verdana"/>
                <w:sz w:val="18"/>
                <w:szCs w:val="18"/>
                <w:color w:val="auto"/>
              </w:rPr>
              <w:t>2,142,677</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18.6 %</w:t>
            </w:r>
          </w:p>
        </w:tc>
      </w:tr>
    </w:tbl>
    <w:p>
      <w:pPr>
        <w:spacing w:after="0" w:line="278"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Total noninterest income was $36.0 million for the three months ended September 30, 2024, an increase of 15.9% from the comparable period in 2023, and was $104.8 million for the nine months ended September 30, 2024, an increase of 15.3% from the comparable period in 2023.</w:t>
      </w:r>
    </w:p>
    <w:p>
      <w:pPr>
        <w:spacing w:after="0" w:line="167"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Wealth management fees were $15.4 million for the three months ended September 30, 2024, an 8.0% increase from the comparable period in 2023, and were $46.8 million for the nine months ended September 30, 2024, a 7.5% increase from the comparable period for 2023. On a segment basis, Busey’s Wealth Management division contributed $16.2 million, or 45.0%, of our noninterest income for the three months ended September 30, 2024, which included approximately $0.8 million reported as other noninterest income, and contributed $48.0 million, or 45.8%, of our noninterest income for the nine months ended September 30, 2024. Busey’s Wealth Management division ended the third quarter of 2024 with $13.69 billion in assets under care, an increase of 18.6% compared to the balance on September 30, 2023. Our portfolio management team continues to focus on long-term returns and managing risk in the face of volatile markets.</w:t>
      </w:r>
    </w:p>
    <w:p>
      <w:pPr>
        <w:spacing w:after="0" w:line="161"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Payment technology solutions relates to our payment processing company, FirsTech. Payment technology solutions was $5.3 million for the three months ended September 30, 2024, a 0.7% increase from the comparable period in 2023, and was $16.9 million for the nine months ended September 30, 2024, a 7.1% increase from the comparable period in 2023. On a segment basis, FirsTech contributed $5.6 million, or 15.4% of our noninterest income for the three months ended September 30, 2024, and $17.7 million, or 16.9%, of our noninterest income for the nine months ended September 30, 2024. Increased merchant processing, lockbox processing, online bill payment income, and programming income drove the increases.</w:t>
      </w: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0" w:name="page81"/>
    <w:bookmarkEnd w:id="80"/>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Combined, noninterest income from wealth management fees and payment technology solutions represented 57.4% and 60.8% of Busey’s noninterest income for the three and nine months ended September 30, 2024, respectively, providing a complement to spread-based revenue from traditional banking activities. On a combined basis, noninterest income from these two critical operating activities was $20.6 million for the three months ended September 30, 2024, a 6.1% increase from the comparable period in 2023, and was $63.7 million for the nine months ended September 30, 2024, a 7.4% increase from the comparable period in 2023.</w:t>
      </w:r>
    </w:p>
    <w:p>
      <w:pPr>
        <w:spacing w:after="0" w:line="159"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 xml:space="preserve">On a segment basis, noninterest income generated from our Wealth Management and FirsTech operating segments contributed $21.7 million, or 60.4%, of our total noninterest income for the three months ended September 30, 2024, and contributed $65.7 million, or 62.7%, of our total noninterest income for the nine months ended September 30, 2024, providing a balance to spread-based revenue from traditional banking activities. For additional information about our operating segments, see </w:t>
      </w:r>
      <w:r>
        <w:rPr>
          <w:rFonts w:ascii="Verdana" w:cs="Verdana" w:eastAsia="Verdana" w:hAnsi="Verdana"/>
          <w:sz w:val="18"/>
          <w:szCs w:val="18"/>
          <w:i w:val="1"/>
          <w:iCs w:val="1"/>
          <w:color w:val="auto"/>
        </w:rPr>
        <w:t>“</w:t>
      </w:r>
      <w:r>
        <w:rPr>
          <w:rFonts w:ascii="Verdana" w:cs="Verdana" w:eastAsia="Verdana" w:hAnsi="Verdana"/>
          <w:sz w:val="18"/>
          <w:szCs w:val="18"/>
          <w:i w:val="1"/>
          <w:iCs w:val="1"/>
          <w:u w:val="single" w:color="auto"/>
          <w:color w:val="0000FF"/>
        </w:rPr>
        <w:t>Note 16. Operating Segments and Related Information</w:t>
      </w:r>
      <w:r>
        <w:rPr>
          <w:rFonts w:ascii="Verdana" w:cs="Verdana" w:eastAsia="Verdana" w:hAnsi="Verdana"/>
          <w:sz w:val="18"/>
          <w:szCs w:val="18"/>
          <w:i w:val="1"/>
          <w:iCs w:val="1"/>
          <w:color w:val="auto"/>
        </w:rPr>
        <w:t>.”</w:t>
      </w:r>
    </w:p>
    <w:p>
      <w:pPr>
        <w:spacing w:after="0" w:line="157"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Fees for customer services were $8.2 million for the three months ended September 30, 2024, an 8.9% increase from the comparable period in 2023, and were $23.0 million for the nine months ended September 30, 2024, a 6.8% increase from the comparable period in 2023.</w:t>
      </w:r>
    </w:p>
    <w:p>
      <w:pPr>
        <w:spacing w:after="0" w:line="167"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Mortgage revenue was $0.4 million for the three months ended September 30, 2024, a 14.1% increase from the comparable period in 2023, and was $1.6 million for the nine months ended September 30, 2024, an 81.3% increase from the comparable period in 2023. Increases were primarily based on sold-loan mortgage volume. General economic conditions and interest rate volatility may impact future fee income.</w:t>
      </w:r>
    </w:p>
    <w:p>
      <w:pPr>
        <w:spacing w:after="0" w:line="157"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Income on bank owned life insurance was $1.2 million for the three months ended September 30, 2024, an 18.8% increase from the comparable period in 2023, as a result of a $0.1 million increase in the cash surrender value of the policies and a $0.1 million increase in earnings on death proceeds. Income on bank owned life insurance was $4.1 million for the nine months ended September 30, 2024, a 10.0% increase from the comparable period in 2023, as a result of a $0.2 million increase in the cash surrender value of the policies and a $0.1 million increase in earnings on death proceeds.</w:t>
      </w:r>
    </w:p>
    <w:p>
      <w:pPr>
        <w:spacing w:after="0" w:line="157" w:lineRule="exact"/>
        <w:rPr>
          <w:sz w:val="20"/>
          <w:szCs w:val="20"/>
          <w:color w:val="auto"/>
        </w:rPr>
      </w:pPr>
    </w:p>
    <w:p>
      <w:pPr>
        <w:jc w:val="both"/>
        <w:spacing w:after="0" w:line="242" w:lineRule="auto"/>
        <w:rPr>
          <w:rFonts w:ascii="Verdana" w:cs="Verdana" w:eastAsia="Verdana" w:hAnsi="Verdana"/>
          <w:sz w:val="18"/>
          <w:szCs w:val="18"/>
          <w:i w:val="1"/>
          <w:iCs w:val="1"/>
          <w:color w:val="0000FF"/>
        </w:rPr>
      </w:pPr>
      <w:r>
        <w:rPr>
          <w:rFonts w:ascii="Verdana" w:cs="Verdana" w:eastAsia="Verdana" w:hAnsi="Verdana"/>
          <w:sz w:val="18"/>
          <w:szCs w:val="18"/>
          <w:color w:val="auto"/>
        </w:rPr>
        <w:t xml:space="preserve">During the nine months ended September 30, 2024, a $7.7 million realized gain on the sale of mortgage servicing rights </w:t>
      </w:r>
      <w:hyperlink r:id="rId101">
        <w:r>
          <w:rPr>
            <w:rFonts w:ascii="Verdana" w:cs="Verdana" w:eastAsia="Verdana" w:hAnsi="Verdana"/>
            <w:sz w:val="18"/>
            <w:szCs w:val="18"/>
            <w:color w:val="auto"/>
          </w:rPr>
          <w:t xml:space="preserve">was recognized in connection with our strategic two-part balance sheet repositioning. For more information, see </w:t>
        </w:r>
        <w:r>
          <w:rPr>
            <w:rFonts w:ascii="Verdana" w:cs="Verdana" w:eastAsia="Verdana" w:hAnsi="Verdana"/>
            <w:sz w:val="18"/>
            <w:szCs w:val="18"/>
            <w:i w:val="1"/>
            <w:iCs w:val="1"/>
            <w:color w:val="auto"/>
          </w:rPr>
          <w:t>“</w:t>
        </w:r>
        <w:r>
          <w:rPr>
            <w:rFonts w:ascii="Verdana" w:cs="Verdana" w:eastAsia="Verdana" w:hAnsi="Verdana"/>
            <w:sz w:val="18"/>
            <w:szCs w:val="18"/>
            <w:i w:val="1"/>
            <w:iCs w:val="1"/>
            <w:u w:val="single" w:color="auto"/>
            <w:color w:val="0000FF"/>
          </w:rPr>
          <w:t>Busey</w:t>
        </w:r>
      </w:hyperlink>
      <w:r>
        <w:rPr>
          <w:rFonts w:ascii="Verdana" w:cs="Verdana" w:eastAsia="Verdana" w:hAnsi="Verdana"/>
          <w:sz w:val="18"/>
          <w:szCs w:val="18"/>
          <w:color w:val="auto"/>
        </w:rPr>
        <w:t xml:space="preserve"> </w:t>
      </w:r>
      <w:hyperlink r:id="rId101">
        <w:r>
          <w:rPr>
            <w:rFonts w:ascii="Verdana" w:cs="Verdana" w:eastAsia="Verdana" w:hAnsi="Verdana"/>
            <w:sz w:val="18"/>
            <w:szCs w:val="18"/>
            <w:i w:val="1"/>
            <w:iCs w:val="1"/>
            <w:u w:val="single" w:color="auto"/>
            <w:color w:val="0000FF"/>
          </w:rPr>
          <w:t>executed a two-part balance sheet repositioning strategy</w:t>
        </w:r>
        <w:r>
          <w:rPr>
            <w:rFonts w:ascii="Verdana" w:cs="Verdana" w:eastAsia="Verdana" w:hAnsi="Verdana"/>
            <w:sz w:val="18"/>
            <w:szCs w:val="18"/>
            <w:color w:val="000000"/>
          </w:rPr>
          <w:t>” in the Management Discussion and Analysis included in our</w:t>
        </w:r>
      </w:hyperlink>
      <w:r>
        <w:rPr>
          <w:rFonts w:ascii="Verdana" w:cs="Verdana" w:eastAsia="Verdana" w:hAnsi="Verdana"/>
          <w:sz w:val="18"/>
          <w:szCs w:val="18"/>
          <w:i w:val="1"/>
          <w:iCs w:val="1"/>
          <w:color w:val="0000FF"/>
        </w:rPr>
        <w:t xml:space="preserve"> </w:t>
      </w:r>
      <w:r>
        <w:rPr>
          <w:rFonts w:ascii="Verdana" w:cs="Verdana" w:eastAsia="Verdana" w:hAnsi="Verdana"/>
          <w:sz w:val="18"/>
          <w:szCs w:val="18"/>
          <w:color w:val="000000"/>
        </w:rPr>
        <w:t>Quarterly Report for the first quarter of 2024.</w:t>
      </w:r>
    </w:p>
    <w:p>
      <w:pPr>
        <w:spacing w:after="0" w:line="171"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Net securities gains were $0.8 million for the three months ended September 30, 2024, a 388.4% increase over the net securities losses experienced during the comparable period in 2023. Gains were comprised primarily of unrealized net gains recognized on equity securities. Net securities losses were $5.9 million for the nine months ended September 30, 2024, a 99.5% increase from the comparable period in 2023. Losses for the nine months ended September 30, 2024, were comprised of $6.8 million of realized net losses on securities associated with the above mentioned two-part balance sheet repositioning and $0.9 million of unrealized net gains recognized on equity securities.</w:t>
      </w:r>
    </w:p>
    <w:p>
      <w:pPr>
        <w:spacing w:after="0" w:line="159" w:lineRule="exact"/>
        <w:rPr>
          <w:sz w:val="20"/>
          <w:szCs w:val="20"/>
          <w:color w:val="auto"/>
        </w:rPr>
      </w:pPr>
    </w:p>
    <w:p>
      <w:pPr>
        <w:jc w:val="both"/>
        <w:spacing w:after="0" w:line="261" w:lineRule="auto"/>
        <w:rPr>
          <w:sz w:val="20"/>
          <w:szCs w:val="20"/>
          <w:color w:val="auto"/>
        </w:rPr>
      </w:pPr>
      <w:r>
        <w:rPr>
          <w:rFonts w:ascii="Verdana" w:cs="Verdana" w:eastAsia="Verdana" w:hAnsi="Verdana"/>
          <w:sz w:val="17"/>
          <w:szCs w:val="17"/>
          <w:color w:val="auto"/>
        </w:rPr>
        <w:t>Other noninterest income was $4.8 million for the three months ended September 30, 2024, a 58.8% increase from the comparable period in 2023, and was $10.6 million for the nine months ended September 30, 2024, a 26.4% increase from the comparable period in 2023. Income associated with certain wealth management activities reported as other noninterest income on a consolidated basis was $0.8 million and $1.1 million for the three and nine months ended September 30, 2024, respectively, compared to $0.1 million and $0.4 million for the three and nine months ended September 30, 2023, respectively. Other fluctuations were primary attributable to income recognized on venture capital investments, Life Equity Loan</w:t>
      </w:r>
      <w:r>
        <w:rPr>
          <w:rFonts w:ascii="Verdana" w:cs="Verdana" w:eastAsia="Verdana" w:hAnsi="Verdana"/>
          <w:sz w:val="22"/>
          <w:szCs w:val="22"/>
          <w:color w:val="auto"/>
          <w:vertAlign w:val="superscript"/>
        </w:rPr>
        <w:t>®</w:t>
      </w:r>
      <w:r>
        <w:rPr>
          <w:rFonts w:ascii="Verdana" w:cs="Verdana" w:eastAsia="Verdana" w:hAnsi="Verdana"/>
          <w:sz w:val="17"/>
          <w:szCs w:val="17"/>
          <w:color w:val="auto"/>
        </w:rPr>
        <w:t xml:space="preserve"> servicing income, gains on commercial loan sales, swap origination fees, and dividend income on FHLB stock.</w:t>
      </w: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1" w:name="page82"/>
    <w:bookmarkEnd w:id="81"/>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Noninterest Expense</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Changes in noninterest expense are summarized as follows for the periods presented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80" w:type="dxa"/>
            <w:vAlign w:val="bottom"/>
            <w:gridSpan w:val="5"/>
          </w:tcPr>
          <w:p>
            <w:pPr>
              <w:ind w:left="140"/>
              <w:spacing w:after="0"/>
              <w:rPr>
                <w:sz w:val="20"/>
                <w:szCs w:val="20"/>
                <w:color w:val="auto"/>
              </w:rPr>
            </w:pPr>
            <w:r>
              <w:rPr>
                <w:rFonts w:ascii="Verdana" w:cs="Verdana" w:eastAsia="Verdana" w:hAnsi="Verdana"/>
                <w:sz w:val="13"/>
                <w:szCs w:val="13"/>
                <w:b w:val="1"/>
                <w:bCs w:val="1"/>
                <w:color w:val="auto"/>
              </w:rPr>
              <w:t>Three Months Ended September 30,</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0"/>
        </w:trPr>
        <w:tc>
          <w:tcPr>
            <w:tcW w:w="4660" w:type="dxa"/>
            <w:vAlign w:val="bottom"/>
            <w:tcBorders>
              <w:bottom w:val="single" w:sz="8" w:color="E0E7ED"/>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554"/>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52"/>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72"/>
              <w:spacing w:after="0"/>
              <w:rPr>
                <w:sz w:val="20"/>
                <w:szCs w:val="20"/>
                <w:color w:val="auto"/>
              </w:rPr>
            </w:pPr>
            <w:r>
              <w:rPr>
                <w:rFonts w:ascii="Verdana" w:cs="Verdana" w:eastAsia="Verdana" w:hAnsi="Verdana"/>
                <w:sz w:val="13"/>
                <w:szCs w:val="13"/>
                <w:b w:val="1"/>
                <w:bCs w:val="1"/>
                <w:color w:val="auto"/>
              </w:rPr>
              <w:t>Change</w:t>
            </w:r>
          </w:p>
        </w:tc>
        <w:tc>
          <w:tcPr>
            <w:tcW w:w="80" w:type="dxa"/>
            <w:vAlign w:val="bottom"/>
            <w:tcBorders>
              <w:bottom w:val="single" w:sz="8" w:color="E0E7ED"/>
            </w:tcBorders>
          </w:tcPr>
          <w:p>
            <w:pPr>
              <w:spacing w:after="0"/>
              <w:rPr>
                <w:sz w:val="14"/>
                <w:szCs w:val="14"/>
                <w:color w:val="auto"/>
              </w:rPr>
            </w:pPr>
          </w:p>
        </w:tc>
        <w:tc>
          <w:tcPr>
            <w:tcW w:w="1600" w:type="dxa"/>
            <w:vAlign w:val="bottom"/>
            <w:tcBorders>
              <w:bottom w:val="single" w:sz="8" w:color="auto"/>
            </w:tcBorders>
          </w:tcPr>
          <w:p>
            <w:pPr>
              <w:jc w:val="right"/>
              <w:ind w:right="377"/>
              <w:spacing w:after="0"/>
              <w:rPr>
                <w:sz w:val="20"/>
                <w:szCs w:val="20"/>
                <w:color w:val="auto"/>
              </w:rPr>
            </w:pPr>
            <w:r>
              <w:rPr>
                <w:rFonts w:ascii="Verdana" w:cs="Verdana" w:eastAsia="Verdana" w:hAnsi="Verdana"/>
                <w:sz w:val="13"/>
                <w:szCs w:val="13"/>
                <w:b w:val="1"/>
                <w:bCs w:val="1"/>
                <w:color w:val="auto"/>
              </w:rPr>
              <w:t>% Change</w:t>
            </w:r>
          </w:p>
        </w:tc>
      </w:tr>
      <w:tr>
        <w:trPr>
          <w:trHeight w:val="255"/>
        </w:trPr>
        <w:tc>
          <w:tcPr>
            <w:tcW w:w="46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Noninterest expense</w:t>
            </w:r>
          </w:p>
        </w:tc>
        <w:tc>
          <w:tcPr>
            <w:tcW w:w="280" w:type="dxa"/>
            <w:vAlign w:val="bottom"/>
            <w:shd w:val="clear" w:color="auto" w:fill="E0E7ED"/>
          </w:tcPr>
          <w:p>
            <w:pPr>
              <w:spacing w:after="0"/>
              <w:rPr>
                <w:sz w:val="22"/>
                <w:szCs w:val="22"/>
                <w:color w:val="auto"/>
              </w:rPr>
            </w:pPr>
          </w:p>
        </w:tc>
        <w:tc>
          <w:tcPr>
            <w:tcW w:w="13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00" w:type="dxa"/>
            <w:vAlign w:val="bottom"/>
            <w:shd w:val="clear" w:color="auto" w:fill="E0E7ED"/>
          </w:tcPr>
          <w:p>
            <w:pPr>
              <w:spacing w:after="0"/>
              <w:rPr>
                <w:sz w:val="22"/>
                <w:szCs w:val="22"/>
                <w:color w:val="auto"/>
              </w:rPr>
            </w:pPr>
          </w:p>
        </w:tc>
        <w:tc>
          <w:tcPr>
            <w:tcW w:w="11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600" w:type="dxa"/>
            <w:vAlign w:val="bottom"/>
            <w:shd w:val="clear" w:color="auto" w:fill="E0E7ED"/>
          </w:tcPr>
          <w:p>
            <w:pPr>
              <w:spacing w:after="0"/>
              <w:rPr>
                <w:sz w:val="22"/>
                <w:szCs w:val="22"/>
                <w:color w:val="auto"/>
              </w:rPr>
            </w:pPr>
          </w:p>
        </w:tc>
      </w:tr>
      <w:tr>
        <w:trPr>
          <w:trHeight w:val="263"/>
        </w:trPr>
        <w:tc>
          <w:tcPr>
            <w:tcW w:w="4660" w:type="dxa"/>
            <w:vAlign w:val="bottom"/>
          </w:tcPr>
          <w:p>
            <w:pPr>
              <w:ind w:left="180"/>
              <w:spacing w:after="0"/>
              <w:rPr>
                <w:sz w:val="20"/>
                <w:szCs w:val="20"/>
                <w:color w:val="auto"/>
              </w:rPr>
            </w:pPr>
            <w:r>
              <w:rPr>
                <w:rFonts w:ascii="Verdana" w:cs="Verdana" w:eastAsia="Verdana" w:hAnsi="Verdana"/>
                <w:sz w:val="18"/>
                <w:szCs w:val="18"/>
                <w:color w:val="auto"/>
              </w:rPr>
              <w:t>Salaries, wages, and employee benefits</w:t>
            </w:r>
          </w:p>
        </w:tc>
        <w:tc>
          <w:tcPr>
            <w:tcW w:w="280" w:type="dxa"/>
            <w:vAlign w:val="bottom"/>
          </w:tcPr>
          <w:p>
            <w:pPr>
              <w:jc w:val="right"/>
              <w:ind w:right="50"/>
              <w:spacing w:after="0"/>
              <w:rPr>
                <w:sz w:val="20"/>
                <w:szCs w:val="20"/>
                <w:color w:val="auto"/>
              </w:rPr>
            </w:pPr>
            <w:r>
              <w:rPr>
                <w:rFonts w:ascii="Verdana" w:cs="Verdana" w:eastAsia="Verdana" w:hAnsi="Verdana"/>
                <w:sz w:val="18"/>
                <w:szCs w:val="18"/>
                <w:color w:val="auto"/>
              </w:rPr>
              <w:t>$</w:t>
            </w:r>
          </w:p>
        </w:tc>
        <w:tc>
          <w:tcPr>
            <w:tcW w:w="1360" w:type="dxa"/>
            <w:vAlign w:val="bottom"/>
          </w:tcPr>
          <w:p>
            <w:pPr>
              <w:jc w:val="right"/>
              <w:ind w:right="194"/>
              <w:spacing w:after="0"/>
              <w:rPr>
                <w:sz w:val="20"/>
                <w:szCs w:val="20"/>
                <w:color w:val="auto"/>
              </w:rPr>
            </w:pPr>
            <w:r>
              <w:rPr>
                <w:rFonts w:ascii="Verdana" w:cs="Verdana" w:eastAsia="Verdana" w:hAnsi="Verdana"/>
                <w:sz w:val="18"/>
                <w:szCs w:val="18"/>
                <w:color w:val="auto"/>
              </w:rPr>
              <w:t>44,593</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40" w:type="dxa"/>
            <w:vAlign w:val="bottom"/>
          </w:tcPr>
          <w:p>
            <w:pPr>
              <w:jc w:val="right"/>
              <w:ind w:right="192"/>
              <w:spacing w:after="0"/>
              <w:rPr>
                <w:sz w:val="20"/>
                <w:szCs w:val="20"/>
                <w:color w:val="auto"/>
              </w:rPr>
            </w:pPr>
            <w:r>
              <w:rPr>
                <w:rFonts w:ascii="Verdana" w:cs="Verdana" w:eastAsia="Verdana" w:hAnsi="Verdana"/>
                <w:sz w:val="18"/>
                <w:szCs w:val="18"/>
                <w:color w:val="auto"/>
              </w:rPr>
              <w:t>39,677</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140" w:type="dxa"/>
            <w:vAlign w:val="bottom"/>
          </w:tcPr>
          <w:p>
            <w:pPr>
              <w:jc w:val="right"/>
              <w:ind w:right="12"/>
              <w:spacing w:after="0"/>
              <w:rPr>
                <w:sz w:val="20"/>
                <w:szCs w:val="20"/>
                <w:color w:val="auto"/>
              </w:rPr>
            </w:pPr>
            <w:r>
              <w:rPr>
                <w:rFonts w:ascii="Verdana" w:cs="Verdana" w:eastAsia="Verdana" w:hAnsi="Verdana"/>
                <w:sz w:val="18"/>
                <w:szCs w:val="18"/>
                <w:color w:val="auto"/>
              </w:rPr>
              <w:t>4,916</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12.4 %</w:t>
            </w:r>
          </w:p>
        </w:tc>
      </w:tr>
      <w:tr>
        <w:trPr>
          <w:trHeight w:val="277"/>
        </w:trPr>
        <w:tc>
          <w:tcPr>
            <w:tcW w:w="46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Data processing</w:t>
            </w:r>
          </w:p>
        </w:tc>
        <w:tc>
          <w:tcPr>
            <w:tcW w:w="280" w:type="dxa"/>
            <w:vAlign w:val="bottom"/>
            <w:shd w:val="clear" w:color="auto" w:fill="E0E7ED"/>
          </w:tcPr>
          <w:p>
            <w:pPr>
              <w:spacing w:after="0"/>
              <w:rPr>
                <w:sz w:val="24"/>
                <w:szCs w:val="24"/>
                <w:color w:val="auto"/>
              </w:rPr>
            </w:pPr>
          </w:p>
        </w:tc>
        <w:tc>
          <w:tcPr>
            <w:tcW w:w="136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6,910</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5,930</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4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980</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16.5 %</w:t>
            </w:r>
          </w:p>
        </w:tc>
      </w:tr>
      <w:tr>
        <w:trPr>
          <w:trHeight w:val="270"/>
        </w:trPr>
        <w:tc>
          <w:tcPr>
            <w:tcW w:w="4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46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Premises expenses:</w:t>
            </w:r>
          </w:p>
        </w:tc>
        <w:tc>
          <w:tcPr>
            <w:tcW w:w="280" w:type="dxa"/>
            <w:vAlign w:val="bottom"/>
            <w:shd w:val="clear" w:color="auto" w:fill="E0E7ED"/>
          </w:tcPr>
          <w:p>
            <w:pPr>
              <w:spacing w:after="0"/>
              <w:rPr>
                <w:sz w:val="23"/>
                <w:szCs w:val="23"/>
                <w:color w:val="auto"/>
              </w:rPr>
            </w:pPr>
          </w:p>
        </w:tc>
        <w:tc>
          <w:tcPr>
            <w:tcW w:w="136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80" w:type="dxa"/>
            <w:vAlign w:val="bottom"/>
            <w:shd w:val="clear" w:color="auto" w:fill="E0E7ED"/>
          </w:tcPr>
          <w:p>
            <w:pPr>
              <w:spacing w:after="0"/>
              <w:rPr>
                <w:sz w:val="23"/>
                <w:szCs w:val="23"/>
                <w:color w:val="auto"/>
              </w:rPr>
            </w:pPr>
          </w:p>
        </w:tc>
        <w:tc>
          <w:tcPr>
            <w:tcW w:w="124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14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1600" w:type="dxa"/>
            <w:vAlign w:val="bottom"/>
            <w:shd w:val="clear" w:color="auto" w:fill="E0E7ED"/>
          </w:tcPr>
          <w:p>
            <w:pPr>
              <w:spacing w:after="0"/>
              <w:rPr>
                <w:sz w:val="23"/>
                <w:szCs w:val="23"/>
                <w:color w:val="auto"/>
              </w:rPr>
            </w:pPr>
          </w:p>
        </w:tc>
      </w:tr>
      <w:tr>
        <w:trPr>
          <w:trHeight w:val="263"/>
        </w:trPr>
        <w:tc>
          <w:tcPr>
            <w:tcW w:w="4660" w:type="dxa"/>
            <w:vAlign w:val="bottom"/>
          </w:tcPr>
          <w:p>
            <w:pPr>
              <w:ind w:left="360"/>
              <w:spacing w:after="0"/>
              <w:rPr>
                <w:sz w:val="20"/>
                <w:szCs w:val="20"/>
                <w:color w:val="auto"/>
              </w:rPr>
            </w:pPr>
            <w:r>
              <w:rPr>
                <w:rFonts w:ascii="Verdana" w:cs="Verdana" w:eastAsia="Verdana" w:hAnsi="Verdana"/>
                <w:sz w:val="18"/>
                <w:szCs w:val="18"/>
                <w:color w:val="auto"/>
              </w:rPr>
              <w:t>Net occupancy expense of premises</w:t>
            </w:r>
          </w:p>
        </w:tc>
        <w:tc>
          <w:tcPr>
            <w:tcW w:w="280" w:type="dxa"/>
            <w:vAlign w:val="bottom"/>
          </w:tcPr>
          <w:p>
            <w:pPr>
              <w:spacing w:after="0"/>
              <w:rPr>
                <w:sz w:val="22"/>
                <w:szCs w:val="22"/>
                <w:color w:val="auto"/>
              </w:rPr>
            </w:pPr>
          </w:p>
        </w:tc>
        <w:tc>
          <w:tcPr>
            <w:tcW w:w="1360" w:type="dxa"/>
            <w:vAlign w:val="bottom"/>
          </w:tcPr>
          <w:p>
            <w:pPr>
              <w:jc w:val="right"/>
              <w:ind w:right="194"/>
              <w:spacing w:after="0"/>
              <w:rPr>
                <w:sz w:val="20"/>
                <w:szCs w:val="20"/>
                <w:color w:val="auto"/>
              </w:rPr>
            </w:pPr>
            <w:r>
              <w:rPr>
                <w:rFonts w:ascii="Verdana" w:cs="Verdana" w:eastAsia="Verdana" w:hAnsi="Verdana"/>
                <w:sz w:val="18"/>
                <w:szCs w:val="18"/>
                <w:color w:val="auto"/>
              </w:rPr>
              <w:t>4,633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192"/>
              <w:spacing w:after="0"/>
              <w:rPr>
                <w:sz w:val="20"/>
                <w:szCs w:val="20"/>
                <w:color w:val="auto"/>
              </w:rPr>
            </w:pPr>
            <w:r>
              <w:rPr>
                <w:rFonts w:ascii="Verdana" w:cs="Verdana" w:eastAsia="Verdana" w:hAnsi="Verdana"/>
                <w:sz w:val="18"/>
                <w:szCs w:val="18"/>
                <w:color w:val="auto"/>
              </w:rPr>
              <w:t>4,594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Verdana" w:cs="Verdana" w:eastAsia="Verdana" w:hAnsi="Verdana"/>
                <w:sz w:val="18"/>
                <w:szCs w:val="18"/>
                <w:color w:val="auto"/>
              </w:rPr>
              <w:t>39</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0.8 %</w:t>
            </w:r>
          </w:p>
        </w:tc>
      </w:tr>
      <w:tr>
        <w:trPr>
          <w:trHeight w:val="277"/>
        </w:trPr>
        <w:tc>
          <w:tcPr>
            <w:tcW w:w="46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Furniture and equipment expenses</w:t>
            </w:r>
          </w:p>
        </w:tc>
        <w:tc>
          <w:tcPr>
            <w:tcW w:w="280" w:type="dxa"/>
            <w:vAlign w:val="bottom"/>
            <w:tcBorders>
              <w:bottom w:val="single" w:sz="8" w:color="auto"/>
            </w:tcBorders>
            <w:shd w:val="clear" w:color="auto" w:fill="E0E7ED"/>
          </w:tcPr>
          <w:p>
            <w:pPr>
              <w:spacing w:after="0"/>
              <w:rPr>
                <w:sz w:val="24"/>
                <w:szCs w:val="24"/>
                <w:color w:val="auto"/>
              </w:rPr>
            </w:pPr>
          </w:p>
        </w:tc>
        <w:tc>
          <w:tcPr>
            <w:tcW w:w="1360" w:type="dxa"/>
            <w:vAlign w:val="bottom"/>
            <w:tcBorders>
              <w:bottom w:val="single" w:sz="8" w:color="auto"/>
            </w:tcBorders>
            <w:shd w:val="clear" w:color="auto" w:fill="E0E7ED"/>
          </w:tcPr>
          <w:p>
            <w:pPr>
              <w:jc w:val="right"/>
              <w:ind w:right="194"/>
              <w:spacing w:after="0"/>
              <w:rPr>
                <w:sz w:val="20"/>
                <w:szCs w:val="20"/>
                <w:color w:val="auto"/>
              </w:rPr>
            </w:pPr>
            <w:r>
              <w:rPr>
                <w:rFonts w:ascii="Verdana" w:cs="Verdana" w:eastAsia="Verdana" w:hAnsi="Verdana"/>
                <w:sz w:val="18"/>
                <w:szCs w:val="18"/>
                <w:color w:val="auto"/>
              </w:rPr>
              <w:t>1,647</w:t>
            </w:r>
          </w:p>
        </w:tc>
        <w:tc>
          <w:tcPr>
            <w:tcW w:w="100" w:type="dxa"/>
            <w:vAlign w:val="bottom"/>
            <w:shd w:val="clear" w:color="auto" w:fill="E0E7ED"/>
          </w:tcPr>
          <w:p>
            <w:pPr>
              <w:spacing w:after="0"/>
              <w:rPr>
                <w:sz w:val="24"/>
                <w:szCs w:val="24"/>
                <w:color w:val="auto"/>
              </w:rPr>
            </w:pPr>
          </w:p>
        </w:tc>
        <w:tc>
          <w:tcPr>
            <w:tcW w:w="380" w:type="dxa"/>
            <w:vAlign w:val="bottom"/>
            <w:tcBorders>
              <w:bottom w:val="single" w:sz="8" w:color="auto"/>
            </w:tcBorders>
            <w:shd w:val="clear" w:color="auto" w:fill="E0E7ED"/>
          </w:tcPr>
          <w:p>
            <w:pPr>
              <w:spacing w:after="0"/>
              <w:rPr>
                <w:sz w:val="24"/>
                <w:szCs w:val="24"/>
                <w:color w:val="auto"/>
              </w:rPr>
            </w:pPr>
          </w:p>
        </w:tc>
        <w:tc>
          <w:tcPr>
            <w:tcW w:w="1240" w:type="dxa"/>
            <w:vAlign w:val="bottom"/>
            <w:tcBorders>
              <w:bottom w:val="single" w:sz="8" w:color="auto"/>
            </w:tcBorders>
            <w:shd w:val="clear" w:color="auto" w:fill="E0E7ED"/>
          </w:tcPr>
          <w:p>
            <w:pPr>
              <w:jc w:val="right"/>
              <w:ind w:right="192"/>
              <w:spacing w:after="0"/>
              <w:rPr>
                <w:sz w:val="20"/>
                <w:szCs w:val="20"/>
                <w:color w:val="auto"/>
              </w:rPr>
            </w:pPr>
            <w:r>
              <w:rPr>
                <w:rFonts w:ascii="Verdana" w:cs="Verdana" w:eastAsia="Verdana" w:hAnsi="Verdana"/>
                <w:sz w:val="18"/>
                <w:szCs w:val="18"/>
                <w:color w:val="auto"/>
              </w:rPr>
              <w:t>1,638</w:t>
            </w:r>
          </w:p>
        </w:tc>
        <w:tc>
          <w:tcPr>
            <w:tcW w:w="100" w:type="dxa"/>
            <w:vAlign w:val="bottom"/>
            <w:shd w:val="clear" w:color="auto" w:fill="E0E7ED"/>
          </w:tcPr>
          <w:p>
            <w:pPr>
              <w:spacing w:after="0"/>
              <w:rPr>
                <w:sz w:val="24"/>
                <w:szCs w:val="24"/>
                <w:color w:val="auto"/>
              </w:rPr>
            </w:pPr>
          </w:p>
        </w:tc>
        <w:tc>
          <w:tcPr>
            <w:tcW w:w="300" w:type="dxa"/>
            <w:vAlign w:val="bottom"/>
            <w:tcBorders>
              <w:bottom w:val="single" w:sz="8" w:color="auto"/>
            </w:tcBorders>
            <w:shd w:val="clear" w:color="auto" w:fill="E0E7ED"/>
          </w:tcPr>
          <w:p>
            <w:pPr>
              <w:spacing w:after="0"/>
              <w:rPr>
                <w:sz w:val="24"/>
                <w:szCs w:val="24"/>
                <w:color w:val="auto"/>
              </w:rPr>
            </w:pPr>
          </w:p>
        </w:tc>
        <w:tc>
          <w:tcPr>
            <w:tcW w:w="114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9</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0.5 %</w:t>
            </w:r>
          </w:p>
        </w:tc>
      </w:tr>
      <w:tr>
        <w:trPr>
          <w:trHeight w:val="218"/>
        </w:trPr>
        <w:tc>
          <w:tcPr>
            <w:tcW w:w="4660" w:type="dxa"/>
            <w:vAlign w:val="bottom"/>
          </w:tcPr>
          <w:p>
            <w:pPr>
              <w:ind w:left="180"/>
              <w:spacing w:after="0" w:line="217" w:lineRule="exact"/>
              <w:rPr>
                <w:sz w:val="20"/>
                <w:szCs w:val="20"/>
                <w:color w:val="auto"/>
              </w:rPr>
            </w:pPr>
            <w:r>
              <w:rPr>
                <w:rFonts w:ascii="Verdana" w:cs="Verdana" w:eastAsia="Verdana" w:hAnsi="Verdana"/>
                <w:sz w:val="18"/>
                <w:szCs w:val="18"/>
                <w:color w:val="auto"/>
              </w:rPr>
              <w:t>Combined, net occupancy expense of premises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2"/>
        </w:trPr>
        <w:tc>
          <w:tcPr>
            <w:tcW w:w="4660" w:type="dxa"/>
            <w:vAlign w:val="bottom"/>
          </w:tcPr>
          <w:p>
            <w:pPr>
              <w:ind w:left="180"/>
              <w:spacing w:after="0"/>
              <w:rPr>
                <w:sz w:val="20"/>
                <w:szCs w:val="20"/>
                <w:color w:val="auto"/>
              </w:rPr>
            </w:pPr>
            <w:r>
              <w:rPr>
                <w:rFonts w:ascii="Verdana" w:cs="Verdana" w:eastAsia="Verdana" w:hAnsi="Verdana"/>
                <w:sz w:val="18"/>
                <w:szCs w:val="18"/>
                <w:color w:val="auto"/>
              </w:rPr>
              <w:t>and furniture and equipment expenses</w:t>
            </w:r>
          </w:p>
        </w:tc>
        <w:tc>
          <w:tcPr>
            <w:tcW w:w="280" w:type="dxa"/>
            <w:vAlign w:val="bottom"/>
          </w:tcPr>
          <w:p>
            <w:pPr>
              <w:spacing w:after="0"/>
              <w:rPr>
                <w:sz w:val="21"/>
                <w:szCs w:val="21"/>
                <w:color w:val="auto"/>
              </w:rPr>
            </w:pPr>
          </w:p>
        </w:tc>
        <w:tc>
          <w:tcPr>
            <w:tcW w:w="1360" w:type="dxa"/>
            <w:vAlign w:val="bottom"/>
          </w:tcPr>
          <w:p>
            <w:pPr>
              <w:jc w:val="right"/>
              <w:ind w:right="194"/>
              <w:spacing w:after="0"/>
              <w:rPr>
                <w:sz w:val="20"/>
                <w:szCs w:val="20"/>
                <w:color w:val="auto"/>
              </w:rPr>
            </w:pPr>
            <w:r>
              <w:rPr>
                <w:rFonts w:ascii="Verdana" w:cs="Verdana" w:eastAsia="Verdana" w:hAnsi="Verdana"/>
                <w:sz w:val="18"/>
                <w:szCs w:val="18"/>
                <w:color w:val="auto"/>
              </w:rPr>
              <w:t>6,280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92"/>
              <w:spacing w:after="0"/>
              <w:rPr>
                <w:sz w:val="20"/>
                <w:szCs w:val="20"/>
                <w:color w:val="auto"/>
              </w:rPr>
            </w:pPr>
            <w:r>
              <w:rPr>
                <w:rFonts w:ascii="Verdana" w:cs="Verdana" w:eastAsia="Verdana" w:hAnsi="Verdana"/>
                <w:sz w:val="18"/>
                <w:szCs w:val="18"/>
                <w:color w:val="auto"/>
              </w:rPr>
              <w:t>6,232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Verdana" w:cs="Verdana" w:eastAsia="Verdana" w:hAnsi="Verdana"/>
                <w:sz w:val="18"/>
                <w:szCs w:val="18"/>
                <w:color w:val="auto"/>
              </w:rPr>
              <w:t>48</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0.8 %</w:t>
            </w:r>
          </w:p>
        </w:tc>
      </w:tr>
      <w:tr>
        <w:trPr>
          <w:trHeight w:val="277"/>
        </w:trPr>
        <w:tc>
          <w:tcPr>
            <w:tcW w:w="466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36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4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1600" w:type="dxa"/>
            <w:vAlign w:val="bottom"/>
            <w:shd w:val="clear" w:color="auto" w:fill="E0E7ED"/>
          </w:tcPr>
          <w:p>
            <w:pPr>
              <w:spacing w:after="0"/>
              <w:rPr>
                <w:sz w:val="24"/>
                <w:szCs w:val="24"/>
                <w:color w:val="auto"/>
              </w:rPr>
            </w:pPr>
          </w:p>
        </w:tc>
      </w:tr>
      <w:tr>
        <w:trPr>
          <w:trHeight w:val="263"/>
        </w:trPr>
        <w:tc>
          <w:tcPr>
            <w:tcW w:w="4660" w:type="dxa"/>
            <w:vAlign w:val="bottom"/>
          </w:tcPr>
          <w:p>
            <w:pPr>
              <w:ind w:left="180"/>
              <w:spacing w:after="0"/>
              <w:rPr>
                <w:sz w:val="20"/>
                <w:szCs w:val="20"/>
                <w:color w:val="auto"/>
              </w:rPr>
            </w:pPr>
            <w:r>
              <w:rPr>
                <w:rFonts w:ascii="Verdana" w:cs="Verdana" w:eastAsia="Verdana" w:hAnsi="Verdana"/>
                <w:sz w:val="18"/>
                <w:szCs w:val="18"/>
                <w:color w:val="auto"/>
              </w:rPr>
              <w:t>Professional fees</w:t>
            </w:r>
          </w:p>
        </w:tc>
        <w:tc>
          <w:tcPr>
            <w:tcW w:w="280" w:type="dxa"/>
            <w:vAlign w:val="bottom"/>
          </w:tcPr>
          <w:p>
            <w:pPr>
              <w:spacing w:after="0"/>
              <w:rPr>
                <w:sz w:val="22"/>
                <w:szCs w:val="22"/>
                <w:color w:val="auto"/>
              </w:rPr>
            </w:pPr>
          </w:p>
        </w:tc>
        <w:tc>
          <w:tcPr>
            <w:tcW w:w="1360" w:type="dxa"/>
            <w:vAlign w:val="bottom"/>
          </w:tcPr>
          <w:p>
            <w:pPr>
              <w:jc w:val="right"/>
              <w:ind w:right="194"/>
              <w:spacing w:after="0"/>
              <w:rPr>
                <w:sz w:val="20"/>
                <w:szCs w:val="20"/>
                <w:color w:val="auto"/>
              </w:rPr>
            </w:pPr>
            <w:r>
              <w:rPr>
                <w:rFonts w:ascii="Verdana" w:cs="Verdana" w:eastAsia="Verdana" w:hAnsi="Verdana"/>
                <w:sz w:val="18"/>
                <w:szCs w:val="18"/>
                <w:color w:val="auto"/>
              </w:rPr>
              <w:t>3,118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192"/>
              <w:spacing w:after="0"/>
              <w:rPr>
                <w:sz w:val="20"/>
                <w:szCs w:val="20"/>
                <w:color w:val="auto"/>
              </w:rPr>
            </w:pPr>
            <w:r>
              <w:rPr>
                <w:rFonts w:ascii="Verdana" w:cs="Verdana" w:eastAsia="Verdana" w:hAnsi="Verdana"/>
                <w:sz w:val="18"/>
                <w:szCs w:val="18"/>
                <w:color w:val="auto"/>
              </w:rPr>
              <w:t>1,542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Verdana" w:cs="Verdana" w:eastAsia="Verdana" w:hAnsi="Verdana"/>
                <w:sz w:val="18"/>
                <w:szCs w:val="18"/>
                <w:color w:val="auto"/>
              </w:rPr>
              <w:t>1,576</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102.2 %</w:t>
            </w:r>
          </w:p>
        </w:tc>
      </w:tr>
      <w:tr>
        <w:trPr>
          <w:trHeight w:val="277"/>
        </w:trPr>
        <w:tc>
          <w:tcPr>
            <w:tcW w:w="46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Amortization of intangible assets</w:t>
            </w:r>
          </w:p>
        </w:tc>
        <w:tc>
          <w:tcPr>
            <w:tcW w:w="280" w:type="dxa"/>
            <w:vAlign w:val="bottom"/>
            <w:shd w:val="clear" w:color="auto" w:fill="E0E7ED"/>
          </w:tcPr>
          <w:p>
            <w:pPr>
              <w:spacing w:after="0"/>
              <w:rPr>
                <w:sz w:val="24"/>
                <w:szCs w:val="24"/>
                <w:color w:val="auto"/>
              </w:rPr>
            </w:pPr>
          </w:p>
        </w:tc>
        <w:tc>
          <w:tcPr>
            <w:tcW w:w="136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2,548</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2,555</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(0.3)%</w:t>
            </w:r>
          </w:p>
        </w:tc>
      </w:tr>
      <w:tr>
        <w:trPr>
          <w:trHeight w:val="263"/>
        </w:trPr>
        <w:tc>
          <w:tcPr>
            <w:tcW w:w="4660" w:type="dxa"/>
            <w:vAlign w:val="bottom"/>
          </w:tcPr>
          <w:p>
            <w:pPr>
              <w:ind w:left="180"/>
              <w:spacing w:after="0"/>
              <w:rPr>
                <w:sz w:val="20"/>
                <w:szCs w:val="20"/>
                <w:color w:val="auto"/>
              </w:rPr>
            </w:pPr>
            <w:r>
              <w:rPr>
                <w:rFonts w:ascii="Verdana" w:cs="Verdana" w:eastAsia="Verdana" w:hAnsi="Verdana"/>
                <w:sz w:val="18"/>
                <w:szCs w:val="18"/>
                <w:color w:val="auto"/>
              </w:rPr>
              <w:t>Interchange expense</w:t>
            </w:r>
          </w:p>
        </w:tc>
        <w:tc>
          <w:tcPr>
            <w:tcW w:w="280" w:type="dxa"/>
            <w:vAlign w:val="bottom"/>
          </w:tcPr>
          <w:p>
            <w:pPr>
              <w:spacing w:after="0"/>
              <w:rPr>
                <w:sz w:val="22"/>
                <w:szCs w:val="22"/>
                <w:color w:val="auto"/>
              </w:rPr>
            </w:pPr>
          </w:p>
        </w:tc>
        <w:tc>
          <w:tcPr>
            <w:tcW w:w="1360" w:type="dxa"/>
            <w:vAlign w:val="bottom"/>
          </w:tcPr>
          <w:p>
            <w:pPr>
              <w:jc w:val="right"/>
              <w:ind w:right="194"/>
              <w:spacing w:after="0"/>
              <w:rPr>
                <w:sz w:val="20"/>
                <w:szCs w:val="20"/>
                <w:color w:val="auto"/>
              </w:rPr>
            </w:pPr>
            <w:r>
              <w:rPr>
                <w:rFonts w:ascii="Verdana" w:cs="Verdana" w:eastAsia="Verdana" w:hAnsi="Verdana"/>
                <w:sz w:val="18"/>
                <w:szCs w:val="18"/>
                <w:color w:val="auto"/>
              </w:rPr>
              <w:t>1,352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192"/>
              <w:spacing w:after="0"/>
              <w:rPr>
                <w:sz w:val="20"/>
                <w:szCs w:val="20"/>
                <w:color w:val="auto"/>
              </w:rPr>
            </w:pPr>
            <w:r>
              <w:rPr>
                <w:rFonts w:ascii="Verdana" w:cs="Verdana" w:eastAsia="Verdana" w:hAnsi="Verdana"/>
                <w:sz w:val="18"/>
                <w:szCs w:val="18"/>
                <w:color w:val="auto"/>
              </w:rPr>
              <w:t>1,786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(434)</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(24.3)%</w:t>
            </w:r>
          </w:p>
        </w:tc>
      </w:tr>
      <w:tr>
        <w:trPr>
          <w:trHeight w:val="277"/>
        </w:trPr>
        <w:tc>
          <w:tcPr>
            <w:tcW w:w="46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FDIC insurance</w:t>
            </w:r>
          </w:p>
        </w:tc>
        <w:tc>
          <w:tcPr>
            <w:tcW w:w="280" w:type="dxa"/>
            <w:vAlign w:val="bottom"/>
            <w:shd w:val="clear" w:color="auto" w:fill="E0E7ED"/>
          </w:tcPr>
          <w:p>
            <w:pPr>
              <w:spacing w:after="0"/>
              <w:rPr>
                <w:sz w:val="24"/>
                <w:szCs w:val="24"/>
                <w:color w:val="auto"/>
              </w:rPr>
            </w:pPr>
          </w:p>
        </w:tc>
        <w:tc>
          <w:tcPr>
            <w:tcW w:w="136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1,413</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1,475</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(62)</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(4.2)%</w:t>
            </w:r>
          </w:p>
        </w:tc>
      </w:tr>
      <w:tr>
        <w:trPr>
          <w:trHeight w:val="263"/>
        </w:trPr>
        <w:tc>
          <w:tcPr>
            <w:tcW w:w="46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Other noninterest expense</w:t>
            </w:r>
          </w:p>
        </w:tc>
        <w:tc>
          <w:tcPr>
            <w:tcW w:w="2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4"/>
              <w:spacing w:after="0"/>
              <w:rPr>
                <w:sz w:val="20"/>
                <w:szCs w:val="20"/>
                <w:color w:val="auto"/>
              </w:rPr>
            </w:pPr>
            <w:r>
              <w:rPr>
                <w:rFonts w:ascii="Verdana" w:cs="Verdana" w:eastAsia="Verdana" w:hAnsi="Verdana"/>
                <w:sz w:val="18"/>
                <w:szCs w:val="18"/>
                <w:color w:val="auto"/>
              </w:rPr>
              <w:t>9,712</w:t>
            </w:r>
          </w:p>
        </w:tc>
        <w:tc>
          <w:tcPr>
            <w:tcW w:w="100" w:type="dxa"/>
            <w:vAlign w:val="bottom"/>
            <w:tcBorders>
              <w:bottom w:val="single" w:sz="8" w:color="E0E7ED"/>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11,748</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(2,036)</w:t>
            </w:r>
          </w:p>
        </w:tc>
        <w:tc>
          <w:tcPr>
            <w:tcW w:w="168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(17.3)%</w:t>
            </w:r>
          </w:p>
        </w:tc>
      </w:tr>
      <w:tr>
        <w:trPr>
          <w:trHeight w:val="295"/>
        </w:trPr>
        <w:tc>
          <w:tcPr>
            <w:tcW w:w="46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noninterest expense</w:t>
            </w:r>
          </w:p>
        </w:tc>
        <w:tc>
          <w:tcPr>
            <w:tcW w:w="280" w:type="dxa"/>
            <w:vAlign w:val="bottom"/>
            <w:tcBorders>
              <w:bottom w:val="single" w:sz="8" w:color="auto"/>
            </w:tcBorders>
            <w:shd w:val="clear" w:color="auto" w:fill="E0E7ED"/>
          </w:tcPr>
          <w:p>
            <w:pPr>
              <w:jc w:val="right"/>
              <w:ind w:right="50"/>
              <w:spacing w:after="0"/>
              <w:rPr>
                <w:sz w:val="20"/>
                <w:szCs w:val="20"/>
                <w:color w:val="auto"/>
              </w:rPr>
            </w:pPr>
            <w:r>
              <w:rPr>
                <w:rFonts w:ascii="Verdana" w:cs="Verdana" w:eastAsia="Verdana" w:hAnsi="Verdana"/>
                <w:sz w:val="18"/>
                <w:szCs w:val="18"/>
                <w:color w:val="auto"/>
              </w:rPr>
              <w:t>$</w:t>
            </w:r>
          </w:p>
        </w:tc>
        <w:tc>
          <w:tcPr>
            <w:tcW w:w="1360" w:type="dxa"/>
            <w:vAlign w:val="bottom"/>
            <w:tcBorders>
              <w:bottom w:val="single" w:sz="8" w:color="auto"/>
            </w:tcBorders>
            <w:shd w:val="clear" w:color="auto" w:fill="E0E7ED"/>
          </w:tcPr>
          <w:p>
            <w:pPr>
              <w:jc w:val="right"/>
              <w:ind w:right="194"/>
              <w:spacing w:after="0"/>
              <w:rPr>
                <w:sz w:val="20"/>
                <w:szCs w:val="20"/>
                <w:color w:val="auto"/>
              </w:rPr>
            </w:pPr>
            <w:r>
              <w:rPr>
                <w:rFonts w:ascii="Verdana" w:cs="Verdana" w:eastAsia="Verdana" w:hAnsi="Verdana"/>
                <w:sz w:val="18"/>
                <w:szCs w:val="18"/>
                <w:color w:val="auto"/>
              </w:rPr>
              <w:t>75,926</w:t>
            </w:r>
          </w:p>
        </w:tc>
        <w:tc>
          <w:tcPr>
            <w:tcW w:w="100" w:type="dxa"/>
            <w:vAlign w:val="bottom"/>
            <w:tcBorders>
              <w:bottom w:val="single" w:sz="8" w:color="E0E7ED"/>
            </w:tcBorders>
            <w:shd w:val="clear" w:color="auto" w:fill="E0E7ED"/>
          </w:tcPr>
          <w:p>
            <w:pPr>
              <w:spacing w:after="0"/>
              <w:rPr>
                <w:sz w:val="24"/>
                <w:szCs w:val="24"/>
                <w:color w:val="auto"/>
              </w:rPr>
            </w:pPr>
          </w:p>
        </w:tc>
        <w:tc>
          <w:tcPr>
            <w:tcW w:w="380" w:type="dxa"/>
            <w:vAlign w:val="bottom"/>
            <w:tcBorders>
              <w:bottom w:val="single" w:sz="8" w:color="auto"/>
            </w:tcBorders>
            <w:shd w:val="clear" w:color="auto" w:fill="E0E7ED"/>
          </w:tcPr>
          <w:p>
            <w:pPr>
              <w:jc w:val="right"/>
              <w:ind w:right="170"/>
              <w:spacing w:after="0"/>
              <w:rPr>
                <w:sz w:val="20"/>
                <w:szCs w:val="20"/>
                <w:color w:val="auto"/>
              </w:rPr>
            </w:pPr>
            <w:r>
              <w:rPr>
                <w:rFonts w:ascii="Verdana" w:cs="Verdana" w:eastAsia="Verdana" w:hAnsi="Verdana"/>
                <w:sz w:val="18"/>
                <w:szCs w:val="18"/>
                <w:color w:val="auto"/>
                <w:w w:val="86"/>
              </w:rPr>
              <w:t>$</w:t>
            </w:r>
          </w:p>
        </w:tc>
        <w:tc>
          <w:tcPr>
            <w:tcW w:w="1240" w:type="dxa"/>
            <w:vAlign w:val="bottom"/>
            <w:tcBorders>
              <w:bottom w:val="single" w:sz="8" w:color="auto"/>
            </w:tcBorders>
            <w:shd w:val="clear" w:color="auto" w:fill="E0E7ED"/>
          </w:tcPr>
          <w:p>
            <w:pPr>
              <w:jc w:val="right"/>
              <w:ind w:right="192"/>
              <w:spacing w:after="0"/>
              <w:rPr>
                <w:sz w:val="20"/>
                <w:szCs w:val="20"/>
                <w:color w:val="auto"/>
              </w:rPr>
            </w:pPr>
            <w:r>
              <w:rPr>
                <w:rFonts w:ascii="Verdana" w:cs="Verdana" w:eastAsia="Verdana" w:hAnsi="Verdana"/>
                <w:sz w:val="18"/>
                <w:szCs w:val="18"/>
                <w:color w:val="auto"/>
              </w:rPr>
              <w:t>70,945</w:t>
            </w:r>
          </w:p>
        </w:tc>
        <w:tc>
          <w:tcPr>
            <w:tcW w:w="100" w:type="dxa"/>
            <w:vAlign w:val="bottom"/>
            <w:tcBorders>
              <w:bottom w:val="single" w:sz="8" w:color="E0E7ED"/>
            </w:tcBorders>
            <w:shd w:val="clear" w:color="auto" w:fill="E0E7ED"/>
          </w:tcPr>
          <w:p>
            <w:pPr>
              <w:spacing w:after="0"/>
              <w:rPr>
                <w:sz w:val="24"/>
                <w:szCs w:val="24"/>
                <w:color w:val="auto"/>
              </w:rPr>
            </w:pPr>
          </w:p>
        </w:tc>
        <w:tc>
          <w:tcPr>
            <w:tcW w:w="300" w:type="dxa"/>
            <w:vAlign w:val="bottom"/>
            <w:tcBorders>
              <w:bottom w:val="single" w:sz="8" w:color="auto"/>
            </w:tcBorders>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14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4,981</w:t>
            </w:r>
          </w:p>
        </w:tc>
        <w:tc>
          <w:tcPr>
            <w:tcW w:w="1680" w:type="dxa"/>
            <w:vAlign w:val="bottom"/>
            <w:tcBorders>
              <w:bottom w:val="single" w:sz="8" w:color="E0E7ED"/>
            </w:tcBorders>
            <w:gridSpan w:val="2"/>
            <w:shd w:val="clear" w:color="auto" w:fill="E0E7ED"/>
          </w:tcPr>
          <w:p>
            <w:pPr>
              <w:jc w:val="right"/>
              <w:spacing w:after="0"/>
              <w:rPr>
                <w:sz w:val="20"/>
                <w:szCs w:val="20"/>
                <w:color w:val="auto"/>
              </w:rPr>
            </w:pPr>
            <w:r>
              <w:rPr>
                <w:rFonts w:ascii="Verdana" w:cs="Verdana" w:eastAsia="Verdana" w:hAnsi="Verdana"/>
                <w:sz w:val="18"/>
                <w:szCs w:val="18"/>
                <w:color w:val="auto"/>
              </w:rPr>
              <w:t>7.0 %</w:t>
            </w:r>
          </w:p>
        </w:tc>
      </w:tr>
      <w:tr>
        <w:trPr>
          <w:trHeight w:val="20"/>
        </w:trPr>
        <w:tc>
          <w:tcPr>
            <w:tcW w:w="466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E0E7ED"/>
              <w:bottom w:val="single" w:sz="8" w:color="auto"/>
            </w:tcBorders>
          </w:tcPr>
          <w:p>
            <w:pPr>
              <w:spacing w:after="0" w:line="20" w:lineRule="exact"/>
              <w:rPr>
                <w:sz w:val="1"/>
                <w:szCs w:val="1"/>
                <w:color w:val="auto"/>
              </w:rPr>
            </w:pPr>
          </w:p>
        </w:tc>
        <w:tc>
          <w:tcPr>
            <w:tcW w:w="13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0" w:type="dxa"/>
            <w:vAlign w:val="bottom"/>
            <w:tcBorders>
              <w:top w:val="single" w:sz="8" w:color="E0E7ED"/>
            </w:tcBorders>
          </w:tcPr>
          <w:p>
            <w:pPr>
              <w:spacing w:after="0" w:line="20" w:lineRule="exact"/>
              <w:rPr>
                <w:sz w:val="1"/>
                <w:szCs w:val="1"/>
                <w:color w:val="auto"/>
              </w:rPr>
            </w:pPr>
          </w:p>
        </w:tc>
      </w:tr>
      <w:tr>
        <w:trPr>
          <w:trHeight w:val="217"/>
        </w:trPr>
        <w:tc>
          <w:tcPr>
            <w:tcW w:w="4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70"/>
        </w:trPr>
        <w:tc>
          <w:tcPr>
            <w:tcW w:w="46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Income taxes</w:t>
            </w:r>
          </w:p>
        </w:tc>
        <w:tc>
          <w:tcPr>
            <w:tcW w:w="280" w:type="dxa"/>
            <w:vAlign w:val="bottom"/>
            <w:shd w:val="clear" w:color="auto" w:fill="E0E7ED"/>
          </w:tcPr>
          <w:p>
            <w:pPr>
              <w:jc w:val="right"/>
              <w:ind w:right="50"/>
              <w:spacing w:after="0"/>
              <w:rPr>
                <w:sz w:val="20"/>
                <w:szCs w:val="20"/>
                <w:color w:val="auto"/>
              </w:rPr>
            </w:pPr>
            <w:r>
              <w:rPr>
                <w:rFonts w:ascii="Verdana" w:cs="Verdana" w:eastAsia="Verdana" w:hAnsi="Verdana"/>
                <w:sz w:val="18"/>
                <w:szCs w:val="18"/>
                <w:color w:val="auto"/>
              </w:rPr>
              <w:t>$</w:t>
            </w:r>
          </w:p>
        </w:tc>
        <w:tc>
          <w:tcPr>
            <w:tcW w:w="136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10,560</w:t>
            </w:r>
          </w:p>
        </w:tc>
        <w:tc>
          <w:tcPr>
            <w:tcW w:w="100" w:type="dxa"/>
            <w:vAlign w:val="bottom"/>
            <w:shd w:val="clear" w:color="auto" w:fill="E0E7ED"/>
          </w:tcPr>
          <w:p>
            <w:pPr>
              <w:spacing w:after="0"/>
              <w:rPr>
                <w:sz w:val="23"/>
                <w:szCs w:val="23"/>
                <w:color w:val="auto"/>
              </w:rPr>
            </w:pPr>
          </w:p>
        </w:tc>
        <w:tc>
          <w:tcPr>
            <w:tcW w:w="380" w:type="dxa"/>
            <w:vAlign w:val="bottom"/>
            <w:shd w:val="clear" w:color="auto" w:fill="E0E7ED"/>
          </w:tcPr>
          <w:p>
            <w:pPr>
              <w:jc w:val="right"/>
              <w:ind w:right="170"/>
              <w:spacing w:after="0"/>
              <w:rPr>
                <w:sz w:val="20"/>
                <w:szCs w:val="20"/>
                <w:color w:val="auto"/>
              </w:rPr>
            </w:pPr>
            <w:r>
              <w:rPr>
                <w:rFonts w:ascii="Verdana" w:cs="Verdana" w:eastAsia="Verdana" w:hAnsi="Verdana"/>
                <w:sz w:val="18"/>
                <w:szCs w:val="18"/>
                <w:color w:val="auto"/>
                <w:w w:val="86"/>
              </w:rPr>
              <w:t>$</w:t>
            </w:r>
          </w:p>
        </w:tc>
        <w:tc>
          <w:tcPr>
            <w:tcW w:w="12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6,824</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14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3,736</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54.7 %</w:t>
            </w:r>
          </w:p>
        </w:tc>
      </w:tr>
    </w:tbl>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940" w:type="dxa"/>
            <w:vAlign w:val="bottom"/>
          </w:tcPr>
          <w:p>
            <w:pPr>
              <w:ind w:left="20"/>
              <w:spacing w:after="0"/>
              <w:rPr>
                <w:sz w:val="20"/>
                <w:szCs w:val="20"/>
                <w:color w:val="auto"/>
              </w:rPr>
            </w:pPr>
            <w:r>
              <w:rPr>
                <w:rFonts w:ascii="Verdana" w:cs="Verdana" w:eastAsia="Verdana" w:hAnsi="Verdana"/>
                <w:sz w:val="18"/>
                <w:szCs w:val="18"/>
                <w:color w:val="auto"/>
              </w:rPr>
              <w:t>Effective income tax rate</w:t>
            </w:r>
          </w:p>
        </w:tc>
        <w:tc>
          <w:tcPr>
            <w:tcW w:w="2880" w:type="dxa"/>
            <w:vAlign w:val="bottom"/>
          </w:tcPr>
          <w:p>
            <w:pPr>
              <w:jc w:val="right"/>
              <w:ind w:right="450"/>
              <w:spacing w:after="0"/>
              <w:rPr>
                <w:sz w:val="20"/>
                <w:szCs w:val="20"/>
                <w:color w:val="auto"/>
              </w:rPr>
            </w:pPr>
            <w:r>
              <w:rPr>
                <w:rFonts w:ascii="Verdana" w:cs="Verdana" w:eastAsia="Verdana" w:hAnsi="Verdana"/>
                <w:sz w:val="18"/>
                <w:szCs w:val="18"/>
                <w:color w:val="auto"/>
              </w:rPr>
              <w:t>24.8 %</w:t>
            </w:r>
          </w:p>
        </w:tc>
        <w:tc>
          <w:tcPr>
            <w:tcW w:w="1500" w:type="dxa"/>
            <w:vAlign w:val="bottom"/>
          </w:tcPr>
          <w:p>
            <w:pPr>
              <w:jc w:val="right"/>
              <w:ind w:right="230"/>
              <w:spacing w:after="0"/>
              <w:rPr>
                <w:sz w:val="20"/>
                <w:szCs w:val="20"/>
                <w:color w:val="auto"/>
              </w:rPr>
            </w:pPr>
            <w:r>
              <w:rPr>
                <w:rFonts w:ascii="Verdana" w:cs="Verdana" w:eastAsia="Verdana" w:hAnsi="Verdana"/>
                <w:sz w:val="18"/>
                <w:szCs w:val="18"/>
                <w:color w:val="auto"/>
              </w:rPr>
              <w:t>18.2 %</w:t>
            </w:r>
          </w:p>
        </w:tc>
        <w:tc>
          <w:tcPr>
            <w:tcW w:w="2920" w:type="dxa"/>
            <w:vAlign w:val="bottom"/>
          </w:tcPr>
          <w:p>
            <w:pPr>
              <w:jc w:val="right"/>
              <w:ind w:right="1610"/>
              <w:spacing w:after="0"/>
              <w:rPr>
                <w:sz w:val="20"/>
                <w:szCs w:val="20"/>
                <w:color w:val="auto"/>
              </w:rPr>
            </w:pPr>
            <w:r>
              <w:rPr>
                <w:rFonts w:ascii="Verdana" w:cs="Verdana" w:eastAsia="Verdana" w:hAnsi="Verdana"/>
                <w:sz w:val="18"/>
                <w:szCs w:val="18"/>
                <w:color w:val="auto"/>
              </w:rPr>
              <w:t>660 bps</w:t>
            </w:r>
          </w:p>
        </w:tc>
      </w:tr>
      <w:tr>
        <w:trPr>
          <w:trHeight w:val="277"/>
        </w:trPr>
        <w:tc>
          <w:tcPr>
            <w:tcW w:w="3940" w:type="dxa"/>
            <w:vAlign w:val="bottom"/>
            <w:shd w:val="clear" w:color="auto" w:fill="E0E7ED"/>
          </w:tcPr>
          <w:p>
            <w:pPr>
              <w:spacing w:after="0"/>
              <w:rPr>
                <w:sz w:val="24"/>
                <w:szCs w:val="24"/>
                <w:color w:val="auto"/>
              </w:rPr>
            </w:pPr>
          </w:p>
        </w:tc>
        <w:tc>
          <w:tcPr>
            <w:tcW w:w="2880" w:type="dxa"/>
            <w:vAlign w:val="bottom"/>
            <w:shd w:val="clear" w:color="auto" w:fill="E0E7ED"/>
          </w:tcPr>
          <w:p>
            <w:pPr>
              <w:spacing w:after="0"/>
              <w:rPr>
                <w:sz w:val="24"/>
                <w:szCs w:val="24"/>
                <w:color w:val="auto"/>
              </w:rPr>
            </w:pPr>
          </w:p>
        </w:tc>
        <w:tc>
          <w:tcPr>
            <w:tcW w:w="1500" w:type="dxa"/>
            <w:vAlign w:val="bottom"/>
            <w:shd w:val="clear" w:color="auto" w:fill="E0E7ED"/>
          </w:tcPr>
          <w:p>
            <w:pPr>
              <w:spacing w:after="0"/>
              <w:rPr>
                <w:sz w:val="24"/>
                <w:szCs w:val="24"/>
                <w:color w:val="auto"/>
              </w:rPr>
            </w:pPr>
          </w:p>
        </w:tc>
        <w:tc>
          <w:tcPr>
            <w:tcW w:w="2920" w:type="dxa"/>
            <w:vAlign w:val="bottom"/>
            <w:shd w:val="clear" w:color="auto" w:fill="E0E7ED"/>
          </w:tcPr>
          <w:p>
            <w:pPr>
              <w:spacing w:after="0"/>
              <w:rPr>
                <w:sz w:val="24"/>
                <w:szCs w:val="24"/>
                <w:color w:val="auto"/>
              </w:rPr>
            </w:pPr>
          </w:p>
        </w:tc>
      </w:tr>
      <w:tr>
        <w:trPr>
          <w:trHeight w:val="263"/>
        </w:trPr>
        <w:tc>
          <w:tcPr>
            <w:tcW w:w="3940" w:type="dxa"/>
            <w:vAlign w:val="bottom"/>
          </w:tcPr>
          <w:p>
            <w:pPr>
              <w:ind w:left="20"/>
              <w:spacing w:after="0"/>
              <w:rPr>
                <w:sz w:val="20"/>
                <w:szCs w:val="20"/>
                <w:color w:val="auto"/>
              </w:rPr>
            </w:pPr>
            <w:r>
              <w:rPr>
                <w:rFonts w:ascii="Verdana" w:cs="Verdana" w:eastAsia="Verdana" w:hAnsi="Verdana"/>
                <w:sz w:val="18"/>
                <w:szCs w:val="18"/>
                <w:color w:val="auto"/>
              </w:rPr>
              <w:t>Efficiency ratio</w:t>
            </w:r>
            <w:r>
              <w:rPr>
                <w:rFonts w:ascii="Verdana" w:cs="Verdana" w:eastAsia="Verdana" w:hAnsi="Verdana"/>
                <w:sz w:val="11"/>
                <w:szCs w:val="11"/>
                <w:color w:val="auto"/>
              </w:rPr>
              <w:t>1</w:t>
            </w:r>
          </w:p>
        </w:tc>
        <w:tc>
          <w:tcPr>
            <w:tcW w:w="2880" w:type="dxa"/>
            <w:vAlign w:val="bottom"/>
          </w:tcPr>
          <w:p>
            <w:pPr>
              <w:jc w:val="right"/>
              <w:ind w:right="450"/>
              <w:spacing w:after="0"/>
              <w:rPr>
                <w:sz w:val="20"/>
                <w:szCs w:val="20"/>
                <w:color w:val="auto"/>
              </w:rPr>
            </w:pPr>
            <w:r>
              <w:rPr>
                <w:rFonts w:ascii="Verdana" w:cs="Verdana" w:eastAsia="Verdana" w:hAnsi="Verdana"/>
                <w:sz w:val="18"/>
                <w:szCs w:val="18"/>
                <w:color w:val="auto"/>
              </w:rPr>
              <w:t>62.2 %</w:t>
            </w:r>
          </w:p>
        </w:tc>
        <w:tc>
          <w:tcPr>
            <w:tcW w:w="1500" w:type="dxa"/>
            <w:vAlign w:val="bottom"/>
          </w:tcPr>
          <w:p>
            <w:pPr>
              <w:jc w:val="right"/>
              <w:ind w:right="230"/>
              <w:spacing w:after="0"/>
              <w:rPr>
                <w:sz w:val="20"/>
                <w:szCs w:val="20"/>
                <w:color w:val="auto"/>
              </w:rPr>
            </w:pPr>
            <w:r>
              <w:rPr>
                <w:rFonts w:ascii="Verdana" w:cs="Verdana" w:eastAsia="Verdana" w:hAnsi="Verdana"/>
                <w:sz w:val="18"/>
                <w:szCs w:val="18"/>
                <w:color w:val="auto"/>
              </w:rPr>
              <w:t>62.4 %</w:t>
            </w:r>
          </w:p>
        </w:tc>
        <w:tc>
          <w:tcPr>
            <w:tcW w:w="2920" w:type="dxa"/>
            <w:vAlign w:val="bottom"/>
          </w:tcPr>
          <w:p>
            <w:pPr>
              <w:jc w:val="right"/>
              <w:ind w:right="1610"/>
              <w:spacing w:after="0"/>
              <w:rPr>
                <w:sz w:val="20"/>
                <w:szCs w:val="20"/>
                <w:color w:val="auto"/>
              </w:rPr>
            </w:pPr>
            <w:r>
              <w:rPr>
                <w:rFonts w:ascii="Verdana" w:cs="Verdana" w:eastAsia="Verdana" w:hAnsi="Verdana"/>
                <w:sz w:val="18"/>
                <w:szCs w:val="18"/>
                <w:color w:val="auto"/>
              </w:rPr>
              <w:t>(20) bps</w:t>
            </w:r>
          </w:p>
        </w:tc>
      </w:tr>
      <w:tr>
        <w:trPr>
          <w:trHeight w:val="277"/>
        </w:trPr>
        <w:tc>
          <w:tcPr>
            <w:tcW w:w="39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Adjusted efficiency ratio</w:t>
            </w:r>
            <w:r>
              <w:rPr>
                <w:rFonts w:ascii="Verdana" w:cs="Verdana" w:eastAsia="Verdana" w:hAnsi="Verdana"/>
                <w:sz w:val="11"/>
                <w:szCs w:val="11"/>
                <w:color w:val="auto"/>
              </w:rPr>
              <w:t>1</w:t>
            </w:r>
          </w:p>
        </w:tc>
        <w:tc>
          <w:tcPr>
            <w:tcW w:w="2880" w:type="dxa"/>
            <w:vAlign w:val="bottom"/>
            <w:shd w:val="clear" w:color="auto" w:fill="E0E7ED"/>
          </w:tcPr>
          <w:p>
            <w:pPr>
              <w:jc w:val="right"/>
              <w:ind w:right="450"/>
              <w:spacing w:after="0"/>
              <w:rPr>
                <w:sz w:val="20"/>
                <w:szCs w:val="20"/>
                <w:color w:val="auto"/>
              </w:rPr>
            </w:pPr>
            <w:r>
              <w:rPr>
                <w:rFonts w:ascii="Verdana" w:cs="Verdana" w:eastAsia="Verdana" w:hAnsi="Verdana"/>
                <w:sz w:val="18"/>
                <w:szCs w:val="18"/>
                <w:color w:val="auto"/>
              </w:rPr>
              <w:t>60.5 %</w:t>
            </w:r>
          </w:p>
        </w:tc>
        <w:tc>
          <w:tcPr>
            <w:tcW w:w="1500" w:type="dxa"/>
            <w:vAlign w:val="bottom"/>
            <w:shd w:val="clear" w:color="auto" w:fill="E0E7ED"/>
          </w:tcPr>
          <w:p>
            <w:pPr>
              <w:jc w:val="right"/>
              <w:ind w:right="230"/>
              <w:spacing w:after="0"/>
              <w:rPr>
                <w:sz w:val="20"/>
                <w:szCs w:val="20"/>
                <w:color w:val="auto"/>
              </w:rPr>
            </w:pPr>
            <w:r>
              <w:rPr>
                <w:rFonts w:ascii="Verdana" w:cs="Verdana" w:eastAsia="Verdana" w:hAnsi="Verdana"/>
                <w:sz w:val="18"/>
                <w:szCs w:val="18"/>
                <w:color w:val="auto"/>
              </w:rPr>
              <w:t>62.3 %</w:t>
            </w:r>
          </w:p>
        </w:tc>
        <w:tc>
          <w:tcPr>
            <w:tcW w:w="2920" w:type="dxa"/>
            <w:vAlign w:val="bottom"/>
            <w:shd w:val="clear" w:color="auto" w:fill="E0E7ED"/>
          </w:tcPr>
          <w:p>
            <w:pPr>
              <w:jc w:val="right"/>
              <w:ind w:right="1610"/>
              <w:spacing w:after="0"/>
              <w:rPr>
                <w:sz w:val="20"/>
                <w:szCs w:val="20"/>
                <w:color w:val="auto"/>
              </w:rPr>
            </w:pPr>
            <w:r>
              <w:rPr>
                <w:rFonts w:ascii="Verdana" w:cs="Verdana" w:eastAsia="Verdana" w:hAnsi="Verdana"/>
                <w:sz w:val="18"/>
                <w:szCs w:val="18"/>
                <w:color w:val="auto"/>
              </w:rPr>
              <w:t>(180) bps</w:t>
            </w:r>
          </w:p>
        </w:tc>
      </w:tr>
    </w:tbl>
    <w:p>
      <w:pPr>
        <w:spacing w:after="0" w:line="80"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500" w:hanging="330"/>
        <w:spacing w:after="0" w:line="237" w:lineRule="auto"/>
        <w:tabs>
          <w:tab w:leader="none" w:pos="491" w:val="left"/>
        </w:tabs>
        <w:numPr>
          <w:ilvl w:val="0"/>
          <w:numId w:val="26"/>
        </w:numPr>
        <w:rPr>
          <w:rFonts w:ascii="Verdana" w:cs="Verdana" w:eastAsia="Verdana" w:hAnsi="Verdana"/>
          <w:sz w:val="13"/>
          <w:szCs w:val="13"/>
          <w:color w:val="auto"/>
        </w:rPr>
      </w:pPr>
      <w:r>
        <w:rPr>
          <w:rFonts w:ascii="Verdana" w:cs="Verdana" w:eastAsia="Verdana" w:hAnsi="Verdana"/>
          <w:sz w:val="13"/>
          <w:szCs w:val="13"/>
          <w:color w:val="auto"/>
        </w:rPr>
        <w:t xml:space="preserve">The efficiency ratio and adjusted efficiency ratio are non-GAAP financial measures. For a reconciliation of non-GAAP measures to the most directly comparable financial GAAP measures, see </w:t>
      </w:r>
      <w:r>
        <w:rPr>
          <w:rFonts w:ascii="Verdana" w:cs="Verdana" w:eastAsia="Verdana" w:hAnsi="Verdana"/>
          <w:sz w:val="13"/>
          <w:szCs w:val="13"/>
          <w:i w:val="1"/>
          <w:iCs w:val="1"/>
          <w:color w:val="auto"/>
        </w:rPr>
        <w:t>“</w:t>
      </w:r>
      <w:r>
        <w:rPr>
          <w:rFonts w:ascii="Verdana" w:cs="Verdana" w:eastAsia="Verdana" w:hAnsi="Verdana"/>
          <w:sz w:val="13"/>
          <w:szCs w:val="13"/>
          <w:i w:val="1"/>
          <w:iCs w:val="1"/>
          <w:u w:val="single" w:color="auto"/>
          <w:color w:val="0000FF"/>
        </w:rPr>
        <w:t>Item 2. Management’s Discussion and Analysis—Non-GAAP Financial Information</w:t>
      </w:r>
      <w:r>
        <w:rPr>
          <w:rFonts w:ascii="Verdana" w:cs="Verdana" w:eastAsia="Verdana" w:hAnsi="Verdana"/>
          <w:sz w:val="13"/>
          <w:szCs w:val="13"/>
          <w:i w:val="1"/>
          <w:iCs w:val="1"/>
          <w:color w:val="auto"/>
        </w:rPr>
        <w:t>”</w:t>
      </w:r>
      <w:r>
        <w:rPr>
          <w:rFonts w:ascii="Verdana" w:cs="Verdana" w:eastAsia="Verdana" w:hAnsi="Verdana"/>
          <w:sz w:val="13"/>
          <w:szCs w:val="13"/>
          <w:color w:val="auto"/>
        </w:rPr>
        <w:t xml:space="preserve"> included in this Quarterly Report.</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2" w:name="page83"/>
    <w:bookmarkEnd w:id="82"/>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80" w:type="dxa"/>
            <w:vAlign w:val="bottom"/>
            <w:gridSpan w:val="5"/>
          </w:tcPr>
          <w:p>
            <w:pPr>
              <w:ind w:left="180"/>
              <w:spacing w:after="0"/>
              <w:rPr>
                <w:sz w:val="20"/>
                <w:szCs w:val="20"/>
                <w:color w:val="auto"/>
              </w:rPr>
            </w:pPr>
            <w:r>
              <w:rPr>
                <w:rFonts w:ascii="Verdana" w:cs="Verdana" w:eastAsia="Verdana" w:hAnsi="Verdana"/>
                <w:sz w:val="13"/>
                <w:szCs w:val="13"/>
                <w:b w:val="1"/>
                <w:bCs w:val="1"/>
                <w:color w:val="auto"/>
              </w:rPr>
              <w:t>Nine Months Ended September 30,</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0"/>
        </w:trPr>
        <w:tc>
          <w:tcPr>
            <w:tcW w:w="4640" w:type="dxa"/>
            <w:vAlign w:val="bottom"/>
            <w:tcBorders>
              <w:bottom w:val="single" w:sz="8" w:color="E0E7ED"/>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554"/>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52"/>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72"/>
              <w:spacing w:after="0"/>
              <w:rPr>
                <w:sz w:val="20"/>
                <w:szCs w:val="20"/>
                <w:color w:val="auto"/>
              </w:rPr>
            </w:pPr>
            <w:r>
              <w:rPr>
                <w:rFonts w:ascii="Verdana" w:cs="Verdana" w:eastAsia="Verdana" w:hAnsi="Verdana"/>
                <w:sz w:val="13"/>
                <w:szCs w:val="13"/>
                <w:b w:val="1"/>
                <w:bCs w:val="1"/>
                <w:color w:val="auto"/>
              </w:rPr>
              <w:t>Change</w:t>
            </w:r>
          </w:p>
        </w:tc>
        <w:tc>
          <w:tcPr>
            <w:tcW w:w="100" w:type="dxa"/>
            <w:vAlign w:val="bottom"/>
            <w:tcBorders>
              <w:bottom w:val="single" w:sz="8" w:color="E0E7ED"/>
            </w:tcBorders>
          </w:tcPr>
          <w:p>
            <w:pPr>
              <w:spacing w:after="0"/>
              <w:rPr>
                <w:sz w:val="14"/>
                <w:szCs w:val="14"/>
                <w:color w:val="auto"/>
              </w:rPr>
            </w:pPr>
          </w:p>
        </w:tc>
        <w:tc>
          <w:tcPr>
            <w:tcW w:w="1580" w:type="dxa"/>
            <w:vAlign w:val="bottom"/>
            <w:tcBorders>
              <w:bottom w:val="single" w:sz="8" w:color="auto"/>
            </w:tcBorders>
          </w:tcPr>
          <w:p>
            <w:pPr>
              <w:jc w:val="right"/>
              <w:ind w:right="357"/>
              <w:spacing w:after="0"/>
              <w:rPr>
                <w:sz w:val="20"/>
                <w:szCs w:val="20"/>
                <w:color w:val="auto"/>
              </w:rPr>
            </w:pPr>
            <w:r>
              <w:rPr>
                <w:rFonts w:ascii="Verdana" w:cs="Verdana" w:eastAsia="Verdana" w:hAnsi="Verdana"/>
                <w:sz w:val="13"/>
                <w:szCs w:val="13"/>
                <w:b w:val="1"/>
                <w:bCs w:val="1"/>
                <w:color w:val="auto"/>
              </w:rPr>
              <w:t>% Change</w:t>
            </w:r>
          </w:p>
        </w:tc>
      </w:tr>
      <w:tr>
        <w:trPr>
          <w:trHeight w:val="255"/>
        </w:trPr>
        <w:tc>
          <w:tcPr>
            <w:tcW w:w="46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Noninterest expense</w:t>
            </w:r>
          </w:p>
        </w:tc>
        <w:tc>
          <w:tcPr>
            <w:tcW w:w="300" w:type="dxa"/>
            <w:vAlign w:val="bottom"/>
            <w:shd w:val="clear" w:color="auto" w:fill="E0E7ED"/>
          </w:tcPr>
          <w:p>
            <w:pPr>
              <w:spacing w:after="0"/>
              <w:rPr>
                <w:sz w:val="22"/>
                <w:szCs w:val="22"/>
                <w:color w:val="auto"/>
              </w:rPr>
            </w:pPr>
          </w:p>
        </w:tc>
        <w:tc>
          <w:tcPr>
            <w:tcW w:w="13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00" w:type="dxa"/>
            <w:vAlign w:val="bottom"/>
            <w:shd w:val="clear" w:color="auto" w:fill="E0E7ED"/>
          </w:tcPr>
          <w:p>
            <w:pPr>
              <w:spacing w:after="0"/>
              <w:rPr>
                <w:sz w:val="22"/>
                <w:szCs w:val="22"/>
                <w:color w:val="auto"/>
              </w:rPr>
            </w:pPr>
          </w:p>
        </w:tc>
        <w:tc>
          <w:tcPr>
            <w:tcW w:w="11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1580" w:type="dxa"/>
            <w:vAlign w:val="bottom"/>
            <w:shd w:val="clear" w:color="auto" w:fill="E0E7ED"/>
          </w:tcPr>
          <w:p>
            <w:pPr>
              <w:spacing w:after="0"/>
              <w:rPr>
                <w:sz w:val="22"/>
                <w:szCs w:val="22"/>
                <w:color w:val="auto"/>
              </w:rPr>
            </w:pPr>
          </w:p>
        </w:tc>
      </w:tr>
      <w:tr>
        <w:trPr>
          <w:trHeight w:val="263"/>
        </w:trPr>
        <w:tc>
          <w:tcPr>
            <w:tcW w:w="4640" w:type="dxa"/>
            <w:vAlign w:val="bottom"/>
          </w:tcPr>
          <w:p>
            <w:pPr>
              <w:ind w:left="180"/>
              <w:spacing w:after="0"/>
              <w:rPr>
                <w:sz w:val="20"/>
                <w:szCs w:val="20"/>
                <w:color w:val="auto"/>
              </w:rPr>
            </w:pPr>
            <w:r>
              <w:rPr>
                <w:rFonts w:ascii="Verdana" w:cs="Verdana" w:eastAsia="Verdana" w:hAnsi="Verdana"/>
                <w:sz w:val="18"/>
                <w:szCs w:val="18"/>
                <w:color w:val="auto"/>
              </w:rPr>
              <w:t>Salaries, wages, and employee benefits</w:t>
            </w: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340" w:type="dxa"/>
            <w:vAlign w:val="bottom"/>
          </w:tcPr>
          <w:p>
            <w:pPr>
              <w:jc w:val="right"/>
              <w:ind w:right="194"/>
              <w:spacing w:after="0"/>
              <w:rPr>
                <w:sz w:val="20"/>
                <w:szCs w:val="20"/>
                <w:color w:val="auto"/>
              </w:rPr>
            </w:pPr>
            <w:r>
              <w:rPr>
                <w:rFonts w:ascii="Verdana" w:cs="Verdana" w:eastAsia="Verdana" w:hAnsi="Verdana"/>
                <w:sz w:val="18"/>
                <w:szCs w:val="18"/>
                <w:color w:val="auto"/>
              </w:rPr>
              <w:t>130,161</w:t>
            </w:r>
          </w:p>
        </w:tc>
        <w:tc>
          <w:tcPr>
            <w:tcW w:w="100" w:type="dxa"/>
            <w:vAlign w:val="bottom"/>
          </w:tcPr>
          <w:p>
            <w:pPr>
              <w:spacing w:after="0"/>
              <w:rPr>
                <w:sz w:val="22"/>
                <w:szCs w:val="22"/>
                <w:color w:val="auto"/>
              </w:rPr>
            </w:pPr>
          </w:p>
        </w:tc>
        <w:tc>
          <w:tcPr>
            <w:tcW w:w="380" w:type="dxa"/>
            <w:vAlign w:val="bottom"/>
          </w:tcPr>
          <w:p>
            <w:pPr>
              <w:jc w:val="right"/>
              <w:ind w:right="15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ind w:right="192"/>
              <w:spacing w:after="0"/>
              <w:rPr>
                <w:sz w:val="20"/>
                <w:szCs w:val="20"/>
                <w:color w:val="auto"/>
              </w:rPr>
            </w:pPr>
            <w:r>
              <w:rPr>
                <w:rFonts w:ascii="Verdana" w:cs="Verdana" w:eastAsia="Verdana" w:hAnsi="Verdana"/>
                <w:sz w:val="18"/>
                <w:szCs w:val="18"/>
                <w:color w:val="auto"/>
              </w:rPr>
              <w:t>119,867</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140" w:type="dxa"/>
            <w:vAlign w:val="bottom"/>
          </w:tcPr>
          <w:p>
            <w:pPr>
              <w:jc w:val="right"/>
              <w:spacing w:after="0"/>
              <w:rPr>
                <w:sz w:val="20"/>
                <w:szCs w:val="20"/>
                <w:color w:val="auto"/>
              </w:rPr>
            </w:pPr>
            <w:r>
              <w:rPr>
                <w:rFonts w:ascii="Verdana" w:cs="Verdana" w:eastAsia="Verdana" w:hAnsi="Verdana"/>
                <w:sz w:val="18"/>
                <w:szCs w:val="18"/>
                <w:color w:val="auto"/>
              </w:rPr>
              <w:t>10,294</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8.6 %</w:t>
            </w:r>
          </w:p>
        </w:tc>
      </w:tr>
      <w:tr>
        <w:trPr>
          <w:trHeight w:val="277"/>
        </w:trPr>
        <w:tc>
          <w:tcPr>
            <w:tcW w:w="46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Data processing</w:t>
            </w:r>
          </w:p>
        </w:tc>
        <w:tc>
          <w:tcPr>
            <w:tcW w:w="300" w:type="dxa"/>
            <w:vAlign w:val="bottom"/>
            <w:shd w:val="clear" w:color="auto" w:fill="E0E7ED"/>
          </w:tcPr>
          <w:p>
            <w:pPr>
              <w:spacing w:after="0"/>
              <w:rPr>
                <w:sz w:val="24"/>
                <w:szCs w:val="24"/>
                <w:color w:val="auto"/>
              </w:rPr>
            </w:pPr>
          </w:p>
        </w:tc>
        <w:tc>
          <w:tcPr>
            <w:tcW w:w="134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20,560</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17,472</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3,088</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17.7 %</w:t>
            </w:r>
          </w:p>
        </w:tc>
      </w:tr>
      <w:tr>
        <w:trPr>
          <w:trHeight w:val="270"/>
        </w:trPr>
        <w:tc>
          <w:tcPr>
            <w:tcW w:w="4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46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Premises expenses:</w:t>
            </w:r>
          </w:p>
        </w:tc>
        <w:tc>
          <w:tcPr>
            <w:tcW w:w="300" w:type="dxa"/>
            <w:vAlign w:val="bottom"/>
            <w:shd w:val="clear" w:color="auto" w:fill="E0E7ED"/>
          </w:tcPr>
          <w:p>
            <w:pPr>
              <w:spacing w:after="0"/>
              <w:rPr>
                <w:sz w:val="23"/>
                <w:szCs w:val="23"/>
                <w:color w:val="auto"/>
              </w:rPr>
            </w:pPr>
          </w:p>
        </w:tc>
        <w:tc>
          <w:tcPr>
            <w:tcW w:w="134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80" w:type="dxa"/>
            <w:vAlign w:val="bottom"/>
            <w:shd w:val="clear" w:color="auto" w:fill="E0E7ED"/>
          </w:tcPr>
          <w:p>
            <w:pPr>
              <w:spacing w:after="0"/>
              <w:rPr>
                <w:sz w:val="23"/>
                <w:szCs w:val="23"/>
                <w:color w:val="auto"/>
              </w:rPr>
            </w:pPr>
          </w:p>
        </w:tc>
        <w:tc>
          <w:tcPr>
            <w:tcW w:w="126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14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1580" w:type="dxa"/>
            <w:vAlign w:val="bottom"/>
            <w:shd w:val="clear" w:color="auto" w:fill="E0E7ED"/>
          </w:tcPr>
          <w:p>
            <w:pPr>
              <w:spacing w:after="0"/>
              <w:rPr>
                <w:sz w:val="23"/>
                <w:szCs w:val="23"/>
                <w:color w:val="auto"/>
              </w:rPr>
            </w:pPr>
          </w:p>
        </w:tc>
      </w:tr>
      <w:tr>
        <w:trPr>
          <w:trHeight w:val="263"/>
        </w:trPr>
        <w:tc>
          <w:tcPr>
            <w:tcW w:w="4640" w:type="dxa"/>
            <w:vAlign w:val="bottom"/>
          </w:tcPr>
          <w:p>
            <w:pPr>
              <w:ind w:left="360"/>
              <w:spacing w:after="0"/>
              <w:rPr>
                <w:sz w:val="20"/>
                <w:szCs w:val="20"/>
                <w:color w:val="auto"/>
              </w:rPr>
            </w:pPr>
            <w:r>
              <w:rPr>
                <w:rFonts w:ascii="Verdana" w:cs="Verdana" w:eastAsia="Verdana" w:hAnsi="Verdana"/>
                <w:sz w:val="18"/>
                <w:szCs w:val="18"/>
                <w:color w:val="auto"/>
              </w:rPr>
              <w:t>Net occupancy expense of premises</w:t>
            </w:r>
          </w:p>
        </w:tc>
        <w:tc>
          <w:tcPr>
            <w:tcW w:w="300" w:type="dxa"/>
            <w:vAlign w:val="bottom"/>
          </w:tcPr>
          <w:p>
            <w:pPr>
              <w:spacing w:after="0"/>
              <w:rPr>
                <w:sz w:val="22"/>
                <w:szCs w:val="22"/>
                <w:color w:val="auto"/>
              </w:rPr>
            </w:pPr>
          </w:p>
        </w:tc>
        <w:tc>
          <w:tcPr>
            <w:tcW w:w="1340" w:type="dxa"/>
            <w:vAlign w:val="bottom"/>
          </w:tcPr>
          <w:p>
            <w:pPr>
              <w:jc w:val="right"/>
              <w:ind w:right="194"/>
              <w:spacing w:after="0"/>
              <w:rPr>
                <w:sz w:val="20"/>
                <w:szCs w:val="20"/>
                <w:color w:val="auto"/>
              </w:rPr>
            </w:pPr>
            <w:r>
              <w:rPr>
                <w:rFonts w:ascii="Verdana" w:cs="Verdana" w:eastAsia="Verdana" w:hAnsi="Verdana"/>
                <w:sz w:val="18"/>
                <w:szCs w:val="18"/>
                <w:color w:val="auto"/>
              </w:rPr>
              <w:t>13,943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192"/>
              <w:spacing w:after="0"/>
              <w:rPr>
                <w:sz w:val="20"/>
                <w:szCs w:val="20"/>
                <w:color w:val="auto"/>
              </w:rPr>
            </w:pPr>
            <w:r>
              <w:rPr>
                <w:rFonts w:ascii="Verdana" w:cs="Verdana" w:eastAsia="Verdana" w:hAnsi="Verdana"/>
                <w:sz w:val="18"/>
                <w:szCs w:val="18"/>
                <w:color w:val="auto"/>
              </w:rPr>
              <w:t>13,896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47</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0.3 %</w:t>
            </w:r>
          </w:p>
        </w:tc>
      </w:tr>
      <w:tr>
        <w:trPr>
          <w:trHeight w:val="277"/>
        </w:trPr>
        <w:tc>
          <w:tcPr>
            <w:tcW w:w="464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Furniture and equipment expenses</w:t>
            </w:r>
          </w:p>
        </w:tc>
        <w:tc>
          <w:tcPr>
            <w:tcW w:w="300" w:type="dxa"/>
            <w:vAlign w:val="bottom"/>
            <w:tcBorders>
              <w:bottom w:val="single" w:sz="8" w:color="auto"/>
            </w:tcBorders>
            <w:shd w:val="clear" w:color="auto" w:fill="E0E7ED"/>
          </w:tcPr>
          <w:p>
            <w:pPr>
              <w:spacing w:after="0"/>
              <w:rPr>
                <w:sz w:val="24"/>
                <w:szCs w:val="24"/>
                <w:color w:val="auto"/>
              </w:rPr>
            </w:pPr>
          </w:p>
        </w:tc>
        <w:tc>
          <w:tcPr>
            <w:tcW w:w="1340" w:type="dxa"/>
            <w:vAlign w:val="bottom"/>
            <w:tcBorders>
              <w:bottom w:val="single" w:sz="8" w:color="auto"/>
            </w:tcBorders>
            <w:shd w:val="clear" w:color="auto" w:fill="E0E7ED"/>
          </w:tcPr>
          <w:p>
            <w:pPr>
              <w:jc w:val="right"/>
              <w:ind w:right="194"/>
              <w:spacing w:after="0"/>
              <w:rPr>
                <w:sz w:val="20"/>
                <w:szCs w:val="20"/>
                <w:color w:val="auto"/>
              </w:rPr>
            </w:pPr>
            <w:r>
              <w:rPr>
                <w:rFonts w:ascii="Verdana" w:cs="Verdana" w:eastAsia="Verdana" w:hAnsi="Verdana"/>
                <w:sz w:val="18"/>
                <w:szCs w:val="18"/>
                <w:color w:val="auto"/>
              </w:rPr>
              <w:t>5,155</w:t>
            </w:r>
          </w:p>
        </w:tc>
        <w:tc>
          <w:tcPr>
            <w:tcW w:w="100" w:type="dxa"/>
            <w:vAlign w:val="bottom"/>
            <w:shd w:val="clear" w:color="auto" w:fill="E0E7ED"/>
          </w:tcPr>
          <w:p>
            <w:pPr>
              <w:spacing w:after="0"/>
              <w:rPr>
                <w:sz w:val="24"/>
                <w:szCs w:val="24"/>
                <w:color w:val="auto"/>
              </w:rPr>
            </w:pPr>
          </w:p>
        </w:tc>
        <w:tc>
          <w:tcPr>
            <w:tcW w:w="380" w:type="dxa"/>
            <w:vAlign w:val="bottom"/>
            <w:tcBorders>
              <w:bottom w:val="single" w:sz="8" w:color="auto"/>
            </w:tcBorders>
            <w:shd w:val="clear" w:color="auto" w:fill="E0E7ED"/>
          </w:tcPr>
          <w:p>
            <w:pPr>
              <w:spacing w:after="0"/>
              <w:rPr>
                <w:sz w:val="24"/>
                <w:szCs w:val="24"/>
                <w:color w:val="auto"/>
              </w:rPr>
            </w:pPr>
          </w:p>
        </w:tc>
        <w:tc>
          <w:tcPr>
            <w:tcW w:w="1260" w:type="dxa"/>
            <w:vAlign w:val="bottom"/>
            <w:tcBorders>
              <w:bottom w:val="single" w:sz="8" w:color="auto"/>
            </w:tcBorders>
            <w:shd w:val="clear" w:color="auto" w:fill="E0E7ED"/>
          </w:tcPr>
          <w:p>
            <w:pPr>
              <w:jc w:val="right"/>
              <w:ind w:right="192"/>
              <w:spacing w:after="0"/>
              <w:rPr>
                <w:sz w:val="20"/>
                <w:szCs w:val="20"/>
                <w:color w:val="auto"/>
              </w:rPr>
            </w:pPr>
            <w:r>
              <w:rPr>
                <w:rFonts w:ascii="Verdana" w:cs="Verdana" w:eastAsia="Verdana" w:hAnsi="Verdana"/>
                <w:sz w:val="18"/>
                <w:szCs w:val="18"/>
                <w:color w:val="auto"/>
              </w:rPr>
              <w:t>5,065</w:t>
            </w:r>
          </w:p>
        </w:tc>
        <w:tc>
          <w:tcPr>
            <w:tcW w:w="100" w:type="dxa"/>
            <w:vAlign w:val="bottom"/>
            <w:shd w:val="clear" w:color="auto" w:fill="E0E7ED"/>
          </w:tcPr>
          <w:p>
            <w:pPr>
              <w:spacing w:after="0"/>
              <w:rPr>
                <w:sz w:val="24"/>
                <w:szCs w:val="24"/>
                <w:color w:val="auto"/>
              </w:rPr>
            </w:pPr>
          </w:p>
        </w:tc>
        <w:tc>
          <w:tcPr>
            <w:tcW w:w="300" w:type="dxa"/>
            <w:vAlign w:val="bottom"/>
            <w:tcBorders>
              <w:bottom w:val="single" w:sz="8" w:color="auto"/>
            </w:tcBorders>
            <w:shd w:val="clear" w:color="auto" w:fill="E0E7ED"/>
          </w:tcPr>
          <w:p>
            <w:pPr>
              <w:spacing w:after="0"/>
              <w:rPr>
                <w:sz w:val="24"/>
                <w:szCs w:val="24"/>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90</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1.8 %</w:t>
            </w:r>
          </w:p>
        </w:tc>
      </w:tr>
      <w:tr>
        <w:trPr>
          <w:trHeight w:val="218"/>
        </w:trPr>
        <w:tc>
          <w:tcPr>
            <w:tcW w:w="4640" w:type="dxa"/>
            <w:vAlign w:val="bottom"/>
          </w:tcPr>
          <w:p>
            <w:pPr>
              <w:ind w:left="180"/>
              <w:spacing w:after="0" w:line="217" w:lineRule="exact"/>
              <w:rPr>
                <w:sz w:val="20"/>
                <w:szCs w:val="20"/>
                <w:color w:val="auto"/>
              </w:rPr>
            </w:pPr>
            <w:r>
              <w:rPr>
                <w:rFonts w:ascii="Verdana" w:cs="Verdana" w:eastAsia="Verdana" w:hAnsi="Verdana"/>
                <w:sz w:val="18"/>
                <w:szCs w:val="18"/>
                <w:color w:val="auto"/>
              </w:rPr>
              <w:t>Combined, net occupancy expense of premises</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42"/>
        </w:trPr>
        <w:tc>
          <w:tcPr>
            <w:tcW w:w="4640" w:type="dxa"/>
            <w:vAlign w:val="bottom"/>
          </w:tcPr>
          <w:p>
            <w:pPr>
              <w:ind w:left="180"/>
              <w:spacing w:after="0"/>
              <w:rPr>
                <w:sz w:val="20"/>
                <w:szCs w:val="20"/>
                <w:color w:val="auto"/>
              </w:rPr>
            </w:pPr>
            <w:r>
              <w:rPr>
                <w:rFonts w:ascii="Verdana" w:cs="Verdana" w:eastAsia="Verdana" w:hAnsi="Verdana"/>
                <w:sz w:val="18"/>
                <w:szCs w:val="18"/>
                <w:color w:val="auto"/>
              </w:rPr>
              <w:t>and furniture and equipment expenses</w:t>
            </w:r>
          </w:p>
        </w:tc>
        <w:tc>
          <w:tcPr>
            <w:tcW w:w="300" w:type="dxa"/>
            <w:vAlign w:val="bottom"/>
          </w:tcPr>
          <w:p>
            <w:pPr>
              <w:spacing w:after="0"/>
              <w:rPr>
                <w:sz w:val="21"/>
                <w:szCs w:val="21"/>
                <w:color w:val="auto"/>
              </w:rPr>
            </w:pPr>
          </w:p>
        </w:tc>
        <w:tc>
          <w:tcPr>
            <w:tcW w:w="1340" w:type="dxa"/>
            <w:vAlign w:val="bottom"/>
          </w:tcPr>
          <w:p>
            <w:pPr>
              <w:jc w:val="right"/>
              <w:ind w:right="194"/>
              <w:spacing w:after="0"/>
              <w:rPr>
                <w:sz w:val="20"/>
                <w:szCs w:val="20"/>
                <w:color w:val="auto"/>
              </w:rPr>
            </w:pPr>
            <w:r>
              <w:rPr>
                <w:rFonts w:ascii="Verdana" w:cs="Verdana" w:eastAsia="Verdana" w:hAnsi="Verdana"/>
                <w:sz w:val="18"/>
                <w:szCs w:val="18"/>
                <w:color w:val="auto"/>
              </w:rPr>
              <w:t>19,098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92"/>
              <w:spacing w:after="0"/>
              <w:rPr>
                <w:sz w:val="20"/>
                <w:szCs w:val="20"/>
                <w:color w:val="auto"/>
              </w:rPr>
            </w:pPr>
            <w:r>
              <w:rPr>
                <w:rFonts w:ascii="Verdana" w:cs="Verdana" w:eastAsia="Verdana" w:hAnsi="Verdana"/>
                <w:sz w:val="18"/>
                <w:szCs w:val="18"/>
                <w:color w:val="auto"/>
              </w:rPr>
              <w:t>18,961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137</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0.7 %</w:t>
            </w:r>
          </w:p>
        </w:tc>
      </w:tr>
      <w:tr>
        <w:trPr>
          <w:trHeight w:val="277"/>
        </w:trPr>
        <w:tc>
          <w:tcPr>
            <w:tcW w:w="464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34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6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4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1580" w:type="dxa"/>
            <w:vAlign w:val="bottom"/>
            <w:shd w:val="clear" w:color="auto" w:fill="E0E7ED"/>
          </w:tcPr>
          <w:p>
            <w:pPr>
              <w:spacing w:after="0"/>
              <w:rPr>
                <w:sz w:val="24"/>
                <w:szCs w:val="24"/>
                <w:color w:val="auto"/>
              </w:rPr>
            </w:pPr>
          </w:p>
        </w:tc>
      </w:tr>
      <w:tr>
        <w:trPr>
          <w:trHeight w:val="263"/>
        </w:trPr>
        <w:tc>
          <w:tcPr>
            <w:tcW w:w="4640" w:type="dxa"/>
            <w:vAlign w:val="bottom"/>
          </w:tcPr>
          <w:p>
            <w:pPr>
              <w:ind w:left="180"/>
              <w:spacing w:after="0"/>
              <w:rPr>
                <w:sz w:val="20"/>
                <w:szCs w:val="20"/>
                <w:color w:val="auto"/>
              </w:rPr>
            </w:pPr>
            <w:r>
              <w:rPr>
                <w:rFonts w:ascii="Verdana" w:cs="Verdana" w:eastAsia="Verdana" w:hAnsi="Verdana"/>
                <w:sz w:val="18"/>
                <w:szCs w:val="18"/>
                <w:color w:val="auto"/>
              </w:rPr>
              <w:t>Professional fees</w:t>
            </w:r>
          </w:p>
        </w:tc>
        <w:tc>
          <w:tcPr>
            <w:tcW w:w="300" w:type="dxa"/>
            <w:vAlign w:val="bottom"/>
          </w:tcPr>
          <w:p>
            <w:pPr>
              <w:spacing w:after="0"/>
              <w:rPr>
                <w:sz w:val="22"/>
                <w:szCs w:val="22"/>
                <w:color w:val="auto"/>
              </w:rPr>
            </w:pPr>
          </w:p>
        </w:tc>
        <w:tc>
          <w:tcPr>
            <w:tcW w:w="1340" w:type="dxa"/>
            <w:vAlign w:val="bottom"/>
          </w:tcPr>
          <w:p>
            <w:pPr>
              <w:jc w:val="right"/>
              <w:ind w:right="194"/>
              <w:spacing w:after="0"/>
              <w:rPr>
                <w:sz w:val="20"/>
                <w:szCs w:val="20"/>
                <w:color w:val="auto"/>
              </w:rPr>
            </w:pPr>
            <w:r>
              <w:rPr>
                <w:rFonts w:ascii="Verdana" w:cs="Verdana" w:eastAsia="Verdana" w:hAnsi="Verdana"/>
                <w:sz w:val="18"/>
                <w:szCs w:val="18"/>
                <w:color w:val="auto"/>
              </w:rPr>
              <w:t>7,866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192"/>
              <w:spacing w:after="0"/>
              <w:rPr>
                <w:sz w:val="20"/>
                <w:szCs w:val="20"/>
                <w:color w:val="auto"/>
              </w:rPr>
            </w:pPr>
            <w:r>
              <w:rPr>
                <w:rFonts w:ascii="Verdana" w:cs="Verdana" w:eastAsia="Verdana" w:hAnsi="Verdana"/>
                <w:sz w:val="18"/>
                <w:szCs w:val="18"/>
                <w:color w:val="auto"/>
              </w:rPr>
              <w:t>4,573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3,293</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72.0 %</w:t>
            </w:r>
          </w:p>
        </w:tc>
      </w:tr>
      <w:tr>
        <w:trPr>
          <w:trHeight w:val="277"/>
        </w:trPr>
        <w:tc>
          <w:tcPr>
            <w:tcW w:w="46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Amortization of intangible assets</w:t>
            </w:r>
          </w:p>
        </w:tc>
        <w:tc>
          <w:tcPr>
            <w:tcW w:w="300" w:type="dxa"/>
            <w:vAlign w:val="bottom"/>
            <w:shd w:val="clear" w:color="auto" w:fill="E0E7ED"/>
          </w:tcPr>
          <w:p>
            <w:pPr>
              <w:spacing w:after="0"/>
              <w:rPr>
                <w:sz w:val="24"/>
                <w:szCs w:val="24"/>
                <w:color w:val="auto"/>
              </w:rPr>
            </w:pPr>
          </w:p>
        </w:tc>
        <w:tc>
          <w:tcPr>
            <w:tcW w:w="134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7,586</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7,953</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(367)</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(4.6)%</w:t>
            </w:r>
          </w:p>
        </w:tc>
      </w:tr>
      <w:tr>
        <w:trPr>
          <w:trHeight w:val="263"/>
        </w:trPr>
        <w:tc>
          <w:tcPr>
            <w:tcW w:w="4640" w:type="dxa"/>
            <w:vAlign w:val="bottom"/>
          </w:tcPr>
          <w:p>
            <w:pPr>
              <w:ind w:left="180"/>
              <w:spacing w:after="0"/>
              <w:rPr>
                <w:sz w:val="20"/>
                <w:szCs w:val="20"/>
                <w:color w:val="auto"/>
              </w:rPr>
            </w:pPr>
            <w:r>
              <w:rPr>
                <w:rFonts w:ascii="Verdana" w:cs="Verdana" w:eastAsia="Verdana" w:hAnsi="Verdana"/>
                <w:sz w:val="18"/>
                <w:szCs w:val="18"/>
                <w:color w:val="auto"/>
              </w:rPr>
              <w:t>Interchange expense</w:t>
            </w:r>
          </w:p>
        </w:tc>
        <w:tc>
          <w:tcPr>
            <w:tcW w:w="300" w:type="dxa"/>
            <w:vAlign w:val="bottom"/>
          </w:tcPr>
          <w:p>
            <w:pPr>
              <w:spacing w:after="0"/>
              <w:rPr>
                <w:sz w:val="22"/>
                <w:szCs w:val="22"/>
                <w:color w:val="auto"/>
              </w:rPr>
            </w:pPr>
          </w:p>
        </w:tc>
        <w:tc>
          <w:tcPr>
            <w:tcW w:w="1340" w:type="dxa"/>
            <w:vAlign w:val="bottom"/>
          </w:tcPr>
          <w:p>
            <w:pPr>
              <w:jc w:val="right"/>
              <w:ind w:right="194"/>
              <w:spacing w:after="0"/>
              <w:rPr>
                <w:sz w:val="20"/>
                <w:szCs w:val="20"/>
                <w:color w:val="auto"/>
              </w:rPr>
            </w:pPr>
            <w:r>
              <w:rPr>
                <w:rFonts w:ascii="Verdana" w:cs="Verdana" w:eastAsia="Verdana" w:hAnsi="Verdana"/>
                <w:sz w:val="18"/>
                <w:szCs w:val="18"/>
                <w:color w:val="auto"/>
              </w:rPr>
              <w:t>4,696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192"/>
              <w:spacing w:after="0"/>
              <w:rPr>
                <w:sz w:val="20"/>
                <w:szCs w:val="20"/>
                <w:color w:val="auto"/>
              </w:rPr>
            </w:pPr>
            <w:r>
              <w:rPr>
                <w:rFonts w:ascii="Verdana" w:cs="Verdana" w:eastAsia="Verdana" w:hAnsi="Verdana"/>
                <w:sz w:val="18"/>
                <w:szCs w:val="18"/>
                <w:color w:val="auto"/>
              </w:rPr>
              <w:t>5,509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(813)</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(14.8)%</w:t>
            </w:r>
          </w:p>
        </w:tc>
      </w:tr>
      <w:tr>
        <w:trPr>
          <w:trHeight w:val="277"/>
        </w:trPr>
        <w:tc>
          <w:tcPr>
            <w:tcW w:w="46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FDIC insurance</w:t>
            </w:r>
          </w:p>
        </w:tc>
        <w:tc>
          <w:tcPr>
            <w:tcW w:w="300" w:type="dxa"/>
            <w:vAlign w:val="bottom"/>
            <w:shd w:val="clear" w:color="auto" w:fill="E0E7ED"/>
          </w:tcPr>
          <w:p>
            <w:pPr>
              <w:spacing w:after="0"/>
              <w:rPr>
                <w:sz w:val="24"/>
                <w:szCs w:val="24"/>
                <w:color w:val="auto"/>
              </w:rPr>
            </w:pPr>
          </w:p>
        </w:tc>
        <w:tc>
          <w:tcPr>
            <w:tcW w:w="134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4,273</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4,483</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(210)</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(4.7)%</w:t>
            </w:r>
          </w:p>
        </w:tc>
      </w:tr>
      <w:tr>
        <w:trPr>
          <w:trHeight w:val="263"/>
        </w:trPr>
        <w:tc>
          <w:tcPr>
            <w:tcW w:w="464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Other noninterest expense</w:t>
            </w:r>
          </w:p>
        </w:tc>
        <w:tc>
          <w:tcPr>
            <w:tcW w:w="3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4"/>
              <w:spacing w:after="0"/>
              <w:rPr>
                <w:sz w:val="20"/>
                <w:szCs w:val="20"/>
                <w:color w:val="auto"/>
              </w:rPr>
            </w:pPr>
            <w:r>
              <w:rPr>
                <w:rFonts w:ascii="Verdana" w:cs="Verdana" w:eastAsia="Verdana" w:hAnsi="Verdana"/>
                <w:sz w:val="18"/>
                <w:szCs w:val="18"/>
                <w:color w:val="auto"/>
              </w:rPr>
              <w:t>27,992</w:t>
            </w:r>
          </w:p>
        </w:tc>
        <w:tc>
          <w:tcPr>
            <w:tcW w:w="100" w:type="dxa"/>
            <w:vAlign w:val="bottom"/>
            <w:tcBorders>
              <w:bottom w:val="single" w:sz="8" w:color="E0E7ED"/>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31,735</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(3,743)</w:t>
            </w:r>
          </w:p>
        </w:tc>
        <w:tc>
          <w:tcPr>
            <w:tcW w:w="168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(11.8)%</w:t>
            </w:r>
          </w:p>
        </w:tc>
      </w:tr>
      <w:tr>
        <w:trPr>
          <w:trHeight w:val="295"/>
        </w:trPr>
        <w:tc>
          <w:tcPr>
            <w:tcW w:w="464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noninterest expense</w:t>
            </w:r>
          </w:p>
        </w:tc>
        <w:tc>
          <w:tcPr>
            <w:tcW w:w="300" w:type="dxa"/>
            <w:vAlign w:val="bottom"/>
            <w:tcBorders>
              <w:bottom w:val="single" w:sz="8" w:color="auto"/>
            </w:tcBorders>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340" w:type="dxa"/>
            <w:vAlign w:val="bottom"/>
            <w:tcBorders>
              <w:bottom w:val="single" w:sz="8" w:color="auto"/>
            </w:tcBorders>
            <w:shd w:val="clear" w:color="auto" w:fill="E0E7ED"/>
          </w:tcPr>
          <w:p>
            <w:pPr>
              <w:jc w:val="right"/>
              <w:ind w:right="194"/>
              <w:spacing w:after="0"/>
              <w:rPr>
                <w:sz w:val="20"/>
                <w:szCs w:val="20"/>
                <w:color w:val="auto"/>
              </w:rPr>
            </w:pPr>
            <w:r>
              <w:rPr>
                <w:rFonts w:ascii="Verdana" w:cs="Verdana" w:eastAsia="Verdana" w:hAnsi="Verdana"/>
                <w:sz w:val="18"/>
                <w:szCs w:val="18"/>
                <w:color w:val="auto"/>
              </w:rPr>
              <w:t>222,232</w:t>
            </w:r>
          </w:p>
        </w:tc>
        <w:tc>
          <w:tcPr>
            <w:tcW w:w="100" w:type="dxa"/>
            <w:vAlign w:val="bottom"/>
            <w:tcBorders>
              <w:bottom w:val="single" w:sz="8" w:color="E0E7ED"/>
            </w:tcBorders>
            <w:shd w:val="clear" w:color="auto" w:fill="E0E7ED"/>
          </w:tcPr>
          <w:p>
            <w:pPr>
              <w:spacing w:after="0"/>
              <w:rPr>
                <w:sz w:val="24"/>
                <w:szCs w:val="24"/>
                <w:color w:val="auto"/>
              </w:rPr>
            </w:pPr>
          </w:p>
        </w:tc>
        <w:tc>
          <w:tcPr>
            <w:tcW w:w="380" w:type="dxa"/>
            <w:vAlign w:val="bottom"/>
            <w:tcBorders>
              <w:bottom w:val="single" w:sz="8" w:color="auto"/>
            </w:tcBorders>
            <w:shd w:val="clear" w:color="auto" w:fill="E0E7ED"/>
          </w:tcPr>
          <w:p>
            <w:pPr>
              <w:jc w:val="right"/>
              <w:ind w:right="15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shd w:val="clear" w:color="auto" w:fill="E0E7ED"/>
          </w:tcPr>
          <w:p>
            <w:pPr>
              <w:jc w:val="right"/>
              <w:ind w:right="192"/>
              <w:spacing w:after="0"/>
              <w:rPr>
                <w:sz w:val="20"/>
                <w:szCs w:val="20"/>
                <w:color w:val="auto"/>
              </w:rPr>
            </w:pPr>
            <w:r>
              <w:rPr>
                <w:rFonts w:ascii="Verdana" w:cs="Verdana" w:eastAsia="Verdana" w:hAnsi="Verdana"/>
                <w:sz w:val="18"/>
                <w:szCs w:val="18"/>
                <w:color w:val="auto"/>
              </w:rPr>
              <w:t>210,553</w:t>
            </w:r>
          </w:p>
        </w:tc>
        <w:tc>
          <w:tcPr>
            <w:tcW w:w="100" w:type="dxa"/>
            <w:vAlign w:val="bottom"/>
            <w:tcBorders>
              <w:bottom w:val="single" w:sz="8" w:color="E0E7ED"/>
            </w:tcBorders>
            <w:shd w:val="clear" w:color="auto" w:fill="E0E7ED"/>
          </w:tcPr>
          <w:p>
            <w:pPr>
              <w:spacing w:after="0"/>
              <w:rPr>
                <w:sz w:val="24"/>
                <w:szCs w:val="24"/>
                <w:color w:val="auto"/>
              </w:rPr>
            </w:pPr>
          </w:p>
        </w:tc>
        <w:tc>
          <w:tcPr>
            <w:tcW w:w="300" w:type="dxa"/>
            <w:vAlign w:val="bottom"/>
            <w:tcBorders>
              <w:bottom w:val="single" w:sz="8" w:color="auto"/>
            </w:tcBorders>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11,679</w:t>
            </w:r>
          </w:p>
        </w:tc>
        <w:tc>
          <w:tcPr>
            <w:tcW w:w="1680" w:type="dxa"/>
            <w:vAlign w:val="bottom"/>
            <w:tcBorders>
              <w:bottom w:val="single" w:sz="8" w:color="E0E7ED"/>
            </w:tcBorders>
            <w:gridSpan w:val="2"/>
            <w:shd w:val="clear" w:color="auto" w:fill="E0E7ED"/>
          </w:tcPr>
          <w:p>
            <w:pPr>
              <w:jc w:val="right"/>
              <w:spacing w:after="0"/>
              <w:rPr>
                <w:sz w:val="20"/>
                <w:szCs w:val="20"/>
                <w:color w:val="auto"/>
              </w:rPr>
            </w:pPr>
            <w:r>
              <w:rPr>
                <w:rFonts w:ascii="Verdana" w:cs="Verdana" w:eastAsia="Verdana" w:hAnsi="Verdana"/>
                <w:sz w:val="18"/>
                <w:szCs w:val="18"/>
                <w:color w:val="auto"/>
              </w:rPr>
              <w:t>5.5 %</w:t>
            </w:r>
          </w:p>
        </w:tc>
      </w:tr>
      <w:tr>
        <w:trPr>
          <w:trHeight w:val="20"/>
        </w:trPr>
        <w:tc>
          <w:tcPr>
            <w:tcW w:w="464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3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580" w:type="dxa"/>
            <w:vAlign w:val="bottom"/>
            <w:tcBorders>
              <w:top w:val="single" w:sz="8" w:color="E0E7ED"/>
            </w:tcBorders>
          </w:tcPr>
          <w:p>
            <w:pPr>
              <w:spacing w:after="0" w:line="20" w:lineRule="exact"/>
              <w:rPr>
                <w:sz w:val="1"/>
                <w:szCs w:val="1"/>
                <w:color w:val="auto"/>
              </w:rPr>
            </w:pPr>
          </w:p>
        </w:tc>
      </w:tr>
      <w:tr>
        <w:trPr>
          <w:trHeight w:val="217"/>
        </w:trPr>
        <w:tc>
          <w:tcPr>
            <w:tcW w:w="4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70"/>
        </w:trPr>
        <w:tc>
          <w:tcPr>
            <w:tcW w:w="46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Income taxes</w:t>
            </w: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34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30,359</w:t>
            </w:r>
          </w:p>
        </w:tc>
        <w:tc>
          <w:tcPr>
            <w:tcW w:w="100" w:type="dxa"/>
            <w:vAlign w:val="bottom"/>
            <w:shd w:val="clear" w:color="auto" w:fill="E0E7ED"/>
          </w:tcPr>
          <w:p>
            <w:pPr>
              <w:spacing w:after="0"/>
              <w:rPr>
                <w:sz w:val="23"/>
                <w:szCs w:val="23"/>
                <w:color w:val="auto"/>
              </w:rPr>
            </w:pPr>
          </w:p>
        </w:tc>
        <w:tc>
          <w:tcPr>
            <w:tcW w:w="380" w:type="dxa"/>
            <w:vAlign w:val="bottom"/>
            <w:shd w:val="clear" w:color="auto" w:fill="E0E7ED"/>
          </w:tcPr>
          <w:p>
            <w:pPr>
              <w:jc w:val="right"/>
              <w:ind w:right="150"/>
              <w:spacing w:after="0"/>
              <w:rPr>
                <w:sz w:val="20"/>
                <w:szCs w:val="20"/>
                <w:color w:val="auto"/>
              </w:rPr>
            </w:pPr>
            <w:r>
              <w:rPr>
                <w:rFonts w:ascii="Verdana" w:cs="Verdana" w:eastAsia="Verdana" w:hAnsi="Verdana"/>
                <w:sz w:val="18"/>
                <w:szCs w:val="18"/>
                <w:color w:val="auto"/>
              </w:rPr>
              <w:t>$</w:t>
            </w:r>
          </w:p>
        </w:tc>
        <w:tc>
          <w:tcPr>
            <w:tcW w:w="126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23,873</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6,486</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27.2 %</w:t>
            </w:r>
          </w:p>
        </w:tc>
      </w:tr>
    </w:tbl>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980" w:type="dxa"/>
            <w:vAlign w:val="bottom"/>
          </w:tcPr>
          <w:p>
            <w:pPr>
              <w:ind w:left="20"/>
              <w:spacing w:after="0"/>
              <w:rPr>
                <w:sz w:val="20"/>
                <w:szCs w:val="20"/>
                <w:color w:val="auto"/>
              </w:rPr>
            </w:pPr>
            <w:r>
              <w:rPr>
                <w:rFonts w:ascii="Verdana" w:cs="Verdana" w:eastAsia="Verdana" w:hAnsi="Verdana"/>
                <w:sz w:val="18"/>
                <w:szCs w:val="18"/>
                <w:color w:val="auto"/>
              </w:rPr>
              <w:t>Effective income tax rate</w:t>
            </w:r>
          </w:p>
        </w:tc>
        <w:tc>
          <w:tcPr>
            <w:tcW w:w="1820" w:type="dxa"/>
            <w:vAlign w:val="bottom"/>
          </w:tcPr>
          <w:p>
            <w:pPr>
              <w:jc w:val="right"/>
              <w:ind w:right="450"/>
              <w:spacing w:after="0"/>
              <w:rPr>
                <w:sz w:val="20"/>
                <w:szCs w:val="20"/>
                <w:color w:val="auto"/>
              </w:rPr>
            </w:pPr>
            <w:r>
              <w:rPr>
                <w:rFonts w:ascii="Verdana" w:cs="Verdana" w:eastAsia="Verdana" w:hAnsi="Verdana"/>
                <w:sz w:val="18"/>
                <w:szCs w:val="18"/>
                <w:color w:val="auto"/>
              </w:rPr>
              <w:t>26.2 %</w:t>
            </w:r>
          </w:p>
        </w:tc>
        <w:tc>
          <w:tcPr>
            <w:tcW w:w="1620" w:type="dxa"/>
            <w:vAlign w:val="bottom"/>
          </w:tcPr>
          <w:p>
            <w:pPr>
              <w:jc w:val="right"/>
              <w:ind w:right="330"/>
              <w:spacing w:after="0"/>
              <w:rPr>
                <w:sz w:val="20"/>
                <w:szCs w:val="20"/>
                <w:color w:val="auto"/>
              </w:rPr>
            </w:pPr>
            <w:r>
              <w:rPr>
                <w:rFonts w:ascii="Verdana" w:cs="Verdana" w:eastAsia="Verdana" w:hAnsi="Verdana"/>
                <w:sz w:val="18"/>
                <w:szCs w:val="18"/>
                <w:color w:val="auto"/>
              </w:rPr>
              <w:t>19.8 %</w:t>
            </w:r>
          </w:p>
        </w:tc>
        <w:tc>
          <w:tcPr>
            <w:tcW w:w="1680" w:type="dxa"/>
            <w:vAlign w:val="bottom"/>
          </w:tcPr>
          <w:p>
            <w:pPr>
              <w:jc w:val="right"/>
              <w:ind w:right="470"/>
              <w:spacing w:after="0"/>
              <w:rPr>
                <w:sz w:val="20"/>
                <w:szCs w:val="20"/>
                <w:color w:val="auto"/>
              </w:rPr>
            </w:pPr>
            <w:r>
              <w:rPr>
                <w:rFonts w:ascii="Verdana" w:cs="Verdana" w:eastAsia="Verdana" w:hAnsi="Verdana"/>
                <w:sz w:val="18"/>
                <w:szCs w:val="18"/>
                <w:color w:val="auto"/>
              </w:rPr>
              <w:t>640 bps</w:t>
            </w:r>
          </w:p>
        </w:tc>
        <w:tc>
          <w:tcPr>
            <w:tcW w:w="1140" w:type="dxa"/>
            <w:vAlign w:val="bottom"/>
          </w:tcPr>
          <w:p>
            <w:pPr>
              <w:spacing w:after="0"/>
              <w:rPr>
                <w:sz w:val="21"/>
                <w:szCs w:val="21"/>
                <w:color w:val="auto"/>
              </w:rPr>
            </w:pPr>
          </w:p>
        </w:tc>
      </w:tr>
      <w:tr>
        <w:trPr>
          <w:trHeight w:val="277"/>
        </w:trPr>
        <w:tc>
          <w:tcPr>
            <w:tcW w:w="4980" w:type="dxa"/>
            <w:vAlign w:val="bottom"/>
            <w:shd w:val="clear" w:color="auto" w:fill="E0E7ED"/>
          </w:tcPr>
          <w:p>
            <w:pPr>
              <w:spacing w:after="0"/>
              <w:rPr>
                <w:sz w:val="24"/>
                <w:szCs w:val="24"/>
                <w:color w:val="auto"/>
              </w:rPr>
            </w:pPr>
          </w:p>
        </w:tc>
        <w:tc>
          <w:tcPr>
            <w:tcW w:w="1820" w:type="dxa"/>
            <w:vAlign w:val="bottom"/>
            <w:shd w:val="clear" w:color="auto" w:fill="E0E7ED"/>
          </w:tcPr>
          <w:p>
            <w:pPr>
              <w:spacing w:after="0"/>
              <w:rPr>
                <w:sz w:val="24"/>
                <w:szCs w:val="24"/>
                <w:color w:val="auto"/>
              </w:rPr>
            </w:pPr>
          </w:p>
        </w:tc>
        <w:tc>
          <w:tcPr>
            <w:tcW w:w="1620" w:type="dxa"/>
            <w:vAlign w:val="bottom"/>
            <w:shd w:val="clear" w:color="auto" w:fill="E0E7ED"/>
          </w:tcPr>
          <w:p>
            <w:pPr>
              <w:spacing w:after="0"/>
              <w:rPr>
                <w:sz w:val="24"/>
                <w:szCs w:val="24"/>
                <w:color w:val="auto"/>
              </w:rPr>
            </w:pPr>
          </w:p>
        </w:tc>
        <w:tc>
          <w:tcPr>
            <w:tcW w:w="1680" w:type="dxa"/>
            <w:vAlign w:val="bottom"/>
            <w:shd w:val="clear" w:color="auto" w:fill="E0E7ED"/>
          </w:tcPr>
          <w:p>
            <w:pPr>
              <w:spacing w:after="0"/>
              <w:rPr>
                <w:sz w:val="24"/>
                <w:szCs w:val="24"/>
                <w:color w:val="auto"/>
              </w:rPr>
            </w:pPr>
          </w:p>
        </w:tc>
        <w:tc>
          <w:tcPr>
            <w:tcW w:w="1140" w:type="dxa"/>
            <w:vAlign w:val="bottom"/>
            <w:shd w:val="clear" w:color="auto" w:fill="E0E7ED"/>
          </w:tcPr>
          <w:p>
            <w:pPr>
              <w:spacing w:after="0"/>
              <w:rPr>
                <w:sz w:val="24"/>
                <w:szCs w:val="24"/>
                <w:color w:val="auto"/>
              </w:rPr>
            </w:pPr>
          </w:p>
        </w:tc>
      </w:tr>
      <w:tr>
        <w:trPr>
          <w:trHeight w:val="270"/>
        </w:trPr>
        <w:tc>
          <w:tcPr>
            <w:tcW w:w="4980" w:type="dxa"/>
            <w:vAlign w:val="bottom"/>
          </w:tcPr>
          <w:p>
            <w:pPr>
              <w:ind w:left="20"/>
              <w:spacing w:after="0" w:line="270" w:lineRule="exact"/>
              <w:rPr>
                <w:sz w:val="20"/>
                <w:szCs w:val="20"/>
                <w:color w:val="auto"/>
              </w:rPr>
            </w:pPr>
            <w:r>
              <w:rPr>
                <w:rFonts w:ascii="Verdana" w:cs="Verdana" w:eastAsia="Verdana" w:hAnsi="Verdana"/>
                <w:sz w:val="18"/>
                <w:szCs w:val="18"/>
                <w:color w:val="auto"/>
              </w:rPr>
              <w:t>Efficiency ratio</w:t>
            </w:r>
            <w:r>
              <w:rPr>
                <w:rFonts w:ascii="Verdana" w:cs="Verdana" w:eastAsia="Verdana" w:hAnsi="Verdana"/>
                <w:sz w:val="23"/>
                <w:szCs w:val="23"/>
                <w:color w:val="auto"/>
                <w:vertAlign w:val="superscript"/>
              </w:rPr>
              <w:t>1</w:t>
            </w:r>
          </w:p>
        </w:tc>
        <w:tc>
          <w:tcPr>
            <w:tcW w:w="1820" w:type="dxa"/>
            <w:vAlign w:val="bottom"/>
          </w:tcPr>
          <w:p>
            <w:pPr>
              <w:jc w:val="right"/>
              <w:ind w:right="450"/>
              <w:spacing w:after="0"/>
              <w:rPr>
                <w:sz w:val="20"/>
                <w:szCs w:val="20"/>
                <w:color w:val="auto"/>
              </w:rPr>
            </w:pPr>
            <w:r>
              <w:rPr>
                <w:rFonts w:ascii="Verdana" w:cs="Verdana" w:eastAsia="Verdana" w:hAnsi="Verdana"/>
                <w:sz w:val="18"/>
                <w:szCs w:val="18"/>
                <w:color w:val="auto"/>
              </w:rPr>
              <w:t>60.9 %</w:t>
            </w:r>
          </w:p>
        </w:tc>
        <w:tc>
          <w:tcPr>
            <w:tcW w:w="1620" w:type="dxa"/>
            <w:vAlign w:val="bottom"/>
          </w:tcPr>
          <w:p>
            <w:pPr>
              <w:jc w:val="right"/>
              <w:ind w:right="330"/>
              <w:spacing w:after="0"/>
              <w:rPr>
                <w:sz w:val="20"/>
                <w:szCs w:val="20"/>
                <w:color w:val="auto"/>
              </w:rPr>
            </w:pPr>
            <w:r>
              <w:rPr>
                <w:rFonts w:ascii="Verdana" w:cs="Verdana" w:eastAsia="Verdana" w:hAnsi="Verdana"/>
                <w:sz w:val="18"/>
                <w:szCs w:val="18"/>
                <w:color w:val="auto"/>
              </w:rPr>
              <w:t>60.0 %</w:t>
            </w:r>
          </w:p>
        </w:tc>
        <w:tc>
          <w:tcPr>
            <w:tcW w:w="1680" w:type="dxa"/>
            <w:vAlign w:val="bottom"/>
          </w:tcPr>
          <w:p>
            <w:pPr>
              <w:jc w:val="right"/>
              <w:ind w:right="470"/>
              <w:spacing w:after="0"/>
              <w:rPr>
                <w:sz w:val="20"/>
                <w:szCs w:val="20"/>
                <w:color w:val="auto"/>
              </w:rPr>
            </w:pPr>
            <w:r>
              <w:rPr>
                <w:rFonts w:ascii="Verdana" w:cs="Verdana" w:eastAsia="Verdana" w:hAnsi="Verdana"/>
                <w:sz w:val="18"/>
                <w:szCs w:val="18"/>
                <w:color w:val="auto"/>
              </w:rPr>
              <w:t>90 bps</w:t>
            </w:r>
          </w:p>
        </w:tc>
        <w:tc>
          <w:tcPr>
            <w:tcW w:w="1140" w:type="dxa"/>
            <w:vAlign w:val="bottom"/>
          </w:tcPr>
          <w:p>
            <w:pPr>
              <w:spacing w:after="0"/>
              <w:rPr>
                <w:sz w:val="23"/>
                <w:szCs w:val="23"/>
                <w:color w:val="auto"/>
              </w:rPr>
            </w:pPr>
          </w:p>
        </w:tc>
      </w:tr>
      <w:tr>
        <w:trPr>
          <w:trHeight w:val="270"/>
        </w:trPr>
        <w:tc>
          <w:tcPr>
            <w:tcW w:w="4980" w:type="dxa"/>
            <w:vAlign w:val="bottom"/>
            <w:shd w:val="clear" w:color="auto" w:fill="E0E7ED"/>
          </w:tcPr>
          <w:p>
            <w:pPr>
              <w:ind w:left="20"/>
              <w:spacing w:after="0" w:line="270" w:lineRule="exact"/>
              <w:rPr>
                <w:sz w:val="20"/>
                <w:szCs w:val="20"/>
                <w:color w:val="auto"/>
              </w:rPr>
            </w:pPr>
            <w:r>
              <w:rPr>
                <w:rFonts w:ascii="Verdana" w:cs="Verdana" w:eastAsia="Verdana" w:hAnsi="Verdana"/>
                <w:sz w:val="18"/>
                <w:szCs w:val="18"/>
                <w:color w:val="auto"/>
              </w:rPr>
              <w:t>Adjusted efficiency ratio</w:t>
            </w:r>
            <w:r>
              <w:rPr>
                <w:rFonts w:ascii="Verdana" w:cs="Verdana" w:eastAsia="Verdana" w:hAnsi="Verdana"/>
                <w:sz w:val="23"/>
                <w:szCs w:val="23"/>
                <w:color w:val="auto"/>
                <w:vertAlign w:val="superscript"/>
              </w:rPr>
              <w:t>1</w:t>
            </w:r>
          </w:p>
        </w:tc>
        <w:tc>
          <w:tcPr>
            <w:tcW w:w="1820" w:type="dxa"/>
            <w:vAlign w:val="bottom"/>
            <w:shd w:val="clear" w:color="auto" w:fill="E0E7ED"/>
          </w:tcPr>
          <w:p>
            <w:pPr>
              <w:jc w:val="right"/>
              <w:ind w:right="450"/>
              <w:spacing w:after="0"/>
              <w:rPr>
                <w:sz w:val="20"/>
                <w:szCs w:val="20"/>
                <w:color w:val="auto"/>
              </w:rPr>
            </w:pPr>
            <w:r>
              <w:rPr>
                <w:rFonts w:ascii="Verdana" w:cs="Verdana" w:eastAsia="Verdana" w:hAnsi="Verdana"/>
                <w:sz w:val="18"/>
                <w:szCs w:val="18"/>
                <w:color w:val="auto"/>
              </w:rPr>
              <w:t>60.9 %</w:t>
            </w:r>
          </w:p>
        </w:tc>
        <w:tc>
          <w:tcPr>
            <w:tcW w:w="1620" w:type="dxa"/>
            <w:vAlign w:val="bottom"/>
            <w:shd w:val="clear" w:color="auto" w:fill="E0E7ED"/>
          </w:tcPr>
          <w:p>
            <w:pPr>
              <w:jc w:val="right"/>
              <w:ind w:right="330"/>
              <w:spacing w:after="0"/>
              <w:rPr>
                <w:sz w:val="20"/>
                <w:szCs w:val="20"/>
                <w:color w:val="auto"/>
              </w:rPr>
            </w:pPr>
            <w:r>
              <w:rPr>
                <w:rFonts w:ascii="Verdana" w:cs="Verdana" w:eastAsia="Verdana" w:hAnsi="Verdana"/>
                <w:sz w:val="18"/>
                <w:szCs w:val="18"/>
                <w:color w:val="auto"/>
              </w:rPr>
              <w:t>60.0 %</w:t>
            </w:r>
          </w:p>
        </w:tc>
        <w:tc>
          <w:tcPr>
            <w:tcW w:w="1680" w:type="dxa"/>
            <w:vAlign w:val="bottom"/>
            <w:shd w:val="clear" w:color="auto" w:fill="E0E7ED"/>
          </w:tcPr>
          <w:p>
            <w:pPr>
              <w:jc w:val="right"/>
              <w:ind w:right="470"/>
              <w:spacing w:after="0"/>
              <w:rPr>
                <w:sz w:val="20"/>
                <w:szCs w:val="20"/>
                <w:color w:val="auto"/>
              </w:rPr>
            </w:pPr>
            <w:r>
              <w:rPr>
                <w:rFonts w:ascii="Verdana" w:cs="Verdana" w:eastAsia="Verdana" w:hAnsi="Verdana"/>
                <w:sz w:val="18"/>
                <w:szCs w:val="18"/>
                <w:color w:val="auto"/>
              </w:rPr>
              <w:t>90 bps</w:t>
            </w:r>
          </w:p>
        </w:tc>
        <w:tc>
          <w:tcPr>
            <w:tcW w:w="1140" w:type="dxa"/>
            <w:vAlign w:val="bottom"/>
            <w:shd w:val="clear" w:color="auto" w:fill="E0E7ED"/>
          </w:tcPr>
          <w:p>
            <w:pPr>
              <w:spacing w:after="0"/>
              <w:rPr>
                <w:sz w:val="23"/>
                <w:szCs w:val="23"/>
                <w:color w:val="auto"/>
              </w:rPr>
            </w:pPr>
          </w:p>
        </w:tc>
      </w:tr>
      <w:tr>
        <w:trPr>
          <w:trHeight w:val="270"/>
        </w:trPr>
        <w:tc>
          <w:tcPr>
            <w:tcW w:w="49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49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Full-time equivalent associates as of period-end</w:t>
            </w:r>
          </w:p>
        </w:tc>
        <w:tc>
          <w:tcPr>
            <w:tcW w:w="1820" w:type="dxa"/>
            <w:vAlign w:val="bottom"/>
            <w:shd w:val="clear" w:color="auto" w:fill="E0E7ED"/>
          </w:tcPr>
          <w:p>
            <w:pPr>
              <w:jc w:val="right"/>
              <w:ind w:right="450"/>
              <w:spacing w:after="0"/>
              <w:rPr>
                <w:sz w:val="20"/>
                <w:szCs w:val="20"/>
                <w:color w:val="auto"/>
              </w:rPr>
            </w:pPr>
            <w:r>
              <w:rPr>
                <w:rFonts w:ascii="Verdana" w:cs="Verdana" w:eastAsia="Verdana" w:hAnsi="Verdana"/>
                <w:sz w:val="18"/>
                <w:szCs w:val="18"/>
                <w:color w:val="auto"/>
              </w:rPr>
              <w:t>1,510</w:t>
            </w:r>
          </w:p>
        </w:tc>
        <w:tc>
          <w:tcPr>
            <w:tcW w:w="1620" w:type="dxa"/>
            <w:vAlign w:val="bottom"/>
            <w:shd w:val="clear" w:color="auto" w:fill="E0E7ED"/>
          </w:tcPr>
          <w:p>
            <w:pPr>
              <w:jc w:val="right"/>
              <w:ind w:right="330"/>
              <w:spacing w:after="0"/>
              <w:rPr>
                <w:sz w:val="20"/>
                <w:szCs w:val="20"/>
                <w:color w:val="auto"/>
              </w:rPr>
            </w:pPr>
            <w:r>
              <w:rPr>
                <w:rFonts w:ascii="Verdana" w:cs="Verdana" w:eastAsia="Verdana" w:hAnsi="Verdana"/>
                <w:sz w:val="18"/>
                <w:szCs w:val="18"/>
                <w:color w:val="auto"/>
              </w:rPr>
              <w:t>1,484</w:t>
            </w:r>
          </w:p>
        </w:tc>
        <w:tc>
          <w:tcPr>
            <w:tcW w:w="1680" w:type="dxa"/>
            <w:vAlign w:val="bottom"/>
            <w:shd w:val="clear" w:color="auto" w:fill="E0E7ED"/>
          </w:tcPr>
          <w:p>
            <w:pPr>
              <w:jc w:val="right"/>
              <w:ind w:right="470"/>
              <w:spacing w:after="0"/>
              <w:rPr>
                <w:sz w:val="20"/>
                <w:szCs w:val="20"/>
                <w:color w:val="auto"/>
              </w:rPr>
            </w:pPr>
            <w:r>
              <w:rPr>
                <w:rFonts w:ascii="Verdana" w:cs="Verdana" w:eastAsia="Verdana" w:hAnsi="Verdana"/>
                <w:sz w:val="18"/>
                <w:szCs w:val="18"/>
                <w:color w:val="auto"/>
              </w:rPr>
              <w:t>26</w:t>
            </w: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1.8 %</w:t>
            </w:r>
          </w:p>
        </w:tc>
      </w:tr>
      <w:tr>
        <w:trPr>
          <w:trHeight w:val="238"/>
        </w:trPr>
        <w:tc>
          <w:tcPr>
            <w:tcW w:w="4980" w:type="dxa"/>
            <w:vAlign w:val="bottom"/>
          </w:tcPr>
          <w:p>
            <w:pPr>
              <w:spacing w:after="0"/>
              <w:rPr>
                <w:sz w:val="20"/>
                <w:szCs w:val="20"/>
                <w:color w:val="auto"/>
              </w:rPr>
            </w:pPr>
            <w:r>
              <w:rPr>
                <w:rFonts w:ascii="Verdana" w:cs="Verdana" w:eastAsia="Verdana" w:hAnsi="Verdana"/>
                <w:sz w:val="13"/>
                <w:szCs w:val="13"/>
                <w:color w:val="auto"/>
              </w:rPr>
              <w:t>___________________________________________</w:t>
            </w:r>
          </w:p>
        </w:tc>
        <w:tc>
          <w:tcPr>
            <w:tcW w:w="18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ind w:left="500" w:hanging="330"/>
        <w:spacing w:after="0" w:line="237" w:lineRule="auto"/>
        <w:tabs>
          <w:tab w:leader="none" w:pos="491" w:val="left"/>
        </w:tabs>
        <w:numPr>
          <w:ilvl w:val="0"/>
          <w:numId w:val="27"/>
        </w:numPr>
        <w:rPr>
          <w:rFonts w:ascii="Verdana" w:cs="Verdana" w:eastAsia="Verdana" w:hAnsi="Verdana"/>
          <w:sz w:val="13"/>
          <w:szCs w:val="13"/>
          <w:color w:val="auto"/>
        </w:rPr>
      </w:pPr>
      <w:r>
        <w:rPr>
          <w:rFonts w:ascii="Verdana" w:cs="Verdana" w:eastAsia="Verdana" w:hAnsi="Verdana"/>
          <w:sz w:val="13"/>
          <w:szCs w:val="13"/>
          <w:color w:val="auto"/>
        </w:rPr>
        <w:t xml:space="preserve">The efficiency ratio and adjusted efficiency ratio are non-GAAP financial measures. For a reconciliation of non-GAAP measures to the most directly comparable financial GAAP measures, see </w:t>
      </w:r>
      <w:r>
        <w:rPr>
          <w:rFonts w:ascii="Verdana" w:cs="Verdana" w:eastAsia="Verdana" w:hAnsi="Verdana"/>
          <w:sz w:val="13"/>
          <w:szCs w:val="13"/>
          <w:i w:val="1"/>
          <w:iCs w:val="1"/>
          <w:color w:val="auto"/>
        </w:rPr>
        <w:t>“</w:t>
      </w:r>
      <w:r>
        <w:rPr>
          <w:rFonts w:ascii="Verdana" w:cs="Verdana" w:eastAsia="Verdana" w:hAnsi="Verdana"/>
          <w:sz w:val="13"/>
          <w:szCs w:val="13"/>
          <w:i w:val="1"/>
          <w:iCs w:val="1"/>
          <w:u w:val="single" w:color="auto"/>
          <w:color w:val="0000FF"/>
        </w:rPr>
        <w:t>Item 2. Management’s Discussion and Analysis—Non-GAAP Financial Information</w:t>
      </w:r>
      <w:r>
        <w:rPr>
          <w:rFonts w:ascii="Verdana" w:cs="Verdana" w:eastAsia="Verdana" w:hAnsi="Verdana"/>
          <w:sz w:val="13"/>
          <w:szCs w:val="13"/>
          <w:i w:val="1"/>
          <w:iCs w:val="1"/>
          <w:color w:val="auto"/>
        </w:rPr>
        <w:t>”</w:t>
      </w:r>
      <w:r>
        <w:rPr>
          <w:rFonts w:ascii="Verdana" w:cs="Verdana" w:eastAsia="Verdana" w:hAnsi="Verdana"/>
          <w:sz w:val="13"/>
          <w:szCs w:val="13"/>
          <w:color w:val="auto"/>
        </w:rPr>
        <w:t xml:space="preserve"> included in this Quarterly Report.</w:t>
      </w:r>
    </w:p>
    <w:p>
      <w:pPr>
        <w:spacing w:after="0" w:line="160"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Total noninterest expense was $75.9 million for the three months ended September 30, 2024, a 7.0% increase from the comparable period in 2023. Non-operating acquisition and restructuring expenses contributed $1.9 million to total noninterest expense for the three months ended September 30, 2024, compared to $0.1 million for the comparable period in 2023. Excluding non-operating expenses, noninterest expense was $74.0 million for the three months ended September 30, 2024, a 4.4% increase from the comparable period in 2023.</w:t>
      </w:r>
    </w:p>
    <w:p>
      <w:pPr>
        <w:spacing w:after="0" w:line="171"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Total noninterest expense was $222.2 million for the nine months ended September 30, 2024, a 5.5% increase from the comparable period in 2023. Non-operating acquisition and restructuring expenses contributed $4.6 million to total noninterest expense for the nine months ended September 30, 2024, compared to $0.1 million for the comparable period in 2023. Excluding non-operating expenses, noninterest expense was $217.6 million for the nine months ended September 30, 2024, a 3.4% increase from the comparable period in 2023.</w:t>
      </w:r>
    </w:p>
    <w:p>
      <w:pPr>
        <w:spacing w:after="0" w:line="157"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Busey remains deliberate in our efforts to prudently manage expenses and expects to realize increased rates of M&amp;M acquisition synergies during the final quarter of 2024.</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3" w:name="page84"/>
    <w:bookmarkEnd w:id="83"/>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Salaries, wages, and employee benefits were $44.6 million for the three months ended September 30, 2024, a 12.4% increase from the comparable period in 2023, and were $130.2 million for the nine months ended September 30, 2024, an 8.6% increase from the comparable period in 2023. Busey recorded $0.1 million and $1.3 million of non-operating expenses for salaries, wages, and employee benefits for the three and nine months ended September 30, 2024, respectively; in comparison we did not record any non-operating expense in this category during the three and nine months ended September 30, 2023. Our total associate base consisted of 1,510 full-time equivalents as of September 30, 2024, compared to 1,484 at September 30, 2023. The increase in our associate-base was largely due to the M&amp;M acquisition. Current trends continue to reflect a competitive labor market, maintaining pressure on costs related to attracting and maintaining our skilled workforce.</w:t>
      </w:r>
    </w:p>
    <w:p>
      <w:pPr>
        <w:spacing w:after="0" w:line="159"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Data processing expense was $6.9 million for the three months ended September 30, 2024, a 16.5% increase from the comparable period in 2023. Excluding non-operating expenses, data processing expense was $6.8 million for the three months ended September 30, 2024, a 15.0% increase from the comparable period in 2023. Data processing expense was $20.6 million for the nine months ended September 30, 2024, a 17.7% increase from the comparable period in 2023. Excluding non-operating expenses, data processing expense was $20.0 million for the nine months ended September 30, 2024, a 14.6% increase from the comparable period in 2023. Increases were primarily attributable to Company-wide investments in technology enhancements, as well as inflation-driven price increases.</w:t>
      </w:r>
    </w:p>
    <w:p>
      <w:pPr>
        <w:spacing w:after="0" w:line="176"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Combined, net occupancy expense of premises and furniture and equipment expense totaled $6.3 million for the three months ended September 30, 2024, a 0.8% increase from the comparable period in 2023, and $19.1 million for the nine months ended September 30, 2024, a 0.7% increase from the comparable period in 2023. Primary cost drivers in these expense categories include lease costs, repairs and maintenance, depreciation expense, real estate taxes, and utilities.</w:t>
      </w:r>
    </w:p>
    <w:p>
      <w:pPr>
        <w:spacing w:after="0" w:line="157"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Professional fees were $3.1 million for the three months ended September 30, 2024, a 102.2% increase from the comparable period in 2023. Excluding non-operating expenses, professional fees were $1.7 million for the three months ended September 30, 2024, a 19.4% increase from the comparable period in 2023, primarily as a result of increases in consulting fees and audit and accounting expenses. Professional fees were $7.9 million for the nine months ended September 30, 2024, a 72.0% increase from the comparable period in 2023. Excluding non-operating expenses, professional fees were $6.0 million for the nine months ended September 30, 2024, a 32.6% increase from the comparable period in 2023, primarily as a result of increases in consulting fees and legal costs.</w:t>
      </w:r>
    </w:p>
    <w:p>
      <w:pPr>
        <w:spacing w:after="0" w:line="16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Amortization of intangible assets was $2.5 million for the three months ended September 30, 2024, a 0.3% decrease from the comparable period in 2023, and $7.6 million for the nine months ended September 30, 2024, a 4.6% decrease from the comparable period for 2023. Decreases were due to the use of an accelerated amortization methodology.</w:t>
      </w:r>
    </w:p>
    <w:p>
      <w:pPr>
        <w:spacing w:after="0" w:line="167"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Interchange expense was $1.4 million for the three months ended September 30, 2024, a 24.3% decrease from the comparable period in 2023, and was $4.7 million for the nine months ended September 30, 2024, a 14.8% decrease from the comparable period in 2023. Fluctuations in interchange expense relate to payment and volume activity at FirsTech.</w:t>
      </w:r>
    </w:p>
    <w:p>
      <w:pPr>
        <w:spacing w:after="0" w:line="154" w:lineRule="exact"/>
        <w:rPr>
          <w:sz w:val="20"/>
          <w:szCs w:val="20"/>
          <w:color w:val="auto"/>
        </w:rPr>
      </w:pPr>
    </w:p>
    <w:p>
      <w:pPr>
        <w:jc w:val="both"/>
        <w:ind w:right="20"/>
        <w:spacing w:after="0" w:line="245" w:lineRule="auto"/>
        <w:rPr>
          <w:sz w:val="20"/>
          <w:szCs w:val="20"/>
          <w:color w:val="auto"/>
        </w:rPr>
      </w:pPr>
      <w:r>
        <w:rPr>
          <w:rFonts w:ascii="Verdana" w:cs="Verdana" w:eastAsia="Verdana" w:hAnsi="Verdana"/>
          <w:sz w:val="18"/>
          <w:szCs w:val="18"/>
          <w:color w:val="auto"/>
        </w:rPr>
        <w:t>FDIC insurance expense was $1.4 million for the three months ended September 30, 2024, a 4.2% decrease from the comparable period in 2023, and $4.3 million for the nine months ended September 30, 2024, a 4.7% decrease from the comparable period in 2023.</w:t>
      </w: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4" w:name="page85"/>
    <w:bookmarkEnd w:id="84"/>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Other noninterest expense was $9.7 million for the three months ended September 30, 2024, a 17.3% decrease from the comparable period in 2023, and was $28.0 million for the nine months ended September 30, 2024, an 11.8% decrease from the comparable period in 2023. In connection with Busey’s adoption of ASU 2023-02 on January 1, 2024, Busey began recording amortization of New Markets Tax Credits as income tax expense instead of other noninterest expense, resulting in decreases in other noninterest expense of $2.3 million and $6.7 million for the three and nine months ended September 30, 2024, respectively, compared to the same periods in 2023. Further changes in other noninterest expense are attributable to multiple items, including the provision for unfunded commitments, sales of other real estate owned, marketing, and business development expenses.</w:t>
      </w:r>
    </w:p>
    <w:p>
      <w:pPr>
        <w:spacing w:after="0" w:line="161"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Efficiency Ratio</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The efficiency ratio</w:t>
      </w:r>
      <w:r>
        <w:rPr>
          <w:rFonts w:ascii="Verdana" w:cs="Verdana" w:eastAsia="Verdana" w:hAnsi="Verdana"/>
          <w:sz w:val="11"/>
          <w:szCs w:val="11"/>
          <w:color w:val="auto"/>
        </w:rPr>
        <w:t>2</w:t>
      </w:r>
      <w:r>
        <w:rPr>
          <w:rFonts w:ascii="Verdana" w:cs="Verdana" w:eastAsia="Verdana" w:hAnsi="Verdana"/>
          <w:sz w:val="18"/>
          <w:szCs w:val="18"/>
          <w:color w:val="auto"/>
        </w:rPr>
        <w:t>, which is a measure commonly used by management and the banking industry, measures the amount of expense incurred to generate a dollar of revenue. Our efficiency ratio was 62.2% for the three months ended September 30, 2024, compared to 62.4% for the same period in 2023, and was 60.9% for the nine months ended September 30, 2024, compared to 60.0% for the same period in 2023.</w:t>
      </w:r>
    </w:p>
    <w:p>
      <w:pPr>
        <w:spacing w:after="0" w:line="167" w:lineRule="exact"/>
        <w:rPr>
          <w:sz w:val="20"/>
          <w:szCs w:val="20"/>
          <w:color w:val="auto"/>
        </w:rPr>
      </w:pPr>
    </w:p>
    <w:p>
      <w:pPr>
        <w:jc w:val="both"/>
        <w:spacing w:after="0" w:line="224" w:lineRule="auto"/>
        <w:rPr>
          <w:sz w:val="20"/>
          <w:szCs w:val="20"/>
          <w:color w:val="auto"/>
        </w:rPr>
      </w:pPr>
      <w:r>
        <w:rPr>
          <w:rFonts w:ascii="Verdana" w:cs="Verdana" w:eastAsia="Verdana" w:hAnsi="Verdana"/>
          <w:sz w:val="18"/>
          <w:szCs w:val="18"/>
          <w:color w:val="auto"/>
        </w:rPr>
        <w:t>Our adjusted efficiency ratio</w:t>
      </w:r>
      <w:r>
        <w:rPr>
          <w:rFonts w:ascii="Verdana" w:cs="Verdana" w:eastAsia="Verdana" w:hAnsi="Verdana"/>
          <w:sz w:val="23"/>
          <w:szCs w:val="23"/>
          <w:color w:val="auto"/>
          <w:vertAlign w:val="superscript"/>
        </w:rPr>
        <w:t>2</w:t>
      </w:r>
      <w:r>
        <w:rPr>
          <w:rFonts w:ascii="Verdana" w:cs="Verdana" w:eastAsia="Verdana" w:hAnsi="Verdana"/>
          <w:sz w:val="18"/>
          <w:szCs w:val="18"/>
          <w:color w:val="auto"/>
        </w:rPr>
        <w:t xml:space="preserve"> was 60.5% for the three months ended September 30, 2024, compared to 62.3% for the same period in 2023, and was 60.9% for the nine months ended September 30, 2024, compared to 60.0% for the same period in 2023.</w:t>
      </w:r>
    </w:p>
    <w:p>
      <w:pPr>
        <w:spacing w:after="0" w:line="158"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Taxes</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Our effective income tax rates of 24.8% and 26.2% for the three and nine months ended September 30, 2024, respectively, were lower than the combined federal and state statutory rate of approximately 28.0% due to tax exempt interest income, such as municipal bond interest and bank owned life insurance income.</w:t>
      </w:r>
    </w:p>
    <w:p>
      <w:pPr>
        <w:spacing w:after="0" w:line="167"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 xml:space="preserve">Our effective tax rates increased in 2024 due to the adoption of ASU 2023-02 in January 2024. In addition, our effective income tax rate for the nine months ended September 30, 2024, includes an estimated one-time deferred tax valuation adjustment of $1.4 million resulting from a change to our Illinois apportionment rate due to recently enacted regulations. These new regulations are expected to lower our ongoing tax obligation in future periods, but created a negative adjustment to the carrying value of our deferred tax assets in the second quarter of 2024. The table below presents our effective income tax rates and effective income tax rates excluding the one-time deferred tax valuation adjustment </w:t>
      </w:r>
      <w:r>
        <w:rPr>
          <w:rFonts w:ascii="Verdana" w:cs="Verdana" w:eastAsia="Verdana" w:hAnsi="Verdana"/>
          <w:sz w:val="18"/>
          <w:szCs w:val="18"/>
          <w:i w:val="1"/>
          <w:iCs w:val="1"/>
          <w:color w:val="auto"/>
        </w:rPr>
        <w:t>(dollars</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in thousands)</w:t>
      </w:r>
      <w:r>
        <w:rPr>
          <w:rFonts w:ascii="Verdana" w:cs="Verdana" w:eastAsia="Verdana" w:hAnsi="Verdana"/>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40" w:type="dxa"/>
            <w:vAlign w:val="bottom"/>
          </w:tcPr>
          <w:p>
            <w:pPr>
              <w:spacing w:after="0"/>
              <w:rPr>
                <w:sz w:val="13"/>
                <w:szCs w:val="13"/>
                <w:color w:val="auto"/>
              </w:rPr>
            </w:pPr>
          </w:p>
        </w:tc>
        <w:tc>
          <w:tcPr>
            <w:tcW w:w="1800" w:type="dxa"/>
            <w:vAlign w:val="bottom"/>
            <w:gridSpan w:val="3"/>
          </w:tcPr>
          <w:p>
            <w:pPr>
              <w:jc w:val="right"/>
              <w:ind w:right="220"/>
              <w:spacing w:after="0"/>
              <w:rPr>
                <w:sz w:val="20"/>
                <w:szCs w:val="20"/>
                <w:color w:val="auto"/>
              </w:rPr>
            </w:pPr>
            <w:r>
              <w:rPr>
                <w:rFonts w:ascii="Verdana" w:cs="Verdana" w:eastAsia="Verdana" w:hAnsi="Verdana"/>
                <w:sz w:val="13"/>
                <w:szCs w:val="13"/>
                <w:b w:val="1"/>
                <w:bCs w:val="1"/>
                <w:color w:val="auto"/>
              </w:rPr>
              <w:t>Three Months Ended</w:t>
            </w:r>
          </w:p>
        </w:tc>
        <w:tc>
          <w:tcPr>
            <w:tcW w:w="140" w:type="dxa"/>
            <w:vAlign w:val="bottom"/>
          </w:tcPr>
          <w:p>
            <w:pPr>
              <w:spacing w:after="0"/>
              <w:rPr>
                <w:sz w:val="13"/>
                <w:szCs w:val="13"/>
                <w:color w:val="auto"/>
              </w:rPr>
            </w:pPr>
          </w:p>
        </w:tc>
        <w:tc>
          <w:tcPr>
            <w:tcW w:w="1560" w:type="dxa"/>
            <w:vAlign w:val="bottom"/>
          </w:tcPr>
          <w:p>
            <w:pPr>
              <w:jc w:val="right"/>
              <w:ind w:right="77"/>
              <w:spacing w:after="0"/>
              <w:rPr>
                <w:sz w:val="20"/>
                <w:szCs w:val="20"/>
                <w:color w:val="auto"/>
              </w:rPr>
            </w:pPr>
            <w:r>
              <w:rPr>
                <w:rFonts w:ascii="Verdana" w:cs="Verdana" w:eastAsia="Verdana" w:hAnsi="Verdana"/>
                <w:sz w:val="13"/>
                <w:szCs w:val="13"/>
                <w:b w:val="1"/>
                <w:bCs w:val="1"/>
                <w:color w:val="auto"/>
                <w:w w:val="98"/>
              </w:rPr>
              <w:t>Nine Months Ended</w:t>
            </w:r>
          </w:p>
        </w:tc>
      </w:tr>
      <w:tr>
        <w:trPr>
          <w:trHeight w:val="170"/>
        </w:trPr>
        <w:tc>
          <w:tcPr>
            <w:tcW w:w="7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220"/>
              <w:spacing w:after="0"/>
              <w:rPr>
                <w:sz w:val="20"/>
                <w:szCs w:val="20"/>
                <w:color w:val="auto"/>
              </w:rPr>
            </w:pPr>
            <w:r>
              <w:rPr>
                <w:rFonts w:ascii="Verdana" w:cs="Verdana" w:eastAsia="Verdana" w:hAnsi="Verdana"/>
                <w:sz w:val="13"/>
                <w:szCs w:val="13"/>
                <w:b w:val="1"/>
                <w:bCs w:val="1"/>
                <w:color w:val="auto"/>
                <w:w w:val="95"/>
              </w:rPr>
              <w:t>September 30, 2024</w:t>
            </w:r>
          </w:p>
        </w:tc>
        <w:tc>
          <w:tcPr>
            <w:tcW w:w="140" w:type="dxa"/>
            <w:vAlign w:val="bottom"/>
          </w:tcPr>
          <w:p>
            <w:pPr>
              <w:spacing w:after="0"/>
              <w:rPr>
                <w:sz w:val="14"/>
                <w:szCs w:val="14"/>
                <w:color w:val="auto"/>
              </w:rPr>
            </w:pPr>
          </w:p>
        </w:tc>
        <w:tc>
          <w:tcPr>
            <w:tcW w:w="1560" w:type="dxa"/>
            <w:vAlign w:val="bottom"/>
          </w:tcPr>
          <w:p>
            <w:pPr>
              <w:jc w:val="right"/>
              <w:ind w:right="57"/>
              <w:spacing w:after="0"/>
              <w:rPr>
                <w:sz w:val="20"/>
                <w:szCs w:val="20"/>
                <w:color w:val="auto"/>
              </w:rPr>
            </w:pPr>
            <w:r>
              <w:rPr>
                <w:rFonts w:ascii="Verdana" w:cs="Verdana" w:eastAsia="Verdana" w:hAnsi="Verdana"/>
                <w:sz w:val="13"/>
                <w:szCs w:val="13"/>
                <w:b w:val="1"/>
                <w:bCs w:val="1"/>
                <w:color w:val="auto"/>
                <w:w w:val="94"/>
              </w:rPr>
              <w:t>September 30, 2024</w:t>
            </w:r>
          </w:p>
        </w:tc>
      </w:tr>
      <w:tr>
        <w:trPr>
          <w:trHeight w:val="294"/>
        </w:trPr>
        <w:tc>
          <w:tcPr>
            <w:tcW w:w="7740" w:type="dxa"/>
            <w:vAlign w:val="bottom"/>
            <w:tcBorders>
              <w:top w:val="single" w:sz="8" w:color="E0E7ED"/>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Income before income taxes</w:t>
            </w:r>
          </w:p>
        </w:tc>
        <w:tc>
          <w:tcPr>
            <w:tcW w:w="1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560" w:type="dxa"/>
            <w:vAlign w:val="bottom"/>
            <w:tcBorders>
              <w:top w:val="single" w:sz="8" w:color="auto"/>
              <w:bottom w:val="single" w:sz="8" w:color="auto"/>
            </w:tcBorders>
            <w:shd w:val="clear" w:color="auto" w:fill="E0E7ED"/>
          </w:tcPr>
          <w:p>
            <w:pPr>
              <w:jc w:val="right"/>
              <w:ind w:right="194"/>
              <w:spacing w:after="0"/>
              <w:rPr>
                <w:sz w:val="20"/>
                <w:szCs w:val="20"/>
                <w:color w:val="auto"/>
              </w:rPr>
            </w:pPr>
            <w:r>
              <w:rPr>
                <w:rFonts w:ascii="Verdana" w:cs="Verdana" w:eastAsia="Verdana" w:hAnsi="Verdana"/>
                <w:sz w:val="18"/>
                <w:szCs w:val="18"/>
                <w:color w:val="auto"/>
              </w:rPr>
              <w:t>42,564</w:t>
            </w:r>
          </w:p>
        </w:tc>
        <w:tc>
          <w:tcPr>
            <w:tcW w:w="100" w:type="dxa"/>
            <w:vAlign w:val="bottom"/>
            <w:tcBorders>
              <w:top w:val="single" w:sz="8" w:color="E0E7ED"/>
              <w:bottom w:val="single" w:sz="8" w:color="E0E7ED"/>
            </w:tcBorders>
            <w:shd w:val="clear" w:color="auto" w:fill="E0E7ED"/>
          </w:tcPr>
          <w:p>
            <w:pPr>
              <w:spacing w:after="0"/>
              <w:rPr>
                <w:sz w:val="24"/>
                <w:szCs w:val="24"/>
                <w:color w:val="auto"/>
              </w:rPr>
            </w:pPr>
          </w:p>
        </w:tc>
        <w:tc>
          <w:tcPr>
            <w:tcW w:w="1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560" w:type="dxa"/>
            <w:vAlign w:val="bottom"/>
            <w:tcBorders>
              <w:top w:val="single" w:sz="8" w:color="auto"/>
              <w:bottom w:val="single" w:sz="8" w:color="auto"/>
            </w:tcBorders>
            <w:shd w:val="clear" w:color="auto" w:fill="E0E7ED"/>
          </w:tcPr>
          <w:p>
            <w:pPr>
              <w:jc w:val="right"/>
              <w:ind w:right="197"/>
              <w:spacing w:after="0"/>
              <w:rPr>
                <w:sz w:val="20"/>
                <w:szCs w:val="20"/>
                <w:color w:val="auto"/>
              </w:rPr>
            </w:pPr>
            <w:r>
              <w:rPr>
                <w:rFonts w:ascii="Verdana" w:cs="Verdana" w:eastAsia="Verdana" w:hAnsi="Verdana"/>
                <w:sz w:val="18"/>
                <w:szCs w:val="18"/>
                <w:color w:val="auto"/>
              </w:rPr>
              <w:t>115,945</w:t>
            </w:r>
          </w:p>
        </w:tc>
      </w:tr>
      <w:tr>
        <w:trPr>
          <w:trHeight w:val="20"/>
        </w:trPr>
        <w:tc>
          <w:tcPr>
            <w:tcW w:w="7740" w:type="dxa"/>
            <w:vAlign w:val="bottom"/>
            <w:tcBorders>
              <w:top w:val="single" w:sz="8" w:color="E0E7ED"/>
            </w:tcBorders>
          </w:tcPr>
          <w:p>
            <w:pPr>
              <w:spacing w:after="0" w:line="20" w:lineRule="exact"/>
              <w:rPr>
                <w:sz w:val="1"/>
                <w:szCs w:val="1"/>
                <w:color w:val="auto"/>
              </w:rPr>
            </w:pPr>
          </w:p>
        </w:tc>
        <w:tc>
          <w:tcPr>
            <w:tcW w:w="140" w:type="dxa"/>
            <w:vAlign w:val="bottom"/>
            <w:tcBorders>
              <w:top w:val="single" w:sz="8" w:color="E0E7ED"/>
              <w:bottom w:val="single" w:sz="8" w:color="auto"/>
            </w:tcBorders>
          </w:tcPr>
          <w:p>
            <w:pPr>
              <w:spacing w:after="0" w:line="20" w:lineRule="exact"/>
              <w:rPr>
                <w:sz w:val="1"/>
                <w:szCs w:val="1"/>
                <w:color w:val="auto"/>
              </w:rPr>
            </w:pPr>
          </w:p>
        </w:tc>
        <w:tc>
          <w:tcPr>
            <w:tcW w:w="15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40" w:type="dxa"/>
            <w:vAlign w:val="bottom"/>
            <w:tcBorders>
              <w:top w:val="single" w:sz="8" w:color="E0E7ED"/>
              <w:bottom w:val="single" w:sz="8" w:color="auto"/>
            </w:tcBorders>
          </w:tcPr>
          <w:p>
            <w:pPr>
              <w:spacing w:after="0" w:line="20" w:lineRule="exact"/>
              <w:rPr>
                <w:sz w:val="1"/>
                <w:szCs w:val="1"/>
                <w:color w:val="auto"/>
              </w:rPr>
            </w:pPr>
          </w:p>
        </w:tc>
        <w:tc>
          <w:tcPr>
            <w:tcW w:w="1560" w:type="dxa"/>
            <w:vAlign w:val="bottom"/>
            <w:tcBorders>
              <w:top w:val="single" w:sz="8" w:color="E0E7ED"/>
              <w:bottom w:val="single" w:sz="8" w:color="auto"/>
            </w:tcBorders>
          </w:tcPr>
          <w:p>
            <w:pPr>
              <w:spacing w:after="0" w:line="20" w:lineRule="exact"/>
              <w:rPr>
                <w:sz w:val="1"/>
                <w:szCs w:val="1"/>
                <w:color w:val="auto"/>
              </w:rPr>
            </w:pPr>
          </w:p>
        </w:tc>
      </w:tr>
      <w:tr>
        <w:trPr>
          <w:trHeight w:val="217"/>
        </w:trPr>
        <w:tc>
          <w:tcPr>
            <w:tcW w:w="7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70"/>
        </w:trPr>
        <w:tc>
          <w:tcPr>
            <w:tcW w:w="77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Income taxes</w:t>
            </w:r>
          </w:p>
        </w:tc>
        <w:tc>
          <w:tcPr>
            <w:tcW w:w="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56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10,560</w:t>
            </w:r>
          </w:p>
        </w:tc>
        <w:tc>
          <w:tcPr>
            <w:tcW w:w="100" w:type="dxa"/>
            <w:vAlign w:val="bottom"/>
            <w:shd w:val="clear" w:color="auto" w:fill="E0E7ED"/>
          </w:tcPr>
          <w:p>
            <w:pPr>
              <w:spacing w:after="0"/>
              <w:rPr>
                <w:sz w:val="23"/>
                <w:szCs w:val="23"/>
                <w:color w:val="auto"/>
              </w:rPr>
            </w:pPr>
          </w:p>
        </w:tc>
        <w:tc>
          <w:tcPr>
            <w:tcW w:w="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560" w:type="dxa"/>
            <w:vAlign w:val="bottom"/>
            <w:shd w:val="clear" w:color="auto" w:fill="E0E7ED"/>
          </w:tcPr>
          <w:p>
            <w:pPr>
              <w:jc w:val="right"/>
              <w:ind w:right="197"/>
              <w:spacing w:after="0"/>
              <w:rPr>
                <w:sz w:val="20"/>
                <w:szCs w:val="20"/>
                <w:color w:val="auto"/>
              </w:rPr>
            </w:pPr>
            <w:r>
              <w:rPr>
                <w:rFonts w:ascii="Verdana" w:cs="Verdana" w:eastAsia="Verdana" w:hAnsi="Verdana"/>
                <w:sz w:val="18"/>
                <w:szCs w:val="18"/>
                <w:color w:val="auto"/>
              </w:rPr>
              <w:t>30,359</w:t>
            </w:r>
          </w:p>
        </w:tc>
      </w:tr>
      <w:tr>
        <w:trPr>
          <w:trHeight w:val="238"/>
        </w:trPr>
        <w:tc>
          <w:tcPr>
            <w:tcW w:w="7740" w:type="dxa"/>
            <w:vAlign w:val="bottom"/>
          </w:tcPr>
          <w:p>
            <w:pPr>
              <w:ind w:left="180"/>
              <w:spacing w:after="0"/>
              <w:rPr>
                <w:sz w:val="20"/>
                <w:szCs w:val="20"/>
                <w:color w:val="auto"/>
              </w:rPr>
            </w:pPr>
            <w:r>
              <w:rPr>
                <w:rFonts w:ascii="Verdana" w:cs="Verdana" w:eastAsia="Verdana" w:hAnsi="Verdana"/>
                <w:sz w:val="18"/>
                <w:szCs w:val="18"/>
                <w:color w:val="auto"/>
              </w:rPr>
              <w:t>One-time deferred tax valuation adjustment resulting from a change to our Illinois</w:t>
            </w: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42"/>
        </w:trPr>
        <w:tc>
          <w:tcPr>
            <w:tcW w:w="7740" w:type="dxa"/>
            <w:vAlign w:val="bottom"/>
          </w:tcPr>
          <w:p>
            <w:pPr>
              <w:ind w:left="180"/>
              <w:spacing w:after="0"/>
              <w:rPr>
                <w:sz w:val="20"/>
                <w:szCs w:val="20"/>
                <w:color w:val="auto"/>
              </w:rPr>
            </w:pPr>
            <w:r>
              <w:rPr>
                <w:rFonts w:ascii="Verdana" w:cs="Verdana" w:eastAsia="Verdana" w:hAnsi="Verdana"/>
                <w:sz w:val="18"/>
                <w:szCs w:val="18"/>
                <w:color w:val="auto"/>
              </w:rPr>
              <w:t>apportionment rate due to recently enacted regulations</w:t>
            </w:r>
          </w:p>
        </w:tc>
        <w:tc>
          <w:tcPr>
            <w:tcW w:w="140" w:type="dxa"/>
            <w:vAlign w:val="bottom"/>
          </w:tcPr>
          <w:p>
            <w:pPr>
              <w:spacing w:after="0"/>
              <w:rPr>
                <w:sz w:val="21"/>
                <w:szCs w:val="21"/>
                <w:color w:val="auto"/>
              </w:rPr>
            </w:pPr>
          </w:p>
        </w:tc>
        <w:tc>
          <w:tcPr>
            <w:tcW w:w="1660" w:type="dxa"/>
            <w:vAlign w:val="bottom"/>
            <w:gridSpan w:val="2"/>
          </w:tcPr>
          <w:p>
            <w:pPr>
              <w:jc w:val="right"/>
              <w:ind w:right="380"/>
              <w:spacing w:after="0"/>
              <w:rPr>
                <w:sz w:val="20"/>
                <w:szCs w:val="20"/>
                <w:color w:val="auto"/>
              </w:rPr>
            </w:pPr>
            <w:r>
              <w:rPr>
                <w:rFonts w:ascii="Verdana" w:cs="Verdana" w:eastAsia="Verdana" w:hAnsi="Verdana"/>
                <w:sz w:val="18"/>
                <w:szCs w:val="18"/>
                <w:color w:val="auto"/>
              </w:rPr>
              <w:t>—</w:t>
            </w:r>
          </w:p>
        </w:tc>
        <w:tc>
          <w:tcPr>
            <w:tcW w:w="140" w:type="dxa"/>
            <w:vAlign w:val="bottom"/>
          </w:tcPr>
          <w:p>
            <w:pPr>
              <w:spacing w:after="0"/>
              <w:rPr>
                <w:sz w:val="21"/>
                <w:szCs w:val="21"/>
                <w:color w:val="auto"/>
              </w:rPr>
            </w:pPr>
          </w:p>
        </w:tc>
        <w:tc>
          <w:tcPr>
            <w:tcW w:w="1560" w:type="dxa"/>
            <w:vAlign w:val="bottom"/>
          </w:tcPr>
          <w:p>
            <w:pPr>
              <w:jc w:val="right"/>
              <w:ind w:right="197"/>
              <w:spacing w:after="0"/>
              <w:rPr>
                <w:sz w:val="20"/>
                <w:szCs w:val="20"/>
                <w:color w:val="auto"/>
              </w:rPr>
            </w:pPr>
            <w:r>
              <w:rPr>
                <w:rFonts w:ascii="Verdana" w:cs="Verdana" w:eastAsia="Verdana" w:hAnsi="Verdana"/>
                <w:sz w:val="18"/>
                <w:szCs w:val="18"/>
                <w:color w:val="auto"/>
              </w:rPr>
              <w:t>1,446</w:t>
            </w:r>
          </w:p>
        </w:tc>
      </w:tr>
      <w:tr>
        <w:trPr>
          <w:trHeight w:val="295"/>
        </w:trPr>
        <w:tc>
          <w:tcPr>
            <w:tcW w:w="7740" w:type="dxa"/>
            <w:vAlign w:val="bottom"/>
            <w:tcBorders>
              <w:top w:val="single" w:sz="8" w:color="E0E7ED"/>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Income taxes, excluding one-time deferred tax valuation adjustment</w:t>
            </w:r>
          </w:p>
        </w:tc>
        <w:tc>
          <w:tcPr>
            <w:tcW w:w="1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560" w:type="dxa"/>
            <w:vAlign w:val="bottom"/>
            <w:tcBorders>
              <w:top w:val="single" w:sz="8" w:color="auto"/>
              <w:bottom w:val="single" w:sz="8" w:color="auto"/>
            </w:tcBorders>
            <w:shd w:val="clear" w:color="auto" w:fill="E0E7ED"/>
          </w:tcPr>
          <w:p>
            <w:pPr>
              <w:jc w:val="right"/>
              <w:ind w:right="194"/>
              <w:spacing w:after="0"/>
              <w:rPr>
                <w:sz w:val="20"/>
                <w:szCs w:val="20"/>
                <w:color w:val="auto"/>
              </w:rPr>
            </w:pPr>
            <w:r>
              <w:rPr>
                <w:rFonts w:ascii="Verdana" w:cs="Verdana" w:eastAsia="Verdana" w:hAnsi="Verdana"/>
                <w:sz w:val="18"/>
                <w:szCs w:val="18"/>
                <w:color w:val="auto"/>
              </w:rPr>
              <w:t>10,560</w:t>
            </w:r>
          </w:p>
        </w:tc>
        <w:tc>
          <w:tcPr>
            <w:tcW w:w="100" w:type="dxa"/>
            <w:vAlign w:val="bottom"/>
            <w:tcBorders>
              <w:top w:val="single" w:sz="8" w:color="E0E7ED"/>
              <w:bottom w:val="single" w:sz="8" w:color="E0E7ED"/>
            </w:tcBorders>
            <w:shd w:val="clear" w:color="auto" w:fill="E0E7ED"/>
          </w:tcPr>
          <w:p>
            <w:pPr>
              <w:spacing w:after="0"/>
              <w:rPr>
                <w:sz w:val="24"/>
                <w:szCs w:val="24"/>
                <w:color w:val="auto"/>
              </w:rPr>
            </w:pPr>
          </w:p>
        </w:tc>
        <w:tc>
          <w:tcPr>
            <w:tcW w:w="1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560" w:type="dxa"/>
            <w:vAlign w:val="bottom"/>
            <w:tcBorders>
              <w:top w:val="single" w:sz="8" w:color="auto"/>
              <w:bottom w:val="single" w:sz="8" w:color="auto"/>
            </w:tcBorders>
            <w:shd w:val="clear" w:color="auto" w:fill="E0E7ED"/>
          </w:tcPr>
          <w:p>
            <w:pPr>
              <w:jc w:val="right"/>
              <w:ind w:right="197"/>
              <w:spacing w:after="0"/>
              <w:rPr>
                <w:sz w:val="20"/>
                <w:szCs w:val="20"/>
                <w:color w:val="auto"/>
              </w:rPr>
            </w:pPr>
            <w:r>
              <w:rPr>
                <w:rFonts w:ascii="Verdana" w:cs="Verdana" w:eastAsia="Verdana" w:hAnsi="Verdana"/>
                <w:sz w:val="18"/>
                <w:szCs w:val="18"/>
                <w:color w:val="auto"/>
              </w:rPr>
              <w:t>28,913</w:t>
            </w:r>
          </w:p>
        </w:tc>
      </w:tr>
      <w:tr>
        <w:trPr>
          <w:trHeight w:val="20"/>
        </w:trPr>
        <w:tc>
          <w:tcPr>
            <w:tcW w:w="7740" w:type="dxa"/>
            <w:vAlign w:val="bottom"/>
            <w:tcBorders>
              <w:top w:val="single" w:sz="8" w:color="E0E7ED"/>
            </w:tcBorders>
          </w:tcPr>
          <w:p>
            <w:pPr>
              <w:spacing w:after="0" w:line="20" w:lineRule="exact"/>
              <w:rPr>
                <w:sz w:val="1"/>
                <w:szCs w:val="1"/>
                <w:color w:val="auto"/>
              </w:rPr>
            </w:pPr>
          </w:p>
        </w:tc>
        <w:tc>
          <w:tcPr>
            <w:tcW w:w="140" w:type="dxa"/>
            <w:vAlign w:val="bottom"/>
            <w:tcBorders>
              <w:top w:val="single" w:sz="8" w:color="E0E7ED"/>
              <w:bottom w:val="single" w:sz="8" w:color="auto"/>
            </w:tcBorders>
          </w:tcPr>
          <w:p>
            <w:pPr>
              <w:spacing w:after="0" w:line="20" w:lineRule="exact"/>
              <w:rPr>
                <w:sz w:val="1"/>
                <w:szCs w:val="1"/>
                <w:color w:val="auto"/>
              </w:rPr>
            </w:pPr>
          </w:p>
        </w:tc>
        <w:tc>
          <w:tcPr>
            <w:tcW w:w="15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40" w:type="dxa"/>
            <w:vAlign w:val="bottom"/>
            <w:tcBorders>
              <w:top w:val="single" w:sz="8" w:color="E0E7ED"/>
              <w:bottom w:val="single" w:sz="8" w:color="auto"/>
            </w:tcBorders>
          </w:tcPr>
          <w:p>
            <w:pPr>
              <w:spacing w:after="0" w:line="20" w:lineRule="exact"/>
              <w:rPr>
                <w:sz w:val="1"/>
                <w:szCs w:val="1"/>
                <w:color w:val="auto"/>
              </w:rPr>
            </w:pPr>
          </w:p>
        </w:tc>
        <w:tc>
          <w:tcPr>
            <w:tcW w:w="1560" w:type="dxa"/>
            <w:vAlign w:val="bottom"/>
            <w:tcBorders>
              <w:top w:val="single" w:sz="8" w:color="E0E7ED"/>
              <w:bottom w:val="single" w:sz="8" w:color="auto"/>
            </w:tcBorders>
          </w:tcPr>
          <w:p>
            <w:pPr>
              <w:spacing w:after="0" w:line="20" w:lineRule="exact"/>
              <w:rPr>
                <w:sz w:val="1"/>
                <w:szCs w:val="1"/>
                <w:color w:val="auto"/>
              </w:rPr>
            </w:pPr>
          </w:p>
        </w:tc>
      </w:tr>
      <w:tr>
        <w:trPr>
          <w:trHeight w:val="217"/>
        </w:trPr>
        <w:tc>
          <w:tcPr>
            <w:tcW w:w="7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70"/>
        </w:trPr>
        <w:tc>
          <w:tcPr>
            <w:tcW w:w="77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Effective income tax rate</w:t>
            </w:r>
          </w:p>
        </w:tc>
        <w:tc>
          <w:tcPr>
            <w:tcW w:w="140" w:type="dxa"/>
            <w:vAlign w:val="bottom"/>
            <w:shd w:val="clear" w:color="auto" w:fill="E0E7ED"/>
          </w:tcPr>
          <w:p>
            <w:pPr>
              <w:spacing w:after="0"/>
              <w:rPr>
                <w:sz w:val="23"/>
                <w:szCs w:val="23"/>
                <w:color w:val="auto"/>
              </w:rPr>
            </w:pPr>
          </w:p>
        </w:tc>
        <w:tc>
          <w:tcPr>
            <w:tcW w:w="15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24.8 %</w:t>
            </w:r>
          </w:p>
        </w:tc>
        <w:tc>
          <w:tcPr>
            <w:tcW w:w="100" w:type="dxa"/>
            <w:vAlign w:val="bottom"/>
            <w:shd w:val="clear" w:color="auto" w:fill="E0E7ED"/>
          </w:tcPr>
          <w:p>
            <w:pPr>
              <w:spacing w:after="0"/>
              <w:rPr>
                <w:sz w:val="23"/>
                <w:szCs w:val="23"/>
                <w:color w:val="auto"/>
              </w:rPr>
            </w:pPr>
          </w:p>
        </w:tc>
        <w:tc>
          <w:tcPr>
            <w:tcW w:w="140" w:type="dxa"/>
            <w:vAlign w:val="bottom"/>
            <w:shd w:val="clear" w:color="auto" w:fill="E0E7ED"/>
          </w:tcPr>
          <w:p>
            <w:pPr>
              <w:spacing w:after="0"/>
              <w:rPr>
                <w:sz w:val="23"/>
                <w:szCs w:val="23"/>
                <w:color w:val="auto"/>
              </w:rPr>
            </w:pPr>
          </w:p>
        </w:tc>
        <w:tc>
          <w:tcPr>
            <w:tcW w:w="15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26.2 %</w:t>
            </w:r>
          </w:p>
        </w:tc>
      </w:tr>
      <w:tr>
        <w:trPr>
          <w:trHeight w:val="257"/>
        </w:trPr>
        <w:tc>
          <w:tcPr>
            <w:tcW w:w="7740" w:type="dxa"/>
            <w:vAlign w:val="bottom"/>
          </w:tcPr>
          <w:p>
            <w:pPr>
              <w:ind w:left="20"/>
              <w:spacing w:after="0"/>
              <w:rPr>
                <w:sz w:val="20"/>
                <w:szCs w:val="20"/>
                <w:color w:val="auto"/>
              </w:rPr>
            </w:pPr>
            <w:r>
              <w:rPr>
                <w:rFonts w:ascii="Verdana" w:cs="Verdana" w:eastAsia="Verdana" w:hAnsi="Verdana"/>
                <w:sz w:val="18"/>
                <w:szCs w:val="18"/>
                <w:color w:val="auto"/>
              </w:rPr>
              <w:t>Effective income tax rate, excluding one-time deferred tax valuation adjustment</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Verdana" w:cs="Verdana" w:eastAsia="Verdana" w:hAnsi="Verdana"/>
                <w:sz w:val="18"/>
                <w:szCs w:val="18"/>
                <w:color w:val="auto"/>
              </w:rPr>
              <w:t>24.8 %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Verdana" w:cs="Verdana" w:eastAsia="Verdana" w:hAnsi="Verdana"/>
                <w:sz w:val="18"/>
                <w:szCs w:val="18"/>
                <w:color w:val="auto"/>
              </w:rPr>
              <w:t>24.9 %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714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80" w:right="20" w:hanging="172"/>
        <w:spacing w:after="0" w:line="189" w:lineRule="auto"/>
        <w:tabs>
          <w:tab w:leader="none" w:pos="155" w:val="left"/>
        </w:tabs>
        <w:numPr>
          <w:ilvl w:val="0"/>
          <w:numId w:val="28"/>
        </w:numPr>
        <w:rPr>
          <w:rFonts w:ascii="Verdana" w:cs="Verdana" w:eastAsia="Verdana" w:hAnsi="Verdana"/>
          <w:sz w:val="22"/>
          <w:szCs w:val="22"/>
          <w:color w:val="auto"/>
          <w:vertAlign w:val="superscript"/>
        </w:rPr>
      </w:pPr>
      <w:r>
        <w:rPr>
          <w:rFonts w:ascii="Verdana" w:cs="Verdana" w:eastAsia="Verdana" w:hAnsi="Verdana"/>
          <w:sz w:val="12"/>
          <w:szCs w:val="12"/>
          <w:color w:val="auto"/>
        </w:rPr>
        <w:t>The efficiency ratio and adjusted efficiency ratio are non-GAAP financial measures. For a reconciliation of non-GAAP measures to the most directly comparable GAAP financial measures, see “</w:t>
      </w:r>
      <w:r>
        <w:rPr>
          <w:rFonts w:ascii="Verdana" w:cs="Verdana" w:eastAsia="Verdana" w:hAnsi="Verdana"/>
          <w:sz w:val="12"/>
          <w:szCs w:val="12"/>
          <w:u w:val="single" w:color="auto"/>
          <w:color w:val="0000FF"/>
        </w:rPr>
        <w:t>Item 2. Management’s Discussion and Analysis—Non-GAAP Financial Information</w:t>
      </w:r>
      <w:r>
        <w:rPr>
          <w:rFonts w:ascii="Verdana" w:cs="Verdana" w:eastAsia="Verdana" w:hAnsi="Verdana"/>
          <w:sz w:val="12"/>
          <w:szCs w:val="12"/>
          <w:color w:val="auto"/>
        </w:rPr>
        <w:t>” included in this Quarterly Report.</w:t>
      </w: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5" w:name="page86"/>
    <w:bookmarkEnd w:id="85"/>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We continue to monitor evolving federal and state tax legislation and its potential impact on operations on an ongoing basis. As of September 30, 2024, Busey Bank is under examination by the Florida Department of Revenue for its 2020 to 2022 corporate income tax filings.</w:t>
      </w:r>
    </w:p>
    <w:p>
      <w:pPr>
        <w:spacing w:after="0" w:line="15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FINANCIAL CONDITION</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Balance Sheet</w:t>
      </w:r>
    </w:p>
    <w:p>
      <w:pPr>
        <w:spacing w:after="0" w:line="186"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 xml:space="preserve">Changes in significant items on our </w:t>
      </w:r>
      <w:r>
        <w:rPr>
          <w:rFonts w:ascii="Verdana" w:cs="Verdana" w:eastAsia="Verdana" w:hAnsi="Verdana"/>
          <w:sz w:val="18"/>
          <w:szCs w:val="18"/>
          <w:u w:val="single" w:color="auto"/>
          <w:color w:val="0000FF"/>
        </w:rPr>
        <w:t>Consolidated Balance Sheets (Unaudited)</w:t>
      </w:r>
      <w:r>
        <w:rPr>
          <w:rFonts w:ascii="Verdana" w:cs="Verdana" w:eastAsia="Verdana" w:hAnsi="Verdana"/>
          <w:sz w:val="18"/>
          <w:szCs w:val="18"/>
          <w:color w:val="auto"/>
        </w:rPr>
        <w:t xml:space="preserve"> are summarized as follows as of each of the dates indicated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4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gridSpan w:val="2"/>
          </w:tcPr>
          <w:p>
            <w:pPr>
              <w:ind w:left="40"/>
              <w:spacing w:after="0" w:line="122" w:lineRule="exact"/>
              <w:rPr>
                <w:sz w:val="20"/>
                <w:szCs w:val="20"/>
                <w:color w:val="auto"/>
              </w:rPr>
            </w:pPr>
            <w:r>
              <w:rPr>
                <w:rFonts w:ascii="Verdana" w:cs="Verdana" w:eastAsia="Verdana" w:hAnsi="Verdana"/>
                <w:sz w:val="13"/>
                <w:szCs w:val="13"/>
                <w:b w:val="1"/>
                <w:bCs w:val="1"/>
                <w:color w:val="auto"/>
              </w:rPr>
              <w:t>September 30,</w:t>
            </w:r>
          </w:p>
        </w:tc>
        <w:tc>
          <w:tcPr>
            <w:tcW w:w="200" w:type="dxa"/>
            <w:vAlign w:val="bottom"/>
          </w:tcPr>
          <w:p>
            <w:pPr>
              <w:spacing w:after="0"/>
              <w:rPr>
                <w:sz w:val="10"/>
                <w:szCs w:val="10"/>
                <w:color w:val="auto"/>
              </w:rPr>
            </w:pPr>
          </w:p>
        </w:tc>
        <w:tc>
          <w:tcPr>
            <w:tcW w:w="1300" w:type="dxa"/>
            <w:vAlign w:val="bottom"/>
          </w:tcPr>
          <w:p>
            <w:pPr>
              <w:jc w:val="right"/>
              <w:ind w:right="174"/>
              <w:spacing w:after="0" w:line="122" w:lineRule="exact"/>
              <w:rPr>
                <w:sz w:val="20"/>
                <w:szCs w:val="20"/>
                <w:color w:val="auto"/>
              </w:rPr>
            </w:pPr>
            <w:r>
              <w:rPr>
                <w:rFonts w:ascii="Verdana" w:cs="Verdana" w:eastAsia="Verdana" w:hAnsi="Verdana"/>
                <w:sz w:val="13"/>
                <w:szCs w:val="13"/>
                <w:b w:val="1"/>
                <w:bCs w:val="1"/>
                <w:color w:val="auto"/>
              </w:rPr>
              <w:t>December 31,</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vMerge w:val="restart"/>
          </w:tcPr>
          <w:p>
            <w:pPr>
              <w:jc w:val="right"/>
              <w:ind w:right="392"/>
              <w:spacing w:after="0"/>
              <w:rPr>
                <w:sz w:val="20"/>
                <w:szCs w:val="20"/>
                <w:color w:val="auto"/>
              </w:rPr>
            </w:pPr>
            <w:r>
              <w:rPr>
                <w:rFonts w:ascii="Verdana" w:cs="Verdana" w:eastAsia="Verdana" w:hAnsi="Verdana"/>
                <w:sz w:val="13"/>
                <w:szCs w:val="13"/>
                <w:b w:val="1"/>
                <w:bCs w:val="1"/>
                <w:color w:val="auto"/>
              </w:rPr>
              <w:t>Change</w:t>
            </w:r>
          </w:p>
        </w:tc>
        <w:tc>
          <w:tcPr>
            <w:tcW w:w="100" w:type="dxa"/>
            <w:vAlign w:val="bottom"/>
          </w:tcPr>
          <w:p>
            <w:pPr>
              <w:spacing w:after="0"/>
              <w:rPr>
                <w:sz w:val="10"/>
                <w:szCs w:val="10"/>
                <w:color w:val="auto"/>
              </w:rPr>
            </w:pPr>
          </w:p>
        </w:tc>
        <w:tc>
          <w:tcPr>
            <w:tcW w:w="1620" w:type="dxa"/>
            <w:vAlign w:val="bottom"/>
            <w:vMerge w:val="restart"/>
          </w:tcPr>
          <w:p>
            <w:pPr>
              <w:jc w:val="right"/>
              <w:ind w:right="377"/>
              <w:spacing w:after="0"/>
              <w:rPr>
                <w:sz w:val="20"/>
                <w:szCs w:val="20"/>
                <w:color w:val="auto"/>
              </w:rPr>
            </w:pPr>
            <w:r>
              <w:rPr>
                <w:rFonts w:ascii="Verdana" w:cs="Verdana" w:eastAsia="Verdana" w:hAnsi="Verdana"/>
                <w:sz w:val="13"/>
                <w:szCs w:val="13"/>
                <w:b w:val="1"/>
                <w:bCs w:val="1"/>
                <w:color w:val="auto"/>
              </w:rPr>
              <w:t>% Change</w:t>
            </w:r>
          </w:p>
        </w:tc>
        <w:tc>
          <w:tcPr>
            <w:tcW w:w="0" w:type="dxa"/>
            <w:vAlign w:val="bottom"/>
          </w:tcPr>
          <w:p>
            <w:pPr>
              <w:spacing w:after="0"/>
              <w:rPr>
                <w:sz w:val="1"/>
                <w:szCs w:val="1"/>
                <w:color w:val="auto"/>
              </w:rPr>
            </w:pPr>
          </w:p>
        </w:tc>
      </w:tr>
      <w:tr>
        <w:trPr>
          <w:trHeight w:val="170"/>
        </w:trPr>
        <w:tc>
          <w:tcPr>
            <w:tcW w:w="486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95"/>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74"/>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6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48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Assets</w:t>
            </w:r>
          </w:p>
        </w:tc>
        <w:tc>
          <w:tcPr>
            <w:tcW w:w="18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30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00" w:type="dxa"/>
            <w:vAlign w:val="bottom"/>
            <w:shd w:val="clear" w:color="auto" w:fill="E0E7ED"/>
          </w:tcPr>
          <w:p>
            <w:pPr>
              <w:spacing w:after="0"/>
              <w:rPr>
                <w:sz w:val="22"/>
                <w:szCs w:val="22"/>
                <w:color w:val="auto"/>
              </w:rPr>
            </w:pPr>
          </w:p>
        </w:tc>
        <w:tc>
          <w:tcPr>
            <w:tcW w:w="11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1620" w:type="dxa"/>
            <w:vAlign w:val="bottom"/>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860" w:type="dxa"/>
            <w:vAlign w:val="bottom"/>
          </w:tcPr>
          <w:p>
            <w:pPr>
              <w:ind w:left="180"/>
              <w:spacing w:after="0"/>
              <w:rPr>
                <w:sz w:val="20"/>
                <w:szCs w:val="20"/>
                <w:color w:val="auto"/>
              </w:rPr>
            </w:pPr>
            <w:r>
              <w:rPr>
                <w:rFonts w:ascii="Verdana" w:cs="Verdana" w:eastAsia="Verdana" w:hAnsi="Verdana"/>
                <w:sz w:val="18"/>
                <w:szCs w:val="18"/>
                <w:color w:val="auto"/>
              </w:rPr>
              <w:t>Debt securities available for sale</w:t>
            </w:r>
          </w:p>
        </w:tc>
        <w:tc>
          <w:tcPr>
            <w:tcW w:w="18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320" w:type="dxa"/>
            <w:vAlign w:val="bottom"/>
          </w:tcPr>
          <w:p>
            <w:pPr>
              <w:jc w:val="right"/>
              <w:ind w:right="15"/>
              <w:spacing w:after="0"/>
              <w:rPr>
                <w:sz w:val="20"/>
                <w:szCs w:val="20"/>
                <w:color w:val="auto"/>
              </w:rPr>
            </w:pPr>
            <w:r>
              <w:rPr>
                <w:rFonts w:ascii="Verdana" w:cs="Verdana" w:eastAsia="Verdana" w:hAnsi="Verdana"/>
                <w:sz w:val="18"/>
                <w:szCs w:val="18"/>
                <w:color w:val="auto"/>
              </w:rPr>
              <w:t>1,818,117</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00" w:type="dxa"/>
            <w:vAlign w:val="bottom"/>
          </w:tcPr>
          <w:p>
            <w:pPr>
              <w:jc w:val="right"/>
              <w:spacing w:after="0"/>
              <w:rPr>
                <w:sz w:val="20"/>
                <w:szCs w:val="20"/>
                <w:color w:val="auto"/>
              </w:rPr>
            </w:pPr>
            <w:r>
              <w:rPr>
                <w:rFonts w:ascii="Verdana" w:cs="Verdana" w:eastAsia="Verdana" w:hAnsi="Verdana"/>
                <w:sz w:val="18"/>
                <w:szCs w:val="18"/>
                <w:color w:val="auto"/>
              </w:rPr>
              <w:t>2,087,571</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(269,454)</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(12.9)%</w:t>
            </w:r>
          </w:p>
        </w:tc>
        <w:tc>
          <w:tcPr>
            <w:tcW w:w="0" w:type="dxa"/>
            <w:vAlign w:val="bottom"/>
          </w:tcPr>
          <w:p>
            <w:pPr>
              <w:spacing w:after="0"/>
              <w:rPr>
                <w:sz w:val="1"/>
                <w:szCs w:val="1"/>
                <w:color w:val="auto"/>
              </w:rPr>
            </w:pPr>
          </w:p>
        </w:tc>
      </w:tr>
      <w:tr>
        <w:trPr>
          <w:trHeight w:val="277"/>
        </w:trPr>
        <w:tc>
          <w:tcPr>
            <w:tcW w:w="48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Debt securities held to maturity</w:t>
            </w:r>
          </w:p>
        </w:tc>
        <w:tc>
          <w:tcPr>
            <w:tcW w:w="18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838,883</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872,628</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(33,745)</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(3.9)%</w:t>
            </w:r>
          </w:p>
        </w:tc>
        <w:tc>
          <w:tcPr>
            <w:tcW w:w="0" w:type="dxa"/>
            <w:vAlign w:val="bottom"/>
          </w:tcPr>
          <w:p>
            <w:pPr>
              <w:spacing w:after="0"/>
              <w:rPr>
                <w:sz w:val="1"/>
                <w:szCs w:val="1"/>
                <w:color w:val="auto"/>
              </w:rPr>
            </w:pPr>
          </w:p>
        </w:tc>
      </w:tr>
      <w:tr>
        <w:trPr>
          <w:trHeight w:val="263"/>
        </w:trPr>
        <w:tc>
          <w:tcPr>
            <w:tcW w:w="4860" w:type="dxa"/>
            <w:vAlign w:val="bottom"/>
          </w:tcPr>
          <w:p>
            <w:pPr>
              <w:ind w:left="180"/>
              <w:spacing w:after="0"/>
              <w:rPr>
                <w:sz w:val="20"/>
                <w:szCs w:val="20"/>
                <w:color w:val="auto"/>
              </w:rPr>
            </w:pPr>
            <w:r>
              <w:rPr>
                <w:rFonts w:ascii="Verdana" w:cs="Verdana" w:eastAsia="Verdana" w:hAnsi="Verdana"/>
                <w:sz w:val="18"/>
                <w:szCs w:val="18"/>
                <w:color w:val="auto"/>
              </w:rPr>
              <w:t>Portfolio loans, net of ACL</w:t>
            </w:r>
          </w:p>
        </w:tc>
        <w:tc>
          <w:tcPr>
            <w:tcW w:w="180" w:type="dxa"/>
            <w:vAlign w:val="bottom"/>
          </w:tcPr>
          <w:p>
            <w:pPr>
              <w:spacing w:after="0"/>
              <w:rPr>
                <w:sz w:val="22"/>
                <w:szCs w:val="22"/>
                <w:color w:val="auto"/>
              </w:rPr>
            </w:pPr>
          </w:p>
        </w:tc>
        <w:tc>
          <w:tcPr>
            <w:tcW w:w="1320" w:type="dxa"/>
            <w:vAlign w:val="bottom"/>
          </w:tcPr>
          <w:p>
            <w:pPr>
              <w:jc w:val="right"/>
              <w:ind w:right="15"/>
              <w:spacing w:after="0"/>
              <w:rPr>
                <w:sz w:val="20"/>
                <w:szCs w:val="20"/>
                <w:color w:val="auto"/>
              </w:rPr>
            </w:pPr>
            <w:r>
              <w:rPr>
                <w:rFonts w:ascii="Verdana" w:cs="Verdana" w:eastAsia="Verdana" w:hAnsi="Verdana"/>
                <w:sz w:val="18"/>
                <w:szCs w:val="18"/>
                <w:color w:val="auto"/>
              </w:rPr>
              <w:t>7,724,116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Verdana" w:cs="Verdana" w:eastAsia="Verdana" w:hAnsi="Verdana"/>
                <w:sz w:val="18"/>
                <w:szCs w:val="18"/>
                <w:color w:val="auto"/>
              </w:rPr>
              <w:t>7,559,294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164,822</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2.2 %</w:t>
            </w:r>
          </w:p>
        </w:tc>
        <w:tc>
          <w:tcPr>
            <w:tcW w:w="0" w:type="dxa"/>
            <w:vAlign w:val="bottom"/>
          </w:tcPr>
          <w:p>
            <w:pPr>
              <w:spacing w:after="0"/>
              <w:rPr>
                <w:sz w:val="1"/>
                <w:szCs w:val="1"/>
                <w:color w:val="auto"/>
              </w:rPr>
            </w:pPr>
          </w:p>
        </w:tc>
      </w:tr>
      <w:tr>
        <w:trPr>
          <w:trHeight w:val="277"/>
        </w:trPr>
        <w:tc>
          <w:tcPr>
            <w:tcW w:w="48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assets</w:t>
            </w:r>
          </w:p>
        </w:tc>
        <w:tc>
          <w:tcPr>
            <w:tcW w:w="18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11,986,839</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12,283,415</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(296,576)</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(2.4)%</w:t>
            </w: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Liabilities</w:t>
            </w:r>
          </w:p>
        </w:tc>
        <w:tc>
          <w:tcPr>
            <w:tcW w:w="180" w:type="dxa"/>
            <w:vAlign w:val="bottom"/>
            <w:shd w:val="clear" w:color="auto" w:fill="E0E7ED"/>
          </w:tcPr>
          <w:p>
            <w:pPr>
              <w:spacing w:after="0"/>
              <w:rPr>
                <w:sz w:val="23"/>
                <w:szCs w:val="23"/>
                <w:color w:val="auto"/>
              </w:rPr>
            </w:pPr>
          </w:p>
        </w:tc>
        <w:tc>
          <w:tcPr>
            <w:tcW w:w="132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3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1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1620" w:type="dxa"/>
            <w:vAlign w:val="bottom"/>
            <w:shd w:val="clear" w:color="auto" w:fill="E0E7ED"/>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860" w:type="dxa"/>
            <w:vAlign w:val="bottom"/>
          </w:tcPr>
          <w:p>
            <w:pPr>
              <w:ind w:left="180"/>
              <w:spacing w:after="0"/>
              <w:rPr>
                <w:sz w:val="20"/>
                <w:szCs w:val="20"/>
                <w:color w:val="auto"/>
              </w:rPr>
            </w:pPr>
            <w:r>
              <w:rPr>
                <w:rFonts w:ascii="Verdana" w:cs="Verdana" w:eastAsia="Verdana" w:hAnsi="Verdana"/>
                <w:sz w:val="18"/>
                <w:szCs w:val="18"/>
                <w:color w:val="auto"/>
              </w:rPr>
              <w:t>Deposits:</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8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Noninterest-bearing</w:t>
            </w:r>
          </w:p>
        </w:tc>
        <w:tc>
          <w:tcPr>
            <w:tcW w:w="18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2,683,543</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2,834,655</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(151,112)</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(5.3)%</w:t>
            </w:r>
          </w:p>
        </w:tc>
        <w:tc>
          <w:tcPr>
            <w:tcW w:w="0" w:type="dxa"/>
            <w:vAlign w:val="bottom"/>
          </w:tcPr>
          <w:p>
            <w:pPr>
              <w:spacing w:after="0"/>
              <w:rPr>
                <w:sz w:val="1"/>
                <w:szCs w:val="1"/>
                <w:color w:val="auto"/>
              </w:rPr>
            </w:pPr>
          </w:p>
        </w:tc>
      </w:tr>
      <w:tr>
        <w:trPr>
          <w:trHeight w:val="263"/>
        </w:trPr>
        <w:tc>
          <w:tcPr>
            <w:tcW w:w="4860" w:type="dxa"/>
            <w:vAlign w:val="bottom"/>
            <w:tcBorders>
              <w:bottom w:val="single" w:sz="8" w:color="E0E7ED"/>
            </w:tcBorders>
          </w:tcPr>
          <w:p>
            <w:pPr>
              <w:ind w:left="360"/>
              <w:spacing w:after="0"/>
              <w:rPr>
                <w:sz w:val="20"/>
                <w:szCs w:val="20"/>
                <w:color w:val="auto"/>
              </w:rPr>
            </w:pPr>
            <w:r>
              <w:rPr>
                <w:rFonts w:ascii="Verdana" w:cs="Verdana" w:eastAsia="Verdana" w:hAnsi="Verdana"/>
                <w:sz w:val="18"/>
                <w:szCs w:val="18"/>
                <w:color w:val="auto"/>
              </w:rPr>
              <w:t>Interest-bearing</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7,259,698</w:t>
            </w:r>
          </w:p>
        </w:tc>
        <w:tc>
          <w:tcPr>
            <w:tcW w:w="8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7,456,501</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(196,803)</w:t>
            </w:r>
          </w:p>
        </w:tc>
        <w:tc>
          <w:tcPr>
            <w:tcW w:w="172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(2.6)%</w:t>
            </w:r>
          </w:p>
        </w:tc>
        <w:tc>
          <w:tcPr>
            <w:tcW w:w="0" w:type="dxa"/>
            <w:vAlign w:val="bottom"/>
          </w:tcPr>
          <w:p>
            <w:pPr>
              <w:spacing w:after="0"/>
              <w:rPr>
                <w:sz w:val="1"/>
                <w:szCs w:val="1"/>
                <w:color w:val="auto"/>
              </w:rPr>
            </w:pPr>
          </w:p>
        </w:tc>
      </w:tr>
      <w:tr>
        <w:trPr>
          <w:trHeight w:val="270"/>
        </w:trPr>
        <w:tc>
          <w:tcPr>
            <w:tcW w:w="48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Total deposits</w:t>
            </w:r>
          </w:p>
        </w:tc>
        <w:tc>
          <w:tcPr>
            <w:tcW w:w="180" w:type="dxa"/>
            <w:vAlign w:val="bottom"/>
            <w:shd w:val="clear" w:color="auto" w:fill="E0E7ED"/>
          </w:tcPr>
          <w:p>
            <w:pPr>
              <w:spacing w:after="0"/>
              <w:rPr>
                <w:sz w:val="23"/>
                <w:szCs w:val="23"/>
                <w:color w:val="auto"/>
              </w:rPr>
            </w:pPr>
          </w:p>
        </w:tc>
        <w:tc>
          <w:tcPr>
            <w:tcW w:w="132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9,943,241</w:t>
            </w:r>
          </w:p>
        </w:tc>
        <w:tc>
          <w:tcPr>
            <w:tcW w:w="8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10,291,156</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(347,915)</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(3.4)%</w:t>
            </w:r>
          </w:p>
        </w:tc>
        <w:tc>
          <w:tcPr>
            <w:tcW w:w="0" w:type="dxa"/>
            <w:vAlign w:val="bottom"/>
          </w:tcPr>
          <w:p>
            <w:pPr>
              <w:spacing w:after="0"/>
              <w:rPr>
                <w:sz w:val="1"/>
                <w:szCs w:val="1"/>
                <w:color w:val="auto"/>
              </w:rPr>
            </w:pPr>
          </w:p>
        </w:tc>
      </w:tr>
      <w:tr>
        <w:trPr>
          <w:trHeight w:val="263"/>
        </w:trPr>
        <w:tc>
          <w:tcPr>
            <w:tcW w:w="4860" w:type="dxa"/>
            <w:vAlign w:val="bottom"/>
          </w:tcPr>
          <w:p>
            <w:pPr>
              <w:ind w:left="180"/>
              <w:spacing w:after="0"/>
              <w:rPr>
                <w:sz w:val="20"/>
                <w:szCs w:val="20"/>
                <w:color w:val="auto"/>
              </w:rPr>
            </w:pPr>
            <w:r>
              <w:rPr>
                <w:rFonts w:ascii="Verdana" w:cs="Verdana" w:eastAsia="Verdana" w:hAnsi="Verdana"/>
                <w:sz w:val="18"/>
                <w:szCs w:val="18"/>
                <w:color w:val="auto"/>
              </w:rPr>
              <w:t>Securities sold under agreements to repurchase</w:t>
            </w:r>
          </w:p>
        </w:tc>
        <w:tc>
          <w:tcPr>
            <w:tcW w:w="180" w:type="dxa"/>
            <w:vAlign w:val="bottom"/>
          </w:tcPr>
          <w:p>
            <w:pPr>
              <w:spacing w:after="0"/>
              <w:rPr>
                <w:sz w:val="22"/>
                <w:szCs w:val="22"/>
                <w:color w:val="auto"/>
              </w:rPr>
            </w:pPr>
          </w:p>
        </w:tc>
        <w:tc>
          <w:tcPr>
            <w:tcW w:w="1320" w:type="dxa"/>
            <w:vAlign w:val="bottom"/>
          </w:tcPr>
          <w:p>
            <w:pPr>
              <w:jc w:val="right"/>
              <w:ind w:right="15"/>
              <w:spacing w:after="0"/>
              <w:rPr>
                <w:sz w:val="20"/>
                <w:szCs w:val="20"/>
                <w:color w:val="auto"/>
              </w:rPr>
            </w:pPr>
            <w:r>
              <w:rPr>
                <w:rFonts w:ascii="Verdana" w:cs="Verdana" w:eastAsia="Verdana" w:hAnsi="Verdana"/>
                <w:sz w:val="18"/>
                <w:szCs w:val="18"/>
                <w:color w:val="auto"/>
              </w:rPr>
              <w:t>128,429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Verdana" w:cs="Verdana" w:eastAsia="Verdana" w:hAnsi="Verdana"/>
                <w:sz w:val="18"/>
                <w:szCs w:val="18"/>
                <w:color w:val="auto"/>
              </w:rPr>
              <w:t>187,396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(58,967)</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(31.5)%</w:t>
            </w:r>
          </w:p>
        </w:tc>
        <w:tc>
          <w:tcPr>
            <w:tcW w:w="0" w:type="dxa"/>
            <w:vAlign w:val="bottom"/>
          </w:tcPr>
          <w:p>
            <w:pPr>
              <w:spacing w:after="0"/>
              <w:rPr>
                <w:sz w:val="1"/>
                <w:szCs w:val="1"/>
                <w:color w:val="auto"/>
              </w:rPr>
            </w:pPr>
          </w:p>
        </w:tc>
      </w:tr>
      <w:tr>
        <w:trPr>
          <w:trHeight w:val="244"/>
        </w:trPr>
        <w:tc>
          <w:tcPr>
            <w:tcW w:w="48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Subordinated notes, net of unamortized issuance</w:t>
            </w:r>
          </w:p>
        </w:tc>
        <w:tc>
          <w:tcPr>
            <w:tcW w:w="180" w:type="dxa"/>
            <w:vAlign w:val="bottom"/>
            <w:shd w:val="clear" w:color="auto" w:fill="E0E7ED"/>
          </w:tcPr>
          <w:p>
            <w:pPr>
              <w:spacing w:after="0"/>
              <w:rPr>
                <w:sz w:val="21"/>
                <w:szCs w:val="21"/>
                <w:color w:val="auto"/>
              </w:rPr>
            </w:pPr>
          </w:p>
        </w:tc>
        <w:tc>
          <w:tcPr>
            <w:tcW w:w="13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3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62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8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costs</w:t>
            </w:r>
          </w:p>
        </w:tc>
        <w:tc>
          <w:tcPr>
            <w:tcW w:w="180" w:type="dxa"/>
            <w:vAlign w:val="bottom"/>
            <w:shd w:val="clear" w:color="auto" w:fill="E0E7ED"/>
          </w:tcPr>
          <w:p>
            <w:pPr>
              <w:spacing w:after="0"/>
              <w:rPr>
                <w:sz w:val="21"/>
                <w:szCs w:val="21"/>
                <w:color w:val="auto"/>
              </w:rPr>
            </w:pPr>
          </w:p>
        </w:tc>
        <w:tc>
          <w:tcPr>
            <w:tcW w:w="132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227,482</w:t>
            </w:r>
          </w:p>
        </w:tc>
        <w:tc>
          <w:tcPr>
            <w:tcW w:w="8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222,882</w:t>
            </w: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4,600</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2.1 %</w:t>
            </w:r>
          </w:p>
        </w:tc>
        <w:tc>
          <w:tcPr>
            <w:tcW w:w="0" w:type="dxa"/>
            <w:vAlign w:val="bottom"/>
          </w:tcPr>
          <w:p>
            <w:pPr>
              <w:spacing w:after="0"/>
              <w:rPr>
                <w:sz w:val="1"/>
                <w:szCs w:val="1"/>
                <w:color w:val="auto"/>
              </w:rPr>
            </w:pPr>
          </w:p>
        </w:tc>
      </w:tr>
      <w:tr>
        <w:trPr>
          <w:trHeight w:val="238"/>
        </w:trPr>
        <w:tc>
          <w:tcPr>
            <w:tcW w:w="4860" w:type="dxa"/>
            <w:vAlign w:val="bottom"/>
          </w:tcPr>
          <w:p>
            <w:pPr>
              <w:ind w:left="180"/>
              <w:spacing w:after="0"/>
              <w:rPr>
                <w:sz w:val="20"/>
                <w:szCs w:val="20"/>
                <w:color w:val="auto"/>
              </w:rPr>
            </w:pPr>
            <w:r>
              <w:rPr>
                <w:rFonts w:ascii="Verdana" w:cs="Verdana" w:eastAsia="Verdana" w:hAnsi="Verdana"/>
                <w:sz w:val="18"/>
                <w:szCs w:val="18"/>
                <w:color w:val="auto"/>
              </w:rPr>
              <w:t>Junior subordinated debt owed to unconsolidated</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860" w:type="dxa"/>
            <w:vAlign w:val="bottom"/>
          </w:tcPr>
          <w:p>
            <w:pPr>
              <w:ind w:left="180"/>
              <w:spacing w:after="0"/>
              <w:rPr>
                <w:sz w:val="20"/>
                <w:szCs w:val="20"/>
                <w:color w:val="auto"/>
              </w:rPr>
            </w:pPr>
            <w:r>
              <w:rPr>
                <w:rFonts w:ascii="Verdana" w:cs="Verdana" w:eastAsia="Verdana" w:hAnsi="Verdana"/>
                <w:sz w:val="18"/>
                <w:szCs w:val="18"/>
                <w:color w:val="auto"/>
              </w:rPr>
              <w:t>trusts</w:t>
            </w:r>
          </w:p>
        </w:tc>
        <w:tc>
          <w:tcPr>
            <w:tcW w:w="18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Verdana" w:cs="Verdana" w:eastAsia="Verdana" w:hAnsi="Verdana"/>
                <w:sz w:val="18"/>
                <w:szCs w:val="18"/>
                <w:color w:val="auto"/>
              </w:rPr>
              <w:t>74,754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Verdana" w:cs="Verdana" w:eastAsia="Verdana" w:hAnsi="Verdana"/>
                <w:sz w:val="18"/>
                <w:szCs w:val="18"/>
                <w:color w:val="auto"/>
              </w:rPr>
              <w:t>71,993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2,761</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3.8 %</w:t>
            </w:r>
          </w:p>
        </w:tc>
        <w:tc>
          <w:tcPr>
            <w:tcW w:w="0" w:type="dxa"/>
            <w:vAlign w:val="bottom"/>
          </w:tcPr>
          <w:p>
            <w:pPr>
              <w:spacing w:after="0"/>
              <w:rPr>
                <w:sz w:val="1"/>
                <w:szCs w:val="1"/>
                <w:color w:val="auto"/>
              </w:rPr>
            </w:pPr>
          </w:p>
        </w:tc>
      </w:tr>
      <w:tr>
        <w:trPr>
          <w:trHeight w:val="277"/>
        </w:trPr>
        <w:tc>
          <w:tcPr>
            <w:tcW w:w="48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liabilities</w:t>
            </w:r>
          </w:p>
        </w:tc>
        <w:tc>
          <w:tcPr>
            <w:tcW w:w="18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10,583,955</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11,011,434</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(427,479)</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(3.9)%</w:t>
            </w: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Stockholders’ equity</w:t>
            </w:r>
          </w:p>
        </w:tc>
        <w:tc>
          <w:tcPr>
            <w:tcW w:w="180" w:type="dxa"/>
            <w:vAlign w:val="bottom"/>
            <w:shd w:val="clear" w:color="auto" w:fill="E0E7ED"/>
          </w:tcPr>
          <w:p>
            <w:pPr>
              <w:spacing w:after="0"/>
              <w:rPr>
                <w:sz w:val="23"/>
                <w:szCs w:val="23"/>
                <w:color w:val="auto"/>
              </w:rPr>
            </w:pPr>
          </w:p>
        </w:tc>
        <w:tc>
          <w:tcPr>
            <w:tcW w:w="132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1,402,884</w:t>
            </w:r>
          </w:p>
        </w:tc>
        <w:tc>
          <w:tcPr>
            <w:tcW w:w="8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1,271,981</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130,903</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10.3 %</w:t>
            </w: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Portfolio Loans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We believe that making sound and profitable loans is a necessary and desirable means of employing funds available for investment. Busey maintains lending policies and procedures designed to focus lending efforts on the types, locations, and duration of loans most appropriate for its business model and markets. M&amp;M’s policies were similar in nature to Busey Bank’s policies, and we are migrating the legacy M&amp;M portfolio toward Busey Bank’s policies. While not specifically limited, we attempt to focus our lending on short to intermediate-term (0-10 years) loans in geographic areas within 125 miles of our lending offices. Loans originated outside of these areas are generally to existing customers of Busey Bank. We attempt to utilize government-assisted lending programs, such as the SBA and U.S. Department of Agriculture lending programs, when prudent. Generally, loans are collateralized by assets, primarily real estate, and guaranteed by individuals. Loans are expected to be repaid primarily from cash flows of the borrowers or from proceeds from the sale of selected assets of the borrowers.</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6" w:name="page87"/>
    <w:bookmarkEnd w:id="86"/>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Management reviews and approves Busey Bank’s lending policies and procedures on a regular basis. Management routinely —at least once per quarter—reviews the ACL in conjunction with reports related to loan production, loan quality, concentrations of credit, loan delinquencies, non-performing loans, and potential problem loans. Our underwriting standards are designed to encourage relationship banking rather than transactional banking. Relationship banking implies a primary banking relationship with the borrower that includes, at a minimum, an active deposit banking relationship in addition to the lending relationship. Significant underwriting factors, in addition to location, duration, a sound and profitable cash flow basis, and the borrower’s character, include the quality of the borrower’s financial history, the liquidity of the underlying collateral, and the reliability of the valuation of the underlying collateral.</w:t>
      </w:r>
    </w:p>
    <w:p>
      <w:pPr>
        <w:spacing w:after="0" w:line="161"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At no time is a borrower’s total borrowing relationship permitted to exceed Busey Bank’s regulatory lending limit. We generally limit such relationships to amounts substantially less than the regulatory limit. Loans to related parties, including executive officers and directors of First Busey Corporation and its subsidiaries, are reviewed for compliance with regulatory guidelines.</w:t>
      </w:r>
    </w:p>
    <w:p>
      <w:pPr>
        <w:spacing w:after="0" w:line="157" w:lineRule="exact"/>
        <w:rPr>
          <w:sz w:val="20"/>
          <w:szCs w:val="20"/>
          <w:color w:val="auto"/>
        </w:rPr>
      </w:pPr>
    </w:p>
    <w:p>
      <w:pPr>
        <w:jc w:val="both"/>
        <w:ind w:right="20"/>
        <w:spacing w:after="0" w:line="245" w:lineRule="auto"/>
        <w:rPr>
          <w:sz w:val="20"/>
          <w:szCs w:val="20"/>
          <w:color w:val="auto"/>
        </w:rPr>
      </w:pPr>
      <w:r>
        <w:rPr>
          <w:rFonts w:ascii="Verdana" w:cs="Verdana" w:eastAsia="Verdana" w:hAnsi="Verdana"/>
          <w:sz w:val="18"/>
          <w:szCs w:val="18"/>
          <w:color w:val="auto"/>
        </w:rPr>
        <w:t>Busey maintains an independent loan review department that reviews loans for compliance with our loan policy on a periodic basis. In addition, the loan review department reviews risk assessments made by our credit department, lenders, and loan committees. Results of these reviews are presented to management and the audit committee at least quarterly.</w:t>
      </w:r>
    </w:p>
    <w:p>
      <w:pPr>
        <w:spacing w:after="0" w:line="167" w:lineRule="exact"/>
        <w:rPr>
          <w:sz w:val="20"/>
          <w:szCs w:val="20"/>
          <w:color w:val="auto"/>
        </w:rPr>
      </w:pPr>
    </w:p>
    <w:p>
      <w:pPr>
        <w:jc w:val="both"/>
        <w:spacing w:after="0" w:line="242" w:lineRule="auto"/>
        <w:rPr>
          <w:rFonts w:ascii="Verdana" w:cs="Verdana" w:eastAsia="Verdana" w:hAnsi="Verdana"/>
          <w:sz w:val="18"/>
          <w:szCs w:val="18"/>
          <w:i w:val="1"/>
          <w:iCs w:val="1"/>
          <w:color w:val="0000FF"/>
        </w:rPr>
      </w:pPr>
      <w:r>
        <w:rPr>
          <w:rFonts w:ascii="Verdana" w:cs="Verdana" w:eastAsia="Verdana" w:hAnsi="Verdana"/>
          <w:sz w:val="18"/>
          <w:szCs w:val="18"/>
          <w:color w:val="auto"/>
        </w:rPr>
        <w:t xml:space="preserve">Busey Bank’s lending activities can be summarized into two primary categories: commercial and retail. Lending is further classified into five primary areas: commercial loans, commercial real estate loans, real estate construction loans, retail real </w:t>
      </w:r>
      <w:hyperlink r:id="rId109">
        <w:r>
          <w:rPr>
            <w:rFonts w:ascii="Verdana" w:cs="Verdana" w:eastAsia="Verdana" w:hAnsi="Verdana"/>
            <w:sz w:val="18"/>
            <w:szCs w:val="18"/>
            <w:color w:val="auto"/>
          </w:rPr>
          <w:t xml:space="preserve">estate loans, and retail other loans. A description of each of the five primary areas can be found in </w:t>
        </w:r>
        <w:r>
          <w:rPr>
            <w:rFonts w:ascii="Verdana" w:cs="Verdana" w:eastAsia="Verdana" w:hAnsi="Verdana"/>
            <w:sz w:val="18"/>
            <w:szCs w:val="18"/>
            <w:i w:val="1"/>
            <w:iCs w:val="1"/>
            <w:color w:val="auto"/>
          </w:rPr>
          <w:t>“</w:t>
        </w:r>
        <w:r>
          <w:rPr>
            <w:rFonts w:ascii="Verdana" w:cs="Verdana" w:eastAsia="Verdana" w:hAnsi="Verdana"/>
            <w:sz w:val="18"/>
            <w:szCs w:val="18"/>
            <w:i w:val="1"/>
            <w:iCs w:val="1"/>
            <w:u w:val="single" w:color="auto"/>
            <w:color w:val="0000FF"/>
          </w:rPr>
          <w:t>Item 7. Management's</w:t>
        </w:r>
      </w:hyperlink>
      <w:r>
        <w:rPr>
          <w:rFonts w:ascii="Verdana" w:cs="Verdana" w:eastAsia="Verdana" w:hAnsi="Verdana"/>
          <w:sz w:val="18"/>
          <w:szCs w:val="18"/>
          <w:color w:val="auto"/>
        </w:rPr>
        <w:t xml:space="preserve"> </w:t>
      </w:r>
      <w:hyperlink r:id="rId109">
        <w:r>
          <w:rPr>
            <w:rFonts w:ascii="Verdana" w:cs="Verdana" w:eastAsia="Verdana" w:hAnsi="Verdana"/>
            <w:sz w:val="18"/>
            <w:szCs w:val="18"/>
            <w:i w:val="1"/>
            <w:iCs w:val="1"/>
            <w:u w:val="single" w:color="auto"/>
            <w:color w:val="0000FF"/>
          </w:rPr>
          <w:t>Discussion and Analysis of Financial Condition and Results of Operations—Portfolio Loans</w:t>
        </w:r>
        <w:r>
          <w:rPr>
            <w:rFonts w:ascii="Verdana" w:cs="Verdana" w:eastAsia="Verdana" w:hAnsi="Verdana"/>
            <w:sz w:val="18"/>
            <w:szCs w:val="18"/>
            <w:i w:val="1"/>
            <w:iCs w:val="1"/>
            <w:color w:val="000000"/>
          </w:rPr>
          <w:t>”</w:t>
        </w:r>
        <w:r>
          <w:rPr>
            <w:rFonts w:ascii="Verdana" w:cs="Verdana" w:eastAsia="Verdana" w:hAnsi="Verdana"/>
            <w:sz w:val="18"/>
            <w:szCs w:val="18"/>
            <w:i w:val="1"/>
            <w:iCs w:val="1"/>
            <w:color w:val="0000FF"/>
          </w:rPr>
          <w:t xml:space="preserve"> </w:t>
        </w:r>
        <w:r>
          <w:rPr>
            <w:rFonts w:ascii="Verdana" w:cs="Verdana" w:eastAsia="Verdana" w:hAnsi="Verdana"/>
            <w:sz w:val="18"/>
            <w:szCs w:val="18"/>
            <w:color w:val="000000"/>
          </w:rPr>
          <w:t>of</w:t>
        </w:r>
        <w:r>
          <w:rPr>
            <w:rFonts w:ascii="Verdana" w:cs="Verdana" w:eastAsia="Verdana" w:hAnsi="Verdana"/>
            <w:sz w:val="18"/>
            <w:szCs w:val="18"/>
            <w:i w:val="1"/>
            <w:iCs w:val="1"/>
            <w:color w:val="0000FF"/>
          </w:rPr>
          <w:t xml:space="preserve"> </w:t>
        </w:r>
      </w:hyperlink>
      <w:hyperlink r:id="rId25">
        <w:r>
          <w:rPr>
            <w:rFonts w:ascii="Verdana" w:cs="Verdana" w:eastAsia="Verdana" w:hAnsi="Verdana"/>
            <w:sz w:val="18"/>
            <w:szCs w:val="18"/>
            <w:u w:val="single" w:color="auto"/>
            <w:color w:val="0000FF"/>
          </w:rPr>
          <w:t>Busey’s 2023 Annual Report</w:t>
        </w:r>
      </w:hyperlink>
      <w:hyperlink r:id="rId109">
        <w:r>
          <w:rPr>
            <w:rFonts w:ascii="Verdana" w:cs="Verdana" w:eastAsia="Verdana" w:hAnsi="Verdana"/>
            <w:sz w:val="18"/>
            <w:szCs w:val="18"/>
            <w:color w:val="000000"/>
          </w:rPr>
          <w:t>.</w:t>
        </w:r>
      </w:hyperlink>
    </w:p>
    <w:p>
      <w:pPr>
        <w:spacing w:after="0" w:line="157" w:lineRule="exact"/>
        <w:rPr>
          <w:rFonts w:ascii="Verdana" w:cs="Verdana" w:eastAsia="Verdana" w:hAnsi="Verdana"/>
          <w:sz w:val="18"/>
          <w:szCs w:val="18"/>
          <w:i w:val="1"/>
          <w:iCs w:val="1"/>
          <w:color w:val="0000FF"/>
        </w:rPr>
      </w:pPr>
    </w:p>
    <w:p>
      <w:pPr>
        <w:jc w:val="both"/>
        <w:spacing w:after="0" w:line="254" w:lineRule="auto"/>
        <w:rPr>
          <w:sz w:val="20"/>
          <w:szCs w:val="20"/>
          <w:color w:val="auto"/>
        </w:rPr>
      </w:pPr>
      <w:r>
        <w:rPr>
          <w:rFonts w:ascii="Verdana" w:cs="Verdana" w:eastAsia="Verdana" w:hAnsi="Verdana"/>
          <w:sz w:val="18"/>
          <w:szCs w:val="18"/>
          <w:color w:val="auto"/>
        </w:rPr>
        <w:t xml:space="preserve">The composition of our loan portfolio as of the dates indicated, as well as changes in portfolio loan balances, were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72" w:lineRule="exact"/>
        <w:rPr>
          <w:rFonts w:ascii="Verdana" w:cs="Verdana" w:eastAsia="Verdana" w:hAnsi="Verdana"/>
          <w:sz w:val="18"/>
          <w:szCs w:val="18"/>
          <w:i w:val="1"/>
          <w:iCs w:val="1"/>
          <w:color w:val="0000FF"/>
        </w:rPr>
      </w:pPr>
    </w:p>
    <w:tbl>
      <w:tblPr>
        <w:tblLayout w:type="fixed"/>
        <w:tblInd w:w="0" w:type="dxa"/>
        <w:tblCellMar>
          <w:top w:w="0" w:type="dxa"/>
          <w:left w:w="0" w:type="dxa"/>
          <w:bottom w:w="0" w:type="dxa"/>
          <w:right w:w="0" w:type="dxa"/>
        </w:tblCellMar>
      </w:tblPr>
      <w:tr>
        <w:trPr>
          <w:trHeight w:val="174"/>
        </w:trPr>
        <w:tc>
          <w:tcPr>
            <w:tcW w:w="48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gridSpan w:val="2"/>
          </w:tcPr>
          <w:p>
            <w:pPr>
              <w:ind w:left="60"/>
              <w:spacing w:after="0" w:line="122" w:lineRule="exact"/>
              <w:rPr>
                <w:sz w:val="20"/>
                <w:szCs w:val="20"/>
                <w:color w:val="auto"/>
              </w:rPr>
            </w:pPr>
            <w:r>
              <w:rPr>
                <w:rFonts w:ascii="Verdana" w:cs="Verdana" w:eastAsia="Verdana" w:hAnsi="Verdana"/>
                <w:sz w:val="13"/>
                <w:szCs w:val="13"/>
                <w:b w:val="1"/>
                <w:bCs w:val="1"/>
                <w:color w:val="auto"/>
              </w:rPr>
              <w:t>September 30,</w:t>
            </w:r>
          </w:p>
        </w:tc>
        <w:tc>
          <w:tcPr>
            <w:tcW w:w="180" w:type="dxa"/>
            <w:vAlign w:val="bottom"/>
          </w:tcPr>
          <w:p>
            <w:pPr>
              <w:spacing w:after="0"/>
              <w:rPr>
                <w:sz w:val="10"/>
                <w:szCs w:val="10"/>
                <w:color w:val="auto"/>
              </w:rPr>
            </w:pPr>
          </w:p>
        </w:tc>
        <w:tc>
          <w:tcPr>
            <w:tcW w:w="1320" w:type="dxa"/>
            <w:vAlign w:val="bottom"/>
          </w:tcPr>
          <w:p>
            <w:pPr>
              <w:jc w:val="right"/>
              <w:ind w:right="175"/>
              <w:spacing w:after="0" w:line="122" w:lineRule="exact"/>
              <w:rPr>
                <w:sz w:val="20"/>
                <w:szCs w:val="20"/>
                <w:color w:val="auto"/>
              </w:rPr>
            </w:pPr>
            <w:r>
              <w:rPr>
                <w:rFonts w:ascii="Verdana" w:cs="Verdana" w:eastAsia="Verdana" w:hAnsi="Verdana"/>
                <w:sz w:val="13"/>
                <w:szCs w:val="13"/>
                <w:b w:val="1"/>
                <w:bCs w:val="1"/>
                <w:color w:val="auto"/>
              </w:rPr>
              <w:t>December 31,</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vMerge w:val="restart"/>
          </w:tcPr>
          <w:p>
            <w:pPr>
              <w:jc w:val="right"/>
              <w:ind w:right="392"/>
              <w:spacing w:after="0"/>
              <w:rPr>
                <w:sz w:val="20"/>
                <w:szCs w:val="20"/>
                <w:color w:val="auto"/>
              </w:rPr>
            </w:pPr>
            <w:r>
              <w:rPr>
                <w:rFonts w:ascii="Verdana" w:cs="Verdana" w:eastAsia="Verdana" w:hAnsi="Verdana"/>
                <w:sz w:val="13"/>
                <w:szCs w:val="13"/>
                <w:b w:val="1"/>
                <w:bCs w:val="1"/>
                <w:color w:val="auto"/>
              </w:rPr>
              <w:t>Change</w:t>
            </w:r>
          </w:p>
        </w:tc>
        <w:tc>
          <w:tcPr>
            <w:tcW w:w="80" w:type="dxa"/>
            <w:vAlign w:val="bottom"/>
          </w:tcPr>
          <w:p>
            <w:pPr>
              <w:spacing w:after="0"/>
              <w:rPr>
                <w:sz w:val="10"/>
                <w:szCs w:val="10"/>
                <w:color w:val="auto"/>
              </w:rPr>
            </w:pPr>
          </w:p>
        </w:tc>
        <w:tc>
          <w:tcPr>
            <w:tcW w:w="1640" w:type="dxa"/>
            <w:vAlign w:val="bottom"/>
            <w:vMerge w:val="restart"/>
          </w:tcPr>
          <w:p>
            <w:pPr>
              <w:jc w:val="right"/>
              <w:ind w:right="397"/>
              <w:spacing w:after="0"/>
              <w:rPr>
                <w:sz w:val="20"/>
                <w:szCs w:val="20"/>
                <w:color w:val="auto"/>
              </w:rPr>
            </w:pPr>
            <w:r>
              <w:rPr>
                <w:rFonts w:ascii="Verdana" w:cs="Verdana" w:eastAsia="Verdana" w:hAnsi="Verdana"/>
                <w:sz w:val="13"/>
                <w:szCs w:val="13"/>
                <w:b w:val="1"/>
                <w:bCs w:val="1"/>
                <w:color w:val="auto"/>
              </w:rPr>
              <w:t>% Change</w:t>
            </w:r>
          </w:p>
        </w:tc>
        <w:tc>
          <w:tcPr>
            <w:tcW w:w="0" w:type="dxa"/>
            <w:vAlign w:val="bottom"/>
          </w:tcPr>
          <w:p>
            <w:pPr>
              <w:spacing w:after="0"/>
              <w:rPr>
                <w:sz w:val="1"/>
                <w:szCs w:val="1"/>
                <w:color w:val="auto"/>
              </w:rPr>
            </w:pPr>
          </w:p>
        </w:tc>
      </w:tr>
      <w:tr>
        <w:trPr>
          <w:trHeight w:val="170"/>
        </w:trPr>
        <w:tc>
          <w:tcPr>
            <w:tcW w:w="484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96"/>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95"/>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1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48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 loans</w:t>
            </w:r>
          </w:p>
        </w:tc>
        <w:tc>
          <w:tcPr>
            <w:tcW w:w="18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18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320" w:type="dxa"/>
            <w:vAlign w:val="bottom"/>
            <w:shd w:val="clear" w:color="auto" w:fill="E0E7ED"/>
          </w:tcPr>
          <w:p>
            <w:pPr>
              <w:spacing w:after="0"/>
              <w:rPr>
                <w:sz w:val="22"/>
                <w:szCs w:val="22"/>
                <w:color w:val="auto"/>
              </w:rPr>
            </w:pPr>
          </w:p>
        </w:tc>
        <w:tc>
          <w:tcPr>
            <w:tcW w:w="118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640" w:type="dxa"/>
            <w:vAlign w:val="bottom"/>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840" w:type="dxa"/>
            <w:vAlign w:val="bottom"/>
          </w:tcPr>
          <w:p>
            <w:pPr>
              <w:ind w:left="180"/>
              <w:spacing w:after="0"/>
              <w:rPr>
                <w:sz w:val="20"/>
                <w:szCs w:val="20"/>
                <w:color w:val="auto"/>
              </w:rPr>
            </w:pPr>
            <w:r>
              <w:rPr>
                <w:rFonts w:ascii="Verdana" w:cs="Verdana" w:eastAsia="Verdana" w:hAnsi="Verdana"/>
                <w:sz w:val="18"/>
                <w:szCs w:val="18"/>
                <w:color w:val="auto"/>
              </w:rPr>
              <w:t>C&amp;I and other commercial</w:t>
            </w:r>
          </w:p>
        </w:tc>
        <w:tc>
          <w:tcPr>
            <w:tcW w:w="18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ind w:right="16"/>
              <w:spacing w:after="0"/>
              <w:rPr>
                <w:sz w:val="20"/>
                <w:szCs w:val="20"/>
                <w:color w:val="auto"/>
              </w:rPr>
            </w:pPr>
            <w:r>
              <w:rPr>
                <w:rFonts w:ascii="Verdana" w:cs="Verdana" w:eastAsia="Verdana" w:hAnsi="Verdana"/>
                <w:sz w:val="18"/>
                <w:szCs w:val="18"/>
                <w:color w:val="auto"/>
              </w:rPr>
              <w:t>1,877,497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320" w:type="dxa"/>
            <w:vAlign w:val="bottom"/>
          </w:tcPr>
          <w:p>
            <w:pPr>
              <w:jc w:val="right"/>
              <w:ind w:right="15"/>
              <w:spacing w:after="0"/>
              <w:rPr>
                <w:sz w:val="20"/>
                <w:szCs w:val="20"/>
                <w:color w:val="auto"/>
              </w:rPr>
            </w:pPr>
            <w:r>
              <w:rPr>
                <w:rFonts w:ascii="Verdana" w:cs="Verdana" w:eastAsia="Verdana" w:hAnsi="Verdana"/>
                <w:sz w:val="18"/>
                <w:szCs w:val="18"/>
                <w:color w:val="auto"/>
              </w:rPr>
              <w:t>1,835,994</w:t>
            </w:r>
          </w:p>
        </w:tc>
        <w:tc>
          <w:tcPr>
            <w:tcW w:w="8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ind w:right="12"/>
              <w:spacing w:after="0"/>
              <w:rPr>
                <w:sz w:val="20"/>
                <w:szCs w:val="20"/>
                <w:color w:val="auto"/>
              </w:rPr>
            </w:pPr>
            <w:r>
              <w:rPr>
                <w:rFonts w:ascii="Verdana" w:cs="Verdana" w:eastAsia="Verdana" w:hAnsi="Verdana"/>
                <w:sz w:val="18"/>
                <w:szCs w:val="18"/>
                <w:color w:val="auto"/>
              </w:rPr>
              <w:t>41,503</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2.3 %</w:t>
            </w:r>
          </w:p>
        </w:tc>
        <w:tc>
          <w:tcPr>
            <w:tcW w:w="0" w:type="dxa"/>
            <w:vAlign w:val="bottom"/>
          </w:tcPr>
          <w:p>
            <w:pPr>
              <w:spacing w:after="0"/>
              <w:rPr>
                <w:sz w:val="1"/>
                <w:szCs w:val="1"/>
                <w:color w:val="auto"/>
              </w:rPr>
            </w:pPr>
          </w:p>
        </w:tc>
      </w:tr>
      <w:tr>
        <w:trPr>
          <w:trHeight w:val="277"/>
        </w:trPr>
        <w:tc>
          <w:tcPr>
            <w:tcW w:w="48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18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3,355,807</w:t>
            </w:r>
          </w:p>
        </w:tc>
        <w:tc>
          <w:tcPr>
            <w:tcW w:w="10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3,337,337</w:t>
            </w:r>
          </w:p>
        </w:tc>
        <w:tc>
          <w:tcPr>
            <w:tcW w:w="8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18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18,470</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0.6 %</w:t>
            </w:r>
          </w:p>
        </w:tc>
        <w:tc>
          <w:tcPr>
            <w:tcW w:w="0" w:type="dxa"/>
            <w:vAlign w:val="bottom"/>
          </w:tcPr>
          <w:p>
            <w:pPr>
              <w:spacing w:after="0"/>
              <w:rPr>
                <w:sz w:val="1"/>
                <w:szCs w:val="1"/>
                <w:color w:val="auto"/>
              </w:rPr>
            </w:pPr>
          </w:p>
        </w:tc>
      </w:tr>
      <w:tr>
        <w:trPr>
          <w:trHeight w:val="263"/>
        </w:trPr>
        <w:tc>
          <w:tcPr>
            <w:tcW w:w="484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Real estate construction</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8"/>
                <w:szCs w:val="18"/>
                <w:color w:val="auto"/>
              </w:rPr>
              <w:t>397,977</w:t>
            </w:r>
          </w:p>
        </w:tc>
        <w:tc>
          <w:tcPr>
            <w:tcW w:w="100" w:type="dxa"/>
            <w:vAlign w:val="bottom"/>
            <w:tcBorders>
              <w:bottom w:val="single" w:sz="8" w:color="E0E7ED"/>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461,717</w:t>
            </w:r>
          </w:p>
        </w:tc>
        <w:tc>
          <w:tcPr>
            <w:tcW w:w="80" w:type="dxa"/>
            <w:vAlign w:val="bottom"/>
            <w:tcBorders>
              <w:bottom w:val="single" w:sz="8" w:color="E0E7E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(63,740)</w:t>
            </w:r>
          </w:p>
        </w:tc>
        <w:tc>
          <w:tcPr>
            <w:tcW w:w="172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(13.8)%</w:t>
            </w:r>
          </w:p>
        </w:tc>
        <w:tc>
          <w:tcPr>
            <w:tcW w:w="0" w:type="dxa"/>
            <w:vAlign w:val="bottom"/>
          </w:tcPr>
          <w:p>
            <w:pPr>
              <w:spacing w:after="0"/>
              <w:rPr>
                <w:sz w:val="1"/>
                <w:szCs w:val="1"/>
                <w:color w:val="auto"/>
              </w:rPr>
            </w:pPr>
          </w:p>
        </w:tc>
      </w:tr>
      <w:tr>
        <w:trPr>
          <w:trHeight w:val="270"/>
        </w:trPr>
        <w:tc>
          <w:tcPr>
            <w:tcW w:w="48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commercial loans</w:t>
            </w:r>
          </w:p>
        </w:tc>
        <w:tc>
          <w:tcPr>
            <w:tcW w:w="180" w:type="dxa"/>
            <w:vAlign w:val="bottom"/>
            <w:tcBorders>
              <w:bottom w:val="single" w:sz="8" w:color="auto"/>
            </w:tcBorders>
            <w:shd w:val="clear" w:color="auto" w:fill="E0E7ED"/>
          </w:tcPr>
          <w:p>
            <w:pPr>
              <w:spacing w:after="0"/>
              <w:rPr>
                <w:sz w:val="23"/>
                <w:szCs w:val="23"/>
                <w:color w:val="auto"/>
              </w:rPr>
            </w:pPr>
          </w:p>
        </w:tc>
        <w:tc>
          <w:tcPr>
            <w:tcW w:w="132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8"/>
                <w:szCs w:val="18"/>
                <w:color w:val="auto"/>
              </w:rPr>
              <w:t>5,631,281</w:t>
            </w:r>
          </w:p>
        </w:tc>
        <w:tc>
          <w:tcPr>
            <w:tcW w:w="100" w:type="dxa"/>
            <w:vAlign w:val="bottom"/>
            <w:shd w:val="clear" w:color="auto" w:fill="E0E7ED"/>
          </w:tcPr>
          <w:p>
            <w:pPr>
              <w:spacing w:after="0"/>
              <w:rPr>
                <w:sz w:val="23"/>
                <w:szCs w:val="23"/>
                <w:color w:val="auto"/>
              </w:rPr>
            </w:pPr>
          </w:p>
        </w:tc>
        <w:tc>
          <w:tcPr>
            <w:tcW w:w="180" w:type="dxa"/>
            <w:vAlign w:val="bottom"/>
            <w:tcBorders>
              <w:bottom w:val="single" w:sz="8" w:color="auto"/>
            </w:tcBorders>
            <w:shd w:val="clear" w:color="auto" w:fill="E0E7ED"/>
          </w:tcPr>
          <w:p>
            <w:pPr>
              <w:spacing w:after="0"/>
              <w:rPr>
                <w:sz w:val="23"/>
                <w:szCs w:val="23"/>
                <w:color w:val="auto"/>
              </w:rPr>
            </w:pPr>
          </w:p>
        </w:tc>
        <w:tc>
          <w:tcPr>
            <w:tcW w:w="132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5,635,048</w:t>
            </w:r>
          </w:p>
        </w:tc>
        <w:tc>
          <w:tcPr>
            <w:tcW w:w="80" w:type="dxa"/>
            <w:vAlign w:val="bottom"/>
            <w:shd w:val="clear" w:color="auto" w:fill="E0E7ED"/>
          </w:tcPr>
          <w:p>
            <w:pPr>
              <w:spacing w:after="0"/>
              <w:rPr>
                <w:sz w:val="23"/>
                <w:szCs w:val="23"/>
                <w:color w:val="auto"/>
              </w:rPr>
            </w:pPr>
          </w:p>
        </w:tc>
        <w:tc>
          <w:tcPr>
            <w:tcW w:w="320" w:type="dxa"/>
            <w:vAlign w:val="bottom"/>
            <w:tcBorders>
              <w:bottom w:val="single" w:sz="8" w:color="auto"/>
            </w:tcBorders>
            <w:shd w:val="clear" w:color="auto" w:fill="E0E7ED"/>
          </w:tcPr>
          <w:p>
            <w:pPr>
              <w:spacing w:after="0"/>
              <w:rPr>
                <w:sz w:val="23"/>
                <w:szCs w:val="23"/>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(3,767)</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(0.1)%</w:t>
            </w:r>
          </w:p>
        </w:tc>
        <w:tc>
          <w:tcPr>
            <w:tcW w:w="0" w:type="dxa"/>
            <w:vAlign w:val="bottom"/>
          </w:tcPr>
          <w:p>
            <w:pPr>
              <w:spacing w:after="0"/>
              <w:rPr>
                <w:sz w:val="1"/>
                <w:szCs w:val="1"/>
                <w:color w:val="auto"/>
              </w:rPr>
            </w:pPr>
          </w:p>
        </w:tc>
      </w:tr>
      <w:tr>
        <w:trPr>
          <w:trHeight w:val="243"/>
        </w:trPr>
        <w:tc>
          <w:tcPr>
            <w:tcW w:w="4840" w:type="dxa"/>
            <w:vAlign w:val="bottom"/>
          </w:tcPr>
          <w:p>
            <w:pPr>
              <w:ind w:left="20"/>
              <w:spacing w:after="0"/>
              <w:rPr>
                <w:sz w:val="20"/>
                <w:szCs w:val="20"/>
                <w:color w:val="auto"/>
              </w:rPr>
            </w:pPr>
            <w:r>
              <w:rPr>
                <w:rFonts w:ascii="Verdana" w:cs="Verdana" w:eastAsia="Verdana" w:hAnsi="Verdana"/>
                <w:sz w:val="18"/>
                <w:szCs w:val="18"/>
                <w:b w:val="1"/>
                <w:bCs w:val="1"/>
                <w:color w:val="auto"/>
              </w:rPr>
              <w:t>Retail loans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8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18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1,708,771</w:t>
            </w:r>
          </w:p>
        </w:tc>
        <w:tc>
          <w:tcPr>
            <w:tcW w:w="10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1,720,455</w:t>
            </w:r>
          </w:p>
        </w:tc>
        <w:tc>
          <w:tcPr>
            <w:tcW w:w="8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(11,684)</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(0.7)%</w:t>
            </w:r>
          </w:p>
        </w:tc>
        <w:tc>
          <w:tcPr>
            <w:tcW w:w="0" w:type="dxa"/>
            <w:vAlign w:val="bottom"/>
          </w:tcPr>
          <w:p>
            <w:pPr>
              <w:spacing w:after="0"/>
              <w:rPr>
                <w:sz w:val="1"/>
                <w:szCs w:val="1"/>
                <w:color w:val="auto"/>
              </w:rPr>
            </w:pPr>
          </w:p>
        </w:tc>
      </w:tr>
      <w:tr>
        <w:trPr>
          <w:trHeight w:val="263"/>
        </w:trPr>
        <w:tc>
          <w:tcPr>
            <w:tcW w:w="484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Retail other</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8"/>
                <w:szCs w:val="18"/>
                <w:color w:val="auto"/>
              </w:rPr>
              <w:t>469,045</w:t>
            </w:r>
          </w:p>
        </w:tc>
        <w:tc>
          <w:tcPr>
            <w:tcW w:w="100" w:type="dxa"/>
            <w:vAlign w:val="bottom"/>
            <w:tcBorders>
              <w:bottom w:val="single" w:sz="8" w:color="E0E7ED"/>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295,531</w:t>
            </w:r>
          </w:p>
        </w:tc>
        <w:tc>
          <w:tcPr>
            <w:tcW w:w="80" w:type="dxa"/>
            <w:vAlign w:val="bottom"/>
            <w:tcBorders>
              <w:bottom w:val="single" w:sz="8" w:color="E0E7E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173,514</w:t>
            </w:r>
          </w:p>
        </w:tc>
        <w:tc>
          <w:tcPr>
            <w:tcW w:w="172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58.7 %</w:t>
            </w:r>
          </w:p>
        </w:tc>
        <w:tc>
          <w:tcPr>
            <w:tcW w:w="0" w:type="dxa"/>
            <w:vAlign w:val="bottom"/>
          </w:tcPr>
          <w:p>
            <w:pPr>
              <w:spacing w:after="0"/>
              <w:rPr>
                <w:sz w:val="1"/>
                <w:szCs w:val="1"/>
                <w:color w:val="auto"/>
              </w:rPr>
            </w:pPr>
          </w:p>
        </w:tc>
      </w:tr>
      <w:tr>
        <w:trPr>
          <w:trHeight w:val="264"/>
        </w:trPr>
        <w:tc>
          <w:tcPr>
            <w:tcW w:w="48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retail loans</w:t>
            </w:r>
          </w:p>
        </w:tc>
        <w:tc>
          <w:tcPr>
            <w:tcW w:w="180" w:type="dxa"/>
            <w:vAlign w:val="bottom"/>
            <w:tcBorders>
              <w:bottom w:val="single" w:sz="8" w:color="auto"/>
            </w:tcBorders>
            <w:shd w:val="clear" w:color="auto" w:fill="E0E7ED"/>
          </w:tcPr>
          <w:p>
            <w:pPr>
              <w:spacing w:after="0"/>
              <w:rPr>
                <w:sz w:val="22"/>
                <w:szCs w:val="22"/>
                <w:color w:val="auto"/>
              </w:rPr>
            </w:pPr>
          </w:p>
        </w:tc>
        <w:tc>
          <w:tcPr>
            <w:tcW w:w="132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8"/>
                <w:szCs w:val="18"/>
                <w:color w:val="auto"/>
              </w:rPr>
              <w:t>2,177,816</w:t>
            </w:r>
          </w:p>
        </w:tc>
        <w:tc>
          <w:tcPr>
            <w:tcW w:w="100" w:type="dxa"/>
            <w:vAlign w:val="bottom"/>
            <w:shd w:val="clear" w:color="auto" w:fill="E0E7ED"/>
          </w:tcPr>
          <w:p>
            <w:pPr>
              <w:spacing w:after="0"/>
              <w:rPr>
                <w:sz w:val="22"/>
                <w:szCs w:val="22"/>
                <w:color w:val="auto"/>
              </w:rPr>
            </w:pPr>
          </w:p>
        </w:tc>
        <w:tc>
          <w:tcPr>
            <w:tcW w:w="180" w:type="dxa"/>
            <w:vAlign w:val="bottom"/>
            <w:tcBorders>
              <w:bottom w:val="single" w:sz="8" w:color="auto"/>
            </w:tcBorders>
            <w:shd w:val="clear" w:color="auto" w:fill="E0E7ED"/>
          </w:tcPr>
          <w:p>
            <w:pPr>
              <w:spacing w:after="0"/>
              <w:rPr>
                <w:sz w:val="22"/>
                <w:szCs w:val="22"/>
                <w:color w:val="auto"/>
              </w:rPr>
            </w:pPr>
          </w:p>
        </w:tc>
        <w:tc>
          <w:tcPr>
            <w:tcW w:w="132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2,015,986</w:t>
            </w:r>
          </w:p>
        </w:tc>
        <w:tc>
          <w:tcPr>
            <w:tcW w:w="80" w:type="dxa"/>
            <w:vAlign w:val="bottom"/>
            <w:shd w:val="clear" w:color="auto" w:fill="E0E7ED"/>
          </w:tcPr>
          <w:p>
            <w:pPr>
              <w:spacing w:after="0"/>
              <w:rPr>
                <w:sz w:val="22"/>
                <w:szCs w:val="22"/>
                <w:color w:val="auto"/>
              </w:rPr>
            </w:pPr>
          </w:p>
        </w:tc>
        <w:tc>
          <w:tcPr>
            <w:tcW w:w="320" w:type="dxa"/>
            <w:vAlign w:val="bottom"/>
            <w:tcBorders>
              <w:bottom w:val="single" w:sz="8" w:color="auto"/>
            </w:tcBorders>
            <w:shd w:val="clear" w:color="auto" w:fill="E0E7ED"/>
          </w:tcPr>
          <w:p>
            <w:pPr>
              <w:spacing w:after="0"/>
              <w:rPr>
                <w:sz w:val="22"/>
                <w:szCs w:val="22"/>
                <w:color w:val="auto"/>
              </w:rPr>
            </w:pPr>
          </w:p>
        </w:tc>
        <w:tc>
          <w:tcPr>
            <w:tcW w:w="118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161,830</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8.0 %</w:t>
            </w:r>
          </w:p>
        </w:tc>
        <w:tc>
          <w:tcPr>
            <w:tcW w:w="0" w:type="dxa"/>
            <w:vAlign w:val="bottom"/>
          </w:tcPr>
          <w:p>
            <w:pPr>
              <w:spacing w:after="0"/>
              <w:rPr>
                <w:sz w:val="1"/>
                <w:szCs w:val="1"/>
                <w:color w:val="auto"/>
              </w:rPr>
            </w:pPr>
          </w:p>
        </w:tc>
      </w:tr>
      <w:tr>
        <w:trPr>
          <w:trHeight w:val="263"/>
        </w:trPr>
        <w:tc>
          <w:tcPr>
            <w:tcW w:w="4840" w:type="dxa"/>
            <w:vAlign w:val="bottom"/>
          </w:tcPr>
          <w:p>
            <w:pPr>
              <w:ind w:left="20"/>
              <w:spacing w:after="0"/>
              <w:rPr>
                <w:sz w:val="20"/>
                <w:szCs w:val="20"/>
                <w:color w:val="auto"/>
              </w:rPr>
            </w:pPr>
            <w:r>
              <w:rPr>
                <w:rFonts w:ascii="Verdana" w:cs="Verdana" w:eastAsia="Verdana" w:hAnsi="Verdana"/>
                <w:sz w:val="18"/>
                <w:szCs w:val="18"/>
                <w:color w:val="auto"/>
              </w:rPr>
              <w:t>Total portfolio loans</w:t>
            </w:r>
          </w:p>
        </w:tc>
        <w:tc>
          <w:tcPr>
            <w:tcW w:w="180" w:type="dxa"/>
            <w:vAlign w:val="bottom"/>
          </w:tcPr>
          <w:p>
            <w:pPr>
              <w:spacing w:after="0"/>
              <w:rPr>
                <w:sz w:val="22"/>
                <w:szCs w:val="22"/>
                <w:color w:val="auto"/>
              </w:rPr>
            </w:pPr>
          </w:p>
        </w:tc>
        <w:tc>
          <w:tcPr>
            <w:tcW w:w="1320" w:type="dxa"/>
            <w:vAlign w:val="bottom"/>
          </w:tcPr>
          <w:p>
            <w:pPr>
              <w:jc w:val="right"/>
              <w:ind w:right="16"/>
              <w:spacing w:after="0"/>
              <w:rPr>
                <w:sz w:val="20"/>
                <w:szCs w:val="20"/>
                <w:color w:val="auto"/>
              </w:rPr>
            </w:pPr>
            <w:r>
              <w:rPr>
                <w:rFonts w:ascii="Verdana" w:cs="Verdana" w:eastAsia="Verdana" w:hAnsi="Verdana"/>
                <w:sz w:val="18"/>
                <w:szCs w:val="18"/>
                <w:color w:val="auto"/>
              </w:rPr>
              <w:t>7,809,097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15"/>
              <w:spacing w:after="0"/>
              <w:rPr>
                <w:sz w:val="20"/>
                <w:szCs w:val="20"/>
                <w:color w:val="auto"/>
              </w:rPr>
            </w:pPr>
            <w:r>
              <w:rPr>
                <w:rFonts w:ascii="Verdana" w:cs="Verdana" w:eastAsia="Verdana" w:hAnsi="Verdana"/>
                <w:sz w:val="18"/>
                <w:szCs w:val="18"/>
                <w:color w:val="auto"/>
              </w:rPr>
              <w:t>7,651,034</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Verdana" w:cs="Verdana" w:eastAsia="Verdana" w:hAnsi="Verdana"/>
                <w:sz w:val="18"/>
                <w:szCs w:val="18"/>
                <w:color w:val="auto"/>
              </w:rPr>
              <w:t>158,063</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2.1 %</w:t>
            </w:r>
          </w:p>
        </w:tc>
        <w:tc>
          <w:tcPr>
            <w:tcW w:w="0" w:type="dxa"/>
            <w:vAlign w:val="bottom"/>
          </w:tcPr>
          <w:p>
            <w:pPr>
              <w:spacing w:after="0"/>
              <w:rPr>
                <w:sz w:val="1"/>
                <w:szCs w:val="1"/>
                <w:color w:val="auto"/>
              </w:rPr>
            </w:pPr>
          </w:p>
        </w:tc>
      </w:tr>
      <w:tr>
        <w:trPr>
          <w:trHeight w:val="270"/>
        </w:trPr>
        <w:tc>
          <w:tcPr>
            <w:tcW w:w="48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ACL</w:t>
            </w:r>
          </w:p>
        </w:tc>
        <w:tc>
          <w:tcPr>
            <w:tcW w:w="180" w:type="dxa"/>
            <w:vAlign w:val="bottom"/>
            <w:tcBorders>
              <w:bottom w:val="single" w:sz="8" w:color="auto"/>
            </w:tcBorders>
            <w:shd w:val="clear" w:color="auto" w:fill="E0E7ED"/>
          </w:tcPr>
          <w:p>
            <w:pPr>
              <w:spacing w:after="0"/>
              <w:rPr>
                <w:sz w:val="23"/>
                <w:szCs w:val="23"/>
                <w:color w:val="auto"/>
              </w:rPr>
            </w:pP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(84,981)</w:t>
            </w:r>
          </w:p>
        </w:tc>
        <w:tc>
          <w:tcPr>
            <w:tcW w:w="100" w:type="dxa"/>
            <w:vAlign w:val="bottom"/>
            <w:shd w:val="clear" w:color="auto" w:fill="E0E7ED"/>
          </w:tcPr>
          <w:p>
            <w:pPr>
              <w:spacing w:after="0"/>
              <w:rPr>
                <w:sz w:val="23"/>
                <w:szCs w:val="23"/>
                <w:color w:val="auto"/>
              </w:rPr>
            </w:pPr>
          </w:p>
        </w:tc>
        <w:tc>
          <w:tcPr>
            <w:tcW w:w="180" w:type="dxa"/>
            <w:vAlign w:val="bottom"/>
            <w:tcBorders>
              <w:bottom w:val="single" w:sz="8" w:color="auto"/>
            </w:tcBorders>
            <w:shd w:val="clear" w:color="auto" w:fill="E0E7ED"/>
          </w:tcPr>
          <w:p>
            <w:pPr>
              <w:spacing w:after="0"/>
              <w:rPr>
                <w:sz w:val="23"/>
                <w:szCs w:val="23"/>
                <w:color w:val="auto"/>
              </w:rPr>
            </w:pP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(91,740)</w:t>
            </w:r>
          </w:p>
        </w:tc>
        <w:tc>
          <w:tcPr>
            <w:tcW w:w="80" w:type="dxa"/>
            <w:vAlign w:val="bottom"/>
            <w:shd w:val="clear" w:color="auto" w:fill="E0E7ED"/>
          </w:tcPr>
          <w:p>
            <w:pPr>
              <w:spacing w:after="0"/>
              <w:rPr>
                <w:sz w:val="23"/>
                <w:szCs w:val="23"/>
                <w:color w:val="auto"/>
              </w:rPr>
            </w:pPr>
          </w:p>
        </w:tc>
        <w:tc>
          <w:tcPr>
            <w:tcW w:w="320" w:type="dxa"/>
            <w:vAlign w:val="bottom"/>
            <w:tcBorders>
              <w:bottom w:val="single" w:sz="8" w:color="auto"/>
            </w:tcBorders>
            <w:shd w:val="clear" w:color="auto" w:fill="E0E7ED"/>
          </w:tcPr>
          <w:p>
            <w:pPr>
              <w:spacing w:after="0"/>
              <w:rPr>
                <w:sz w:val="23"/>
                <w:szCs w:val="23"/>
                <w:color w:val="auto"/>
              </w:rPr>
            </w:pPr>
          </w:p>
        </w:tc>
        <w:tc>
          <w:tcPr>
            <w:tcW w:w="118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6,759</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7.4 %</w:t>
            </w:r>
          </w:p>
        </w:tc>
        <w:tc>
          <w:tcPr>
            <w:tcW w:w="0" w:type="dxa"/>
            <w:vAlign w:val="bottom"/>
          </w:tcPr>
          <w:p>
            <w:pPr>
              <w:spacing w:after="0"/>
              <w:rPr>
                <w:sz w:val="1"/>
                <w:szCs w:val="1"/>
                <w:color w:val="auto"/>
              </w:rPr>
            </w:pPr>
          </w:p>
        </w:tc>
      </w:tr>
      <w:tr>
        <w:trPr>
          <w:trHeight w:val="270"/>
        </w:trPr>
        <w:tc>
          <w:tcPr>
            <w:tcW w:w="4840" w:type="dxa"/>
            <w:vAlign w:val="bottom"/>
          </w:tcPr>
          <w:p>
            <w:pPr>
              <w:ind w:left="20"/>
              <w:spacing w:after="0"/>
              <w:rPr>
                <w:sz w:val="20"/>
                <w:szCs w:val="20"/>
                <w:color w:val="auto"/>
              </w:rPr>
            </w:pPr>
            <w:r>
              <w:rPr>
                <w:rFonts w:ascii="Verdana" w:cs="Verdana" w:eastAsia="Verdana" w:hAnsi="Verdana"/>
                <w:sz w:val="18"/>
                <w:szCs w:val="18"/>
                <w:color w:val="auto"/>
              </w:rPr>
              <w:t>Portfolio loans, net of ACL</w:t>
            </w:r>
          </w:p>
        </w:tc>
        <w:tc>
          <w:tcPr>
            <w:tcW w:w="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8"/>
                <w:szCs w:val="18"/>
                <w:color w:val="auto"/>
              </w:rPr>
              <w:t>7,724,116</w:t>
            </w: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86"/>
              </w:rPr>
              <w:t>$</w:t>
            </w:r>
          </w:p>
        </w:tc>
        <w:tc>
          <w:tcPr>
            <w:tcW w:w="132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7,559,294</w:t>
            </w:r>
          </w:p>
        </w:tc>
        <w:tc>
          <w:tcPr>
            <w:tcW w:w="80" w:type="dxa"/>
            <w:vAlign w:val="bottom"/>
          </w:tcPr>
          <w:p>
            <w:pPr>
              <w:spacing w:after="0"/>
              <w:rPr>
                <w:sz w:val="23"/>
                <w:szCs w:val="23"/>
                <w:color w:val="auto"/>
              </w:rPr>
            </w:pPr>
          </w:p>
        </w:tc>
        <w:tc>
          <w:tcPr>
            <w:tcW w:w="320" w:type="dxa"/>
            <w:vAlign w:val="bottom"/>
            <w:tcBorders>
              <w:bottom w:val="single" w:sz="8" w:color="auto"/>
            </w:tcBorders>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164,822</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2.2 %</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rFonts w:ascii="Verdana" w:cs="Verdana" w:eastAsia="Verdana" w:hAnsi="Verdana"/>
          <w:sz w:val="18"/>
          <w:szCs w:val="18"/>
          <w:i w:val="1"/>
          <w:iCs w:val="1"/>
          <w:color w:val="0000FF"/>
        </w:rPr>
      </w:pPr>
    </w:p>
    <w:p>
      <w:pPr>
        <w:jc w:val="both"/>
        <w:spacing w:after="0" w:line="242" w:lineRule="auto"/>
        <w:rPr>
          <w:sz w:val="20"/>
          <w:szCs w:val="20"/>
          <w:color w:val="auto"/>
        </w:rPr>
      </w:pPr>
      <w:r>
        <w:rPr>
          <w:rFonts w:ascii="Verdana" w:cs="Verdana" w:eastAsia="Verdana" w:hAnsi="Verdana"/>
          <w:sz w:val="18"/>
          <w:szCs w:val="18"/>
          <w:color w:val="auto"/>
        </w:rPr>
        <w:t>Portfolio loan growth in 2024 was due to the M&amp;M acquisition. As has been our practice, we remain steadfast in our conservative approach to underwriting and disciplined approach to pricing, particularly given our outlook for the economy in the coming quarters. This posture will continue to impact loan growth, which we expect to remain modest over the next several quarters.</w:t>
      </w:r>
    </w:p>
    <w:p>
      <w:pPr>
        <w:spacing w:after="0" w:line="200" w:lineRule="exact"/>
        <w:rPr>
          <w:rFonts w:ascii="Verdana" w:cs="Verdana" w:eastAsia="Verdana" w:hAnsi="Verdana"/>
          <w:sz w:val="18"/>
          <w:szCs w:val="18"/>
          <w:i w:val="1"/>
          <w:iCs w:val="1"/>
          <w:color w:val="0000FF"/>
        </w:rPr>
      </w:pPr>
    </w:p>
    <w:p>
      <w:pPr>
        <w:spacing w:after="0" w:line="376" w:lineRule="exact"/>
        <w:rPr>
          <w:rFonts w:ascii="Verdana" w:cs="Verdana" w:eastAsia="Verdana" w:hAnsi="Verdana"/>
          <w:sz w:val="18"/>
          <w:szCs w:val="18"/>
          <w:i w:val="1"/>
          <w:iCs w:val="1"/>
          <w:color w:val="0000FF"/>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87</w:t>
      </w:r>
    </w:p>
    <w:p>
      <w:pPr>
        <w:spacing w:after="0" w:line="20" w:lineRule="exact"/>
        <w:rPr>
          <w:rFonts w:ascii="Verdana" w:cs="Verdana" w:eastAsia="Verdana" w:hAnsi="Verdana"/>
          <w:sz w:val="18"/>
          <w:szCs w:val="18"/>
          <w:i w:val="1"/>
          <w:iCs w:val="1"/>
          <w:color w:val="0000FF"/>
        </w:rPr>
      </w:pPr>
      <w:r>
        <w:rPr>
          <w:rFonts w:ascii="Verdana" w:cs="Verdana" w:eastAsia="Verdana" w:hAnsi="Verdana"/>
          <w:sz w:val="18"/>
          <w:szCs w:val="18"/>
          <w:i w:val="1"/>
          <w:iCs w:val="1"/>
          <w:color w:val="0000FF"/>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7" w:name="page88"/>
    <w:bookmarkEnd w:id="87"/>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Concentration of Credit Risk</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As a matter of policy and practice, we limit the level of concentration exposure in any particular loan segment with the goal of maintaining a well-diversified loan portfolio. The following table presents the percentage of total portfolio loans in each loan category and class.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60" w:type="dxa"/>
            <w:vAlign w:val="bottom"/>
          </w:tcPr>
          <w:p>
            <w:pPr>
              <w:spacing w:after="0"/>
              <w:rPr>
                <w:sz w:val="15"/>
                <w:szCs w:val="15"/>
                <w:color w:val="auto"/>
              </w:rPr>
            </w:pPr>
          </w:p>
        </w:tc>
        <w:tc>
          <w:tcPr>
            <w:tcW w:w="1980" w:type="dxa"/>
            <w:vAlign w:val="bottom"/>
            <w:tcBorders>
              <w:bottom w:val="single" w:sz="8" w:color="auto"/>
            </w:tcBorders>
            <w:gridSpan w:val="3"/>
          </w:tcPr>
          <w:p>
            <w:pPr>
              <w:ind w:left="1500"/>
              <w:spacing w:after="0"/>
              <w:rPr>
                <w:sz w:val="20"/>
                <w:szCs w:val="20"/>
                <w:color w:val="auto"/>
              </w:rPr>
            </w:pPr>
            <w:r>
              <w:rPr>
                <w:rFonts w:ascii="Verdana" w:cs="Verdana" w:eastAsia="Verdana" w:hAnsi="Verdana"/>
                <w:sz w:val="13"/>
                <w:szCs w:val="13"/>
                <w:b w:val="1"/>
                <w:bCs w:val="1"/>
                <w:color w:val="auto"/>
              </w:rPr>
              <w:t>As of</w:t>
            </w:r>
          </w:p>
        </w:tc>
        <w:tc>
          <w:tcPr>
            <w:tcW w:w="1400" w:type="dxa"/>
            <w:vAlign w:val="bottom"/>
            <w:tcBorders>
              <w:bottom w:val="single" w:sz="8" w:color="auto"/>
            </w:tcBorders>
          </w:tcPr>
          <w:p>
            <w:pPr>
              <w:spacing w:after="0"/>
              <w:rPr>
                <w:sz w:val="15"/>
                <w:szCs w:val="15"/>
                <w:color w:val="auto"/>
              </w:rPr>
            </w:pPr>
          </w:p>
        </w:tc>
      </w:tr>
      <w:tr>
        <w:trPr>
          <w:trHeight w:val="122"/>
        </w:trPr>
        <w:tc>
          <w:tcPr>
            <w:tcW w:w="7860" w:type="dxa"/>
            <w:vAlign w:val="bottom"/>
          </w:tcPr>
          <w:p>
            <w:pPr>
              <w:spacing w:after="0"/>
              <w:rPr>
                <w:sz w:val="10"/>
                <w:szCs w:val="10"/>
                <w:color w:val="auto"/>
              </w:rPr>
            </w:pPr>
          </w:p>
        </w:tc>
        <w:tc>
          <w:tcPr>
            <w:tcW w:w="1980" w:type="dxa"/>
            <w:vAlign w:val="bottom"/>
            <w:gridSpan w:val="3"/>
          </w:tcPr>
          <w:p>
            <w:pPr>
              <w:ind w:left="320"/>
              <w:spacing w:after="0" w:line="122" w:lineRule="exact"/>
              <w:rPr>
                <w:sz w:val="20"/>
                <w:szCs w:val="20"/>
                <w:color w:val="auto"/>
              </w:rPr>
            </w:pPr>
            <w:r>
              <w:rPr>
                <w:rFonts w:ascii="Verdana" w:cs="Verdana" w:eastAsia="Verdana" w:hAnsi="Verdana"/>
                <w:sz w:val="13"/>
                <w:szCs w:val="13"/>
                <w:b w:val="1"/>
                <w:bCs w:val="1"/>
                <w:color w:val="auto"/>
              </w:rPr>
              <w:t>September 30</w:t>
            </w:r>
          </w:p>
        </w:tc>
        <w:tc>
          <w:tcPr>
            <w:tcW w:w="1400" w:type="dxa"/>
            <w:vAlign w:val="bottom"/>
          </w:tcPr>
          <w:p>
            <w:pPr>
              <w:jc w:val="right"/>
              <w:ind w:right="275"/>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7860" w:type="dxa"/>
            <w:vAlign w:val="bottom"/>
            <w:tcBorders>
              <w:bottom w:val="single" w:sz="8" w:color="E0E7ED"/>
            </w:tcBorders>
          </w:tcPr>
          <w:p>
            <w:pPr>
              <w:spacing w:after="0"/>
              <w:rPr>
                <w:sz w:val="14"/>
                <w:szCs w:val="14"/>
                <w:color w:val="auto"/>
              </w:rPr>
            </w:pPr>
          </w:p>
        </w:tc>
        <w:tc>
          <w:tcPr>
            <w:tcW w:w="1640" w:type="dxa"/>
            <w:vAlign w:val="bottom"/>
            <w:tcBorders>
              <w:bottom w:val="single" w:sz="8" w:color="auto"/>
            </w:tcBorders>
          </w:tcPr>
          <w:p>
            <w:pPr>
              <w:jc w:val="right"/>
              <w:ind w:right="557"/>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bottom w:val="single" w:sz="8" w:color="E0E7ED"/>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55"/>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78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 loans</w:t>
            </w:r>
          </w:p>
        </w:tc>
        <w:tc>
          <w:tcPr>
            <w:tcW w:w="16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40" w:type="dxa"/>
            <w:vAlign w:val="bottom"/>
            <w:shd w:val="clear" w:color="auto" w:fill="E0E7ED"/>
          </w:tcPr>
          <w:p>
            <w:pPr>
              <w:spacing w:after="0"/>
              <w:rPr>
                <w:sz w:val="22"/>
                <w:szCs w:val="22"/>
                <w:color w:val="auto"/>
              </w:rPr>
            </w:pPr>
          </w:p>
        </w:tc>
        <w:tc>
          <w:tcPr>
            <w:tcW w:w="1400" w:type="dxa"/>
            <w:vAlign w:val="bottom"/>
            <w:shd w:val="clear" w:color="auto" w:fill="E0E7ED"/>
          </w:tcPr>
          <w:p>
            <w:pPr>
              <w:spacing w:after="0"/>
              <w:rPr>
                <w:sz w:val="22"/>
                <w:szCs w:val="22"/>
                <w:color w:val="auto"/>
              </w:rPr>
            </w:pPr>
          </w:p>
        </w:tc>
      </w:tr>
      <w:tr>
        <w:trPr>
          <w:trHeight w:val="263"/>
        </w:trPr>
        <w:tc>
          <w:tcPr>
            <w:tcW w:w="7860" w:type="dxa"/>
            <w:vAlign w:val="bottom"/>
          </w:tcPr>
          <w:p>
            <w:pPr>
              <w:ind w:left="180"/>
              <w:spacing w:after="0"/>
              <w:rPr>
                <w:sz w:val="20"/>
                <w:szCs w:val="20"/>
                <w:color w:val="auto"/>
              </w:rPr>
            </w:pPr>
            <w:r>
              <w:rPr>
                <w:rFonts w:ascii="Verdana" w:cs="Verdana" w:eastAsia="Verdana" w:hAnsi="Verdana"/>
                <w:sz w:val="18"/>
                <w:szCs w:val="18"/>
                <w:color w:val="auto"/>
              </w:rPr>
              <w:t>C&amp;I and other commercial</w:t>
            </w:r>
          </w:p>
        </w:tc>
        <w:tc>
          <w:tcPr>
            <w:tcW w:w="1640" w:type="dxa"/>
            <w:vAlign w:val="bottom"/>
          </w:tcPr>
          <w:p>
            <w:pPr>
              <w:jc w:val="right"/>
              <w:spacing w:after="0"/>
              <w:rPr>
                <w:sz w:val="20"/>
                <w:szCs w:val="20"/>
                <w:color w:val="auto"/>
              </w:rPr>
            </w:pPr>
            <w:r>
              <w:rPr>
                <w:rFonts w:ascii="Verdana" w:cs="Verdana" w:eastAsia="Verdana" w:hAnsi="Verdana"/>
                <w:sz w:val="18"/>
                <w:szCs w:val="18"/>
                <w:color w:val="auto"/>
              </w:rPr>
              <w:t>24.0 %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24.0 %</w:t>
            </w:r>
          </w:p>
        </w:tc>
      </w:tr>
      <w:tr>
        <w:trPr>
          <w:trHeight w:val="277"/>
        </w:trPr>
        <w:tc>
          <w:tcPr>
            <w:tcW w:w="78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16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43.0 %</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43.6 %</w:t>
            </w:r>
          </w:p>
        </w:tc>
      </w:tr>
      <w:tr>
        <w:trPr>
          <w:trHeight w:val="264"/>
        </w:trPr>
        <w:tc>
          <w:tcPr>
            <w:tcW w:w="78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Real estate construction</w:t>
            </w:r>
          </w:p>
        </w:tc>
        <w:tc>
          <w:tcPr>
            <w:tcW w:w="16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5.1 %</w:t>
            </w:r>
          </w:p>
        </w:tc>
        <w:tc>
          <w:tcPr>
            <w:tcW w:w="100" w:type="dxa"/>
            <w:vAlign w:val="bottom"/>
            <w:tcBorders>
              <w:bottom w:val="single" w:sz="8" w:color="E0E7ED"/>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6.0 %</w:t>
            </w:r>
          </w:p>
        </w:tc>
      </w:tr>
      <w:tr>
        <w:trPr>
          <w:trHeight w:val="270"/>
        </w:trPr>
        <w:tc>
          <w:tcPr>
            <w:tcW w:w="78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commercial loans</w:t>
            </w:r>
          </w:p>
        </w:tc>
        <w:tc>
          <w:tcPr>
            <w:tcW w:w="16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72.1 %</w:t>
            </w:r>
          </w:p>
        </w:tc>
        <w:tc>
          <w:tcPr>
            <w:tcW w:w="10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spacing w:after="0"/>
              <w:rPr>
                <w:sz w:val="23"/>
                <w:szCs w:val="23"/>
                <w:color w:val="auto"/>
              </w:rPr>
            </w:pPr>
          </w:p>
        </w:tc>
        <w:tc>
          <w:tcPr>
            <w:tcW w:w="14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73.6 %</w:t>
            </w:r>
          </w:p>
        </w:tc>
      </w:tr>
      <w:tr>
        <w:trPr>
          <w:trHeight w:val="243"/>
        </w:trPr>
        <w:tc>
          <w:tcPr>
            <w:tcW w:w="7860" w:type="dxa"/>
            <w:vAlign w:val="bottom"/>
          </w:tcPr>
          <w:p>
            <w:pPr>
              <w:ind w:left="20"/>
              <w:spacing w:after="0"/>
              <w:rPr>
                <w:sz w:val="20"/>
                <w:szCs w:val="20"/>
                <w:color w:val="auto"/>
              </w:rPr>
            </w:pPr>
            <w:r>
              <w:rPr>
                <w:rFonts w:ascii="Verdana" w:cs="Verdana" w:eastAsia="Verdana" w:hAnsi="Verdana"/>
                <w:sz w:val="18"/>
                <w:szCs w:val="18"/>
                <w:b w:val="1"/>
                <w:bCs w:val="1"/>
                <w:color w:val="auto"/>
              </w:rPr>
              <w:t>Retail loans</w:t>
            </w: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7"/>
        </w:trPr>
        <w:tc>
          <w:tcPr>
            <w:tcW w:w="78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16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21.9 %</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22.5 %</w:t>
            </w:r>
          </w:p>
        </w:tc>
      </w:tr>
      <w:tr>
        <w:trPr>
          <w:trHeight w:val="263"/>
        </w:trPr>
        <w:tc>
          <w:tcPr>
            <w:tcW w:w="78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Retail other</w:t>
            </w:r>
          </w:p>
        </w:tc>
        <w:tc>
          <w:tcPr>
            <w:tcW w:w="16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6.0 %</w:t>
            </w:r>
          </w:p>
        </w:tc>
        <w:tc>
          <w:tcPr>
            <w:tcW w:w="100" w:type="dxa"/>
            <w:vAlign w:val="bottom"/>
            <w:tcBorders>
              <w:bottom w:val="single" w:sz="8" w:color="E0E7ED"/>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3.9 %</w:t>
            </w:r>
          </w:p>
        </w:tc>
      </w:tr>
      <w:tr>
        <w:trPr>
          <w:trHeight w:val="263"/>
        </w:trPr>
        <w:tc>
          <w:tcPr>
            <w:tcW w:w="78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retail loans</w:t>
            </w:r>
          </w:p>
        </w:tc>
        <w:tc>
          <w:tcPr>
            <w:tcW w:w="16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27.9 %</w:t>
            </w:r>
          </w:p>
        </w:tc>
        <w:tc>
          <w:tcPr>
            <w:tcW w:w="100" w:type="dxa"/>
            <w:vAlign w:val="bottom"/>
            <w:shd w:val="clear" w:color="auto" w:fill="E0E7ED"/>
          </w:tcPr>
          <w:p>
            <w:pPr>
              <w:spacing w:after="0"/>
              <w:rPr>
                <w:sz w:val="22"/>
                <w:szCs w:val="22"/>
                <w:color w:val="auto"/>
              </w:rPr>
            </w:pPr>
          </w:p>
        </w:tc>
        <w:tc>
          <w:tcPr>
            <w:tcW w:w="240" w:type="dxa"/>
            <w:vAlign w:val="bottom"/>
            <w:tcBorders>
              <w:bottom w:val="single" w:sz="8" w:color="auto"/>
            </w:tcBorders>
            <w:shd w:val="clear" w:color="auto" w:fill="E0E7ED"/>
          </w:tcPr>
          <w:p>
            <w:pPr>
              <w:spacing w:after="0"/>
              <w:rPr>
                <w:sz w:val="22"/>
                <w:szCs w:val="22"/>
                <w:color w:val="auto"/>
              </w:rPr>
            </w:pPr>
          </w:p>
        </w:tc>
        <w:tc>
          <w:tcPr>
            <w:tcW w:w="14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26.4 %</w:t>
            </w:r>
          </w:p>
        </w:tc>
      </w:tr>
      <w:tr>
        <w:trPr>
          <w:trHeight w:val="257"/>
        </w:trPr>
        <w:tc>
          <w:tcPr>
            <w:tcW w:w="7860" w:type="dxa"/>
            <w:vAlign w:val="bottom"/>
          </w:tcPr>
          <w:p>
            <w:pPr>
              <w:ind w:left="20"/>
              <w:spacing w:after="0"/>
              <w:rPr>
                <w:sz w:val="20"/>
                <w:szCs w:val="20"/>
                <w:color w:val="auto"/>
              </w:rPr>
            </w:pPr>
            <w:r>
              <w:rPr>
                <w:rFonts w:ascii="Verdana" w:cs="Verdana" w:eastAsia="Verdana" w:hAnsi="Verdana"/>
                <w:sz w:val="18"/>
                <w:szCs w:val="18"/>
                <w:color w:val="auto"/>
              </w:rPr>
              <w:t>Total portfolio loans</w:t>
            </w:r>
          </w:p>
        </w:tc>
        <w:tc>
          <w:tcPr>
            <w:tcW w:w="1640" w:type="dxa"/>
            <w:vAlign w:val="bottom"/>
          </w:tcPr>
          <w:p>
            <w:pPr>
              <w:jc w:val="right"/>
              <w:spacing w:after="0"/>
              <w:rPr>
                <w:sz w:val="20"/>
                <w:szCs w:val="20"/>
                <w:color w:val="auto"/>
              </w:rPr>
            </w:pPr>
            <w:r>
              <w:rPr>
                <w:rFonts w:ascii="Verdana" w:cs="Verdana" w:eastAsia="Verdana" w:hAnsi="Verdana"/>
                <w:sz w:val="18"/>
                <w:szCs w:val="18"/>
                <w:color w:val="auto"/>
              </w:rPr>
              <w:t>100.0 %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100.0 %</w:t>
            </w:r>
          </w:p>
        </w:tc>
      </w:tr>
    </w:tbl>
    <w:p>
      <w:pPr>
        <w:spacing w:after="0" w:line="278"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A significant majority of our portfolio lending activity occurs in the Illinois and Missouri markets, with the remainder in the Florida and Indiana markets. The geographic distribution of loans originated in each of these markets is presented in the tables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20"/>
              <w:spacing w:after="0"/>
              <w:rPr>
                <w:sz w:val="20"/>
                <w:szCs w:val="20"/>
                <w:color w:val="auto"/>
              </w:rPr>
            </w:pPr>
            <w:r>
              <w:rPr>
                <w:rFonts w:ascii="Verdana" w:cs="Verdana" w:eastAsia="Verdana" w:hAnsi="Verdana"/>
                <w:sz w:val="13"/>
                <w:szCs w:val="13"/>
                <w:b w:val="1"/>
                <w:bCs w:val="1"/>
                <w:color w:val="auto"/>
              </w:rPr>
              <w:t>September 30, 2024</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70"/>
        </w:trPr>
        <w:tc>
          <w:tcPr>
            <w:tcW w:w="3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Verdana" w:cs="Verdana" w:eastAsia="Verdana" w:hAnsi="Verdana"/>
                <w:sz w:val="13"/>
                <w:szCs w:val="13"/>
                <w:b w:val="1"/>
                <w:bCs w:val="1"/>
                <w:color w:val="auto"/>
              </w:rPr>
              <w:t>Illinois</w:t>
            </w:r>
          </w:p>
        </w:tc>
        <w:tc>
          <w:tcPr>
            <w:tcW w:w="30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Verdana" w:cs="Verdana" w:eastAsia="Verdana" w:hAnsi="Verdana"/>
                <w:sz w:val="13"/>
                <w:szCs w:val="13"/>
                <w:b w:val="1"/>
                <w:bCs w:val="1"/>
                <w:color w:val="auto"/>
              </w:rPr>
              <w:t>Missouri</w:t>
            </w:r>
          </w:p>
        </w:tc>
        <w:tc>
          <w:tcPr>
            <w:tcW w:w="32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Verdana" w:cs="Verdana" w:eastAsia="Verdana" w:hAnsi="Verdana"/>
                <w:sz w:val="13"/>
                <w:szCs w:val="13"/>
                <w:b w:val="1"/>
                <w:bCs w:val="1"/>
                <w:color w:val="auto"/>
              </w:rPr>
              <w:t>Florida</w:t>
            </w: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Verdana" w:cs="Verdana" w:eastAsia="Verdana" w:hAnsi="Verdana"/>
                <w:sz w:val="13"/>
                <w:szCs w:val="13"/>
                <w:b w:val="1"/>
                <w:bCs w:val="1"/>
                <w:color w:val="auto"/>
              </w:rPr>
              <w:t>Indiana</w:t>
            </w:r>
          </w:p>
        </w:tc>
        <w:tc>
          <w:tcPr>
            <w:tcW w:w="300" w:type="dxa"/>
            <w:vAlign w:val="bottom"/>
          </w:tcPr>
          <w:p>
            <w:pPr>
              <w:spacing w:after="0"/>
              <w:rPr>
                <w:sz w:val="14"/>
                <w:szCs w:val="14"/>
                <w:color w:val="auto"/>
              </w:rPr>
            </w:pPr>
          </w:p>
        </w:tc>
        <w:tc>
          <w:tcPr>
            <w:tcW w:w="1200" w:type="dxa"/>
            <w:vAlign w:val="bottom"/>
          </w:tcPr>
          <w:p>
            <w:pPr>
              <w:jc w:val="right"/>
              <w:ind w:right="492"/>
              <w:spacing w:after="0"/>
              <w:rPr>
                <w:sz w:val="20"/>
                <w:szCs w:val="20"/>
                <w:color w:val="auto"/>
              </w:rPr>
            </w:pPr>
            <w:r>
              <w:rPr>
                <w:rFonts w:ascii="Verdana" w:cs="Verdana" w:eastAsia="Verdana" w:hAnsi="Verdana"/>
                <w:sz w:val="13"/>
                <w:szCs w:val="13"/>
                <w:b w:val="1"/>
                <w:bCs w:val="1"/>
                <w:color w:val="auto"/>
              </w:rPr>
              <w:t>Total</w:t>
            </w:r>
          </w:p>
        </w:tc>
      </w:tr>
      <w:tr>
        <w:trPr>
          <w:trHeight w:val="255"/>
        </w:trPr>
        <w:tc>
          <w:tcPr>
            <w:tcW w:w="340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 loans</w:t>
            </w: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20" w:type="dxa"/>
            <w:vAlign w:val="bottom"/>
            <w:tcBorders>
              <w:top w:val="single" w:sz="8" w:color="auto"/>
            </w:tcBorders>
            <w:shd w:val="clear" w:color="auto" w:fill="E0E7ED"/>
          </w:tcPr>
          <w:p>
            <w:pPr>
              <w:spacing w:after="0"/>
              <w:rPr>
                <w:sz w:val="22"/>
                <w:szCs w:val="22"/>
                <w:color w:val="auto"/>
              </w:rPr>
            </w:pPr>
          </w:p>
        </w:tc>
        <w:tc>
          <w:tcPr>
            <w:tcW w:w="11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r>
      <w:tr>
        <w:trPr>
          <w:trHeight w:val="263"/>
        </w:trPr>
        <w:tc>
          <w:tcPr>
            <w:tcW w:w="3400" w:type="dxa"/>
            <w:vAlign w:val="bottom"/>
          </w:tcPr>
          <w:p>
            <w:pPr>
              <w:ind w:left="180"/>
              <w:spacing w:after="0"/>
              <w:rPr>
                <w:sz w:val="20"/>
                <w:szCs w:val="20"/>
                <w:color w:val="auto"/>
              </w:rPr>
            </w:pPr>
            <w:r>
              <w:rPr>
                <w:rFonts w:ascii="Verdana" w:cs="Verdana" w:eastAsia="Verdana" w:hAnsi="Verdana"/>
                <w:sz w:val="18"/>
                <w:szCs w:val="18"/>
                <w:color w:val="auto"/>
              </w:rPr>
              <w:t>C&amp;I and other commercial</w:t>
            </w:r>
          </w:p>
        </w:tc>
        <w:tc>
          <w:tcPr>
            <w:tcW w:w="300" w:type="dxa"/>
            <w:vAlign w:val="bottom"/>
          </w:tcPr>
          <w:p>
            <w:pPr>
              <w:jc w:val="right"/>
              <w:ind w:right="90"/>
              <w:spacing w:after="0"/>
              <w:rPr>
                <w:sz w:val="20"/>
                <w:szCs w:val="20"/>
                <w:color w:val="auto"/>
              </w:rPr>
            </w:pPr>
            <w:r>
              <w:rPr>
                <w:rFonts w:ascii="Verdana" w:cs="Verdana" w:eastAsia="Verdana" w:hAnsi="Verdana"/>
                <w:sz w:val="18"/>
                <w:szCs w:val="18"/>
                <w:color w:val="auto"/>
                <w:w w:val="86"/>
              </w:rPr>
              <w:t>$</w:t>
            </w:r>
          </w:p>
        </w:tc>
        <w:tc>
          <w:tcPr>
            <w:tcW w:w="1200" w:type="dxa"/>
            <w:vAlign w:val="bottom"/>
          </w:tcPr>
          <w:p>
            <w:pPr>
              <w:jc w:val="right"/>
              <w:ind w:right="13"/>
              <w:spacing w:after="0"/>
              <w:rPr>
                <w:sz w:val="20"/>
                <w:szCs w:val="20"/>
                <w:color w:val="auto"/>
              </w:rPr>
            </w:pPr>
            <w:r>
              <w:rPr>
                <w:rFonts w:ascii="Verdana" w:cs="Verdana" w:eastAsia="Verdana" w:hAnsi="Verdana"/>
                <w:sz w:val="18"/>
                <w:szCs w:val="18"/>
                <w:color w:val="auto"/>
              </w:rPr>
              <w:t>1,525,046</w:t>
            </w:r>
          </w:p>
        </w:tc>
        <w:tc>
          <w:tcPr>
            <w:tcW w:w="8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295,895</w:t>
            </w:r>
          </w:p>
        </w:tc>
        <w:tc>
          <w:tcPr>
            <w:tcW w:w="100" w:type="dxa"/>
            <w:vAlign w:val="bottom"/>
          </w:tcPr>
          <w:p>
            <w:pPr>
              <w:spacing w:after="0"/>
              <w:rPr>
                <w:sz w:val="22"/>
                <w:szCs w:val="22"/>
                <w:color w:val="auto"/>
              </w:rPr>
            </w:pPr>
          </w:p>
        </w:tc>
        <w:tc>
          <w:tcPr>
            <w:tcW w:w="320" w:type="dxa"/>
            <w:vAlign w:val="bottom"/>
          </w:tcPr>
          <w:p>
            <w:pPr>
              <w:ind w:left="20"/>
              <w:spacing w:after="0"/>
              <w:rPr>
                <w:sz w:val="20"/>
                <w:szCs w:val="20"/>
                <w:color w:val="auto"/>
              </w:rPr>
            </w:pPr>
            <w:r>
              <w:rPr>
                <w:rFonts w:ascii="Verdana" w:cs="Verdana" w:eastAsia="Verdana" w:hAnsi="Verdana"/>
                <w:sz w:val="18"/>
                <w:szCs w:val="18"/>
                <w:color w:val="auto"/>
              </w:rPr>
              <w:t>$</w:t>
            </w:r>
          </w:p>
        </w:tc>
        <w:tc>
          <w:tcPr>
            <w:tcW w:w="1160" w:type="dxa"/>
            <w:vAlign w:val="bottom"/>
          </w:tcPr>
          <w:p>
            <w:pPr>
              <w:jc w:val="right"/>
              <w:spacing w:after="0"/>
              <w:rPr>
                <w:sz w:val="20"/>
                <w:szCs w:val="20"/>
                <w:color w:val="auto"/>
              </w:rPr>
            </w:pPr>
            <w:r>
              <w:rPr>
                <w:rFonts w:ascii="Verdana" w:cs="Verdana" w:eastAsia="Verdana" w:hAnsi="Verdana"/>
                <w:sz w:val="18"/>
                <w:szCs w:val="18"/>
                <w:color w:val="auto"/>
              </w:rPr>
              <w:t>22,046</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34,510</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1,877,497</w:t>
            </w:r>
          </w:p>
        </w:tc>
      </w:tr>
      <w:tr>
        <w:trPr>
          <w:trHeight w:val="277"/>
        </w:trPr>
        <w:tc>
          <w:tcPr>
            <w:tcW w:w="34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2,328,054</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618,378</w:t>
            </w:r>
          </w:p>
        </w:tc>
        <w:tc>
          <w:tcPr>
            <w:tcW w:w="10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233,210</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176,165</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3,355,807</w:t>
            </w:r>
          </w:p>
        </w:tc>
      </w:tr>
      <w:tr>
        <w:trPr>
          <w:trHeight w:val="263"/>
        </w:trPr>
        <w:tc>
          <w:tcPr>
            <w:tcW w:w="340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Real estate construction</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239,857</w:t>
            </w:r>
          </w:p>
        </w:tc>
        <w:tc>
          <w:tcPr>
            <w:tcW w:w="8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42,140</w:t>
            </w:r>
          </w:p>
        </w:tc>
        <w:tc>
          <w:tcPr>
            <w:tcW w:w="100" w:type="dxa"/>
            <w:vAlign w:val="bottom"/>
            <w:tcBorders>
              <w:bottom w:val="single" w:sz="8" w:color="E0E7E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51,208</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64,772</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397,977</w:t>
            </w:r>
          </w:p>
        </w:tc>
      </w:tr>
      <w:tr>
        <w:trPr>
          <w:trHeight w:val="270"/>
        </w:trPr>
        <w:tc>
          <w:tcPr>
            <w:tcW w:w="34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commercial loans</w:t>
            </w:r>
          </w:p>
        </w:tc>
        <w:tc>
          <w:tcPr>
            <w:tcW w:w="300" w:type="dxa"/>
            <w:vAlign w:val="bottom"/>
            <w:tcBorders>
              <w:bottom w:val="single" w:sz="8" w:color="auto"/>
            </w:tcBorders>
            <w:shd w:val="clear" w:color="auto" w:fill="E0E7ED"/>
          </w:tcPr>
          <w:p>
            <w:pPr>
              <w:spacing w:after="0"/>
              <w:rPr>
                <w:sz w:val="23"/>
                <w:szCs w:val="23"/>
                <w:color w:val="auto"/>
              </w:rPr>
            </w:pPr>
          </w:p>
        </w:tc>
        <w:tc>
          <w:tcPr>
            <w:tcW w:w="120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4,092,957</w:t>
            </w:r>
          </w:p>
        </w:tc>
        <w:tc>
          <w:tcPr>
            <w:tcW w:w="80" w:type="dxa"/>
            <w:vAlign w:val="bottom"/>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956,413</w:t>
            </w:r>
          </w:p>
        </w:tc>
        <w:tc>
          <w:tcPr>
            <w:tcW w:w="100" w:type="dxa"/>
            <w:vAlign w:val="bottom"/>
            <w:shd w:val="clear" w:color="auto" w:fill="E0E7ED"/>
          </w:tcPr>
          <w:p>
            <w:pPr>
              <w:spacing w:after="0"/>
              <w:rPr>
                <w:sz w:val="23"/>
                <w:szCs w:val="23"/>
                <w:color w:val="auto"/>
              </w:rPr>
            </w:pPr>
          </w:p>
        </w:tc>
        <w:tc>
          <w:tcPr>
            <w:tcW w:w="320" w:type="dxa"/>
            <w:vAlign w:val="bottom"/>
            <w:tcBorders>
              <w:bottom w:val="single" w:sz="8" w:color="auto"/>
            </w:tcBorders>
            <w:shd w:val="clear" w:color="auto" w:fill="E0E7ED"/>
          </w:tcPr>
          <w:p>
            <w:pPr>
              <w:spacing w:after="0"/>
              <w:rPr>
                <w:sz w:val="23"/>
                <w:szCs w:val="23"/>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306,464</w:t>
            </w:r>
          </w:p>
        </w:tc>
        <w:tc>
          <w:tcPr>
            <w:tcW w:w="100" w:type="dxa"/>
            <w:vAlign w:val="bottom"/>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275,447</w:t>
            </w:r>
          </w:p>
        </w:tc>
        <w:tc>
          <w:tcPr>
            <w:tcW w:w="100" w:type="dxa"/>
            <w:vAlign w:val="bottom"/>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5,631,281</w:t>
            </w:r>
          </w:p>
        </w:tc>
      </w:tr>
      <w:tr>
        <w:trPr>
          <w:trHeight w:val="243"/>
        </w:trPr>
        <w:tc>
          <w:tcPr>
            <w:tcW w:w="3400" w:type="dxa"/>
            <w:vAlign w:val="bottom"/>
          </w:tcPr>
          <w:p>
            <w:pPr>
              <w:ind w:left="20"/>
              <w:spacing w:after="0"/>
              <w:rPr>
                <w:sz w:val="20"/>
                <w:szCs w:val="20"/>
                <w:color w:val="auto"/>
              </w:rPr>
            </w:pPr>
            <w:r>
              <w:rPr>
                <w:rFonts w:ascii="Verdana" w:cs="Verdana" w:eastAsia="Verdana" w:hAnsi="Verdana"/>
                <w:sz w:val="18"/>
                <w:szCs w:val="18"/>
                <w:b w:val="1"/>
                <w:bCs w:val="1"/>
                <w:color w:val="auto"/>
              </w:rPr>
              <w:t>Retail loans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7"/>
        </w:trPr>
        <w:tc>
          <w:tcPr>
            <w:tcW w:w="34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1,277,020</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219,963</w:t>
            </w:r>
          </w:p>
        </w:tc>
        <w:tc>
          <w:tcPr>
            <w:tcW w:w="10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131,862</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79,926</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1,708,771</w:t>
            </w:r>
          </w:p>
        </w:tc>
      </w:tr>
      <w:tr>
        <w:trPr>
          <w:trHeight w:val="263"/>
        </w:trPr>
        <w:tc>
          <w:tcPr>
            <w:tcW w:w="340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Retail other</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463,928</w:t>
            </w:r>
          </w:p>
        </w:tc>
        <w:tc>
          <w:tcPr>
            <w:tcW w:w="8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3,460</w:t>
            </w:r>
          </w:p>
        </w:tc>
        <w:tc>
          <w:tcPr>
            <w:tcW w:w="100" w:type="dxa"/>
            <w:vAlign w:val="bottom"/>
            <w:tcBorders>
              <w:bottom w:val="single" w:sz="8" w:color="E0E7E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632</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1,025</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469,045</w:t>
            </w:r>
          </w:p>
        </w:tc>
      </w:tr>
      <w:tr>
        <w:trPr>
          <w:trHeight w:val="264"/>
        </w:trPr>
        <w:tc>
          <w:tcPr>
            <w:tcW w:w="34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retail loans</w:t>
            </w:r>
          </w:p>
        </w:tc>
        <w:tc>
          <w:tcPr>
            <w:tcW w:w="300" w:type="dxa"/>
            <w:vAlign w:val="bottom"/>
            <w:tcBorders>
              <w:bottom w:val="single" w:sz="8" w:color="auto"/>
            </w:tcBorders>
            <w:shd w:val="clear" w:color="auto" w:fill="E0E7ED"/>
          </w:tcPr>
          <w:p>
            <w:pPr>
              <w:spacing w:after="0"/>
              <w:rPr>
                <w:sz w:val="22"/>
                <w:szCs w:val="22"/>
                <w:color w:val="auto"/>
              </w:rPr>
            </w:pPr>
          </w:p>
        </w:tc>
        <w:tc>
          <w:tcPr>
            <w:tcW w:w="120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1,740,948</w:t>
            </w:r>
          </w:p>
        </w:tc>
        <w:tc>
          <w:tcPr>
            <w:tcW w:w="80" w:type="dxa"/>
            <w:vAlign w:val="bottom"/>
            <w:shd w:val="clear" w:color="auto" w:fill="E0E7ED"/>
          </w:tcPr>
          <w:p>
            <w:pPr>
              <w:spacing w:after="0"/>
              <w:rPr>
                <w:sz w:val="22"/>
                <w:szCs w:val="22"/>
                <w:color w:val="auto"/>
              </w:rPr>
            </w:pPr>
          </w:p>
        </w:tc>
        <w:tc>
          <w:tcPr>
            <w:tcW w:w="300" w:type="dxa"/>
            <w:vAlign w:val="bottom"/>
            <w:tcBorders>
              <w:bottom w:val="single" w:sz="8" w:color="auto"/>
            </w:tcBorders>
            <w:shd w:val="clear" w:color="auto" w:fill="E0E7ED"/>
          </w:tcPr>
          <w:p>
            <w:pPr>
              <w:spacing w:after="0"/>
              <w:rPr>
                <w:sz w:val="22"/>
                <w:szCs w:val="22"/>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223,423</w:t>
            </w:r>
          </w:p>
        </w:tc>
        <w:tc>
          <w:tcPr>
            <w:tcW w:w="100" w:type="dxa"/>
            <w:vAlign w:val="bottom"/>
            <w:shd w:val="clear" w:color="auto" w:fill="E0E7ED"/>
          </w:tcPr>
          <w:p>
            <w:pPr>
              <w:spacing w:after="0"/>
              <w:rPr>
                <w:sz w:val="22"/>
                <w:szCs w:val="22"/>
                <w:color w:val="auto"/>
              </w:rPr>
            </w:pPr>
          </w:p>
        </w:tc>
        <w:tc>
          <w:tcPr>
            <w:tcW w:w="320" w:type="dxa"/>
            <w:vAlign w:val="bottom"/>
            <w:tcBorders>
              <w:bottom w:val="single" w:sz="8" w:color="auto"/>
            </w:tcBorders>
            <w:shd w:val="clear" w:color="auto" w:fill="E0E7ED"/>
          </w:tcPr>
          <w:p>
            <w:pPr>
              <w:spacing w:after="0"/>
              <w:rPr>
                <w:sz w:val="22"/>
                <w:szCs w:val="22"/>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132,494</w:t>
            </w:r>
          </w:p>
        </w:tc>
        <w:tc>
          <w:tcPr>
            <w:tcW w:w="100" w:type="dxa"/>
            <w:vAlign w:val="bottom"/>
            <w:shd w:val="clear" w:color="auto" w:fill="E0E7ED"/>
          </w:tcPr>
          <w:p>
            <w:pPr>
              <w:spacing w:after="0"/>
              <w:rPr>
                <w:sz w:val="22"/>
                <w:szCs w:val="22"/>
                <w:color w:val="auto"/>
              </w:rPr>
            </w:pPr>
          </w:p>
        </w:tc>
        <w:tc>
          <w:tcPr>
            <w:tcW w:w="300" w:type="dxa"/>
            <w:vAlign w:val="bottom"/>
            <w:tcBorders>
              <w:bottom w:val="single" w:sz="8" w:color="auto"/>
            </w:tcBorders>
            <w:shd w:val="clear" w:color="auto" w:fill="E0E7ED"/>
          </w:tcPr>
          <w:p>
            <w:pPr>
              <w:spacing w:after="0"/>
              <w:rPr>
                <w:sz w:val="22"/>
                <w:szCs w:val="22"/>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80,951</w:t>
            </w:r>
          </w:p>
        </w:tc>
        <w:tc>
          <w:tcPr>
            <w:tcW w:w="100" w:type="dxa"/>
            <w:vAlign w:val="bottom"/>
            <w:shd w:val="clear" w:color="auto" w:fill="E0E7ED"/>
          </w:tcPr>
          <w:p>
            <w:pPr>
              <w:spacing w:after="0"/>
              <w:rPr>
                <w:sz w:val="22"/>
                <w:szCs w:val="22"/>
                <w:color w:val="auto"/>
              </w:rPr>
            </w:pPr>
          </w:p>
        </w:tc>
        <w:tc>
          <w:tcPr>
            <w:tcW w:w="300" w:type="dxa"/>
            <w:vAlign w:val="bottom"/>
            <w:tcBorders>
              <w:bottom w:val="single" w:sz="8" w:color="auto"/>
            </w:tcBorders>
            <w:shd w:val="clear" w:color="auto" w:fill="E0E7ED"/>
          </w:tcPr>
          <w:p>
            <w:pPr>
              <w:spacing w:after="0"/>
              <w:rPr>
                <w:sz w:val="22"/>
                <w:szCs w:val="22"/>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2,177,816</w:t>
            </w:r>
          </w:p>
        </w:tc>
      </w:tr>
      <w:tr>
        <w:trPr>
          <w:trHeight w:val="270"/>
        </w:trPr>
        <w:tc>
          <w:tcPr>
            <w:tcW w:w="3400" w:type="dxa"/>
            <w:vAlign w:val="bottom"/>
          </w:tcPr>
          <w:p>
            <w:pPr>
              <w:ind w:left="20"/>
              <w:spacing w:after="0"/>
              <w:rPr>
                <w:sz w:val="20"/>
                <w:szCs w:val="20"/>
                <w:color w:val="auto"/>
              </w:rPr>
            </w:pPr>
            <w:r>
              <w:rPr>
                <w:rFonts w:ascii="Verdana" w:cs="Verdana" w:eastAsia="Verdana" w:hAnsi="Verdana"/>
                <w:sz w:val="18"/>
                <w:szCs w:val="18"/>
                <w:color w:val="auto"/>
              </w:rPr>
              <w:t>Total portfolio loans</w:t>
            </w:r>
          </w:p>
        </w:tc>
        <w:tc>
          <w:tcPr>
            <w:tcW w:w="300" w:type="dxa"/>
            <w:vAlign w:val="bottom"/>
            <w:tcBorders>
              <w:bottom w:val="single" w:sz="8" w:color="auto"/>
            </w:tcBorders>
          </w:tcPr>
          <w:p>
            <w:pPr>
              <w:jc w:val="right"/>
              <w:ind w:right="90"/>
              <w:spacing w:after="0"/>
              <w:rPr>
                <w:sz w:val="20"/>
                <w:szCs w:val="20"/>
                <w:color w:val="auto"/>
              </w:rPr>
            </w:pPr>
            <w:r>
              <w:rPr>
                <w:rFonts w:ascii="Verdana" w:cs="Verdana" w:eastAsia="Verdana" w:hAnsi="Verdana"/>
                <w:sz w:val="18"/>
                <w:szCs w:val="18"/>
                <w:color w:val="auto"/>
                <w:w w:val="86"/>
              </w:rPr>
              <w:t>$</w:t>
            </w:r>
          </w:p>
        </w:tc>
        <w:tc>
          <w:tcPr>
            <w:tcW w:w="120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5,833,905</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1,179,836</w:t>
            </w:r>
          </w:p>
        </w:tc>
        <w:tc>
          <w:tcPr>
            <w:tcW w:w="100" w:type="dxa"/>
            <w:vAlign w:val="bottom"/>
          </w:tcPr>
          <w:p>
            <w:pPr>
              <w:spacing w:after="0"/>
              <w:rPr>
                <w:sz w:val="23"/>
                <w:szCs w:val="23"/>
                <w:color w:val="auto"/>
              </w:rPr>
            </w:pPr>
          </w:p>
        </w:tc>
        <w:tc>
          <w:tcPr>
            <w:tcW w:w="320" w:type="dxa"/>
            <w:vAlign w:val="bottom"/>
            <w:tcBorders>
              <w:bottom w:val="single" w:sz="8" w:color="auto"/>
            </w:tcBorders>
          </w:tcPr>
          <w:p>
            <w:pPr>
              <w:ind w:left="20"/>
              <w:spacing w:after="0"/>
              <w:rPr>
                <w:sz w:val="20"/>
                <w:szCs w:val="20"/>
                <w:color w:val="auto"/>
              </w:rPr>
            </w:pPr>
            <w:r>
              <w:rPr>
                <w:rFonts w:ascii="Verdana" w:cs="Verdana" w:eastAsia="Verdana" w:hAnsi="Verdana"/>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438,958</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356,398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7,809,097</w:t>
            </w:r>
          </w:p>
        </w:tc>
      </w:tr>
      <w:tr>
        <w:trPr>
          <w:trHeight w:val="20"/>
        </w:trPr>
        <w:tc>
          <w:tcPr>
            <w:tcW w:w="340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E0E7ED"/>
            </w:tcBorders>
          </w:tcPr>
          <w:p>
            <w:pPr>
              <w:spacing w:after="0" w:line="20" w:lineRule="exact"/>
              <w:rPr>
                <w:sz w:val="1"/>
                <w:szCs w:val="1"/>
                <w:color w:val="auto"/>
              </w:rPr>
            </w:pPr>
          </w:p>
        </w:tc>
        <w:tc>
          <w:tcPr>
            <w:tcW w:w="1200" w:type="dxa"/>
            <w:vAlign w:val="bottom"/>
            <w:tcBorders>
              <w:bottom w:val="single" w:sz="8" w:color="E0E7ED"/>
            </w:tcBorders>
          </w:tcPr>
          <w:p>
            <w:pPr>
              <w:spacing w:after="0" w:line="20" w:lineRule="exact"/>
              <w:rPr>
                <w:sz w:val="1"/>
                <w:szCs w:val="1"/>
                <w:color w:val="auto"/>
              </w:rPr>
            </w:pPr>
          </w:p>
        </w:tc>
      </w:tr>
      <w:tr>
        <w:trPr>
          <w:trHeight w:val="230"/>
        </w:trPr>
        <w:tc>
          <w:tcPr>
            <w:tcW w:w="34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ACL</w:t>
            </w:r>
          </w:p>
        </w:tc>
        <w:tc>
          <w:tcPr>
            <w:tcW w:w="300" w:type="dxa"/>
            <w:vAlign w:val="bottom"/>
            <w:shd w:val="clear" w:color="auto" w:fill="E0E7ED"/>
          </w:tcPr>
          <w:p>
            <w:pPr>
              <w:spacing w:after="0"/>
              <w:rPr>
                <w:sz w:val="20"/>
                <w:szCs w:val="20"/>
                <w:color w:val="auto"/>
              </w:rPr>
            </w:pPr>
          </w:p>
        </w:tc>
        <w:tc>
          <w:tcPr>
            <w:tcW w:w="120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2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20" w:type="dxa"/>
            <w:vAlign w:val="bottom"/>
            <w:shd w:val="clear" w:color="auto" w:fill="E0E7ED"/>
          </w:tcPr>
          <w:p>
            <w:pPr>
              <w:spacing w:after="0"/>
              <w:rPr>
                <w:sz w:val="20"/>
                <w:szCs w:val="20"/>
                <w:color w:val="auto"/>
              </w:rPr>
            </w:pPr>
          </w:p>
        </w:tc>
        <w:tc>
          <w:tcPr>
            <w:tcW w:w="116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1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00" w:type="dxa"/>
            <w:vAlign w:val="bottom"/>
            <w:tcBorders>
              <w:bottom w:val="single" w:sz="8" w:color="auto"/>
            </w:tcBorders>
            <w:shd w:val="clear" w:color="auto" w:fill="E0E7ED"/>
          </w:tcPr>
          <w:p>
            <w:pPr>
              <w:spacing w:after="0"/>
              <w:rPr>
                <w:sz w:val="20"/>
                <w:szCs w:val="20"/>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(84,981)</w:t>
            </w:r>
          </w:p>
        </w:tc>
      </w:tr>
      <w:tr>
        <w:trPr>
          <w:trHeight w:val="270"/>
        </w:trPr>
        <w:tc>
          <w:tcPr>
            <w:tcW w:w="3400" w:type="dxa"/>
            <w:vAlign w:val="bottom"/>
          </w:tcPr>
          <w:p>
            <w:pPr>
              <w:ind w:left="20"/>
              <w:spacing w:after="0"/>
              <w:rPr>
                <w:sz w:val="20"/>
                <w:szCs w:val="20"/>
                <w:color w:val="auto"/>
              </w:rPr>
            </w:pPr>
            <w:r>
              <w:rPr>
                <w:rFonts w:ascii="Verdana" w:cs="Verdana" w:eastAsia="Verdana" w:hAnsi="Verdana"/>
                <w:sz w:val="18"/>
                <w:szCs w:val="18"/>
                <w:color w:val="auto"/>
              </w:rPr>
              <w:t>Portfolio loans, net of ACL</w:t>
            </w: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7,724,116</w:t>
            </w:r>
          </w:p>
        </w:tc>
      </w:tr>
      <w:tr>
        <w:trPr>
          <w:trHeight w:val="20"/>
        </w:trPr>
        <w:tc>
          <w:tcPr>
            <w:tcW w:w="3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8" w:name="page89"/>
    <w:bookmarkEnd w:id="88"/>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40"/>
              <w:spacing w:after="0"/>
              <w:rPr>
                <w:sz w:val="20"/>
                <w:szCs w:val="20"/>
                <w:color w:val="auto"/>
              </w:rPr>
            </w:pPr>
            <w:r>
              <w:rPr>
                <w:rFonts w:ascii="Verdana" w:cs="Verdana" w:eastAsia="Verdana" w:hAnsi="Verdana"/>
                <w:sz w:val="13"/>
                <w:szCs w:val="13"/>
                <w:b w:val="1"/>
                <w:bCs w:val="1"/>
                <w:color w:val="auto"/>
              </w:rPr>
              <w:t>December 31, 2023</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70"/>
        </w:trPr>
        <w:tc>
          <w:tcPr>
            <w:tcW w:w="3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Verdana" w:cs="Verdana" w:eastAsia="Verdana" w:hAnsi="Verdana"/>
                <w:sz w:val="13"/>
                <w:szCs w:val="13"/>
                <w:b w:val="1"/>
                <w:bCs w:val="1"/>
                <w:color w:val="auto"/>
              </w:rPr>
              <w:t>Illinois</w:t>
            </w:r>
          </w:p>
        </w:tc>
        <w:tc>
          <w:tcPr>
            <w:tcW w:w="30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Verdana" w:cs="Verdana" w:eastAsia="Verdana" w:hAnsi="Verdana"/>
                <w:sz w:val="13"/>
                <w:szCs w:val="13"/>
                <w:b w:val="1"/>
                <w:bCs w:val="1"/>
                <w:color w:val="auto"/>
              </w:rPr>
              <w:t>Missouri</w:t>
            </w:r>
          </w:p>
        </w:tc>
        <w:tc>
          <w:tcPr>
            <w:tcW w:w="32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Verdana" w:cs="Verdana" w:eastAsia="Verdana" w:hAnsi="Verdana"/>
                <w:sz w:val="13"/>
                <w:szCs w:val="13"/>
                <w:b w:val="1"/>
                <w:bCs w:val="1"/>
                <w:color w:val="auto"/>
              </w:rPr>
              <w:t>Florida</w:t>
            </w: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Verdana" w:cs="Verdana" w:eastAsia="Verdana" w:hAnsi="Verdana"/>
                <w:sz w:val="13"/>
                <w:szCs w:val="13"/>
                <w:b w:val="1"/>
                <w:bCs w:val="1"/>
                <w:color w:val="auto"/>
              </w:rPr>
              <w:t>Indiana</w:t>
            </w:r>
          </w:p>
        </w:tc>
        <w:tc>
          <w:tcPr>
            <w:tcW w:w="300" w:type="dxa"/>
            <w:vAlign w:val="bottom"/>
          </w:tcPr>
          <w:p>
            <w:pPr>
              <w:spacing w:after="0"/>
              <w:rPr>
                <w:sz w:val="14"/>
                <w:szCs w:val="14"/>
                <w:color w:val="auto"/>
              </w:rPr>
            </w:pPr>
          </w:p>
        </w:tc>
        <w:tc>
          <w:tcPr>
            <w:tcW w:w="1200" w:type="dxa"/>
            <w:vAlign w:val="bottom"/>
          </w:tcPr>
          <w:p>
            <w:pPr>
              <w:jc w:val="right"/>
              <w:ind w:right="492"/>
              <w:spacing w:after="0"/>
              <w:rPr>
                <w:sz w:val="20"/>
                <w:szCs w:val="20"/>
                <w:color w:val="auto"/>
              </w:rPr>
            </w:pPr>
            <w:r>
              <w:rPr>
                <w:rFonts w:ascii="Verdana" w:cs="Verdana" w:eastAsia="Verdana" w:hAnsi="Verdana"/>
                <w:sz w:val="13"/>
                <w:szCs w:val="13"/>
                <w:b w:val="1"/>
                <w:bCs w:val="1"/>
                <w:color w:val="auto"/>
              </w:rPr>
              <w:t>Total</w:t>
            </w:r>
          </w:p>
        </w:tc>
      </w:tr>
      <w:tr>
        <w:trPr>
          <w:trHeight w:val="255"/>
        </w:trPr>
        <w:tc>
          <w:tcPr>
            <w:tcW w:w="340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 loans</w:t>
            </w: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20" w:type="dxa"/>
            <w:vAlign w:val="bottom"/>
            <w:tcBorders>
              <w:top w:val="single" w:sz="8" w:color="auto"/>
            </w:tcBorders>
            <w:shd w:val="clear" w:color="auto" w:fill="E0E7ED"/>
          </w:tcPr>
          <w:p>
            <w:pPr>
              <w:spacing w:after="0"/>
              <w:rPr>
                <w:sz w:val="22"/>
                <w:szCs w:val="22"/>
                <w:color w:val="auto"/>
              </w:rPr>
            </w:pPr>
          </w:p>
        </w:tc>
        <w:tc>
          <w:tcPr>
            <w:tcW w:w="11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r>
      <w:tr>
        <w:trPr>
          <w:trHeight w:val="263"/>
        </w:trPr>
        <w:tc>
          <w:tcPr>
            <w:tcW w:w="3400" w:type="dxa"/>
            <w:vAlign w:val="bottom"/>
          </w:tcPr>
          <w:p>
            <w:pPr>
              <w:ind w:left="180"/>
              <w:spacing w:after="0"/>
              <w:rPr>
                <w:sz w:val="20"/>
                <w:szCs w:val="20"/>
                <w:color w:val="auto"/>
              </w:rPr>
            </w:pPr>
            <w:r>
              <w:rPr>
                <w:rFonts w:ascii="Verdana" w:cs="Verdana" w:eastAsia="Verdana" w:hAnsi="Verdana"/>
                <w:sz w:val="18"/>
                <w:szCs w:val="18"/>
                <w:color w:val="auto"/>
              </w:rPr>
              <w:t>C&amp;I and other commercial</w:t>
            </w:r>
          </w:p>
        </w:tc>
        <w:tc>
          <w:tcPr>
            <w:tcW w:w="300" w:type="dxa"/>
            <w:vAlign w:val="bottom"/>
          </w:tcPr>
          <w:p>
            <w:pPr>
              <w:jc w:val="right"/>
              <w:ind w:right="90"/>
              <w:spacing w:after="0"/>
              <w:rPr>
                <w:sz w:val="20"/>
                <w:szCs w:val="20"/>
                <w:color w:val="auto"/>
              </w:rPr>
            </w:pPr>
            <w:r>
              <w:rPr>
                <w:rFonts w:ascii="Verdana" w:cs="Verdana" w:eastAsia="Verdana" w:hAnsi="Verdana"/>
                <w:sz w:val="18"/>
                <w:szCs w:val="18"/>
                <w:color w:val="auto"/>
                <w:w w:val="86"/>
              </w:rPr>
              <w:t>$</w:t>
            </w:r>
          </w:p>
        </w:tc>
        <w:tc>
          <w:tcPr>
            <w:tcW w:w="1200" w:type="dxa"/>
            <w:vAlign w:val="bottom"/>
          </w:tcPr>
          <w:p>
            <w:pPr>
              <w:jc w:val="right"/>
              <w:ind w:right="13"/>
              <w:spacing w:after="0"/>
              <w:rPr>
                <w:sz w:val="20"/>
                <w:szCs w:val="20"/>
                <w:color w:val="auto"/>
              </w:rPr>
            </w:pPr>
            <w:r>
              <w:rPr>
                <w:rFonts w:ascii="Verdana" w:cs="Verdana" w:eastAsia="Verdana" w:hAnsi="Verdana"/>
                <w:sz w:val="18"/>
                <w:szCs w:val="18"/>
                <w:color w:val="auto"/>
              </w:rPr>
              <w:t>1,395,020</w:t>
            </w:r>
          </w:p>
        </w:tc>
        <w:tc>
          <w:tcPr>
            <w:tcW w:w="8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369,767</w:t>
            </w:r>
          </w:p>
        </w:tc>
        <w:tc>
          <w:tcPr>
            <w:tcW w:w="100" w:type="dxa"/>
            <w:vAlign w:val="bottom"/>
          </w:tcPr>
          <w:p>
            <w:pPr>
              <w:spacing w:after="0"/>
              <w:rPr>
                <w:sz w:val="22"/>
                <w:szCs w:val="22"/>
                <w:color w:val="auto"/>
              </w:rPr>
            </w:pPr>
          </w:p>
        </w:tc>
        <w:tc>
          <w:tcPr>
            <w:tcW w:w="320" w:type="dxa"/>
            <w:vAlign w:val="bottom"/>
          </w:tcPr>
          <w:p>
            <w:pPr>
              <w:ind w:left="20"/>
              <w:spacing w:after="0"/>
              <w:rPr>
                <w:sz w:val="20"/>
                <w:szCs w:val="20"/>
                <w:color w:val="auto"/>
              </w:rPr>
            </w:pPr>
            <w:r>
              <w:rPr>
                <w:rFonts w:ascii="Verdana" w:cs="Verdana" w:eastAsia="Verdana" w:hAnsi="Verdana"/>
                <w:sz w:val="18"/>
                <w:szCs w:val="18"/>
                <w:color w:val="auto"/>
              </w:rPr>
              <w:t>$</w:t>
            </w:r>
          </w:p>
        </w:tc>
        <w:tc>
          <w:tcPr>
            <w:tcW w:w="1160" w:type="dxa"/>
            <w:vAlign w:val="bottom"/>
          </w:tcPr>
          <w:p>
            <w:pPr>
              <w:jc w:val="right"/>
              <w:spacing w:after="0"/>
              <w:rPr>
                <w:sz w:val="20"/>
                <w:szCs w:val="20"/>
                <w:color w:val="auto"/>
              </w:rPr>
            </w:pPr>
            <w:r>
              <w:rPr>
                <w:rFonts w:ascii="Verdana" w:cs="Verdana" w:eastAsia="Verdana" w:hAnsi="Verdana"/>
                <w:sz w:val="18"/>
                <w:szCs w:val="18"/>
                <w:color w:val="auto"/>
              </w:rPr>
              <w:t>25,267</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45,940</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1,835,994</w:t>
            </w:r>
          </w:p>
        </w:tc>
      </w:tr>
      <w:tr>
        <w:trPr>
          <w:trHeight w:val="277"/>
        </w:trPr>
        <w:tc>
          <w:tcPr>
            <w:tcW w:w="34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2,278,348</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671,762</w:t>
            </w:r>
          </w:p>
        </w:tc>
        <w:tc>
          <w:tcPr>
            <w:tcW w:w="10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219,511</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167,716</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3,337,337</w:t>
            </w:r>
          </w:p>
        </w:tc>
      </w:tr>
      <w:tr>
        <w:trPr>
          <w:trHeight w:val="263"/>
        </w:trPr>
        <w:tc>
          <w:tcPr>
            <w:tcW w:w="340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Real estate construction</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255,879</w:t>
            </w:r>
          </w:p>
        </w:tc>
        <w:tc>
          <w:tcPr>
            <w:tcW w:w="8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74,805</w:t>
            </w:r>
          </w:p>
        </w:tc>
        <w:tc>
          <w:tcPr>
            <w:tcW w:w="100" w:type="dxa"/>
            <w:vAlign w:val="bottom"/>
            <w:tcBorders>
              <w:bottom w:val="single" w:sz="8" w:color="E0E7E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72,121</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58,912</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461,717</w:t>
            </w:r>
          </w:p>
        </w:tc>
      </w:tr>
      <w:tr>
        <w:trPr>
          <w:trHeight w:val="270"/>
        </w:trPr>
        <w:tc>
          <w:tcPr>
            <w:tcW w:w="34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commercial loans</w:t>
            </w:r>
          </w:p>
        </w:tc>
        <w:tc>
          <w:tcPr>
            <w:tcW w:w="300" w:type="dxa"/>
            <w:vAlign w:val="bottom"/>
            <w:tcBorders>
              <w:bottom w:val="single" w:sz="8" w:color="auto"/>
            </w:tcBorders>
            <w:shd w:val="clear" w:color="auto" w:fill="E0E7ED"/>
          </w:tcPr>
          <w:p>
            <w:pPr>
              <w:spacing w:after="0"/>
              <w:rPr>
                <w:sz w:val="23"/>
                <w:szCs w:val="23"/>
                <w:color w:val="auto"/>
              </w:rPr>
            </w:pPr>
          </w:p>
        </w:tc>
        <w:tc>
          <w:tcPr>
            <w:tcW w:w="120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3,929,247</w:t>
            </w:r>
          </w:p>
        </w:tc>
        <w:tc>
          <w:tcPr>
            <w:tcW w:w="80" w:type="dxa"/>
            <w:vAlign w:val="bottom"/>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1,116,334</w:t>
            </w:r>
          </w:p>
        </w:tc>
        <w:tc>
          <w:tcPr>
            <w:tcW w:w="100" w:type="dxa"/>
            <w:vAlign w:val="bottom"/>
            <w:shd w:val="clear" w:color="auto" w:fill="E0E7ED"/>
          </w:tcPr>
          <w:p>
            <w:pPr>
              <w:spacing w:after="0"/>
              <w:rPr>
                <w:sz w:val="23"/>
                <w:szCs w:val="23"/>
                <w:color w:val="auto"/>
              </w:rPr>
            </w:pPr>
          </w:p>
        </w:tc>
        <w:tc>
          <w:tcPr>
            <w:tcW w:w="320" w:type="dxa"/>
            <w:vAlign w:val="bottom"/>
            <w:tcBorders>
              <w:bottom w:val="single" w:sz="8" w:color="auto"/>
            </w:tcBorders>
            <w:shd w:val="clear" w:color="auto" w:fill="E0E7ED"/>
          </w:tcPr>
          <w:p>
            <w:pPr>
              <w:spacing w:after="0"/>
              <w:rPr>
                <w:sz w:val="23"/>
                <w:szCs w:val="23"/>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316,899</w:t>
            </w:r>
          </w:p>
        </w:tc>
        <w:tc>
          <w:tcPr>
            <w:tcW w:w="100" w:type="dxa"/>
            <w:vAlign w:val="bottom"/>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272,568</w:t>
            </w:r>
          </w:p>
        </w:tc>
        <w:tc>
          <w:tcPr>
            <w:tcW w:w="100" w:type="dxa"/>
            <w:vAlign w:val="bottom"/>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5,635,048</w:t>
            </w:r>
          </w:p>
        </w:tc>
      </w:tr>
      <w:tr>
        <w:trPr>
          <w:trHeight w:val="243"/>
        </w:trPr>
        <w:tc>
          <w:tcPr>
            <w:tcW w:w="3400" w:type="dxa"/>
            <w:vAlign w:val="bottom"/>
          </w:tcPr>
          <w:p>
            <w:pPr>
              <w:ind w:left="20"/>
              <w:spacing w:after="0"/>
              <w:rPr>
                <w:sz w:val="20"/>
                <w:szCs w:val="20"/>
                <w:color w:val="auto"/>
              </w:rPr>
            </w:pPr>
            <w:r>
              <w:rPr>
                <w:rFonts w:ascii="Verdana" w:cs="Verdana" w:eastAsia="Verdana" w:hAnsi="Verdana"/>
                <w:sz w:val="18"/>
                <w:szCs w:val="18"/>
                <w:b w:val="1"/>
                <w:bCs w:val="1"/>
                <w:color w:val="auto"/>
              </w:rPr>
              <w:t>Retail loans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7"/>
        </w:trPr>
        <w:tc>
          <w:tcPr>
            <w:tcW w:w="34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1,284,362</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225,610</w:t>
            </w:r>
          </w:p>
        </w:tc>
        <w:tc>
          <w:tcPr>
            <w:tcW w:w="10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129,454</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81,029</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1,720,455</w:t>
            </w:r>
          </w:p>
        </w:tc>
      </w:tr>
      <w:tr>
        <w:trPr>
          <w:trHeight w:val="263"/>
        </w:trPr>
        <w:tc>
          <w:tcPr>
            <w:tcW w:w="340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Retail other</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290,937</w:t>
            </w:r>
          </w:p>
        </w:tc>
        <w:tc>
          <w:tcPr>
            <w:tcW w:w="8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2,344</w:t>
            </w:r>
          </w:p>
        </w:tc>
        <w:tc>
          <w:tcPr>
            <w:tcW w:w="100" w:type="dxa"/>
            <w:vAlign w:val="bottom"/>
            <w:tcBorders>
              <w:bottom w:val="single" w:sz="8" w:color="E0E7E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1,111</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1,139</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295,531</w:t>
            </w:r>
          </w:p>
        </w:tc>
      </w:tr>
      <w:tr>
        <w:trPr>
          <w:trHeight w:val="263"/>
        </w:trPr>
        <w:tc>
          <w:tcPr>
            <w:tcW w:w="34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retail loans</w:t>
            </w:r>
          </w:p>
        </w:tc>
        <w:tc>
          <w:tcPr>
            <w:tcW w:w="300" w:type="dxa"/>
            <w:vAlign w:val="bottom"/>
            <w:tcBorders>
              <w:bottom w:val="single" w:sz="8" w:color="auto"/>
            </w:tcBorders>
            <w:shd w:val="clear" w:color="auto" w:fill="E0E7ED"/>
          </w:tcPr>
          <w:p>
            <w:pPr>
              <w:spacing w:after="0"/>
              <w:rPr>
                <w:sz w:val="22"/>
                <w:szCs w:val="22"/>
                <w:color w:val="auto"/>
              </w:rPr>
            </w:pPr>
          </w:p>
        </w:tc>
        <w:tc>
          <w:tcPr>
            <w:tcW w:w="120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1,575,299</w:t>
            </w:r>
          </w:p>
        </w:tc>
        <w:tc>
          <w:tcPr>
            <w:tcW w:w="80" w:type="dxa"/>
            <w:vAlign w:val="bottom"/>
            <w:shd w:val="clear" w:color="auto" w:fill="E0E7ED"/>
          </w:tcPr>
          <w:p>
            <w:pPr>
              <w:spacing w:after="0"/>
              <w:rPr>
                <w:sz w:val="22"/>
                <w:szCs w:val="22"/>
                <w:color w:val="auto"/>
              </w:rPr>
            </w:pPr>
          </w:p>
        </w:tc>
        <w:tc>
          <w:tcPr>
            <w:tcW w:w="300" w:type="dxa"/>
            <w:vAlign w:val="bottom"/>
            <w:tcBorders>
              <w:bottom w:val="single" w:sz="8" w:color="auto"/>
            </w:tcBorders>
            <w:shd w:val="clear" w:color="auto" w:fill="E0E7ED"/>
          </w:tcPr>
          <w:p>
            <w:pPr>
              <w:spacing w:after="0"/>
              <w:rPr>
                <w:sz w:val="22"/>
                <w:szCs w:val="22"/>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227,954</w:t>
            </w:r>
          </w:p>
        </w:tc>
        <w:tc>
          <w:tcPr>
            <w:tcW w:w="100" w:type="dxa"/>
            <w:vAlign w:val="bottom"/>
            <w:shd w:val="clear" w:color="auto" w:fill="E0E7ED"/>
          </w:tcPr>
          <w:p>
            <w:pPr>
              <w:spacing w:after="0"/>
              <w:rPr>
                <w:sz w:val="22"/>
                <w:szCs w:val="22"/>
                <w:color w:val="auto"/>
              </w:rPr>
            </w:pPr>
          </w:p>
        </w:tc>
        <w:tc>
          <w:tcPr>
            <w:tcW w:w="320" w:type="dxa"/>
            <w:vAlign w:val="bottom"/>
            <w:tcBorders>
              <w:bottom w:val="single" w:sz="8" w:color="auto"/>
            </w:tcBorders>
            <w:shd w:val="clear" w:color="auto" w:fill="E0E7ED"/>
          </w:tcPr>
          <w:p>
            <w:pPr>
              <w:spacing w:after="0"/>
              <w:rPr>
                <w:sz w:val="22"/>
                <w:szCs w:val="22"/>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130,565</w:t>
            </w:r>
          </w:p>
        </w:tc>
        <w:tc>
          <w:tcPr>
            <w:tcW w:w="100" w:type="dxa"/>
            <w:vAlign w:val="bottom"/>
            <w:shd w:val="clear" w:color="auto" w:fill="E0E7ED"/>
          </w:tcPr>
          <w:p>
            <w:pPr>
              <w:spacing w:after="0"/>
              <w:rPr>
                <w:sz w:val="22"/>
                <w:szCs w:val="22"/>
                <w:color w:val="auto"/>
              </w:rPr>
            </w:pPr>
          </w:p>
        </w:tc>
        <w:tc>
          <w:tcPr>
            <w:tcW w:w="300" w:type="dxa"/>
            <w:vAlign w:val="bottom"/>
            <w:tcBorders>
              <w:bottom w:val="single" w:sz="8" w:color="auto"/>
            </w:tcBorders>
            <w:shd w:val="clear" w:color="auto" w:fill="E0E7ED"/>
          </w:tcPr>
          <w:p>
            <w:pPr>
              <w:spacing w:after="0"/>
              <w:rPr>
                <w:sz w:val="22"/>
                <w:szCs w:val="22"/>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82,168</w:t>
            </w:r>
          </w:p>
        </w:tc>
        <w:tc>
          <w:tcPr>
            <w:tcW w:w="100" w:type="dxa"/>
            <w:vAlign w:val="bottom"/>
            <w:shd w:val="clear" w:color="auto" w:fill="E0E7ED"/>
          </w:tcPr>
          <w:p>
            <w:pPr>
              <w:spacing w:after="0"/>
              <w:rPr>
                <w:sz w:val="22"/>
                <w:szCs w:val="22"/>
                <w:color w:val="auto"/>
              </w:rPr>
            </w:pPr>
          </w:p>
        </w:tc>
        <w:tc>
          <w:tcPr>
            <w:tcW w:w="300" w:type="dxa"/>
            <w:vAlign w:val="bottom"/>
            <w:tcBorders>
              <w:bottom w:val="single" w:sz="8" w:color="auto"/>
            </w:tcBorders>
            <w:shd w:val="clear" w:color="auto" w:fill="E0E7ED"/>
          </w:tcPr>
          <w:p>
            <w:pPr>
              <w:spacing w:after="0"/>
              <w:rPr>
                <w:sz w:val="22"/>
                <w:szCs w:val="22"/>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2,015,986</w:t>
            </w:r>
          </w:p>
        </w:tc>
      </w:tr>
      <w:tr>
        <w:trPr>
          <w:trHeight w:val="270"/>
        </w:trPr>
        <w:tc>
          <w:tcPr>
            <w:tcW w:w="3400" w:type="dxa"/>
            <w:vAlign w:val="bottom"/>
          </w:tcPr>
          <w:p>
            <w:pPr>
              <w:ind w:left="20"/>
              <w:spacing w:after="0"/>
              <w:rPr>
                <w:sz w:val="20"/>
                <w:szCs w:val="20"/>
                <w:color w:val="auto"/>
              </w:rPr>
            </w:pPr>
            <w:r>
              <w:rPr>
                <w:rFonts w:ascii="Verdana" w:cs="Verdana" w:eastAsia="Verdana" w:hAnsi="Verdana"/>
                <w:sz w:val="18"/>
                <w:szCs w:val="18"/>
                <w:color w:val="auto"/>
              </w:rPr>
              <w:t>Total portfolio loans</w:t>
            </w:r>
          </w:p>
        </w:tc>
        <w:tc>
          <w:tcPr>
            <w:tcW w:w="300" w:type="dxa"/>
            <w:vAlign w:val="bottom"/>
            <w:tcBorders>
              <w:bottom w:val="single" w:sz="8" w:color="auto"/>
            </w:tcBorders>
          </w:tcPr>
          <w:p>
            <w:pPr>
              <w:jc w:val="right"/>
              <w:ind w:right="90"/>
              <w:spacing w:after="0"/>
              <w:rPr>
                <w:sz w:val="20"/>
                <w:szCs w:val="20"/>
                <w:color w:val="auto"/>
              </w:rPr>
            </w:pPr>
            <w:r>
              <w:rPr>
                <w:rFonts w:ascii="Verdana" w:cs="Verdana" w:eastAsia="Verdana" w:hAnsi="Verdana"/>
                <w:sz w:val="18"/>
                <w:szCs w:val="18"/>
                <w:color w:val="auto"/>
                <w:w w:val="86"/>
              </w:rPr>
              <w:t>$</w:t>
            </w:r>
          </w:p>
        </w:tc>
        <w:tc>
          <w:tcPr>
            <w:tcW w:w="120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5,504,546</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1,344,288</w:t>
            </w:r>
          </w:p>
        </w:tc>
        <w:tc>
          <w:tcPr>
            <w:tcW w:w="100" w:type="dxa"/>
            <w:vAlign w:val="bottom"/>
          </w:tcPr>
          <w:p>
            <w:pPr>
              <w:spacing w:after="0"/>
              <w:rPr>
                <w:sz w:val="23"/>
                <w:szCs w:val="23"/>
                <w:color w:val="auto"/>
              </w:rPr>
            </w:pPr>
          </w:p>
        </w:tc>
        <w:tc>
          <w:tcPr>
            <w:tcW w:w="320" w:type="dxa"/>
            <w:vAlign w:val="bottom"/>
            <w:tcBorders>
              <w:bottom w:val="single" w:sz="8" w:color="auto"/>
            </w:tcBorders>
          </w:tcPr>
          <w:p>
            <w:pPr>
              <w:ind w:left="20"/>
              <w:spacing w:after="0"/>
              <w:rPr>
                <w:sz w:val="20"/>
                <w:szCs w:val="20"/>
                <w:color w:val="auto"/>
              </w:rPr>
            </w:pPr>
            <w:r>
              <w:rPr>
                <w:rFonts w:ascii="Verdana" w:cs="Verdana" w:eastAsia="Verdana" w:hAnsi="Verdana"/>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447,464</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354,736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7,651,034</w:t>
            </w:r>
          </w:p>
        </w:tc>
      </w:tr>
      <w:tr>
        <w:trPr>
          <w:trHeight w:val="20"/>
        </w:trPr>
        <w:tc>
          <w:tcPr>
            <w:tcW w:w="340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E0E7ED"/>
            </w:tcBorders>
          </w:tcPr>
          <w:p>
            <w:pPr>
              <w:spacing w:after="0" w:line="20" w:lineRule="exact"/>
              <w:rPr>
                <w:sz w:val="1"/>
                <w:szCs w:val="1"/>
                <w:color w:val="auto"/>
              </w:rPr>
            </w:pPr>
          </w:p>
        </w:tc>
        <w:tc>
          <w:tcPr>
            <w:tcW w:w="1200" w:type="dxa"/>
            <w:vAlign w:val="bottom"/>
            <w:tcBorders>
              <w:bottom w:val="single" w:sz="8" w:color="E0E7ED"/>
            </w:tcBorders>
          </w:tcPr>
          <w:p>
            <w:pPr>
              <w:spacing w:after="0" w:line="20" w:lineRule="exact"/>
              <w:rPr>
                <w:sz w:val="1"/>
                <w:szCs w:val="1"/>
                <w:color w:val="auto"/>
              </w:rPr>
            </w:pPr>
          </w:p>
        </w:tc>
      </w:tr>
      <w:tr>
        <w:trPr>
          <w:trHeight w:val="231"/>
        </w:trPr>
        <w:tc>
          <w:tcPr>
            <w:tcW w:w="34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ACL</w:t>
            </w:r>
          </w:p>
        </w:tc>
        <w:tc>
          <w:tcPr>
            <w:tcW w:w="300" w:type="dxa"/>
            <w:vAlign w:val="bottom"/>
            <w:shd w:val="clear" w:color="auto" w:fill="E0E7ED"/>
          </w:tcPr>
          <w:p>
            <w:pPr>
              <w:spacing w:after="0"/>
              <w:rPr>
                <w:sz w:val="20"/>
                <w:szCs w:val="20"/>
                <w:color w:val="auto"/>
              </w:rPr>
            </w:pPr>
          </w:p>
        </w:tc>
        <w:tc>
          <w:tcPr>
            <w:tcW w:w="120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2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20" w:type="dxa"/>
            <w:vAlign w:val="bottom"/>
            <w:shd w:val="clear" w:color="auto" w:fill="E0E7ED"/>
          </w:tcPr>
          <w:p>
            <w:pPr>
              <w:spacing w:after="0"/>
              <w:rPr>
                <w:sz w:val="20"/>
                <w:szCs w:val="20"/>
                <w:color w:val="auto"/>
              </w:rPr>
            </w:pPr>
          </w:p>
        </w:tc>
        <w:tc>
          <w:tcPr>
            <w:tcW w:w="116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1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00" w:type="dxa"/>
            <w:vAlign w:val="bottom"/>
            <w:tcBorders>
              <w:bottom w:val="single" w:sz="8" w:color="auto"/>
            </w:tcBorders>
            <w:shd w:val="clear" w:color="auto" w:fill="E0E7ED"/>
          </w:tcPr>
          <w:p>
            <w:pPr>
              <w:spacing w:after="0"/>
              <w:rPr>
                <w:sz w:val="20"/>
                <w:szCs w:val="20"/>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(91,740)</w:t>
            </w:r>
          </w:p>
        </w:tc>
      </w:tr>
      <w:tr>
        <w:trPr>
          <w:trHeight w:val="270"/>
        </w:trPr>
        <w:tc>
          <w:tcPr>
            <w:tcW w:w="3400" w:type="dxa"/>
            <w:vAlign w:val="bottom"/>
          </w:tcPr>
          <w:p>
            <w:pPr>
              <w:ind w:left="20"/>
              <w:spacing w:after="0"/>
              <w:rPr>
                <w:sz w:val="20"/>
                <w:szCs w:val="20"/>
                <w:color w:val="auto"/>
              </w:rPr>
            </w:pPr>
            <w:r>
              <w:rPr>
                <w:rFonts w:ascii="Verdana" w:cs="Verdana" w:eastAsia="Verdana" w:hAnsi="Verdana"/>
                <w:sz w:val="18"/>
                <w:szCs w:val="18"/>
                <w:color w:val="auto"/>
              </w:rPr>
              <w:t>Portfolio loans, net of ACL</w:t>
            </w: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7,559,294</w:t>
            </w:r>
          </w:p>
        </w:tc>
      </w:tr>
      <w:tr>
        <w:trPr>
          <w:trHeight w:val="20"/>
        </w:trPr>
        <w:tc>
          <w:tcPr>
            <w:tcW w:w="3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 xml:space="preserve">Commercial real estate loans made up 43.0% of our total loan portfolio as of September 30, 2024, and were 28.2% owner occupied. Commercial real estate loans are made across a variety of industries, as depicted in the table below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 Balances reflected in the table below do not include loan origination fees or costs, purchase accounting</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adjustments, SBA discounts, or negative escrow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5"/>
          </w:tcPr>
          <w:p>
            <w:pPr>
              <w:ind w:left="1520"/>
              <w:spacing w:after="0"/>
              <w:rPr>
                <w:sz w:val="20"/>
                <w:szCs w:val="20"/>
                <w:color w:val="auto"/>
              </w:rPr>
            </w:pPr>
            <w:r>
              <w:rPr>
                <w:rFonts w:ascii="Verdana" w:cs="Verdana" w:eastAsia="Verdana" w:hAnsi="Verdana"/>
                <w:sz w:val="13"/>
                <w:szCs w:val="13"/>
                <w:b w:val="1"/>
                <w:bCs w:val="1"/>
                <w:color w:val="auto"/>
                <w:w w:val="98"/>
              </w:rPr>
              <w:t>As of September 30, 2024</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40" w:type="dxa"/>
            <w:vAlign w:val="bottom"/>
            <w:gridSpan w:val="3"/>
          </w:tcPr>
          <w:p>
            <w:pPr>
              <w:jc w:val="center"/>
              <w:ind w:right="560"/>
              <w:spacing w:after="0"/>
              <w:rPr>
                <w:sz w:val="20"/>
                <w:szCs w:val="20"/>
                <w:color w:val="auto"/>
              </w:rPr>
            </w:pPr>
            <w:r>
              <w:rPr>
                <w:rFonts w:ascii="Verdana" w:cs="Verdana" w:eastAsia="Verdana" w:hAnsi="Verdana"/>
                <w:sz w:val="13"/>
                <w:szCs w:val="13"/>
                <w:b w:val="1"/>
                <w:bCs w:val="1"/>
                <w:color w:val="auto"/>
                <w:w w:val="96"/>
              </w:rPr>
              <w:t>% of Total</w:t>
            </w:r>
          </w:p>
        </w:tc>
        <w:tc>
          <w:tcPr>
            <w:tcW w:w="1600" w:type="dxa"/>
            <w:vAlign w:val="bottom"/>
            <w:gridSpan w:val="3"/>
          </w:tcPr>
          <w:p>
            <w:pPr>
              <w:jc w:val="right"/>
              <w:spacing w:after="0"/>
              <w:rPr>
                <w:sz w:val="20"/>
                <w:szCs w:val="20"/>
                <w:color w:val="auto"/>
              </w:rPr>
            </w:pPr>
            <w:r>
              <w:rPr>
                <w:rFonts w:ascii="Verdana" w:cs="Verdana" w:eastAsia="Verdana" w:hAnsi="Verdana"/>
                <w:sz w:val="13"/>
                <w:szCs w:val="13"/>
                <w:b w:val="1"/>
                <w:bCs w:val="1"/>
                <w:color w:val="auto"/>
              </w:rPr>
              <w:t>Owned By</w:t>
            </w: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gridSpan w:val="2"/>
            <w:vMerge w:val="restart"/>
          </w:tcPr>
          <w:p>
            <w:pPr>
              <w:jc w:val="center"/>
              <w:ind w:right="320"/>
              <w:spacing w:after="0" w:line="95" w:lineRule="exact"/>
              <w:rPr>
                <w:sz w:val="20"/>
                <w:szCs w:val="20"/>
                <w:color w:val="auto"/>
              </w:rPr>
            </w:pPr>
            <w:r>
              <w:rPr>
                <w:rFonts w:ascii="Verdana" w:cs="Verdana" w:eastAsia="Verdana" w:hAnsi="Verdana"/>
                <w:sz w:val="10"/>
                <w:szCs w:val="10"/>
                <w:b w:val="1"/>
                <w:bCs w:val="1"/>
                <w:color w:val="auto"/>
              </w:rPr>
              <w:t>Commercial</w:t>
            </w:r>
          </w:p>
        </w:tc>
        <w:tc>
          <w:tcPr>
            <w:tcW w:w="1860" w:type="dxa"/>
            <w:vAlign w:val="bottom"/>
            <w:gridSpan w:val="2"/>
            <w:vMerge w:val="restart"/>
          </w:tcPr>
          <w:p>
            <w:pPr>
              <w:jc w:val="center"/>
              <w:ind w:right="300"/>
              <w:spacing w:after="0" w:line="95" w:lineRule="exact"/>
              <w:rPr>
                <w:sz w:val="20"/>
                <w:szCs w:val="20"/>
                <w:color w:val="auto"/>
              </w:rPr>
            </w:pPr>
            <w:r>
              <w:rPr>
                <w:rFonts w:ascii="Verdana" w:cs="Verdana" w:eastAsia="Verdana" w:hAnsi="Verdana"/>
                <w:sz w:val="10"/>
                <w:szCs w:val="10"/>
                <w:b w:val="1"/>
                <w:bCs w:val="1"/>
                <w:color w:val="auto"/>
              </w:rPr>
              <w:t>Commercial</w:t>
            </w:r>
          </w:p>
        </w:tc>
        <w:tc>
          <w:tcPr>
            <w:tcW w:w="2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18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restart"/>
          </w:tcPr>
          <w:p>
            <w:pPr>
              <w:ind w:left="140"/>
              <w:spacing w:after="0"/>
              <w:rPr>
                <w:sz w:val="20"/>
                <w:szCs w:val="20"/>
                <w:color w:val="auto"/>
              </w:rPr>
            </w:pPr>
            <w:r>
              <w:rPr>
                <w:rFonts w:ascii="Verdana" w:cs="Verdana" w:eastAsia="Verdana" w:hAnsi="Verdana"/>
                <w:sz w:val="13"/>
                <w:szCs w:val="13"/>
                <w:b w:val="1"/>
                <w:bCs w:val="1"/>
                <w:color w:val="auto"/>
              </w:rPr>
              <w:t>Investor</w:t>
            </w:r>
          </w:p>
        </w:tc>
        <w:tc>
          <w:tcPr>
            <w:tcW w:w="340" w:type="dxa"/>
            <w:vAlign w:val="bottom"/>
          </w:tcPr>
          <w:p>
            <w:pPr>
              <w:spacing w:after="0" w:line="20" w:lineRule="exact"/>
              <w:rPr>
                <w:sz w:val="1"/>
                <w:szCs w:val="1"/>
                <w:color w:val="auto"/>
              </w:rPr>
            </w:pPr>
          </w:p>
        </w:tc>
        <w:tc>
          <w:tcPr>
            <w:tcW w:w="1080" w:type="dxa"/>
            <w:vAlign w:val="bottom"/>
            <w:vMerge w:val="restart"/>
          </w:tcPr>
          <w:p>
            <w:pPr>
              <w:jc w:val="right"/>
              <w:ind w:right="272"/>
              <w:spacing w:after="0"/>
              <w:rPr>
                <w:sz w:val="20"/>
                <w:szCs w:val="20"/>
                <w:color w:val="auto"/>
              </w:rPr>
            </w:pPr>
            <w:r>
              <w:rPr>
                <w:rFonts w:ascii="Verdana" w:cs="Verdana" w:eastAsia="Verdana" w:hAnsi="Verdana"/>
                <w:sz w:val="13"/>
                <w:szCs w:val="13"/>
                <w:b w:val="1"/>
                <w:bCs w:val="1"/>
                <w:color w:val="auto"/>
              </w:rPr>
              <w:t>Occupant</w:t>
            </w:r>
          </w:p>
        </w:tc>
        <w:tc>
          <w:tcPr>
            <w:tcW w:w="100" w:type="dxa"/>
            <w:vAlign w:val="bottom"/>
          </w:tcPr>
          <w:p>
            <w:pPr>
              <w:spacing w:after="0" w:line="20" w:lineRule="exact"/>
              <w:rPr>
                <w:sz w:val="1"/>
                <w:szCs w:val="1"/>
                <w:color w:val="auto"/>
              </w:rPr>
            </w:pPr>
          </w:p>
        </w:tc>
        <w:tc>
          <w:tcPr>
            <w:tcW w:w="1500" w:type="dxa"/>
            <w:vAlign w:val="bottom"/>
            <w:vMerge w:val="restart"/>
          </w:tcPr>
          <w:p>
            <w:pPr>
              <w:jc w:val="right"/>
              <w:spacing w:after="0"/>
              <w:rPr>
                <w:sz w:val="20"/>
                <w:szCs w:val="20"/>
                <w:color w:val="auto"/>
              </w:rPr>
            </w:pPr>
            <w:r>
              <w:rPr>
                <w:rFonts w:ascii="Verdana" w:cs="Verdana" w:eastAsia="Verdana" w:hAnsi="Verdana"/>
                <w:sz w:val="13"/>
                <w:szCs w:val="13"/>
                <w:b w:val="1"/>
                <w:bCs w:val="1"/>
                <w:color w:val="auto"/>
              </w:rPr>
              <w:t>% Owner Occupied</w:t>
            </w:r>
          </w:p>
        </w:tc>
        <w:tc>
          <w:tcPr>
            <w:tcW w:w="0" w:type="dxa"/>
            <w:vAlign w:val="bottom"/>
          </w:tcPr>
          <w:p>
            <w:pPr>
              <w:spacing w:after="0" w:line="20" w:lineRule="exact"/>
              <w:rPr>
                <w:sz w:val="1"/>
                <w:szCs w:val="1"/>
                <w:color w:val="auto"/>
              </w:rPr>
            </w:pPr>
          </w:p>
        </w:tc>
      </w:tr>
      <w:tr>
        <w:trPr>
          <w:trHeight w:val="170"/>
        </w:trPr>
        <w:tc>
          <w:tcPr>
            <w:tcW w:w="3280" w:type="dxa"/>
            <w:vAlign w:val="bottom"/>
          </w:tcPr>
          <w:p>
            <w:pPr>
              <w:spacing w:after="0"/>
              <w:rPr>
                <w:sz w:val="14"/>
                <w:szCs w:val="14"/>
                <w:color w:val="auto"/>
              </w:rPr>
            </w:pPr>
          </w:p>
        </w:tc>
        <w:tc>
          <w:tcPr>
            <w:tcW w:w="1540" w:type="dxa"/>
            <w:vAlign w:val="bottom"/>
            <w:gridSpan w:val="3"/>
          </w:tcPr>
          <w:p>
            <w:pPr>
              <w:jc w:val="center"/>
              <w:ind w:right="100"/>
              <w:spacing w:after="0"/>
              <w:rPr>
                <w:sz w:val="20"/>
                <w:szCs w:val="20"/>
                <w:color w:val="auto"/>
              </w:rPr>
            </w:pPr>
            <w:r>
              <w:rPr>
                <w:rFonts w:ascii="Verdana" w:cs="Verdana" w:eastAsia="Verdana" w:hAnsi="Verdana"/>
                <w:sz w:val="13"/>
                <w:szCs w:val="13"/>
                <w:b w:val="1"/>
                <w:bCs w:val="1"/>
                <w:color w:val="auto"/>
                <w:w w:val="95"/>
              </w:rPr>
              <w:t>Real Estate Loans</w:t>
            </w:r>
          </w:p>
        </w:tc>
        <w:tc>
          <w:tcPr>
            <w:tcW w:w="2140" w:type="dxa"/>
            <w:vAlign w:val="bottom"/>
            <w:gridSpan w:val="3"/>
          </w:tcPr>
          <w:p>
            <w:pPr>
              <w:jc w:val="center"/>
              <w:ind w:right="560"/>
              <w:spacing w:after="0"/>
              <w:rPr>
                <w:sz w:val="20"/>
                <w:szCs w:val="20"/>
                <w:color w:val="auto"/>
              </w:rPr>
            </w:pPr>
            <w:r>
              <w:rPr>
                <w:rFonts w:ascii="Verdana" w:cs="Verdana" w:eastAsia="Verdana" w:hAnsi="Verdana"/>
                <w:sz w:val="13"/>
                <w:szCs w:val="13"/>
                <w:b w:val="1"/>
                <w:bCs w:val="1"/>
                <w:color w:val="auto"/>
                <w:w w:val="97"/>
              </w:rPr>
              <w:t>Real Estate Loans</w:t>
            </w:r>
          </w:p>
        </w:tc>
        <w:tc>
          <w:tcPr>
            <w:tcW w:w="12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32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Industry</w:t>
            </w:r>
          </w:p>
        </w:tc>
        <w:tc>
          <w:tcPr>
            <w:tcW w:w="220" w:type="dxa"/>
            <w:vAlign w:val="bottom"/>
            <w:tcBorders>
              <w:top w:val="single" w:sz="8" w:color="auto"/>
            </w:tcBorders>
            <w:shd w:val="clear" w:color="auto" w:fill="E0E7ED"/>
          </w:tcPr>
          <w:p>
            <w:pPr>
              <w:spacing w:after="0"/>
              <w:rPr>
                <w:sz w:val="22"/>
                <w:szCs w:val="22"/>
                <w:color w:val="auto"/>
              </w:rPr>
            </w:pPr>
          </w:p>
        </w:tc>
        <w:tc>
          <w:tcPr>
            <w:tcW w:w="122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1580" w:type="dxa"/>
            <w:vAlign w:val="bottom"/>
            <w:tcBorders>
              <w:top w:val="single" w:sz="8" w:color="auto"/>
            </w:tcBorders>
            <w:shd w:val="clear" w:color="auto" w:fill="E0E7ED"/>
          </w:tcPr>
          <w:p>
            <w:pPr>
              <w:spacing w:after="0"/>
              <w:rPr>
                <w:sz w:val="22"/>
                <w:szCs w:val="22"/>
                <w:color w:val="auto"/>
              </w:rPr>
            </w:pPr>
          </w:p>
        </w:tc>
        <w:tc>
          <w:tcPr>
            <w:tcW w:w="280" w:type="dxa"/>
            <w:vAlign w:val="bottom"/>
            <w:tcBorders>
              <w:top w:val="single" w:sz="8" w:color="E0E7ED"/>
            </w:tcBorders>
            <w:shd w:val="clear" w:color="auto" w:fill="E0E7ED"/>
          </w:tcPr>
          <w:p>
            <w:pPr>
              <w:spacing w:after="0"/>
              <w:rPr>
                <w:sz w:val="22"/>
                <w:szCs w:val="22"/>
                <w:color w:val="auto"/>
              </w:rPr>
            </w:pPr>
          </w:p>
        </w:tc>
        <w:tc>
          <w:tcPr>
            <w:tcW w:w="280" w:type="dxa"/>
            <w:vAlign w:val="bottom"/>
            <w:tcBorders>
              <w:top w:val="single" w:sz="8" w:color="auto"/>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340" w:type="dxa"/>
            <w:vAlign w:val="bottom"/>
            <w:tcBorders>
              <w:top w:val="single" w:sz="8" w:color="auto"/>
            </w:tcBorders>
            <w:shd w:val="clear" w:color="auto" w:fill="E0E7ED"/>
          </w:tcPr>
          <w:p>
            <w:pPr>
              <w:spacing w:after="0"/>
              <w:rPr>
                <w:sz w:val="22"/>
                <w:szCs w:val="22"/>
                <w:color w:val="auto"/>
              </w:rPr>
            </w:pPr>
          </w:p>
        </w:tc>
        <w:tc>
          <w:tcPr>
            <w:tcW w:w="10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150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280" w:type="dxa"/>
            <w:vAlign w:val="bottom"/>
          </w:tcPr>
          <w:p>
            <w:pPr>
              <w:ind w:left="180"/>
              <w:spacing w:after="0"/>
              <w:rPr>
                <w:sz w:val="20"/>
                <w:szCs w:val="20"/>
                <w:color w:val="auto"/>
              </w:rPr>
            </w:pPr>
            <w:r>
              <w:rPr>
                <w:rFonts w:ascii="Verdana" w:cs="Verdana" w:eastAsia="Verdana" w:hAnsi="Verdana"/>
                <w:sz w:val="18"/>
                <w:szCs w:val="18"/>
                <w:color w:val="auto"/>
              </w:rPr>
              <w:t>Industrial/Warehouse</w:t>
            </w:r>
          </w:p>
        </w:tc>
        <w:tc>
          <w:tcPr>
            <w:tcW w:w="220" w:type="dxa"/>
            <w:vAlign w:val="bottom"/>
          </w:tcPr>
          <w:p>
            <w:pPr>
              <w:jc w:val="right"/>
              <w:ind w:right="19"/>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ind w:right="13"/>
              <w:spacing w:after="0"/>
              <w:rPr>
                <w:sz w:val="20"/>
                <w:szCs w:val="20"/>
                <w:color w:val="auto"/>
              </w:rPr>
            </w:pPr>
            <w:r>
              <w:rPr>
                <w:rFonts w:ascii="Verdana" w:cs="Verdana" w:eastAsia="Verdana" w:hAnsi="Verdana"/>
                <w:sz w:val="18"/>
                <w:szCs w:val="18"/>
                <w:color w:val="auto"/>
              </w:rPr>
              <w:t>673,069</w:t>
            </w:r>
          </w:p>
        </w:tc>
        <w:tc>
          <w:tcPr>
            <w:tcW w:w="100" w:type="dxa"/>
            <w:vAlign w:val="bottom"/>
          </w:tcPr>
          <w:p>
            <w:pPr>
              <w:spacing w:after="0"/>
              <w:rPr>
                <w:sz w:val="22"/>
                <w:szCs w:val="22"/>
                <w:color w:val="auto"/>
              </w:rPr>
            </w:pPr>
          </w:p>
        </w:tc>
        <w:tc>
          <w:tcPr>
            <w:tcW w:w="2140" w:type="dxa"/>
            <w:vAlign w:val="bottom"/>
            <w:gridSpan w:val="3"/>
          </w:tcPr>
          <w:p>
            <w:pPr>
              <w:jc w:val="right"/>
              <w:ind w:right="160"/>
              <w:spacing w:after="0"/>
              <w:rPr>
                <w:sz w:val="20"/>
                <w:szCs w:val="20"/>
                <w:color w:val="auto"/>
              </w:rPr>
            </w:pPr>
            <w:r>
              <w:rPr>
                <w:rFonts w:ascii="Verdana" w:cs="Verdana" w:eastAsia="Verdana" w:hAnsi="Verdana"/>
                <w:sz w:val="18"/>
                <w:szCs w:val="18"/>
                <w:color w:val="auto"/>
              </w:rPr>
              <w:t>20.0 %   $</w:t>
            </w:r>
          </w:p>
        </w:tc>
        <w:tc>
          <w:tcPr>
            <w:tcW w:w="1180" w:type="dxa"/>
            <w:vAlign w:val="bottom"/>
          </w:tcPr>
          <w:p>
            <w:pPr>
              <w:jc w:val="right"/>
              <w:ind w:right="13"/>
              <w:spacing w:after="0"/>
              <w:rPr>
                <w:sz w:val="20"/>
                <w:szCs w:val="20"/>
                <w:color w:val="auto"/>
              </w:rPr>
            </w:pPr>
            <w:r>
              <w:rPr>
                <w:rFonts w:ascii="Verdana" w:cs="Verdana" w:eastAsia="Verdana" w:hAnsi="Verdana"/>
                <w:sz w:val="18"/>
                <w:szCs w:val="18"/>
                <w:color w:val="auto"/>
              </w:rPr>
              <w:t>305,304</w:t>
            </w:r>
          </w:p>
        </w:tc>
        <w:tc>
          <w:tcPr>
            <w:tcW w:w="8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Verdana" w:cs="Verdana" w:eastAsia="Verdana" w:hAnsi="Verdana"/>
                <w:sz w:val="18"/>
                <w:szCs w:val="18"/>
                <w:color w:val="auto"/>
              </w:rPr>
              <w:t>$</w:t>
            </w:r>
          </w:p>
        </w:tc>
        <w:tc>
          <w:tcPr>
            <w:tcW w:w="1080" w:type="dxa"/>
            <w:vAlign w:val="bottom"/>
          </w:tcPr>
          <w:p>
            <w:pPr>
              <w:jc w:val="right"/>
              <w:spacing w:after="0"/>
              <w:rPr>
                <w:sz w:val="20"/>
                <w:szCs w:val="20"/>
                <w:color w:val="auto"/>
              </w:rPr>
            </w:pPr>
            <w:r>
              <w:rPr>
                <w:rFonts w:ascii="Verdana" w:cs="Verdana" w:eastAsia="Verdana" w:hAnsi="Verdana"/>
                <w:sz w:val="18"/>
                <w:szCs w:val="18"/>
                <w:color w:val="auto"/>
              </w:rPr>
              <w:t>367,765</w:t>
            </w:r>
          </w:p>
        </w:tc>
        <w:tc>
          <w:tcPr>
            <w:tcW w:w="1600" w:type="dxa"/>
            <w:vAlign w:val="bottom"/>
            <w:gridSpan w:val="2"/>
          </w:tcPr>
          <w:p>
            <w:pPr>
              <w:jc w:val="right"/>
              <w:spacing w:after="0"/>
              <w:rPr>
                <w:sz w:val="20"/>
                <w:szCs w:val="20"/>
                <w:color w:val="auto"/>
              </w:rPr>
            </w:pPr>
            <w:r>
              <w:rPr>
                <w:rFonts w:ascii="Verdana" w:cs="Verdana" w:eastAsia="Verdana" w:hAnsi="Verdana"/>
                <w:sz w:val="18"/>
                <w:szCs w:val="18"/>
                <w:color w:val="auto"/>
              </w:rPr>
              <w:t>54.6 %</w:t>
            </w:r>
          </w:p>
        </w:tc>
        <w:tc>
          <w:tcPr>
            <w:tcW w:w="0" w:type="dxa"/>
            <w:vAlign w:val="bottom"/>
          </w:tcPr>
          <w:p>
            <w:pPr>
              <w:spacing w:after="0"/>
              <w:rPr>
                <w:sz w:val="1"/>
                <w:szCs w:val="1"/>
                <w:color w:val="auto"/>
              </w:rPr>
            </w:pPr>
          </w:p>
        </w:tc>
      </w:tr>
      <w:tr>
        <w:trPr>
          <w:trHeight w:val="277"/>
        </w:trPr>
        <w:tc>
          <w:tcPr>
            <w:tcW w:w="32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w:t>
            </w:r>
          </w:p>
        </w:tc>
        <w:tc>
          <w:tcPr>
            <w:tcW w:w="22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585,651</w:t>
            </w:r>
          </w:p>
        </w:tc>
        <w:tc>
          <w:tcPr>
            <w:tcW w:w="100" w:type="dxa"/>
            <w:vAlign w:val="bottom"/>
            <w:shd w:val="clear" w:color="auto" w:fill="E0E7ED"/>
          </w:tcPr>
          <w:p>
            <w:pPr>
              <w:spacing w:after="0"/>
              <w:rPr>
                <w:sz w:val="24"/>
                <w:szCs w:val="24"/>
                <w:color w:val="auto"/>
              </w:rPr>
            </w:pPr>
          </w:p>
        </w:tc>
        <w:tc>
          <w:tcPr>
            <w:tcW w:w="15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17.4 %</w:t>
            </w:r>
          </w:p>
        </w:tc>
        <w:tc>
          <w:tcPr>
            <w:tcW w:w="28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18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502,039</w:t>
            </w:r>
          </w:p>
        </w:tc>
        <w:tc>
          <w:tcPr>
            <w:tcW w:w="8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0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83,612</w:t>
            </w:r>
          </w:p>
        </w:tc>
        <w:tc>
          <w:tcPr>
            <w:tcW w:w="160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14.3 %</w:t>
            </w:r>
          </w:p>
        </w:tc>
        <w:tc>
          <w:tcPr>
            <w:tcW w:w="0" w:type="dxa"/>
            <w:vAlign w:val="bottom"/>
          </w:tcPr>
          <w:p>
            <w:pPr>
              <w:spacing w:after="0"/>
              <w:rPr>
                <w:sz w:val="1"/>
                <w:szCs w:val="1"/>
                <w:color w:val="auto"/>
              </w:rPr>
            </w:pPr>
          </w:p>
        </w:tc>
      </w:tr>
      <w:tr>
        <w:trPr>
          <w:trHeight w:val="263"/>
        </w:trPr>
        <w:tc>
          <w:tcPr>
            <w:tcW w:w="3280" w:type="dxa"/>
            <w:vAlign w:val="bottom"/>
          </w:tcPr>
          <w:p>
            <w:pPr>
              <w:ind w:left="180"/>
              <w:spacing w:after="0"/>
              <w:rPr>
                <w:sz w:val="20"/>
                <w:szCs w:val="20"/>
                <w:color w:val="auto"/>
              </w:rPr>
            </w:pPr>
            <w:r>
              <w:rPr>
                <w:rFonts w:ascii="Verdana" w:cs="Verdana" w:eastAsia="Verdana" w:hAnsi="Verdana"/>
                <w:sz w:val="18"/>
                <w:szCs w:val="18"/>
                <w:color w:val="auto"/>
              </w:rPr>
              <w:t>Apartments</w:t>
            </w:r>
          </w:p>
        </w:tc>
        <w:tc>
          <w:tcPr>
            <w:tcW w:w="22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Verdana" w:cs="Verdana" w:eastAsia="Verdana" w:hAnsi="Verdana"/>
                <w:sz w:val="18"/>
                <w:szCs w:val="18"/>
                <w:color w:val="auto"/>
              </w:rPr>
              <w:t>551,235</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Verdana" w:cs="Verdana" w:eastAsia="Verdana" w:hAnsi="Verdana"/>
                <w:sz w:val="18"/>
                <w:szCs w:val="18"/>
                <w:color w:val="auto"/>
              </w:rPr>
              <w:t>16.4 %</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13"/>
              <w:spacing w:after="0"/>
              <w:rPr>
                <w:sz w:val="20"/>
                <w:szCs w:val="20"/>
                <w:color w:val="auto"/>
              </w:rPr>
            </w:pPr>
            <w:r>
              <w:rPr>
                <w:rFonts w:ascii="Verdana" w:cs="Verdana" w:eastAsia="Verdana" w:hAnsi="Verdana"/>
                <w:sz w:val="18"/>
                <w:szCs w:val="18"/>
                <w:color w:val="auto"/>
              </w:rPr>
              <w:t>551,235</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Verdana" w:cs="Verdana" w:eastAsia="Verdana" w:hAnsi="Verdana"/>
                <w:sz w:val="18"/>
                <w:szCs w:val="18"/>
                <w:color w:val="auto"/>
              </w:rPr>
              <w:t>— %</w:t>
            </w:r>
          </w:p>
        </w:tc>
        <w:tc>
          <w:tcPr>
            <w:tcW w:w="0" w:type="dxa"/>
            <w:vAlign w:val="bottom"/>
          </w:tcPr>
          <w:p>
            <w:pPr>
              <w:spacing w:after="0"/>
              <w:rPr>
                <w:sz w:val="1"/>
                <w:szCs w:val="1"/>
                <w:color w:val="auto"/>
              </w:rPr>
            </w:pPr>
          </w:p>
        </w:tc>
      </w:tr>
      <w:tr>
        <w:trPr>
          <w:trHeight w:val="277"/>
        </w:trPr>
        <w:tc>
          <w:tcPr>
            <w:tcW w:w="32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Traditional Office</w:t>
            </w:r>
          </w:p>
        </w:tc>
        <w:tc>
          <w:tcPr>
            <w:tcW w:w="22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360,669</w:t>
            </w:r>
          </w:p>
        </w:tc>
        <w:tc>
          <w:tcPr>
            <w:tcW w:w="100" w:type="dxa"/>
            <w:vAlign w:val="bottom"/>
            <w:shd w:val="clear" w:color="auto" w:fill="E0E7ED"/>
          </w:tcPr>
          <w:p>
            <w:pPr>
              <w:spacing w:after="0"/>
              <w:rPr>
                <w:sz w:val="24"/>
                <w:szCs w:val="24"/>
                <w:color w:val="auto"/>
              </w:rPr>
            </w:pPr>
          </w:p>
        </w:tc>
        <w:tc>
          <w:tcPr>
            <w:tcW w:w="15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10.7 %</w:t>
            </w:r>
          </w:p>
        </w:tc>
        <w:tc>
          <w:tcPr>
            <w:tcW w:w="28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18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252,753</w:t>
            </w:r>
          </w:p>
        </w:tc>
        <w:tc>
          <w:tcPr>
            <w:tcW w:w="8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0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107,916</w:t>
            </w:r>
          </w:p>
        </w:tc>
        <w:tc>
          <w:tcPr>
            <w:tcW w:w="160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29.9 %</w:t>
            </w:r>
          </w:p>
        </w:tc>
        <w:tc>
          <w:tcPr>
            <w:tcW w:w="0" w:type="dxa"/>
            <w:vAlign w:val="bottom"/>
          </w:tcPr>
          <w:p>
            <w:pPr>
              <w:spacing w:after="0"/>
              <w:rPr>
                <w:sz w:val="1"/>
                <w:szCs w:val="1"/>
                <w:color w:val="auto"/>
              </w:rPr>
            </w:pPr>
          </w:p>
        </w:tc>
      </w:tr>
      <w:tr>
        <w:trPr>
          <w:trHeight w:val="263"/>
        </w:trPr>
        <w:tc>
          <w:tcPr>
            <w:tcW w:w="3280" w:type="dxa"/>
            <w:vAlign w:val="bottom"/>
          </w:tcPr>
          <w:p>
            <w:pPr>
              <w:ind w:left="180"/>
              <w:spacing w:after="0"/>
              <w:rPr>
                <w:sz w:val="20"/>
                <w:szCs w:val="20"/>
                <w:color w:val="auto"/>
              </w:rPr>
            </w:pPr>
            <w:r>
              <w:rPr>
                <w:rFonts w:ascii="Verdana" w:cs="Verdana" w:eastAsia="Verdana" w:hAnsi="Verdana"/>
                <w:sz w:val="18"/>
                <w:szCs w:val="18"/>
                <w:color w:val="auto"/>
              </w:rPr>
              <w:t>Specialty</w:t>
            </w:r>
          </w:p>
        </w:tc>
        <w:tc>
          <w:tcPr>
            <w:tcW w:w="22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Verdana" w:cs="Verdana" w:eastAsia="Verdana" w:hAnsi="Verdana"/>
                <w:sz w:val="18"/>
                <w:szCs w:val="18"/>
                <w:color w:val="auto"/>
              </w:rPr>
              <w:t>323,734</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Verdana" w:cs="Verdana" w:eastAsia="Verdana" w:hAnsi="Verdana"/>
                <w:sz w:val="18"/>
                <w:szCs w:val="18"/>
                <w:color w:val="auto"/>
              </w:rPr>
              <w:t>9.6 %</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13"/>
              <w:spacing w:after="0"/>
              <w:rPr>
                <w:sz w:val="20"/>
                <w:szCs w:val="20"/>
                <w:color w:val="auto"/>
              </w:rPr>
            </w:pPr>
            <w:r>
              <w:rPr>
                <w:rFonts w:ascii="Verdana" w:cs="Verdana" w:eastAsia="Verdana" w:hAnsi="Verdana"/>
                <w:sz w:val="18"/>
                <w:szCs w:val="18"/>
                <w:color w:val="auto"/>
              </w:rPr>
              <w:t>67,598</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Verdana" w:cs="Verdana" w:eastAsia="Verdana" w:hAnsi="Verdana"/>
                <w:sz w:val="18"/>
                <w:szCs w:val="18"/>
                <w:color w:val="auto"/>
              </w:rPr>
              <w:t>256,136</w:t>
            </w:r>
          </w:p>
        </w:tc>
        <w:tc>
          <w:tcPr>
            <w:tcW w:w="1600" w:type="dxa"/>
            <w:vAlign w:val="bottom"/>
            <w:gridSpan w:val="2"/>
          </w:tcPr>
          <w:p>
            <w:pPr>
              <w:jc w:val="right"/>
              <w:spacing w:after="0"/>
              <w:rPr>
                <w:sz w:val="20"/>
                <w:szCs w:val="20"/>
                <w:color w:val="auto"/>
              </w:rPr>
            </w:pPr>
            <w:r>
              <w:rPr>
                <w:rFonts w:ascii="Verdana" w:cs="Verdana" w:eastAsia="Verdana" w:hAnsi="Verdana"/>
                <w:sz w:val="18"/>
                <w:szCs w:val="18"/>
                <w:color w:val="auto"/>
              </w:rPr>
              <w:t>79.1 %</w:t>
            </w:r>
          </w:p>
        </w:tc>
        <w:tc>
          <w:tcPr>
            <w:tcW w:w="0" w:type="dxa"/>
            <w:vAlign w:val="bottom"/>
          </w:tcPr>
          <w:p>
            <w:pPr>
              <w:spacing w:after="0"/>
              <w:rPr>
                <w:sz w:val="1"/>
                <w:szCs w:val="1"/>
                <w:color w:val="auto"/>
              </w:rPr>
            </w:pPr>
          </w:p>
        </w:tc>
      </w:tr>
      <w:tr>
        <w:trPr>
          <w:trHeight w:val="277"/>
        </w:trPr>
        <w:tc>
          <w:tcPr>
            <w:tcW w:w="32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Medical Office</w:t>
            </w:r>
          </w:p>
        </w:tc>
        <w:tc>
          <w:tcPr>
            <w:tcW w:w="22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230,935</w:t>
            </w:r>
          </w:p>
        </w:tc>
        <w:tc>
          <w:tcPr>
            <w:tcW w:w="100" w:type="dxa"/>
            <w:vAlign w:val="bottom"/>
            <w:shd w:val="clear" w:color="auto" w:fill="E0E7ED"/>
          </w:tcPr>
          <w:p>
            <w:pPr>
              <w:spacing w:after="0"/>
              <w:rPr>
                <w:sz w:val="24"/>
                <w:szCs w:val="24"/>
                <w:color w:val="auto"/>
              </w:rPr>
            </w:pPr>
          </w:p>
        </w:tc>
        <w:tc>
          <w:tcPr>
            <w:tcW w:w="15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6.9 %</w:t>
            </w:r>
          </w:p>
        </w:tc>
        <w:tc>
          <w:tcPr>
            <w:tcW w:w="28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18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147,234</w:t>
            </w:r>
          </w:p>
        </w:tc>
        <w:tc>
          <w:tcPr>
            <w:tcW w:w="8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0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83,701</w:t>
            </w:r>
          </w:p>
        </w:tc>
        <w:tc>
          <w:tcPr>
            <w:tcW w:w="160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36.2 %</w:t>
            </w:r>
          </w:p>
        </w:tc>
        <w:tc>
          <w:tcPr>
            <w:tcW w:w="0" w:type="dxa"/>
            <w:vAlign w:val="bottom"/>
          </w:tcPr>
          <w:p>
            <w:pPr>
              <w:spacing w:after="0"/>
              <w:rPr>
                <w:sz w:val="1"/>
                <w:szCs w:val="1"/>
                <w:color w:val="auto"/>
              </w:rPr>
            </w:pPr>
          </w:p>
        </w:tc>
      </w:tr>
      <w:tr>
        <w:trPr>
          <w:trHeight w:val="263"/>
        </w:trPr>
        <w:tc>
          <w:tcPr>
            <w:tcW w:w="3280" w:type="dxa"/>
            <w:vAlign w:val="bottom"/>
          </w:tcPr>
          <w:p>
            <w:pPr>
              <w:ind w:left="180"/>
              <w:spacing w:after="0"/>
              <w:rPr>
                <w:sz w:val="20"/>
                <w:szCs w:val="20"/>
                <w:color w:val="auto"/>
              </w:rPr>
            </w:pPr>
            <w:r>
              <w:rPr>
                <w:rFonts w:ascii="Verdana" w:cs="Verdana" w:eastAsia="Verdana" w:hAnsi="Verdana"/>
                <w:sz w:val="18"/>
                <w:szCs w:val="18"/>
                <w:color w:val="auto"/>
              </w:rPr>
              <w:t>Student Housing</w:t>
            </w:r>
          </w:p>
        </w:tc>
        <w:tc>
          <w:tcPr>
            <w:tcW w:w="22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Verdana" w:cs="Verdana" w:eastAsia="Verdana" w:hAnsi="Verdana"/>
                <w:sz w:val="18"/>
                <w:szCs w:val="18"/>
                <w:color w:val="auto"/>
              </w:rPr>
              <w:t>229,283</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Verdana" w:cs="Verdana" w:eastAsia="Verdana" w:hAnsi="Verdana"/>
                <w:sz w:val="18"/>
                <w:szCs w:val="18"/>
                <w:color w:val="auto"/>
              </w:rPr>
              <w:t>6.8 %</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13"/>
              <w:spacing w:after="0"/>
              <w:rPr>
                <w:sz w:val="20"/>
                <w:szCs w:val="20"/>
                <w:color w:val="auto"/>
              </w:rPr>
            </w:pPr>
            <w:r>
              <w:rPr>
                <w:rFonts w:ascii="Verdana" w:cs="Verdana" w:eastAsia="Verdana" w:hAnsi="Verdana"/>
                <w:sz w:val="18"/>
                <w:szCs w:val="18"/>
                <w:color w:val="auto"/>
              </w:rPr>
              <w:t>229,283</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Verdana" w:cs="Verdana" w:eastAsia="Verdana" w:hAnsi="Verdana"/>
                <w:sz w:val="18"/>
                <w:szCs w:val="18"/>
                <w:color w:val="auto"/>
              </w:rPr>
              <w:t>— %</w:t>
            </w:r>
          </w:p>
        </w:tc>
        <w:tc>
          <w:tcPr>
            <w:tcW w:w="0" w:type="dxa"/>
            <w:vAlign w:val="bottom"/>
          </w:tcPr>
          <w:p>
            <w:pPr>
              <w:spacing w:after="0"/>
              <w:rPr>
                <w:sz w:val="1"/>
                <w:szCs w:val="1"/>
                <w:color w:val="auto"/>
              </w:rPr>
            </w:pPr>
          </w:p>
        </w:tc>
      </w:tr>
      <w:tr>
        <w:trPr>
          <w:trHeight w:val="277"/>
        </w:trPr>
        <w:tc>
          <w:tcPr>
            <w:tcW w:w="32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Hotel</w:t>
            </w:r>
          </w:p>
        </w:tc>
        <w:tc>
          <w:tcPr>
            <w:tcW w:w="22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169,663</w:t>
            </w:r>
          </w:p>
        </w:tc>
        <w:tc>
          <w:tcPr>
            <w:tcW w:w="100" w:type="dxa"/>
            <w:vAlign w:val="bottom"/>
            <w:shd w:val="clear" w:color="auto" w:fill="E0E7ED"/>
          </w:tcPr>
          <w:p>
            <w:pPr>
              <w:spacing w:after="0"/>
              <w:rPr>
                <w:sz w:val="24"/>
                <w:szCs w:val="24"/>
                <w:color w:val="auto"/>
              </w:rPr>
            </w:pPr>
          </w:p>
        </w:tc>
        <w:tc>
          <w:tcPr>
            <w:tcW w:w="15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5.0 %</w:t>
            </w:r>
          </w:p>
        </w:tc>
        <w:tc>
          <w:tcPr>
            <w:tcW w:w="28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18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169,070</w:t>
            </w:r>
          </w:p>
        </w:tc>
        <w:tc>
          <w:tcPr>
            <w:tcW w:w="8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0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593</w:t>
            </w:r>
          </w:p>
        </w:tc>
        <w:tc>
          <w:tcPr>
            <w:tcW w:w="160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0.3 %</w:t>
            </w:r>
          </w:p>
        </w:tc>
        <w:tc>
          <w:tcPr>
            <w:tcW w:w="0" w:type="dxa"/>
            <w:vAlign w:val="bottom"/>
          </w:tcPr>
          <w:p>
            <w:pPr>
              <w:spacing w:after="0"/>
              <w:rPr>
                <w:sz w:val="1"/>
                <w:szCs w:val="1"/>
                <w:color w:val="auto"/>
              </w:rPr>
            </w:pPr>
          </w:p>
        </w:tc>
      </w:tr>
      <w:tr>
        <w:trPr>
          <w:trHeight w:val="263"/>
        </w:trPr>
        <w:tc>
          <w:tcPr>
            <w:tcW w:w="3280" w:type="dxa"/>
            <w:vAlign w:val="bottom"/>
          </w:tcPr>
          <w:p>
            <w:pPr>
              <w:ind w:left="180"/>
              <w:spacing w:after="0"/>
              <w:rPr>
                <w:sz w:val="20"/>
                <w:szCs w:val="20"/>
                <w:color w:val="auto"/>
              </w:rPr>
            </w:pPr>
            <w:r>
              <w:rPr>
                <w:rFonts w:ascii="Verdana" w:cs="Verdana" w:eastAsia="Verdana" w:hAnsi="Verdana"/>
                <w:sz w:val="18"/>
                <w:szCs w:val="18"/>
                <w:color w:val="auto"/>
              </w:rPr>
              <w:t>Senior Housing</w:t>
            </w:r>
          </w:p>
        </w:tc>
        <w:tc>
          <w:tcPr>
            <w:tcW w:w="22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Verdana" w:cs="Verdana" w:eastAsia="Verdana" w:hAnsi="Verdana"/>
                <w:sz w:val="18"/>
                <w:szCs w:val="18"/>
                <w:color w:val="auto"/>
              </w:rPr>
              <w:t>122,272</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Verdana" w:cs="Verdana" w:eastAsia="Verdana" w:hAnsi="Verdana"/>
                <w:sz w:val="18"/>
                <w:szCs w:val="18"/>
                <w:color w:val="auto"/>
              </w:rPr>
              <w:t>3.6 %</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13"/>
              <w:spacing w:after="0"/>
              <w:rPr>
                <w:sz w:val="20"/>
                <w:szCs w:val="20"/>
                <w:color w:val="auto"/>
              </w:rPr>
            </w:pPr>
            <w:r>
              <w:rPr>
                <w:rFonts w:ascii="Verdana" w:cs="Verdana" w:eastAsia="Verdana" w:hAnsi="Verdana"/>
                <w:sz w:val="18"/>
                <w:szCs w:val="18"/>
                <w:color w:val="auto"/>
              </w:rPr>
              <w:t>122,272</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Verdana" w:cs="Verdana" w:eastAsia="Verdana" w:hAnsi="Verdana"/>
                <w:sz w:val="18"/>
                <w:szCs w:val="18"/>
                <w:color w:val="auto"/>
              </w:rPr>
              <w:t>— %</w:t>
            </w:r>
          </w:p>
        </w:tc>
        <w:tc>
          <w:tcPr>
            <w:tcW w:w="0" w:type="dxa"/>
            <w:vAlign w:val="bottom"/>
          </w:tcPr>
          <w:p>
            <w:pPr>
              <w:spacing w:after="0"/>
              <w:rPr>
                <w:sz w:val="1"/>
                <w:szCs w:val="1"/>
                <w:color w:val="auto"/>
              </w:rPr>
            </w:pPr>
          </w:p>
        </w:tc>
      </w:tr>
      <w:tr>
        <w:trPr>
          <w:trHeight w:val="277"/>
        </w:trPr>
        <w:tc>
          <w:tcPr>
            <w:tcW w:w="32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Restaurant</w:t>
            </w:r>
          </w:p>
        </w:tc>
        <w:tc>
          <w:tcPr>
            <w:tcW w:w="22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68,852</w:t>
            </w:r>
          </w:p>
        </w:tc>
        <w:tc>
          <w:tcPr>
            <w:tcW w:w="100" w:type="dxa"/>
            <w:vAlign w:val="bottom"/>
            <w:shd w:val="clear" w:color="auto" w:fill="E0E7ED"/>
          </w:tcPr>
          <w:p>
            <w:pPr>
              <w:spacing w:after="0"/>
              <w:rPr>
                <w:sz w:val="24"/>
                <w:szCs w:val="24"/>
                <w:color w:val="auto"/>
              </w:rPr>
            </w:pPr>
          </w:p>
        </w:tc>
        <w:tc>
          <w:tcPr>
            <w:tcW w:w="15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2.0 %</w:t>
            </w:r>
          </w:p>
        </w:tc>
        <w:tc>
          <w:tcPr>
            <w:tcW w:w="28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18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23,259</w:t>
            </w:r>
          </w:p>
        </w:tc>
        <w:tc>
          <w:tcPr>
            <w:tcW w:w="8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0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45,593</w:t>
            </w:r>
          </w:p>
        </w:tc>
        <w:tc>
          <w:tcPr>
            <w:tcW w:w="160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66.2 %</w:t>
            </w:r>
          </w:p>
        </w:tc>
        <w:tc>
          <w:tcPr>
            <w:tcW w:w="0" w:type="dxa"/>
            <w:vAlign w:val="bottom"/>
          </w:tcPr>
          <w:p>
            <w:pPr>
              <w:spacing w:after="0"/>
              <w:rPr>
                <w:sz w:val="1"/>
                <w:szCs w:val="1"/>
                <w:color w:val="auto"/>
              </w:rPr>
            </w:pPr>
          </w:p>
        </w:tc>
      </w:tr>
      <w:tr>
        <w:trPr>
          <w:trHeight w:val="263"/>
        </w:trPr>
        <w:tc>
          <w:tcPr>
            <w:tcW w:w="3280" w:type="dxa"/>
            <w:vAlign w:val="bottom"/>
          </w:tcPr>
          <w:p>
            <w:pPr>
              <w:ind w:left="180"/>
              <w:spacing w:after="0"/>
              <w:rPr>
                <w:sz w:val="20"/>
                <w:szCs w:val="20"/>
                <w:color w:val="auto"/>
              </w:rPr>
            </w:pPr>
            <w:r>
              <w:rPr>
                <w:rFonts w:ascii="Verdana" w:cs="Verdana" w:eastAsia="Verdana" w:hAnsi="Verdana"/>
                <w:sz w:val="18"/>
                <w:szCs w:val="18"/>
                <w:color w:val="auto"/>
              </w:rPr>
              <w:t>Nursing Homes</w:t>
            </w:r>
          </w:p>
        </w:tc>
        <w:tc>
          <w:tcPr>
            <w:tcW w:w="22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Verdana" w:cs="Verdana" w:eastAsia="Verdana" w:hAnsi="Verdana"/>
                <w:sz w:val="18"/>
                <w:szCs w:val="18"/>
                <w:color w:val="auto"/>
              </w:rPr>
              <w:t>24,479</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Verdana" w:cs="Verdana" w:eastAsia="Verdana" w:hAnsi="Verdana"/>
                <w:sz w:val="18"/>
                <w:szCs w:val="18"/>
                <w:color w:val="auto"/>
              </w:rPr>
              <w:t>0.7 %</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13"/>
              <w:spacing w:after="0"/>
              <w:rPr>
                <w:sz w:val="20"/>
                <w:szCs w:val="20"/>
                <w:color w:val="auto"/>
              </w:rPr>
            </w:pPr>
            <w:r>
              <w:rPr>
                <w:rFonts w:ascii="Verdana" w:cs="Verdana" w:eastAsia="Verdana" w:hAnsi="Verdana"/>
                <w:sz w:val="18"/>
                <w:szCs w:val="18"/>
                <w:color w:val="auto"/>
              </w:rPr>
              <w:t>23,113</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Verdana" w:cs="Verdana" w:eastAsia="Verdana" w:hAnsi="Verdana"/>
                <w:sz w:val="18"/>
                <w:szCs w:val="18"/>
                <w:color w:val="auto"/>
              </w:rPr>
              <w:t>1,366</w:t>
            </w:r>
          </w:p>
        </w:tc>
        <w:tc>
          <w:tcPr>
            <w:tcW w:w="1600" w:type="dxa"/>
            <w:vAlign w:val="bottom"/>
            <w:gridSpan w:val="2"/>
          </w:tcPr>
          <w:p>
            <w:pPr>
              <w:jc w:val="right"/>
              <w:spacing w:after="0"/>
              <w:rPr>
                <w:sz w:val="20"/>
                <w:szCs w:val="20"/>
                <w:color w:val="auto"/>
              </w:rPr>
            </w:pPr>
            <w:r>
              <w:rPr>
                <w:rFonts w:ascii="Verdana" w:cs="Verdana" w:eastAsia="Verdana" w:hAnsi="Verdana"/>
                <w:sz w:val="18"/>
                <w:szCs w:val="18"/>
                <w:color w:val="auto"/>
              </w:rPr>
              <w:t>5.6 %</w:t>
            </w:r>
          </w:p>
        </w:tc>
        <w:tc>
          <w:tcPr>
            <w:tcW w:w="0" w:type="dxa"/>
            <w:vAlign w:val="bottom"/>
          </w:tcPr>
          <w:p>
            <w:pPr>
              <w:spacing w:after="0"/>
              <w:rPr>
                <w:sz w:val="1"/>
                <w:szCs w:val="1"/>
                <w:color w:val="auto"/>
              </w:rPr>
            </w:pPr>
          </w:p>
        </w:tc>
      </w:tr>
      <w:tr>
        <w:trPr>
          <w:trHeight w:val="277"/>
        </w:trPr>
        <w:tc>
          <w:tcPr>
            <w:tcW w:w="32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Health Care</w:t>
            </w:r>
          </w:p>
        </w:tc>
        <w:tc>
          <w:tcPr>
            <w:tcW w:w="22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20,574</w:t>
            </w:r>
          </w:p>
        </w:tc>
        <w:tc>
          <w:tcPr>
            <w:tcW w:w="100" w:type="dxa"/>
            <w:vAlign w:val="bottom"/>
            <w:shd w:val="clear" w:color="auto" w:fill="E0E7ED"/>
          </w:tcPr>
          <w:p>
            <w:pPr>
              <w:spacing w:after="0"/>
              <w:rPr>
                <w:sz w:val="24"/>
                <w:szCs w:val="24"/>
                <w:color w:val="auto"/>
              </w:rPr>
            </w:pPr>
          </w:p>
        </w:tc>
        <w:tc>
          <w:tcPr>
            <w:tcW w:w="15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0.6 %</w:t>
            </w:r>
          </w:p>
        </w:tc>
        <w:tc>
          <w:tcPr>
            <w:tcW w:w="28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18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20,000</w:t>
            </w:r>
          </w:p>
        </w:tc>
        <w:tc>
          <w:tcPr>
            <w:tcW w:w="8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0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574</w:t>
            </w:r>
          </w:p>
        </w:tc>
        <w:tc>
          <w:tcPr>
            <w:tcW w:w="160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2.8 %</w:t>
            </w:r>
          </w:p>
        </w:tc>
        <w:tc>
          <w:tcPr>
            <w:tcW w:w="0" w:type="dxa"/>
            <w:vAlign w:val="bottom"/>
          </w:tcPr>
          <w:p>
            <w:pPr>
              <w:spacing w:after="0"/>
              <w:rPr>
                <w:sz w:val="1"/>
                <w:szCs w:val="1"/>
                <w:color w:val="auto"/>
              </w:rPr>
            </w:pPr>
          </w:p>
        </w:tc>
      </w:tr>
      <w:tr>
        <w:trPr>
          <w:trHeight w:val="264"/>
        </w:trPr>
        <w:tc>
          <w:tcPr>
            <w:tcW w:w="328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Other</w:t>
            </w: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510</w:t>
            </w:r>
          </w:p>
        </w:tc>
        <w:tc>
          <w:tcPr>
            <w:tcW w:w="100" w:type="dxa"/>
            <w:vAlign w:val="bottom"/>
            <w:tcBorders>
              <w:bottom w:val="single" w:sz="8" w:color="E0E7ED"/>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 %</w:t>
            </w:r>
          </w:p>
        </w:tc>
        <w:tc>
          <w:tcPr>
            <w:tcW w:w="280" w:type="dxa"/>
            <w:vAlign w:val="bottom"/>
            <w:tcBorders>
              <w:bottom w:val="single" w:sz="8" w:color="E0E7ED"/>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510</w:t>
            </w:r>
          </w:p>
        </w:tc>
        <w:tc>
          <w:tcPr>
            <w:tcW w:w="8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00" w:type="dxa"/>
            <w:vAlign w:val="bottom"/>
            <w:tcBorders>
              <w:bottom w:val="single" w:sz="8" w:color="E0E7ED"/>
            </w:tcBorders>
          </w:tcPr>
          <w:p>
            <w:pPr>
              <w:spacing w:after="0"/>
              <w:rPr>
                <w:sz w:val="22"/>
                <w:szCs w:val="22"/>
                <w:color w:val="auto"/>
              </w:rPr>
            </w:pPr>
          </w:p>
        </w:tc>
        <w:tc>
          <w:tcPr>
            <w:tcW w:w="1500" w:type="dxa"/>
            <w:vAlign w:val="bottom"/>
            <w:tcBorders>
              <w:bottom w:val="single" w:sz="8" w:color="E0E7ED"/>
            </w:tcBorders>
          </w:tcPr>
          <w:p>
            <w:pPr>
              <w:jc w:val="right"/>
              <w:spacing w:after="0"/>
              <w:rPr>
                <w:sz w:val="20"/>
                <w:szCs w:val="20"/>
                <w:color w:val="auto"/>
              </w:rPr>
            </w:pPr>
            <w:r>
              <w:rPr>
                <w:rFonts w:ascii="Verdana" w:cs="Verdana" w:eastAsia="Verdana" w:hAnsi="Verdana"/>
                <w:sz w:val="18"/>
                <w:szCs w:val="18"/>
                <w:color w:val="auto"/>
              </w:rPr>
              <w:t>— %</w:t>
            </w:r>
          </w:p>
        </w:tc>
        <w:tc>
          <w:tcPr>
            <w:tcW w:w="0" w:type="dxa"/>
            <w:vAlign w:val="bottom"/>
          </w:tcPr>
          <w:p>
            <w:pPr>
              <w:spacing w:after="0"/>
              <w:rPr>
                <w:sz w:val="1"/>
                <w:szCs w:val="1"/>
                <w:color w:val="auto"/>
              </w:rPr>
            </w:pPr>
          </w:p>
        </w:tc>
      </w:tr>
      <w:tr>
        <w:trPr>
          <w:trHeight w:val="290"/>
        </w:trPr>
        <w:tc>
          <w:tcPr>
            <w:tcW w:w="32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w:t>
            </w:r>
          </w:p>
        </w:tc>
        <w:tc>
          <w:tcPr>
            <w:tcW w:w="22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w w:val="86"/>
              </w:rPr>
              <w:t>$</w:t>
            </w:r>
          </w:p>
        </w:tc>
        <w:tc>
          <w:tcPr>
            <w:tcW w:w="122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3,360,926</w:t>
            </w:r>
          </w:p>
        </w:tc>
        <w:tc>
          <w:tcPr>
            <w:tcW w:w="100" w:type="dxa"/>
            <w:vAlign w:val="bottom"/>
            <w:shd w:val="clear" w:color="auto" w:fill="E0E7ED"/>
          </w:tcPr>
          <w:p>
            <w:pPr>
              <w:spacing w:after="0"/>
              <w:rPr>
                <w:sz w:val="24"/>
                <w:szCs w:val="24"/>
                <w:color w:val="auto"/>
              </w:rPr>
            </w:pPr>
          </w:p>
        </w:tc>
        <w:tc>
          <w:tcPr>
            <w:tcW w:w="2140" w:type="dxa"/>
            <w:vAlign w:val="bottom"/>
            <w:gridSpan w:val="3"/>
            <w:shd w:val="clear" w:color="auto" w:fill="E0E7ED"/>
          </w:tcPr>
          <w:p>
            <w:pPr>
              <w:jc w:val="right"/>
              <w:ind w:right="160"/>
              <w:spacing w:after="0"/>
              <w:rPr>
                <w:sz w:val="20"/>
                <w:szCs w:val="20"/>
                <w:color w:val="auto"/>
              </w:rPr>
            </w:pPr>
            <w:r>
              <w:rPr>
                <w:rFonts w:ascii="Verdana" w:cs="Verdana" w:eastAsia="Verdana" w:hAnsi="Verdana"/>
                <w:sz w:val="18"/>
                <w:szCs w:val="18"/>
                <w:color w:val="auto"/>
              </w:rPr>
              <w:t>99.7 % — $</w:t>
            </w:r>
          </w:p>
        </w:tc>
        <w:tc>
          <w:tcPr>
            <w:tcW w:w="118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2,413,670</w:t>
            </w:r>
          </w:p>
        </w:tc>
        <w:tc>
          <w:tcPr>
            <w:tcW w:w="80" w:type="dxa"/>
            <w:vAlign w:val="bottom"/>
            <w:shd w:val="clear" w:color="auto" w:fill="E0E7ED"/>
          </w:tcPr>
          <w:p>
            <w:pPr>
              <w:spacing w:after="0"/>
              <w:rPr>
                <w:sz w:val="24"/>
                <w:szCs w:val="24"/>
                <w:color w:val="auto"/>
              </w:rPr>
            </w:pPr>
          </w:p>
        </w:tc>
        <w:tc>
          <w:tcPr>
            <w:tcW w:w="340" w:type="dxa"/>
            <w:vAlign w:val="bottom"/>
            <w:shd w:val="clear" w:color="auto" w:fill="E0E7ED"/>
          </w:tcPr>
          <w:p>
            <w:pPr>
              <w:jc w:val="right"/>
              <w:ind w:right="110"/>
              <w:spacing w:after="0"/>
              <w:rPr>
                <w:sz w:val="20"/>
                <w:szCs w:val="20"/>
                <w:color w:val="auto"/>
              </w:rPr>
            </w:pPr>
            <w:r>
              <w:rPr>
                <w:rFonts w:ascii="Verdana" w:cs="Verdana" w:eastAsia="Verdana" w:hAnsi="Verdana"/>
                <w:sz w:val="18"/>
                <w:szCs w:val="18"/>
                <w:color w:val="auto"/>
              </w:rPr>
              <w:t>$</w:t>
            </w:r>
          </w:p>
        </w:tc>
        <w:tc>
          <w:tcPr>
            <w:tcW w:w="10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947,256</w:t>
            </w:r>
          </w:p>
        </w:tc>
        <w:tc>
          <w:tcPr>
            <w:tcW w:w="160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28.2 %</w:t>
            </w:r>
          </w:p>
        </w:tc>
        <w:tc>
          <w:tcPr>
            <w:tcW w:w="0" w:type="dxa"/>
            <w:vAlign w:val="bottom"/>
          </w:tcPr>
          <w:p>
            <w:pPr>
              <w:spacing w:after="0"/>
              <w:rPr>
                <w:sz w:val="1"/>
                <w:szCs w:val="1"/>
                <w:color w:val="auto"/>
              </w:rPr>
            </w:pPr>
          </w:p>
        </w:tc>
      </w:tr>
      <w:tr>
        <w:trPr>
          <w:trHeight w:val="20"/>
        </w:trPr>
        <w:tc>
          <w:tcPr>
            <w:tcW w:w="328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50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940"/>
        <w:spacing w:after="0"/>
        <w:rPr>
          <w:sz w:val="20"/>
          <w:szCs w:val="20"/>
          <w:color w:val="auto"/>
        </w:rPr>
      </w:pPr>
      <w:r>
        <w:rPr>
          <w:rFonts w:ascii="Verdana" w:cs="Verdana" w:eastAsia="Verdana" w:hAnsi="Verdana"/>
          <w:sz w:val="17"/>
          <w:szCs w:val="17"/>
          <w:color w:val="808285"/>
        </w:rPr>
        <w:t xml:space="preserve">First Busey Corporation (BUSE) | </w:t>
      </w:r>
      <w:r>
        <w:rPr>
          <w:rFonts w:ascii="Verdana" w:cs="Verdana" w:eastAsia="Verdana" w:hAnsi="Verdana"/>
          <w:sz w:val="17"/>
          <w:szCs w:val="17"/>
          <w:b w:val="1"/>
          <w:bCs w:val="1"/>
          <w:color w:val="376484"/>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9" w:name="page90"/>
    <w:bookmarkEnd w:id="89"/>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Allowance and Provision for Credit Losses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 xml:space="preserve">The ACL is a significant estimate in our unaudited consolidated financial statements, affecting both earnings and capital. The methodology adopted influences, and is influenced by, Busey Bank’s overall credit risk management processes. The ACL is recorded in accordance with GAAP to provide an adequate reserve for expected credit losses that is reflective of management’s best estimate of what is expected to be collected. Estimates of credit losses are based on a careful consideration of all significant factors affecting collectability as of the evaluation date. The ACL is established through the provision for credit losses expense charged to income. Provision expenses were recorded as follows for each of the periods indicated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60" w:type="dxa"/>
            <w:vAlign w:val="bottom"/>
          </w:tcPr>
          <w:p>
            <w:pPr>
              <w:spacing w:after="0"/>
              <w:rPr>
                <w:sz w:val="15"/>
                <w:szCs w:val="15"/>
                <w:color w:val="auto"/>
              </w:rPr>
            </w:pPr>
          </w:p>
        </w:tc>
        <w:tc>
          <w:tcPr>
            <w:tcW w:w="3180" w:type="dxa"/>
            <w:vAlign w:val="bottom"/>
            <w:gridSpan w:val="6"/>
          </w:tcPr>
          <w:p>
            <w:pPr>
              <w:ind w:left="280"/>
              <w:spacing w:after="0"/>
              <w:rPr>
                <w:sz w:val="20"/>
                <w:szCs w:val="20"/>
                <w:color w:val="auto"/>
              </w:rPr>
            </w:pPr>
            <w:r>
              <w:rPr>
                <w:rFonts w:ascii="Verdana" w:cs="Verdana" w:eastAsia="Verdana" w:hAnsi="Verdana"/>
                <w:sz w:val="13"/>
                <w:szCs w:val="13"/>
                <w:b w:val="1"/>
                <w:bCs w:val="1"/>
                <w:color w:val="auto"/>
              </w:rPr>
              <w:t>Three Months Ended September 30,</w:t>
            </w:r>
          </w:p>
        </w:tc>
        <w:tc>
          <w:tcPr>
            <w:tcW w:w="240" w:type="dxa"/>
            <w:vAlign w:val="bottom"/>
          </w:tcPr>
          <w:p>
            <w:pPr>
              <w:spacing w:after="0"/>
              <w:rPr>
                <w:sz w:val="15"/>
                <w:szCs w:val="15"/>
                <w:color w:val="auto"/>
              </w:rPr>
            </w:pPr>
          </w:p>
        </w:tc>
        <w:tc>
          <w:tcPr>
            <w:tcW w:w="2860" w:type="dxa"/>
            <w:vAlign w:val="bottom"/>
            <w:gridSpan w:val="4"/>
          </w:tcPr>
          <w:p>
            <w:pPr>
              <w:jc w:val="right"/>
              <w:ind w:right="244"/>
              <w:spacing w:after="0"/>
              <w:rPr>
                <w:sz w:val="20"/>
                <w:szCs w:val="20"/>
                <w:color w:val="auto"/>
              </w:rPr>
            </w:pPr>
            <w:r>
              <w:rPr>
                <w:rFonts w:ascii="Verdana" w:cs="Verdana" w:eastAsia="Verdana" w:hAnsi="Verdana"/>
                <w:sz w:val="13"/>
                <w:szCs w:val="13"/>
                <w:b w:val="1"/>
                <w:bCs w:val="1"/>
                <w:color w:val="auto"/>
                <w:w w:val="99"/>
              </w:rPr>
              <w:t>Nine Months Ended September 30,</w:t>
            </w:r>
          </w:p>
        </w:tc>
      </w:tr>
      <w:tr>
        <w:trPr>
          <w:trHeight w:val="170"/>
        </w:trPr>
        <w:tc>
          <w:tcPr>
            <w:tcW w:w="4960" w:type="dxa"/>
            <w:vAlign w:val="bottom"/>
            <w:tcBorders>
              <w:bottom w:val="single" w:sz="8" w:color="E0E7ED"/>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108"/>
              <w:spacing w:after="0"/>
              <w:rPr>
                <w:sz w:val="20"/>
                <w:szCs w:val="20"/>
                <w:color w:val="auto"/>
              </w:rPr>
            </w:pPr>
            <w:r>
              <w:rPr>
                <w:rFonts w:ascii="Verdana" w:cs="Verdana" w:eastAsia="Verdana" w:hAnsi="Verdana"/>
                <w:sz w:val="13"/>
                <w:szCs w:val="13"/>
                <w:b w:val="1"/>
                <w:bCs w:val="1"/>
                <w:color w:val="auto"/>
              </w:rPr>
              <w:t>2024</w:t>
            </w:r>
          </w:p>
        </w:tc>
        <w:tc>
          <w:tcPr>
            <w:tcW w:w="3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E0E7ED"/>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04"/>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E0E7ED"/>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488"/>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04"/>
              <w:spacing w:after="0"/>
              <w:rPr>
                <w:sz w:val="20"/>
                <w:szCs w:val="20"/>
                <w:color w:val="auto"/>
              </w:rPr>
            </w:pPr>
            <w:r>
              <w:rPr>
                <w:rFonts w:ascii="Verdana" w:cs="Verdana" w:eastAsia="Verdana" w:hAnsi="Verdana"/>
                <w:sz w:val="13"/>
                <w:szCs w:val="13"/>
                <w:b w:val="1"/>
                <w:bCs w:val="1"/>
                <w:color w:val="auto"/>
              </w:rPr>
              <w:t>2023</w:t>
            </w:r>
          </w:p>
        </w:tc>
      </w:tr>
      <w:tr>
        <w:trPr>
          <w:trHeight w:val="269"/>
        </w:trPr>
        <w:tc>
          <w:tcPr>
            <w:tcW w:w="49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Provision for credit losses</w:t>
            </w:r>
          </w:p>
        </w:tc>
        <w:tc>
          <w:tcPr>
            <w:tcW w:w="1120" w:type="dxa"/>
            <w:vAlign w:val="bottom"/>
            <w:shd w:val="clear" w:color="auto" w:fill="E0E7ED"/>
          </w:tcPr>
          <w:p>
            <w:pPr>
              <w:jc w:val="right"/>
              <w:ind w:right="908"/>
              <w:spacing w:after="0"/>
              <w:rPr>
                <w:sz w:val="20"/>
                <w:szCs w:val="20"/>
                <w:color w:val="auto"/>
              </w:rPr>
            </w:pPr>
            <w:r>
              <w:rPr>
                <w:rFonts w:ascii="Verdana" w:cs="Verdana" w:eastAsia="Verdana" w:hAnsi="Verdana"/>
                <w:sz w:val="18"/>
                <w:szCs w:val="18"/>
                <w:color w:val="auto"/>
              </w:rPr>
              <w:t>$</w:t>
            </w:r>
          </w:p>
        </w:tc>
        <w:tc>
          <w:tcPr>
            <w:tcW w:w="3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w:t>
            </w: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shd w:val="clear" w:color="auto" w:fill="E0E7ED"/>
          </w:tcPr>
          <w:p>
            <w:pPr>
              <w:jc w:val="right"/>
              <w:ind w:right="24"/>
              <w:spacing w:after="0"/>
              <w:rPr>
                <w:sz w:val="20"/>
                <w:szCs w:val="20"/>
                <w:color w:val="auto"/>
              </w:rPr>
            </w:pPr>
            <w:r>
              <w:rPr>
                <w:rFonts w:ascii="Verdana" w:cs="Verdana" w:eastAsia="Verdana" w:hAnsi="Verdana"/>
                <w:sz w:val="18"/>
                <w:szCs w:val="18"/>
                <w:color w:val="auto"/>
              </w:rPr>
              <w:t>364</w:t>
            </w:r>
          </w:p>
        </w:tc>
        <w:tc>
          <w:tcPr>
            <w:tcW w:w="80" w:type="dxa"/>
            <w:vAlign w:val="bottom"/>
            <w:shd w:val="clear" w:color="auto" w:fill="E0E7ED"/>
          </w:tcPr>
          <w:p>
            <w:pPr>
              <w:spacing w:after="0"/>
              <w:rPr>
                <w:sz w:val="23"/>
                <w:szCs w:val="23"/>
                <w:color w:val="auto"/>
              </w:rPr>
            </w:pPr>
          </w:p>
        </w:tc>
        <w:tc>
          <w:tcPr>
            <w:tcW w:w="24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shd w:val="clear" w:color="auto" w:fill="E0E7ED"/>
          </w:tcPr>
          <w:p>
            <w:pPr>
              <w:jc w:val="right"/>
              <w:ind w:right="8"/>
              <w:spacing w:after="0"/>
              <w:rPr>
                <w:sz w:val="20"/>
                <w:szCs w:val="20"/>
                <w:color w:val="auto"/>
              </w:rPr>
            </w:pPr>
            <w:r>
              <w:rPr>
                <w:rFonts w:ascii="Verdana" w:cs="Verdana" w:eastAsia="Verdana" w:hAnsi="Verdana"/>
                <w:sz w:val="18"/>
                <w:szCs w:val="18"/>
                <w:color w:val="auto"/>
              </w:rPr>
              <w:t>7,317</w:t>
            </w:r>
          </w:p>
        </w:tc>
        <w:tc>
          <w:tcPr>
            <w:tcW w:w="100" w:type="dxa"/>
            <w:vAlign w:val="bottom"/>
            <w:shd w:val="clear" w:color="auto" w:fill="E0E7ED"/>
          </w:tcPr>
          <w:p>
            <w:pPr>
              <w:spacing w:after="0"/>
              <w:rPr>
                <w:sz w:val="23"/>
                <w:szCs w:val="23"/>
                <w:color w:val="auto"/>
              </w:rPr>
            </w:pP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shd w:val="clear" w:color="auto" w:fill="E0E7ED"/>
          </w:tcPr>
          <w:p>
            <w:pPr>
              <w:jc w:val="right"/>
              <w:ind w:right="24"/>
              <w:spacing w:after="0"/>
              <w:rPr>
                <w:sz w:val="20"/>
                <w:szCs w:val="20"/>
                <w:color w:val="auto"/>
              </w:rPr>
            </w:pPr>
            <w:r>
              <w:rPr>
                <w:rFonts w:ascii="Verdana" w:cs="Verdana" w:eastAsia="Verdana" w:hAnsi="Verdana"/>
                <w:sz w:val="18"/>
                <w:szCs w:val="18"/>
                <w:color w:val="auto"/>
              </w:rPr>
              <w:t>1,944</w:t>
            </w:r>
          </w:p>
        </w:tc>
      </w:tr>
    </w:tbl>
    <w:p>
      <w:pPr>
        <w:spacing w:after="0" w:line="251" w:lineRule="exact"/>
        <w:rPr>
          <w:sz w:val="20"/>
          <w:szCs w:val="20"/>
          <w:color w:val="auto"/>
        </w:rPr>
      </w:pPr>
    </w:p>
    <w:p>
      <w:pPr>
        <w:jc w:val="both"/>
        <w:ind w:right="20"/>
        <w:spacing w:after="0" w:line="239" w:lineRule="auto"/>
        <w:rPr>
          <w:sz w:val="20"/>
          <w:szCs w:val="20"/>
          <w:color w:val="auto"/>
        </w:rPr>
      </w:pPr>
      <w:r>
        <w:rPr>
          <w:rFonts w:ascii="Verdana" w:cs="Verdana" w:eastAsia="Verdana" w:hAnsi="Verdana"/>
          <w:sz w:val="18"/>
          <w:szCs w:val="18"/>
          <w:color w:val="auto"/>
        </w:rPr>
        <w:t xml:space="preserve">The ACL and the ratio of ACL to portfolio loan balances is presented below by loan category and class, as of each of the dates indicated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6"/>
          </w:tcPr>
          <w:p>
            <w:pPr>
              <w:spacing w:after="0"/>
              <w:rPr>
                <w:sz w:val="20"/>
                <w:szCs w:val="20"/>
                <w:color w:val="auto"/>
              </w:rPr>
            </w:pPr>
            <w:r>
              <w:rPr>
                <w:rFonts w:ascii="Verdana" w:cs="Verdana" w:eastAsia="Verdana" w:hAnsi="Verdana"/>
                <w:sz w:val="13"/>
                <w:szCs w:val="13"/>
                <w:b w:val="1"/>
                <w:bCs w:val="1"/>
                <w:color w:val="auto"/>
                <w:w w:val="98"/>
              </w:rPr>
              <w:t>As of September 30, 2024</w:t>
            </w:r>
          </w:p>
        </w:tc>
        <w:tc>
          <w:tcPr>
            <w:tcW w:w="1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6"/>
          </w:tcPr>
          <w:p>
            <w:pPr>
              <w:ind w:left="20"/>
              <w:spacing w:after="0"/>
              <w:rPr>
                <w:sz w:val="20"/>
                <w:szCs w:val="20"/>
                <w:color w:val="auto"/>
              </w:rPr>
            </w:pPr>
            <w:r>
              <w:rPr>
                <w:rFonts w:ascii="Verdana" w:cs="Verdana" w:eastAsia="Verdana" w:hAnsi="Verdana"/>
                <w:sz w:val="13"/>
                <w:szCs w:val="13"/>
                <w:b w:val="1"/>
                <w:bCs w:val="1"/>
                <w:color w:val="auto"/>
                <w:w w:val="98"/>
              </w:rPr>
              <w:t>As of December 31, 2023</w:t>
            </w:r>
          </w:p>
        </w:tc>
        <w:tc>
          <w:tcPr>
            <w:tcW w:w="13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vMerge w:val="restart"/>
          </w:tcPr>
          <w:p>
            <w:pPr>
              <w:jc w:val="right"/>
              <w:ind w:right="33"/>
              <w:spacing w:after="0"/>
              <w:rPr>
                <w:sz w:val="20"/>
                <w:szCs w:val="20"/>
                <w:color w:val="auto"/>
              </w:rPr>
            </w:pPr>
            <w:r>
              <w:rPr>
                <w:rFonts w:ascii="Verdana" w:cs="Verdana" w:eastAsia="Verdana" w:hAnsi="Verdana"/>
                <w:sz w:val="13"/>
                <w:szCs w:val="13"/>
                <w:b w:val="1"/>
                <w:bCs w:val="1"/>
                <w:color w:val="auto"/>
                <w:w w:val="97"/>
              </w:rPr>
              <w:t>Portfolio Loans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60" w:type="dxa"/>
            <w:vAlign w:val="bottom"/>
            <w:gridSpan w:val="3"/>
            <w:vMerge w:val="restart"/>
          </w:tcPr>
          <w:p>
            <w:pPr>
              <w:ind w:left="220"/>
              <w:spacing w:after="0"/>
              <w:rPr>
                <w:sz w:val="20"/>
                <w:szCs w:val="20"/>
                <w:color w:val="auto"/>
              </w:rPr>
            </w:pPr>
            <w:r>
              <w:rPr>
                <w:rFonts w:ascii="Verdana" w:cs="Verdana" w:eastAsia="Verdana" w:hAnsi="Verdana"/>
                <w:sz w:val="13"/>
                <w:szCs w:val="13"/>
                <w:b w:val="1"/>
                <w:bCs w:val="1"/>
                <w:color w:val="auto"/>
              </w:rPr>
              <w:t>ACL</w:t>
            </w:r>
          </w:p>
        </w:tc>
        <w:tc>
          <w:tcPr>
            <w:tcW w:w="1340" w:type="dxa"/>
            <w:vAlign w:val="bottom"/>
          </w:tcPr>
          <w:p>
            <w:pPr>
              <w:ind w:left="40"/>
              <w:spacing w:after="0" w:line="122" w:lineRule="exact"/>
              <w:rPr>
                <w:sz w:val="20"/>
                <w:szCs w:val="20"/>
                <w:color w:val="auto"/>
              </w:rPr>
            </w:pPr>
            <w:r>
              <w:rPr>
                <w:rFonts w:ascii="Verdana" w:cs="Verdana" w:eastAsia="Verdana" w:hAnsi="Verdana"/>
                <w:sz w:val="13"/>
                <w:szCs w:val="13"/>
                <w:b w:val="1"/>
                <w:bCs w:val="1"/>
                <w:color w:val="auto"/>
              </w:rPr>
              <w:t>Ratio of ACL to</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vMerge w:val="restart"/>
          </w:tcPr>
          <w:p>
            <w:pPr>
              <w:jc w:val="right"/>
              <w:ind w:right="53"/>
              <w:spacing w:after="0"/>
              <w:rPr>
                <w:sz w:val="20"/>
                <w:szCs w:val="20"/>
                <w:color w:val="auto"/>
              </w:rPr>
            </w:pPr>
            <w:r>
              <w:rPr>
                <w:rFonts w:ascii="Verdana" w:cs="Verdana" w:eastAsia="Verdana" w:hAnsi="Verdana"/>
                <w:sz w:val="13"/>
                <w:szCs w:val="13"/>
                <w:b w:val="1"/>
                <w:bCs w:val="1"/>
                <w:color w:val="auto"/>
                <w:w w:val="97"/>
              </w:rPr>
              <w:t>Portfolio Loans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gridSpan w:val="3"/>
            <w:vMerge w:val="restart"/>
          </w:tcPr>
          <w:p>
            <w:pPr>
              <w:ind w:left="220"/>
              <w:spacing w:after="0"/>
              <w:rPr>
                <w:sz w:val="20"/>
                <w:szCs w:val="20"/>
                <w:color w:val="auto"/>
              </w:rPr>
            </w:pPr>
            <w:r>
              <w:rPr>
                <w:rFonts w:ascii="Verdana" w:cs="Verdana" w:eastAsia="Verdana" w:hAnsi="Verdana"/>
                <w:sz w:val="13"/>
                <w:szCs w:val="13"/>
                <w:b w:val="1"/>
                <w:bCs w:val="1"/>
                <w:color w:val="auto"/>
              </w:rPr>
              <w:t>ACL</w:t>
            </w:r>
          </w:p>
        </w:tc>
        <w:tc>
          <w:tcPr>
            <w:tcW w:w="1380" w:type="dxa"/>
            <w:vAlign w:val="bottom"/>
          </w:tcPr>
          <w:p>
            <w:pPr>
              <w:jc w:val="right"/>
              <w:ind w:right="175"/>
              <w:spacing w:after="0" w:line="122" w:lineRule="exact"/>
              <w:rPr>
                <w:sz w:val="20"/>
                <w:szCs w:val="20"/>
                <w:color w:val="auto"/>
              </w:rPr>
            </w:pPr>
            <w:r>
              <w:rPr>
                <w:rFonts w:ascii="Verdana" w:cs="Verdana" w:eastAsia="Verdana" w:hAnsi="Verdana"/>
                <w:sz w:val="13"/>
                <w:szCs w:val="13"/>
                <w:b w:val="1"/>
                <w:bCs w:val="1"/>
                <w:color w:val="auto"/>
              </w:rPr>
              <w:t>Ratio of ACL to</w:t>
            </w:r>
          </w:p>
        </w:tc>
        <w:tc>
          <w:tcPr>
            <w:tcW w:w="0" w:type="dxa"/>
            <w:vAlign w:val="bottom"/>
          </w:tcPr>
          <w:p>
            <w:pPr>
              <w:spacing w:after="0"/>
              <w:rPr>
                <w:sz w:val="1"/>
                <w:szCs w:val="1"/>
                <w:color w:val="auto"/>
              </w:rPr>
            </w:pPr>
          </w:p>
        </w:tc>
      </w:tr>
      <w:tr>
        <w:trPr>
          <w:trHeight w:val="170"/>
        </w:trPr>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Verdana" w:cs="Verdana" w:eastAsia="Verdana" w:hAnsi="Verdana"/>
                <w:sz w:val="13"/>
                <w:szCs w:val="13"/>
                <w:b w:val="1"/>
                <w:bCs w:val="1"/>
                <w:color w:val="auto"/>
              </w:rPr>
              <w:t>Portfolio Loans</w:t>
            </w:r>
          </w:p>
        </w:tc>
        <w:tc>
          <w:tcPr>
            <w:tcW w:w="1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380" w:type="dxa"/>
            <w:vAlign w:val="bottom"/>
          </w:tcPr>
          <w:p>
            <w:pPr>
              <w:jc w:val="right"/>
              <w:ind w:right="155"/>
              <w:spacing w:after="0"/>
              <w:rPr>
                <w:sz w:val="20"/>
                <w:szCs w:val="20"/>
                <w:color w:val="auto"/>
              </w:rPr>
            </w:pPr>
            <w:r>
              <w:rPr>
                <w:rFonts w:ascii="Verdana" w:cs="Verdana" w:eastAsia="Verdana" w:hAnsi="Verdana"/>
                <w:sz w:val="13"/>
                <w:szCs w:val="13"/>
                <w:b w:val="1"/>
                <w:bCs w:val="1"/>
                <w:color w:val="auto"/>
              </w:rPr>
              <w:t>Portfolio Loans</w:t>
            </w:r>
          </w:p>
        </w:tc>
        <w:tc>
          <w:tcPr>
            <w:tcW w:w="0" w:type="dxa"/>
            <w:vAlign w:val="bottom"/>
          </w:tcPr>
          <w:p>
            <w:pPr>
              <w:spacing w:after="0"/>
              <w:rPr>
                <w:sz w:val="1"/>
                <w:szCs w:val="1"/>
                <w:color w:val="auto"/>
              </w:rPr>
            </w:pPr>
          </w:p>
        </w:tc>
      </w:tr>
      <w:tr>
        <w:trPr>
          <w:trHeight w:val="255"/>
        </w:trPr>
        <w:tc>
          <w:tcPr>
            <w:tcW w:w="190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w:t>
            </w:r>
          </w:p>
        </w:tc>
        <w:tc>
          <w:tcPr>
            <w:tcW w:w="160" w:type="dxa"/>
            <w:vAlign w:val="bottom"/>
            <w:tcBorders>
              <w:top w:val="single" w:sz="8" w:color="auto"/>
            </w:tcBorders>
            <w:shd w:val="clear" w:color="auto" w:fill="E0E7ED"/>
          </w:tcPr>
          <w:p>
            <w:pPr>
              <w:spacing w:after="0"/>
              <w:rPr>
                <w:sz w:val="22"/>
                <w:szCs w:val="22"/>
                <w:color w:val="auto"/>
              </w:rPr>
            </w:pPr>
          </w:p>
        </w:tc>
        <w:tc>
          <w:tcPr>
            <w:tcW w:w="12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40" w:type="dxa"/>
            <w:vAlign w:val="bottom"/>
            <w:tcBorders>
              <w:top w:val="single" w:sz="8" w:color="auto"/>
            </w:tcBorders>
            <w:shd w:val="clear" w:color="auto" w:fill="E0E7ED"/>
          </w:tcPr>
          <w:p>
            <w:pPr>
              <w:spacing w:after="0"/>
              <w:rPr>
                <w:sz w:val="22"/>
                <w:szCs w:val="22"/>
                <w:color w:val="auto"/>
              </w:rPr>
            </w:pPr>
          </w:p>
        </w:tc>
        <w:tc>
          <w:tcPr>
            <w:tcW w:w="10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34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60" w:type="dxa"/>
            <w:vAlign w:val="bottom"/>
            <w:tcBorders>
              <w:top w:val="single" w:sz="8" w:color="auto"/>
            </w:tcBorders>
            <w:shd w:val="clear" w:color="auto" w:fill="E0E7ED"/>
          </w:tcPr>
          <w:p>
            <w:pPr>
              <w:spacing w:after="0"/>
              <w:rPr>
                <w:sz w:val="22"/>
                <w:szCs w:val="22"/>
                <w:color w:val="auto"/>
              </w:rPr>
            </w:pPr>
          </w:p>
        </w:tc>
        <w:tc>
          <w:tcPr>
            <w:tcW w:w="108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80" w:type="dxa"/>
            <w:vAlign w:val="bottom"/>
            <w:tcBorders>
              <w:top w:val="single" w:sz="8" w:color="auto"/>
            </w:tcBorders>
            <w:shd w:val="clear" w:color="auto" w:fill="E0E7ED"/>
          </w:tcPr>
          <w:p>
            <w:pPr>
              <w:spacing w:after="0"/>
              <w:rPr>
                <w:sz w:val="22"/>
                <w:szCs w:val="22"/>
                <w:color w:val="auto"/>
              </w:rPr>
            </w:pPr>
          </w:p>
        </w:tc>
        <w:tc>
          <w:tcPr>
            <w:tcW w:w="138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1900" w:type="dxa"/>
            <w:vAlign w:val="bottom"/>
          </w:tcPr>
          <w:p>
            <w:pPr>
              <w:ind w:left="180"/>
              <w:spacing w:after="0"/>
              <w:rPr>
                <w:sz w:val="20"/>
                <w:szCs w:val="20"/>
                <w:color w:val="auto"/>
              </w:rPr>
            </w:pPr>
            <w:r>
              <w:rPr>
                <w:rFonts w:ascii="Verdana" w:cs="Verdana" w:eastAsia="Verdana" w:hAnsi="Verdana"/>
                <w:sz w:val="18"/>
                <w:szCs w:val="18"/>
                <w:color w:val="auto"/>
              </w:rPr>
              <w:t>C&amp;I and other</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900" w:type="dxa"/>
            <w:vAlign w:val="bottom"/>
          </w:tcPr>
          <w:p>
            <w:pPr>
              <w:ind w:left="180"/>
              <w:spacing w:after="0"/>
              <w:rPr>
                <w:sz w:val="20"/>
                <w:szCs w:val="20"/>
                <w:color w:val="auto"/>
              </w:rPr>
            </w:pPr>
            <w:r>
              <w:rPr>
                <w:rFonts w:ascii="Verdana" w:cs="Verdana" w:eastAsia="Verdana" w:hAnsi="Verdana"/>
                <w:sz w:val="18"/>
                <w:szCs w:val="18"/>
                <w:color w:val="auto"/>
              </w:rPr>
              <w:t>commercial</w:t>
            </w: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spacing w:after="0"/>
              <w:rPr>
                <w:sz w:val="20"/>
                <w:szCs w:val="20"/>
                <w:color w:val="auto"/>
              </w:rPr>
            </w:pPr>
            <w:r>
              <w:rPr>
                <w:rFonts w:ascii="Verdana" w:cs="Verdana" w:eastAsia="Verdana" w:hAnsi="Verdana"/>
                <w:sz w:val="18"/>
                <w:szCs w:val="18"/>
                <w:color w:val="auto"/>
              </w:rPr>
              <w:t>1,877,497</w:t>
            </w:r>
          </w:p>
        </w:tc>
        <w:tc>
          <w:tcPr>
            <w:tcW w:w="520" w:type="dxa"/>
            <w:vAlign w:val="bottom"/>
            <w:gridSpan w:val="3"/>
          </w:tcPr>
          <w:p>
            <w:pPr>
              <w:jc w:val="right"/>
              <w:ind w:right="220"/>
              <w:spacing w:after="0"/>
              <w:rPr>
                <w:sz w:val="20"/>
                <w:szCs w:val="20"/>
                <w:color w:val="auto"/>
              </w:rPr>
            </w:pPr>
            <w:r>
              <w:rPr>
                <w:rFonts w:ascii="Verdana" w:cs="Verdana" w:eastAsia="Verdana" w:hAnsi="Verdana"/>
                <w:sz w:val="18"/>
                <w:szCs w:val="18"/>
                <w:color w:val="auto"/>
              </w:rPr>
              <w:t>$</w:t>
            </w:r>
          </w:p>
        </w:tc>
        <w:tc>
          <w:tcPr>
            <w:tcW w:w="1060" w:type="dxa"/>
            <w:vAlign w:val="bottom"/>
          </w:tcPr>
          <w:p>
            <w:pPr>
              <w:jc w:val="right"/>
              <w:ind w:right="13"/>
              <w:spacing w:after="0"/>
              <w:rPr>
                <w:sz w:val="20"/>
                <w:szCs w:val="20"/>
                <w:color w:val="auto"/>
              </w:rPr>
            </w:pPr>
            <w:r>
              <w:rPr>
                <w:rFonts w:ascii="Verdana" w:cs="Verdana" w:eastAsia="Verdana" w:hAnsi="Verdana"/>
                <w:sz w:val="18"/>
                <w:szCs w:val="18"/>
                <w:color w:val="auto"/>
              </w:rPr>
              <w:t>21,009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Verdana" w:cs="Verdana" w:eastAsia="Verdana" w:hAnsi="Verdana"/>
                <w:sz w:val="18"/>
                <w:szCs w:val="18"/>
                <w:color w:val="auto"/>
              </w:rPr>
              <w:t>1.12 %</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1,835,994</w:t>
            </w:r>
          </w:p>
        </w:tc>
        <w:tc>
          <w:tcPr>
            <w:tcW w:w="520" w:type="dxa"/>
            <w:vAlign w:val="bottom"/>
            <w:gridSpan w:val="3"/>
          </w:tcPr>
          <w:p>
            <w:pPr>
              <w:jc w:val="right"/>
              <w:ind w:right="220"/>
              <w:spacing w:after="0"/>
              <w:rPr>
                <w:sz w:val="20"/>
                <w:szCs w:val="20"/>
                <w:color w:val="auto"/>
              </w:rPr>
            </w:pPr>
            <w:r>
              <w:rPr>
                <w:rFonts w:ascii="Verdana" w:cs="Verdana" w:eastAsia="Verdana" w:hAnsi="Verdana"/>
                <w:sz w:val="18"/>
                <w:szCs w:val="18"/>
                <w:color w:val="auto"/>
              </w:rPr>
              <w:t>$</w:t>
            </w:r>
          </w:p>
        </w:tc>
        <w:tc>
          <w:tcPr>
            <w:tcW w:w="1080" w:type="dxa"/>
            <w:vAlign w:val="bottom"/>
          </w:tcPr>
          <w:p>
            <w:pPr>
              <w:jc w:val="right"/>
              <w:ind w:right="13"/>
              <w:spacing w:after="0"/>
              <w:rPr>
                <w:sz w:val="20"/>
                <w:szCs w:val="20"/>
                <w:color w:val="auto"/>
              </w:rPr>
            </w:pPr>
            <w:r>
              <w:rPr>
                <w:rFonts w:ascii="Verdana" w:cs="Verdana" w:eastAsia="Verdana" w:hAnsi="Verdana"/>
                <w:sz w:val="18"/>
                <w:szCs w:val="18"/>
                <w:color w:val="auto"/>
              </w:rPr>
              <w:t>21,256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Verdana" w:cs="Verdana" w:eastAsia="Verdana" w:hAnsi="Verdana"/>
                <w:sz w:val="18"/>
                <w:szCs w:val="18"/>
                <w:color w:val="auto"/>
              </w:rPr>
              <w:t>1.16 %</w:t>
            </w:r>
          </w:p>
        </w:tc>
        <w:tc>
          <w:tcPr>
            <w:tcW w:w="0" w:type="dxa"/>
            <w:vAlign w:val="bottom"/>
          </w:tcPr>
          <w:p>
            <w:pPr>
              <w:spacing w:after="0"/>
              <w:rPr>
                <w:sz w:val="1"/>
                <w:szCs w:val="1"/>
                <w:color w:val="auto"/>
              </w:rPr>
            </w:pPr>
          </w:p>
        </w:tc>
      </w:tr>
      <w:tr>
        <w:trPr>
          <w:trHeight w:val="244"/>
        </w:trPr>
        <w:tc>
          <w:tcPr>
            <w:tcW w:w="1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w:t>
            </w:r>
          </w:p>
        </w:tc>
        <w:tc>
          <w:tcPr>
            <w:tcW w:w="16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0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3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138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estate</w:t>
            </w:r>
          </w:p>
        </w:tc>
        <w:tc>
          <w:tcPr>
            <w:tcW w:w="160" w:type="dxa"/>
            <w:vAlign w:val="bottom"/>
            <w:shd w:val="clear" w:color="auto" w:fill="E0E7ED"/>
          </w:tcPr>
          <w:p>
            <w:pPr>
              <w:spacing w:after="0"/>
              <w:rPr>
                <w:sz w:val="21"/>
                <w:szCs w:val="21"/>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3,355,807</w:t>
            </w:r>
          </w:p>
        </w:tc>
        <w:tc>
          <w:tcPr>
            <w:tcW w:w="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06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33,735</w:t>
            </w: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1.01 %</w:t>
            </w:r>
          </w:p>
        </w:tc>
        <w:tc>
          <w:tcPr>
            <w:tcW w:w="10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3,337,337</w:t>
            </w:r>
          </w:p>
        </w:tc>
        <w:tc>
          <w:tcPr>
            <w:tcW w:w="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08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35,465</w:t>
            </w:r>
          </w:p>
        </w:tc>
        <w:tc>
          <w:tcPr>
            <w:tcW w:w="8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13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1.06 %</w:t>
            </w:r>
          </w:p>
        </w:tc>
        <w:tc>
          <w:tcPr>
            <w:tcW w:w="0" w:type="dxa"/>
            <w:vAlign w:val="bottom"/>
          </w:tcPr>
          <w:p>
            <w:pPr>
              <w:spacing w:after="0"/>
              <w:rPr>
                <w:sz w:val="1"/>
                <w:szCs w:val="1"/>
                <w:color w:val="auto"/>
              </w:rPr>
            </w:pPr>
          </w:p>
        </w:tc>
      </w:tr>
      <w:tr>
        <w:trPr>
          <w:trHeight w:val="238"/>
        </w:trPr>
        <w:tc>
          <w:tcPr>
            <w:tcW w:w="1900" w:type="dxa"/>
            <w:vAlign w:val="bottom"/>
          </w:tcPr>
          <w:p>
            <w:pPr>
              <w:ind w:left="180"/>
              <w:spacing w:after="0"/>
              <w:rPr>
                <w:sz w:val="20"/>
                <w:szCs w:val="20"/>
                <w:color w:val="auto"/>
              </w:rPr>
            </w:pPr>
            <w:r>
              <w:rPr>
                <w:rFonts w:ascii="Verdana" w:cs="Verdana" w:eastAsia="Verdana" w:hAnsi="Verdana"/>
                <w:sz w:val="18"/>
                <w:szCs w:val="18"/>
                <w:color w:val="auto"/>
              </w:rPr>
              <w:t>Real estate</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90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construction</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397,977</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E0E7ED"/>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3,771</w:t>
            </w:r>
          </w:p>
        </w:tc>
        <w:tc>
          <w:tcPr>
            <w:tcW w:w="80" w:type="dxa"/>
            <w:vAlign w:val="bottom"/>
            <w:tcBorders>
              <w:bottom w:val="single" w:sz="8" w:color="E0E7ED"/>
            </w:tcBorders>
          </w:tcPr>
          <w:p>
            <w:pPr>
              <w:spacing w:after="0"/>
              <w:rPr>
                <w:sz w:val="21"/>
                <w:szCs w:val="21"/>
                <w:color w:val="auto"/>
              </w:rPr>
            </w:pPr>
          </w:p>
        </w:tc>
        <w:tc>
          <w:tcPr>
            <w:tcW w:w="220" w:type="dxa"/>
            <w:vAlign w:val="bottom"/>
            <w:tcBorders>
              <w:bottom w:val="single" w:sz="8" w:color="E0E7ED"/>
            </w:tcBorders>
          </w:tcPr>
          <w:p>
            <w:pPr>
              <w:spacing w:after="0"/>
              <w:rPr>
                <w:sz w:val="21"/>
                <w:szCs w:val="21"/>
                <w:color w:val="auto"/>
              </w:rPr>
            </w:pPr>
          </w:p>
        </w:tc>
        <w:tc>
          <w:tcPr>
            <w:tcW w:w="1340" w:type="dxa"/>
            <w:vAlign w:val="bottom"/>
            <w:tcBorders>
              <w:bottom w:val="single" w:sz="8" w:color="E0E7ED"/>
            </w:tcBorders>
          </w:tcPr>
          <w:p>
            <w:pPr>
              <w:jc w:val="right"/>
              <w:spacing w:after="0"/>
              <w:rPr>
                <w:sz w:val="20"/>
                <w:szCs w:val="20"/>
                <w:color w:val="auto"/>
              </w:rPr>
            </w:pPr>
            <w:r>
              <w:rPr>
                <w:rFonts w:ascii="Verdana" w:cs="Verdana" w:eastAsia="Verdana" w:hAnsi="Verdana"/>
                <w:sz w:val="18"/>
                <w:szCs w:val="18"/>
                <w:color w:val="auto"/>
              </w:rPr>
              <w:t>0.95 %</w:t>
            </w:r>
          </w:p>
        </w:tc>
        <w:tc>
          <w:tcPr>
            <w:tcW w:w="100" w:type="dxa"/>
            <w:vAlign w:val="bottom"/>
            <w:tcBorders>
              <w:bottom w:val="single" w:sz="8" w:color="E0E7ED"/>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461,717</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E0E7ED"/>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5,163</w:t>
            </w:r>
          </w:p>
        </w:tc>
        <w:tc>
          <w:tcPr>
            <w:tcW w:w="80" w:type="dxa"/>
            <w:vAlign w:val="bottom"/>
            <w:tcBorders>
              <w:bottom w:val="single" w:sz="8" w:color="E0E7ED"/>
            </w:tcBorders>
          </w:tcPr>
          <w:p>
            <w:pPr>
              <w:spacing w:after="0"/>
              <w:rPr>
                <w:sz w:val="21"/>
                <w:szCs w:val="21"/>
                <w:color w:val="auto"/>
              </w:rPr>
            </w:pPr>
          </w:p>
        </w:tc>
        <w:tc>
          <w:tcPr>
            <w:tcW w:w="180" w:type="dxa"/>
            <w:vAlign w:val="bottom"/>
            <w:tcBorders>
              <w:bottom w:val="single" w:sz="8" w:color="E0E7ED"/>
            </w:tcBorders>
          </w:tcPr>
          <w:p>
            <w:pPr>
              <w:spacing w:after="0"/>
              <w:rPr>
                <w:sz w:val="21"/>
                <w:szCs w:val="21"/>
                <w:color w:val="auto"/>
              </w:rPr>
            </w:pPr>
          </w:p>
        </w:tc>
        <w:tc>
          <w:tcPr>
            <w:tcW w:w="1380" w:type="dxa"/>
            <w:vAlign w:val="bottom"/>
            <w:tcBorders>
              <w:bottom w:val="single" w:sz="8" w:color="E0E7ED"/>
            </w:tcBorders>
          </w:tcPr>
          <w:p>
            <w:pPr>
              <w:jc w:val="right"/>
              <w:spacing w:after="0"/>
              <w:rPr>
                <w:sz w:val="20"/>
                <w:szCs w:val="20"/>
                <w:color w:val="auto"/>
              </w:rPr>
            </w:pPr>
            <w:r>
              <w:rPr>
                <w:rFonts w:ascii="Verdana" w:cs="Verdana" w:eastAsia="Verdana" w:hAnsi="Verdana"/>
                <w:sz w:val="18"/>
                <w:szCs w:val="18"/>
                <w:color w:val="auto"/>
              </w:rPr>
              <w:t>1.12 %</w:t>
            </w:r>
          </w:p>
        </w:tc>
        <w:tc>
          <w:tcPr>
            <w:tcW w:w="0" w:type="dxa"/>
            <w:vAlign w:val="bottom"/>
          </w:tcPr>
          <w:p>
            <w:pPr>
              <w:spacing w:after="0"/>
              <w:rPr>
                <w:sz w:val="1"/>
                <w:szCs w:val="1"/>
                <w:color w:val="auto"/>
              </w:rPr>
            </w:pPr>
          </w:p>
        </w:tc>
      </w:tr>
      <w:tr>
        <w:trPr>
          <w:trHeight w:val="270"/>
        </w:trPr>
        <w:tc>
          <w:tcPr>
            <w:tcW w:w="19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commercial</w:t>
            </w:r>
          </w:p>
        </w:tc>
        <w:tc>
          <w:tcPr>
            <w:tcW w:w="16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5,631,281</w:t>
            </w:r>
          </w:p>
        </w:tc>
        <w:tc>
          <w:tcPr>
            <w:tcW w:w="80" w:type="dxa"/>
            <w:vAlign w:val="bottom"/>
            <w:tcBorders>
              <w:bottom w:val="single" w:sz="8" w:color="auto"/>
            </w:tcBorders>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40" w:type="dxa"/>
            <w:vAlign w:val="bottom"/>
            <w:tcBorders>
              <w:bottom w:val="single" w:sz="8" w:color="auto"/>
            </w:tcBorders>
            <w:shd w:val="clear" w:color="auto" w:fill="E0E7ED"/>
          </w:tcPr>
          <w:p>
            <w:pPr>
              <w:spacing w:after="0"/>
              <w:rPr>
                <w:sz w:val="23"/>
                <w:szCs w:val="23"/>
                <w:color w:val="auto"/>
              </w:rPr>
            </w:pPr>
          </w:p>
        </w:tc>
        <w:tc>
          <w:tcPr>
            <w:tcW w:w="106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58,515</w:t>
            </w:r>
          </w:p>
        </w:tc>
        <w:tc>
          <w:tcPr>
            <w:tcW w:w="80" w:type="dxa"/>
            <w:vAlign w:val="bottom"/>
            <w:shd w:val="clear" w:color="auto" w:fill="E0E7ED"/>
          </w:tcPr>
          <w:p>
            <w:pPr>
              <w:spacing w:after="0"/>
              <w:rPr>
                <w:sz w:val="23"/>
                <w:szCs w:val="23"/>
                <w:color w:val="auto"/>
              </w:rPr>
            </w:pPr>
          </w:p>
        </w:tc>
        <w:tc>
          <w:tcPr>
            <w:tcW w:w="220" w:type="dxa"/>
            <w:vAlign w:val="bottom"/>
            <w:shd w:val="clear" w:color="auto" w:fill="E0E7ED"/>
          </w:tcPr>
          <w:p>
            <w:pPr>
              <w:spacing w:after="0"/>
              <w:rPr>
                <w:sz w:val="23"/>
                <w:szCs w:val="23"/>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1.04 %</w:t>
            </w:r>
          </w:p>
        </w:tc>
        <w:tc>
          <w:tcPr>
            <w:tcW w:w="100" w:type="dxa"/>
            <w:vAlign w:val="bottom"/>
            <w:shd w:val="clear" w:color="auto" w:fill="E0E7ED"/>
          </w:tcPr>
          <w:p>
            <w:pPr>
              <w:spacing w:after="0"/>
              <w:rPr>
                <w:sz w:val="23"/>
                <w:szCs w:val="23"/>
                <w:color w:val="auto"/>
              </w:rPr>
            </w:pPr>
          </w:p>
        </w:tc>
        <w:tc>
          <w:tcPr>
            <w:tcW w:w="16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5,635,048</w:t>
            </w:r>
          </w:p>
        </w:tc>
        <w:tc>
          <w:tcPr>
            <w:tcW w:w="60" w:type="dxa"/>
            <w:vAlign w:val="bottom"/>
            <w:tcBorders>
              <w:bottom w:val="single" w:sz="8" w:color="auto"/>
            </w:tcBorders>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60" w:type="dxa"/>
            <w:vAlign w:val="bottom"/>
            <w:tcBorders>
              <w:bottom w:val="single" w:sz="8" w:color="auto"/>
            </w:tcBorders>
            <w:shd w:val="clear" w:color="auto" w:fill="E0E7ED"/>
          </w:tcPr>
          <w:p>
            <w:pPr>
              <w:spacing w:after="0"/>
              <w:rPr>
                <w:sz w:val="23"/>
                <w:szCs w:val="23"/>
                <w:color w:val="auto"/>
              </w:rPr>
            </w:pPr>
          </w:p>
        </w:tc>
        <w:tc>
          <w:tcPr>
            <w:tcW w:w="108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61,884</w:t>
            </w:r>
          </w:p>
        </w:tc>
        <w:tc>
          <w:tcPr>
            <w:tcW w:w="80" w:type="dxa"/>
            <w:vAlign w:val="bottom"/>
            <w:shd w:val="clear" w:color="auto" w:fill="E0E7ED"/>
          </w:tcPr>
          <w:p>
            <w:pPr>
              <w:spacing w:after="0"/>
              <w:rPr>
                <w:sz w:val="23"/>
                <w:szCs w:val="23"/>
                <w:color w:val="auto"/>
              </w:rPr>
            </w:pPr>
          </w:p>
        </w:tc>
        <w:tc>
          <w:tcPr>
            <w:tcW w:w="180" w:type="dxa"/>
            <w:vAlign w:val="bottom"/>
            <w:shd w:val="clear" w:color="auto" w:fill="E0E7ED"/>
          </w:tcPr>
          <w:p>
            <w:pPr>
              <w:spacing w:after="0"/>
              <w:rPr>
                <w:sz w:val="23"/>
                <w:szCs w:val="23"/>
                <w:color w:val="auto"/>
              </w:rPr>
            </w:pPr>
          </w:p>
        </w:tc>
        <w:tc>
          <w:tcPr>
            <w:tcW w:w="13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1.10 %</w:t>
            </w:r>
          </w:p>
        </w:tc>
        <w:tc>
          <w:tcPr>
            <w:tcW w:w="0" w:type="dxa"/>
            <w:vAlign w:val="bottom"/>
          </w:tcPr>
          <w:p>
            <w:pPr>
              <w:spacing w:after="0"/>
              <w:rPr>
                <w:sz w:val="1"/>
                <w:szCs w:val="1"/>
                <w:color w:val="auto"/>
              </w:rPr>
            </w:pPr>
          </w:p>
        </w:tc>
      </w:tr>
      <w:tr>
        <w:trPr>
          <w:trHeight w:val="243"/>
        </w:trPr>
        <w:tc>
          <w:tcPr>
            <w:tcW w:w="1900" w:type="dxa"/>
            <w:vAlign w:val="bottom"/>
          </w:tcPr>
          <w:p>
            <w:pPr>
              <w:ind w:left="20"/>
              <w:spacing w:after="0"/>
              <w:rPr>
                <w:sz w:val="20"/>
                <w:szCs w:val="20"/>
                <w:color w:val="auto"/>
              </w:rPr>
            </w:pPr>
            <w:r>
              <w:rPr>
                <w:rFonts w:ascii="Verdana" w:cs="Verdana" w:eastAsia="Verdana" w:hAnsi="Verdana"/>
                <w:sz w:val="18"/>
                <w:szCs w:val="18"/>
                <w:b w:val="1"/>
                <w:bCs w:val="1"/>
                <w:color w:val="auto"/>
              </w:rPr>
              <w:t>Retail</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160" w:type="dxa"/>
            <w:vAlign w:val="bottom"/>
            <w:shd w:val="clear" w:color="auto" w:fill="E0E7ED"/>
          </w:tcPr>
          <w:p>
            <w:pPr>
              <w:spacing w:after="0"/>
              <w:rPr>
                <w:sz w:val="24"/>
                <w:szCs w:val="24"/>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1,708,771</w:t>
            </w:r>
          </w:p>
        </w:tc>
        <w:tc>
          <w:tcPr>
            <w:tcW w:w="8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06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23,979</w:t>
            </w:r>
          </w:p>
        </w:tc>
        <w:tc>
          <w:tcPr>
            <w:tcW w:w="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1.40 %</w:t>
            </w:r>
          </w:p>
        </w:tc>
        <w:tc>
          <w:tcPr>
            <w:tcW w:w="10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1,720,455</w:t>
            </w:r>
          </w:p>
        </w:tc>
        <w:tc>
          <w:tcPr>
            <w:tcW w:w="6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08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26,298</w:t>
            </w:r>
          </w:p>
        </w:tc>
        <w:tc>
          <w:tcPr>
            <w:tcW w:w="8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13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1.53 %</w:t>
            </w:r>
          </w:p>
        </w:tc>
        <w:tc>
          <w:tcPr>
            <w:tcW w:w="0" w:type="dxa"/>
            <w:vAlign w:val="bottom"/>
          </w:tcPr>
          <w:p>
            <w:pPr>
              <w:spacing w:after="0"/>
              <w:rPr>
                <w:sz w:val="1"/>
                <w:szCs w:val="1"/>
                <w:color w:val="auto"/>
              </w:rPr>
            </w:pPr>
          </w:p>
        </w:tc>
      </w:tr>
      <w:tr>
        <w:trPr>
          <w:trHeight w:val="263"/>
        </w:trPr>
        <w:tc>
          <w:tcPr>
            <w:tcW w:w="190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Retail other</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469,045</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2,487</w:t>
            </w:r>
          </w:p>
        </w:tc>
        <w:tc>
          <w:tcPr>
            <w:tcW w:w="80" w:type="dxa"/>
            <w:vAlign w:val="bottom"/>
            <w:tcBorders>
              <w:bottom w:val="single" w:sz="8" w:color="E0E7ED"/>
            </w:tcBorders>
          </w:tcPr>
          <w:p>
            <w:pPr>
              <w:spacing w:after="0"/>
              <w:rPr>
                <w:sz w:val="22"/>
                <w:szCs w:val="22"/>
                <w:color w:val="auto"/>
              </w:rPr>
            </w:pPr>
          </w:p>
        </w:tc>
        <w:tc>
          <w:tcPr>
            <w:tcW w:w="220" w:type="dxa"/>
            <w:vAlign w:val="bottom"/>
            <w:tcBorders>
              <w:bottom w:val="single" w:sz="8" w:color="E0E7ED"/>
            </w:tcBorders>
          </w:tcPr>
          <w:p>
            <w:pPr>
              <w:spacing w:after="0"/>
              <w:rPr>
                <w:sz w:val="22"/>
                <w:szCs w:val="22"/>
                <w:color w:val="auto"/>
              </w:rPr>
            </w:pPr>
          </w:p>
        </w:tc>
        <w:tc>
          <w:tcPr>
            <w:tcW w:w="1340" w:type="dxa"/>
            <w:vAlign w:val="bottom"/>
            <w:tcBorders>
              <w:bottom w:val="single" w:sz="8" w:color="E0E7ED"/>
            </w:tcBorders>
          </w:tcPr>
          <w:p>
            <w:pPr>
              <w:jc w:val="right"/>
              <w:spacing w:after="0"/>
              <w:rPr>
                <w:sz w:val="20"/>
                <w:szCs w:val="20"/>
                <w:color w:val="auto"/>
              </w:rPr>
            </w:pPr>
            <w:r>
              <w:rPr>
                <w:rFonts w:ascii="Verdana" w:cs="Verdana" w:eastAsia="Verdana" w:hAnsi="Verdana"/>
                <w:sz w:val="18"/>
                <w:szCs w:val="18"/>
                <w:color w:val="auto"/>
              </w:rPr>
              <w:t>0.53 %</w:t>
            </w:r>
          </w:p>
        </w:tc>
        <w:tc>
          <w:tcPr>
            <w:tcW w:w="10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295,531</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E0E7E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3,558</w:t>
            </w:r>
          </w:p>
        </w:tc>
        <w:tc>
          <w:tcPr>
            <w:tcW w:w="80" w:type="dxa"/>
            <w:vAlign w:val="bottom"/>
            <w:tcBorders>
              <w:bottom w:val="single" w:sz="8" w:color="E0E7ED"/>
            </w:tcBorders>
          </w:tcPr>
          <w:p>
            <w:pPr>
              <w:spacing w:after="0"/>
              <w:rPr>
                <w:sz w:val="22"/>
                <w:szCs w:val="22"/>
                <w:color w:val="auto"/>
              </w:rPr>
            </w:pPr>
          </w:p>
        </w:tc>
        <w:tc>
          <w:tcPr>
            <w:tcW w:w="180" w:type="dxa"/>
            <w:vAlign w:val="bottom"/>
            <w:tcBorders>
              <w:bottom w:val="single" w:sz="8" w:color="E0E7ED"/>
            </w:tcBorders>
          </w:tcPr>
          <w:p>
            <w:pPr>
              <w:spacing w:after="0"/>
              <w:rPr>
                <w:sz w:val="22"/>
                <w:szCs w:val="22"/>
                <w:color w:val="auto"/>
              </w:rPr>
            </w:pPr>
          </w:p>
        </w:tc>
        <w:tc>
          <w:tcPr>
            <w:tcW w:w="1380" w:type="dxa"/>
            <w:vAlign w:val="bottom"/>
            <w:tcBorders>
              <w:bottom w:val="single" w:sz="8" w:color="E0E7ED"/>
            </w:tcBorders>
          </w:tcPr>
          <w:p>
            <w:pPr>
              <w:jc w:val="right"/>
              <w:spacing w:after="0"/>
              <w:rPr>
                <w:sz w:val="20"/>
                <w:szCs w:val="20"/>
                <w:color w:val="auto"/>
              </w:rPr>
            </w:pPr>
            <w:r>
              <w:rPr>
                <w:rFonts w:ascii="Verdana" w:cs="Verdana" w:eastAsia="Verdana" w:hAnsi="Verdana"/>
                <w:sz w:val="18"/>
                <w:szCs w:val="18"/>
                <w:color w:val="auto"/>
              </w:rPr>
              <w:t>1.20 %</w:t>
            </w:r>
          </w:p>
        </w:tc>
        <w:tc>
          <w:tcPr>
            <w:tcW w:w="0" w:type="dxa"/>
            <w:vAlign w:val="bottom"/>
          </w:tcPr>
          <w:p>
            <w:pPr>
              <w:spacing w:after="0"/>
              <w:rPr>
                <w:sz w:val="1"/>
                <w:szCs w:val="1"/>
                <w:color w:val="auto"/>
              </w:rPr>
            </w:pPr>
          </w:p>
        </w:tc>
      </w:tr>
      <w:tr>
        <w:trPr>
          <w:trHeight w:val="263"/>
        </w:trPr>
        <w:tc>
          <w:tcPr>
            <w:tcW w:w="19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retail</w:t>
            </w:r>
          </w:p>
        </w:tc>
        <w:tc>
          <w:tcPr>
            <w:tcW w:w="160" w:type="dxa"/>
            <w:vAlign w:val="bottom"/>
            <w:tcBorders>
              <w:bottom w:val="single" w:sz="8" w:color="auto"/>
            </w:tcBorders>
            <w:shd w:val="clear" w:color="auto" w:fill="E0E7ED"/>
          </w:tcPr>
          <w:p>
            <w:pPr>
              <w:spacing w:after="0"/>
              <w:rPr>
                <w:sz w:val="22"/>
                <w:szCs w:val="22"/>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2,177,816</w:t>
            </w:r>
          </w:p>
        </w:tc>
        <w:tc>
          <w:tcPr>
            <w:tcW w:w="80" w:type="dxa"/>
            <w:vAlign w:val="bottom"/>
            <w:tcBorders>
              <w:bottom w:val="single" w:sz="8" w:color="auto"/>
            </w:tcBorders>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40" w:type="dxa"/>
            <w:vAlign w:val="bottom"/>
            <w:tcBorders>
              <w:bottom w:val="single" w:sz="8" w:color="auto"/>
            </w:tcBorders>
            <w:shd w:val="clear" w:color="auto" w:fill="E0E7ED"/>
          </w:tcPr>
          <w:p>
            <w:pPr>
              <w:spacing w:after="0"/>
              <w:rPr>
                <w:sz w:val="22"/>
                <w:szCs w:val="22"/>
                <w:color w:val="auto"/>
              </w:rPr>
            </w:pPr>
          </w:p>
        </w:tc>
        <w:tc>
          <w:tcPr>
            <w:tcW w:w="106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26,466</w:t>
            </w:r>
          </w:p>
        </w:tc>
        <w:tc>
          <w:tcPr>
            <w:tcW w:w="80" w:type="dxa"/>
            <w:vAlign w:val="bottom"/>
            <w:shd w:val="clear" w:color="auto" w:fill="E0E7ED"/>
          </w:tcPr>
          <w:p>
            <w:pPr>
              <w:spacing w:after="0"/>
              <w:rPr>
                <w:sz w:val="22"/>
                <w:szCs w:val="22"/>
                <w:color w:val="auto"/>
              </w:rPr>
            </w:pPr>
          </w:p>
        </w:tc>
        <w:tc>
          <w:tcPr>
            <w:tcW w:w="220" w:type="dxa"/>
            <w:vAlign w:val="bottom"/>
            <w:shd w:val="clear" w:color="auto" w:fill="E0E7ED"/>
          </w:tcPr>
          <w:p>
            <w:pPr>
              <w:spacing w:after="0"/>
              <w:rPr>
                <w:sz w:val="22"/>
                <w:szCs w:val="22"/>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1.22 %</w:t>
            </w:r>
          </w:p>
        </w:tc>
        <w:tc>
          <w:tcPr>
            <w:tcW w:w="100" w:type="dxa"/>
            <w:vAlign w:val="bottom"/>
            <w:shd w:val="clear" w:color="auto" w:fill="E0E7ED"/>
          </w:tcPr>
          <w:p>
            <w:pPr>
              <w:spacing w:after="0"/>
              <w:rPr>
                <w:sz w:val="22"/>
                <w:szCs w:val="22"/>
                <w:color w:val="auto"/>
              </w:rPr>
            </w:pPr>
          </w:p>
        </w:tc>
        <w:tc>
          <w:tcPr>
            <w:tcW w:w="160" w:type="dxa"/>
            <w:vAlign w:val="bottom"/>
            <w:tcBorders>
              <w:bottom w:val="single" w:sz="8" w:color="auto"/>
            </w:tcBorders>
            <w:shd w:val="clear" w:color="auto" w:fill="E0E7ED"/>
          </w:tcPr>
          <w:p>
            <w:pPr>
              <w:spacing w:after="0"/>
              <w:rPr>
                <w:sz w:val="22"/>
                <w:szCs w:val="22"/>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2,015,986</w:t>
            </w:r>
          </w:p>
        </w:tc>
        <w:tc>
          <w:tcPr>
            <w:tcW w:w="60" w:type="dxa"/>
            <w:vAlign w:val="bottom"/>
            <w:tcBorders>
              <w:bottom w:val="single" w:sz="8" w:color="auto"/>
            </w:tcBorders>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60" w:type="dxa"/>
            <w:vAlign w:val="bottom"/>
            <w:tcBorders>
              <w:bottom w:val="single" w:sz="8" w:color="auto"/>
            </w:tcBorders>
            <w:shd w:val="clear" w:color="auto" w:fill="E0E7ED"/>
          </w:tcPr>
          <w:p>
            <w:pPr>
              <w:spacing w:after="0"/>
              <w:rPr>
                <w:sz w:val="22"/>
                <w:szCs w:val="22"/>
                <w:color w:val="auto"/>
              </w:rPr>
            </w:pPr>
          </w:p>
        </w:tc>
        <w:tc>
          <w:tcPr>
            <w:tcW w:w="108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29,856</w:t>
            </w:r>
          </w:p>
        </w:tc>
        <w:tc>
          <w:tcPr>
            <w:tcW w:w="80" w:type="dxa"/>
            <w:vAlign w:val="bottom"/>
            <w:shd w:val="clear" w:color="auto" w:fill="E0E7ED"/>
          </w:tcPr>
          <w:p>
            <w:pPr>
              <w:spacing w:after="0"/>
              <w:rPr>
                <w:sz w:val="22"/>
                <w:szCs w:val="22"/>
                <w:color w:val="auto"/>
              </w:rPr>
            </w:pPr>
          </w:p>
        </w:tc>
        <w:tc>
          <w:tcPr>
            <w:tcW w:w="180" w:type="dxa"/>
            <w:vAlign w:val="bottom"/>
            <w:shd w:val="clear" w:color="auto" w:fill="E0E7ED"/>
          </w:tcPr>
          <w:p>
            <w:pPr>
              <w:spacing w:after="0"/>
              <w:rPr>
                <w:sz w:val="22"/>
                <w:szCs w:val="22"/>
                <w:color w:val="auto"/>
              </w:rPr>
            </w:pPr>
          </w:p>
        </w:tc>
        <w:tc>
          <w:tcPr>
            <w:tcW w:w="13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1.48 %</w:t>
            </w:r>
          </w:p>
        </w:tc>
        <w:tc>
          <w:tcPr>
            <w:tcW w:w="0" w:type="dxa"/>
            <w:vAlign w:val="bottom"/>
          </w:tcPr>
          <w:p>
            <w:pPr>
              <w:spacing w:after="0"/>
              <w:rPr>
                <w:sz w:val="1"/>
                <w:szCs w:val="1"/>
                <w:color w:val="auto"/>
              </w:rPr>
            </w:pPr>
          </w:p>
        </w:tc>
      </w:tr>
      <w:tr>
        <w:trPr>
          <w:trHeight w:val="270"/>
        </w:trPr>
        <w:tc>
          <w:tcPr>
            <w:tcW w:w="1900" w:type="dxa"/>
            <w:vAlign w:val="bottom"/>
          </w:tcPr>
          <w:p>
            <w:pPr>
              <w:ind w:left="20"/>
              <w:spacing w:after="0"/>
              <w:rPr>
                <w:sz w:val="20"/>
                <w:szCs w:val="20"/>
                <w:color w:val="auto"/>
              </w:rPr>
            </w:pPr>
            <w:r>
              <w:rPr>
                <w:rFonts w:ascii="Verdana" w:cs="Verdana" w:eastAsia="Verdana" w:hAnsi="Verdana"/>
                <w:sz w:val="18"/>
                <w:szCs w:val="18"/>
                <w:color w:val="auto"/>
              </w:rPr>
              <w:t>Total</w:t>
            </w: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spacing w:after="0"/>
              <w:rPr>
                <w:sz w:val="20"/>
                <w:szCs w:val="20"/>
                <w:color w:val="auto"/>
              </w:rPr>
            </w:pPr>
            <w:r>
              <w:rPr>
                <w:rFonts w:ascii="Verdana" w:cs="Verdana" w:eastAsia="Verdana" w:hAnsi="Verdana"/>
                <w:sz w:val="18"/>
                <w:szCs w:val="18"/>
                <w:color w:val="auto"/>
              </w:rPr>
              <w:t>7,809,097</w:t>
            </w:r>
          </w:p>
        </w:tc>
        <w:tc>
          <w:tcPr>
            <w:tcW w:w="520" w:type="dxa"/>
            <w:vAlign w:val="bottom"/>
            <w:gridSpan w:val="3"/>
          </w:tcPr>
          <w:p>
            <w:pPr>
              <w:jc w:val="right"/>
              <w:ind w:right="220"/>
              <w:spacing w:after="0"/>
              <w:rPr>
                <w:sz w:val="20"/>
                <w:szCs w:val="20"/>
                <w:color w:val="auto"/>
              </w:rPr>
            </w:pPr>
            <w:r>
              <w:rPr>
                <w:rFonts w:ascii="Verdana" w:cs="Verdana" w:eastAsia="Verdana" w:hAnsi="Verdana"/>
                <w:sz w:val="18"/>
                <w:szCs w:val="18"/>
                <w:color w:val="auto"/>
              </w:rPr>
              <w:t>$</w:t>
            </w:r>
          </w:p>
        </w:tc>
        <w:tc>
          <w:tcPr>
            <w:tcW w:w="1060" w:type="dxa"/>
            <w:vAlign w:val="bottom"/>
          </w:tcPr>
          <w:p>
            <w:pPr>
              <w:jc w:val="right"/>
              <w:ind w:right="13"/>
              <w:spacing w:after="0"/>
              <w:rPr>
                <w:sz w:val="20"/>
                <w:szCs w:val="20"/>
                <w:color w:val="auto"/>
              </w:rPr>
            </w:pPr>
            <w:r>
              <w:rPr>
                <w:rFonts w:ascii="Verdana" w:cs="Verdana" w:eastAsia="Verdana" w:hAnsi="Verdana"/>
                <w:sz w:val="18"/>
                <w:szCs w:val="18"/>
                <w:color w:val="auto"/>
              </w:rPr>
              <w:t>84,981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Verdana" w:cs="Verdana" w:eastAsia="Verdana" w:hAnsi="Verdana"/>
                <w:sz w:val="18"/>
                <w:szCs w:val="18"/>
                <w:color w:val="auto"/>
              </w:rPr>
              <w:t>1.09 %</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7,651,034</w:t>
            </w:r>
          </w:p>
        </w:tc>
        <w:tc>
          <w:tcPr>
            <w:tcW w:w="520" w:type="dxa"/>
            <w:vAlign w:val="bottom"/>
            <w:gridSpan w:val="3"/>
          </w:tcPr>
          <w:p>
            <w:pPr>
              <w:jc w:val="right"/>
              <w:ind w:right="220"/>
              <w:spacing w:after="0"/>
              <w:rPr>
                <w:sz w:val="20"/>
                <w:szCs w:val="20"/>
                <w:color w:val="auto"/>
              </w:rPr>
            </w:pPr>
            <w:r>
              <w:rPr>
                <w:rFonts w:ascii="Verdana" w:cs="Verdana" w:eastAsia="Verdana" w:hAnsi="Verdana"/>
                <w:sz w:val="18"/>
                <w:szCs w:val="18"/>
                <w:color w:val="auto"/>
              </w:rPr>
              <w:t>$</w:t>
            </w:r>
          </w:p>
        </w:tc>
        <w:tc>
          <w:tcPr>
            <w:tcW w:w="1080" w:type="dxa"/>
            <w:vAlign w:val="bottom"/>
          </w:tcPr>
          <w:p>
            <w:pPr>
              <w:jc w:val="right"/>
              <w:ind w:right="13"/>
              <w:spacing w:after="0"/>
              <w:rPr>
                <w:sz w:val="20"/>
                <w:szCs w:val="20"/>
                <w:color w:val="auto"/>
              </w:rPr>
            </w:pPr>
            <w:r>
              <w:rPr>
                <w:rFonts w:ascii="Verdana" w:cs="Verdana" w:eastAsia="Verdana" w:hAnsi="Verdana"/>
                <w:sz w:val="18"/>
                <w:szCs w:val="18"/>
                <w:color w:val="auto"/>
              </w:rPr>
              <w:t>91,740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Verdana" w:cs="Verdana" w:eastAsia="Verdana" w:hAnsi="Verdana"/>
                <w:sz w:val="18"/>
                <w:szCs w:val="18"/>
                <w:color w:val="auto"/>
              </w:rPr>
              <w:t>1.20 %</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As of September 30, 2024, management believed the level of the ACL to be appropriate based upon the information available. However, additional losses may be identified in our loan portfolio as new information is obtained. The ongoing impacts of CECL will be dependent upon changes in economic conditions and forecasts, originated and acquired loan portfolio composition, prepayment speeds, credit performance trends, portfolio duration, and other factors. The September 30, 2024, ratio of ACL to portfolio loans was impacted by the acquisition of M&amp;M’s Life Equity Loan</w:t>
      </w:r>
      <w:r>
        <w:rPr>
          <w:rFonts w:ascii="Verdana" w:cs="Verdana" w:eastAsia="Verdana" w:hAnsi="Verdana"/>
          <w:sz w:val="11"/>
          <w:szCs w:val="11"/>
          <w:color w:val="auto"/>
        </w:rPr>
        <w:t>®</w:t>
      </w:r>
      <w:r>
        <w:rPr>
          <w:rFonts w:ascii="Verdana" w:cs="Verdana" w:eastAsia="Verdana" w:hAnsi="Verdana"/>
          <w:sz w:val="18"/>
          <w:szCs w:val="18"/>
          <w:color w:val="auto"/>
        </w:rPr>
        <w:t xml:space="preserve"> portfolio, as Busey did not record an allowance for credit loss for these loans due to no expected credit loss at default, as permitted under the practical expedient provided within ASC 326-20-35-6. The Life Equity Loan</w:t>
      </w:r>
      <w:r>
        <w:rPr>
          <w:rFonts w:ascii="Verdana" w:cs="Verdana" w:eastAsia="Verdana" w:hAnsi="Verdana"/>
          <w:sz w:val="11"/>
          <w:szCs w:val="11"/>
          <w:color w:val="auto"/>
        </w:rPr>
        <w:t>®</w:t>
      </w:r>
      <w:r>
        <w:rPr>
          <w:rFonts w:ascii="Verdana" w:cs="Verdana" w:eastAsia="Verdana" w:hAnsi="Verdana"/>
          <w:sz w:val="18"/>
          <w:szCs w:val="18"/>
          <w:color w:val="auto"/>
        </w:rPr>
        <w:t xml:space="preserve"> portfolio balance was $285.6 million as of September 30, 2024, and is included in the retail other loan classification.</w:t>
      </w:r>
    </w:p>
    <w:p>
      <w:pPr>
        <w:spacing w:after="0" w:line="200" w:lineRule="exact"/>
        <w:rPr>
          <w:sz w:val="20"/>
          <w:szCs w:val="20"/>
          <w:color w:val="auto"/>
        </w:rPr>
      </w:pPr>
    </w:p>
    <w:p>
      <w:pPr>
        <w:spacing w:after="0" w:line="379" w:lineRule="exact"/>
        <w:rPr>
          <w:sz w:val="20"/>
          <w:szCs w:val="20"/>
          <w:color w:val="auto"/>
        </w:rPr>
      </w:pPr>
    </w:p>
    <w:p>
      <w:pPr>
        <w:ind w:left="7940"/>
        <w:spacing w:after="0"/>
        <w:rPr>
          <w:sz w:val="20"/>
          <w:szCs w:val="20"/>
          <w:color w:val="auto"/>
        </w:rPr>
      </w:pPr>
      <w:r>
        <w:rPr>
          <w:rFonts w:ascii="Verdana" w:cs="Verdana" w:eastAsia="Verdana" w:hAnsi="Verdana"/>
          <w:sz w:val="17"/>
          <w:szCs w:val="17"/>
          <w:color w:val="808285"/>
        </w:rPr>
        <w:t xml:space="preserve">First Busey Corporation (BUSE) | </w:t>
      </w:r>
      <w:r>
        <w:rPr>
          <w:rFonts w:ascii="Verdana" w:cs="Verdana" w:eastAsia="Verdana" w:hAnsi="Verdana"/>
          <w:sz w:val="17"/>
          <w:szCs w:val="17"/>
          <w:b w:val="1"/>
          <w:bCs w:val="1"/>
          <w:color w:val="376484"/>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90" w:name="page91"/>
    <w:bookmarkEnd w:id="90"/>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Non-Performing Loans and Non-Performing Assets</w:t>
      </w:r>
    </w:p>
    <w:p>
      <w:pPr>
        <w:spacing w:after="0" w:line="173"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Loans are considered past due if the required principal or interest payments have not been received as of the date such payments were due. Loans are placed on non-accrual status when, in management’s opinion, the borrower may be unable to meet payment obligations as they become due, as well as when required by regulatory guidelines. Loans may be placed on non-accrual status regardless of whether or not such loans are considered past due. Loans are returned to accrual status when all principal and interest amounts contractually due are brought current and future payments are reasonably assured.</w:t>
      </w:r>
    </w:p>
    <w:p>
      <w:pPr>
        <w:spacing w:after="0" w:line="159"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Typically, loans are secured by collateral. When a loan is classified as non-accrual and determined to be collateral dependent, it is appropriately reserved or charged down through the ACL to the fair value of our interest in the underlying collateral less estimated costs to sell. Our loan portfolio is collateralized primarily by real estate.</w:t>
      </w:r>
    </w:p>
    <w:p>
      <w:pPr>
        <w:spacing w:after="0" w:line="167"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The following table sets forth information concerning non-performing loans and performing restructured loans, as of each of the dates indicated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3"/>
          </w:tcPr>
          <w:p>
            <w:pPr>
              <w:jc w:val="right"/>
              <w:ind w:right="80"/>
              <w:spacing w:after="0"/>
              <w:rPr>
                <w:sz w:val="20"/>
                <w:szCs w:val="20"/>
                <w:color w:val="auto"/>
              </w:rPr>
            </w:pPr>
            <w:r>
              <w:rPr>
                <w:rFonts w:ascii="Verdana" w:cs="Verdana" w:eastAsia="Verdana" w:hAnsi="Verdana"/>
                <w:sz w:val="13"/>
                <w:szCs w:val="13"/>
                <w:b w:val="1"/>
                <w:bCs w:val="1"/>
                <w:color w:val="auto"/>
              </w:rPr>
              <w:t>As of</w:t>
            </w:r>
          </w:p>
        </w:tc>
        <w:tc>
          <w:tcPr>
            <w:tcW w:w="1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jc w:val="right"/>
              <w:ind w:right="54"/>
              <w:spacing w:after="0" w:line="122" w:lineRule="exact"/>
              <w:rPr>
                <w:sz w:val="20"/>
                <w:szCs w:val="20"/>
                <w:color w:val="auto"/>
              </w:rPr>
            </w:pPr>
            <w:r>
              <w:rPr>
                <w:rFonts w:ascii="Verdana" w:cs="Verdana" w:eastAsia="Verdana" w:hAnsi="Verdana"/>
                <w:sz w:val="13"/>
                <w:szCs w:val="13"/>
                <w:b w:val="1"/>
                <w:bCs w:val="1"/>
                <w:color w:val="auto"/>
              </w:rPr>
              <w:t>September 30,</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00" w:type="dxa"/>
            <w:vAlign w:val="bottom"/>
            <w:gridSpan w:val="2"/>
          </w:tcPr>
          <w:p>
            <w:pPr>
              <w:ind w:left="80"/>
              <w:spacing w:after="0" w:line="122" w:lineRule="exact"/>
              <w:rPr>
                <w:sz w:val="20"/>
                <w:szCs w:val="20"/>
                <w:color w:val="auto"/>
              </w:rPr>
            </w:pPr>
            <w:r>
              <w:rPr>
                <w:rFonts w:ascii="Verdana" w:cs="Verdana" w:eastAsia="Verdana" w:hAnsi="Verdana"/>
                <w:sz w:val="13"/>
                <w:szCs w:val="13"/>
                <w:b w:val="1"/>
                <w:bCs w:val="1"/>
                <w:color w:val="auto"/>
              </w:rPr>
              <w:t>December 31,</w:t>
            </w:r>
          </w:p>
        </w:tc>
        <w:tc>
          <w:tcPr>
            <w:tcW w:w="300" w:type="dxa"/>
            <w:vAlign w:val="bottom"/>
          </w:tcPr>
          <w:p>
            <w:pPr>
              <w:spacing w:after="0"/>
              <w:rPr>
                <w:sz w:val="10"/>
                <w:szCs w:val="10"/>
                <w:color w:val="auto"/>
              </w:rPr>
            </w:pPr>
          </w:p>
        </w:tc>
        <w:tc>
          <w:tcPr>
            <w:tcW w:w="1140" w:type="dxa"/>
            <w:vAlign w:val="bottom"/>
            <w:vMerge w:val="restart"/>
          </w:tcPr>
          <w:p>
            <w:pPr>
              <w:jc w:val="right"/>
              <w:ind w:right="372"/>
              <w:spacing w:after="0"/>
              <w:rPr>
                <w:sz w:val="20"/>
                <w:szCs w:val="20"/>
                <w:color w:val="auto"/>
              </w:rPr>
            </w:pPr>
            <w:r>
              <w:rPr>
                <w:rFonts w:ascii="Verdana" w:cs="Verdana" w:eastAsia="Verdana" w:hAnsi="Verdana"/>
                <w:sz w:val="13"/>
                <w:szCs w:val="13"/>
                <w:b w:val="1"/>
                <w:bCs w:val="1"/>
                <w:color w:val="auto"/>
              </w:rPr>
              <w:t>Change</w:t>
            </w:r>
          </w:p>
        </w:tc>
        <w:tc>
          <w:tcPr>
            <w:tcW w:w="100" w:type="dxa"/>
            <w:vAlign w:val="bottom"/>
          </w:tcPr>
          <w:p>
            <w:pPr>
              <w:spacing w:after="0"/>
              <w:rPr>
                <w:sz w:val="10"/>
                <w:szCs w:val="10"/>
                <w:color w:val="auto"/>
              </w:rPr>
            </w:pPr>
          </w:p>
        </w:tc>
        <w:tc>
          <w:tcPr>
            <w:tcW w:w="1580" w:type="dxa"/>
            <w:vAlign w:val="bottom"/>
            <w:vMerge w:val="restart"/>
          </w:tcPr>
          <w:p>
            <w:pPr>
              <w:jc w:val="right"/>
              <w:ind w:right="357"/>
              <w:spacing w:after="0"/>
              <w:rPr>
                <w:sz w:val="20"/>
                <w:szCs w:val="20"/>
                <w:color w:val="auto"/>
              </w:rPr>
            </w:pPr>
            <w:r>
              <w:rPr>
                <w:rFonts w:ascii="Verdana" w:cs="Verdana" w:eastAsia="Verdana" w:hAnsi="Verdana"/>
                <w:sz w:val="13"/>
                <w:szCs w:val="13"/>
                <w:b w:val="1"/>
                <w:bCs w:val="1"/>
                <w:color w:val="auto"/>
              </w:rPr>
              <w:t>% Change</w:t>
            </w:r>
          </w:p>
        </w:tc>
        <w:tc>
          <w:tcPr>
            <w:tcW w:w="0" w:type="dxa"/>
            <w:vAlign w:val="bottom"/>
          </w:tcPr>
          <w:p>
            <w:pPr>
              <w:spacing w:after="0"/>
              <w:rPr>
                <w:sz w:val="1"/>
                <w:szCs w:val="1"/>
                <w:color w:val="auto"/>
              </w:rPr>
            </w:pPr>
          </w:p>
        </w:tc>
      </w:tr>
      <w:tr>
        <w:trPr>
          <w:trHeight w:val="170"/>
        </w:trPr>
        <w:tc>
          <w:tcPr>
            <w:tcW w:w="4620" w:type="dxa"/>
            <w:vAlign w:val="bottom"/>
            <w:tcBorders>
              <w:bottom w:val="single" w:sz="8" w:color="E0E7ED"/>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94"/>
              <w:spacing w:after="0"/>
              <w:rPr>
                <w:sz w:val="20"/>
                <w:szCs w:val="20"/>
                <w:color w:val="auto"/>
              </w:rPr>
            </w:pPr>
            <w:r>
              <w:rPr>
                <w:rFonts w:ascii="Verdana" w:cs="Verdana" w:eastAsia="Verdana" w:hAnsi="Verdana"/>
                <w:sz w:val="13"/>
                <w:szCs w:val="13"/>
                <w:b w:val="1"/>
                <w:bCs w:val="1"/>
                <w:color w:val="auto"/>
              </w:rPr>
              <w:t>2024</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54"/>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46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Portfolio loans</w:t>
            </w: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26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7,809,097</w:t>
            </w:r>
          </w:p>
        </w:tc>
        <w:tc>
          <w:tcPr>
            <w:tcW w:w="520" w:type="dxa"/>
            <w:vAlign w:val="bottom"/>
            <w:gridSpan w:val="3"/>
            <w:shd w:val="clear" w:color="auto" w:fill="E0E7ED"/>
          </w:tcPr>
          <w:p>
            <w:pPr>
              <w:jc w:val="right"/>
              <w:ind w:right="120"/>
              <w:spacing w:after="0"/>
              <w:rPr>
                <w:sz w:val="20"/>
                <w:szCs w:val="20"/>
                <w:color w:val="auto"/>
              </w:rPr>
            </w:pPr>
            <w:r>
              <w:rPr>
                <w:rFonts w:ascii="Verdana" w:cs="Verdana" w:eastAsia="Verdana" w:hAnsi="Verdana"/>
                <w:sz w:val="18"/>
                <w:szCs w:val="18"/>
                <w:color w:val="auto"/>
              </w:rPr>
              <w:t>$</w:t>
            </w:r>
          </w:p>
        </w:tc>
        <w:tc>
          <w:tcPr>
            <w:tcW w:w="140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7,651,034</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158,063</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2.1 %</w:t>
            </w:r>
          </w:p>
        </w:tc>
        <w:tc>
          <w:tcPr>
            <w:tcW w:w="0" w:type="dxa"/>
            <w:vAlign w:val="bottom"/>
          </w:tcPr>
          <w:p>
            <w:pPr>
              <w:spacing w:after="0"/>
              <w:rPr>
                <w:sz w:val="1"/>
                <w:szCs w:val="1"/>
                <w:color w:val="auto"/>
              </w:rPr>
            </w:pPr>
          </w:p>
        </w:tc>
      </w:tr>
      <w:tr>
        <w:trPr>
          <w:trHeight w:val="263"/>
        </w:trPr>
        <w:tc>
          <w:tcPr>
            <w:tcW w:w="4620" w:type="dxa"/>
            <w:vAlign w:val="bottom"/>
          </w:tcPr>
          <w:p>
            <w:pPr>
              <w:ind w:left="20"/>
              <w:spacing w:after="0"/>
              <w:rPr>
                <w:sz w:val="20"/>
                <w:szCs w:val="20"/>
                <w:color w:val="auto"/>
              </w:rPr>
            </w:pPr>
            <w:r>
              <w:rPr>
                <w:rFonts w:ascii="Verdana" w:cs="Verdana" w:eastAsia="Verdana" w:hAnsi="Verdana"/>
                <w:sz w:val="18"/>
                <w:szCs w:val="18"/>
                <w:color w:val="auto"/>
              </w:rPr>
              <w:t>Loans 30 – 89 days past due</w:t>
            </w:r>
          </w:p>
        </w:tc>
        <w:tc>
          <w:tcPr>
            <w:tcW w:w="220" w:type="dxa"/>
            <w:vAlign w:val="bottom"/>
          </w:tcPr>
          <w:p>
            <w:pPr>
              <w:spacing w:after="0"/>
              <w:rPr>
                <w:sz w:val="22"/>
                <w:szCs w:val="22"/>
                <w:color w:val="auto"/>
              </w:rPr>
            </w:pPr>
          </w:p>
        </w:tc>
        <w:tc>
          <w:tcPr>
            <w:tcW w:w="1260" w:type="dxa"/>
            <w:vAlign w:val="bottom"/>
          </w:tcPr>
          <w:p>
            <w:pPr>
              <w:jc w:val="right"/>
              <w:ind w:right="14"/>
              <w:spacing w:after="0"/>
              <w:rPr>
                <w:sz w:val="20"/>
                <w:szCs w:val="20"/>
                <w:color w:val="auto"/>
              </w:rPr>
            </w:pPr>
            <w:r>
              <w:rPr>
                <w:rFonts w:ascii="Verdana" w:cs="Verdana" w:eastAsia="Verdana" w:hAnsi="Verdana"/>
                <w:sz w:val="18"/>
                <w:szCs w:val="18"/>
                <w:color w:val="auto"/>
              </w:rPr>
              <w:t>10,141</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ind w:right="194"/>
              <w:spacing w:after="0"/>
              <w:rPr>
                <w:sz w:val="20"/>
                <w:szCs w:val="20"/>
                <w:color w:val="auto"/>
              </w:rPr>
            </w:pPr>
            <w:r>
              <w:rPr>
                <w:rFonts w:ascii="Verdana" w:cs="Verdana" w:eastAsia="Verdana" w:hAnsi="Verdana"/>
                <w:sz w:val="18"/>
                <w:szCs w:val="18"/>
                <w:color w:val="auto"/>
              </w:rPr>
              <w:t>5,779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4,362</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75.5 %</w:t>
            </w:r>
          </w:p>
        </w:tc>
        <w:tc>
          <w:tcPr>
            <w:tcW w:w="0" w:type="dxa"/>
            <w:vAlign w:val="bottom"/>
          </w:tcPr>
          <w:p>
            <w:pPr>
              <w:spacing w:after="0"/>
              <w:rPr>
                <w:sz w:val="1"/>
                <w:szCs w:val="1"/>
                <w:color w:val="auto"/>
              </w:rPr>
            </w:pPr>
          </w:p>
        </w:tc>
      </w:tr>
      <w:tr>
        <w:trPr>
          <w:trHeight w:val="277"/>
        </w:trPr>
        <w:tc>
          <w:tcPr>
            <w:tcW w:w="46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assets</w:t>
            </w:r>
          </w:p>
        </w:tc>
        <w:tc>
          <w:tcPr>
            <w:tcW w:w="22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11,986,839</w:t>
            </w:r>
          </w:p>
        </w:tc>
        <w:tc>
          <w:tcPr>
            <w:tcW w:w="18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40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12,283,415</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(296,576)</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(2.4)%</w:t>
            </w:r>
          </w:p>
        </w:tc>
        <w:tc>
          <w:tcPr>
            <w:tcW w:w="0" w:type="dxa"/>
            <w:vAlign w:val="bottom"/>
          </w:tcPr>
          <w:p>
            <w:pPr>
              <w:spacing w:after="0"/>
              <w:rPr>
                <w:sz w:val="1"/>
                <w:szCs w:val="1"/>
                <w:color w:val="auto"/>
              </w:rPr>
            </w:pPr>
          </w:p>
        </w:tc>
      </w:tr>
      <w:tr>
        <w:trPr>
          <w:trHeight w:val="270"/>
        </w:trPr>
        <w:tc>
          <w:tcPr>
            <w:tcW w:w="4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Non-performing assets</w:t>
            </w:r>
          </w:p>
        </w:tc>
        <w:tc>
          <w:tcPr>
            <w:tcW w:w="220" w:type="dxa"/>
            <w:vAlign w:val="bottom"/>
            <w:shd w:val="clear" w:color="auto" w:fill="E0E7ED"/>
          </w:tcPr>
          <w:p>
            <w:pPr>
              <w:spacing w:after="0"/>
              <w:rPr>
                <w:sz w:val="23"/>
                <w:szCs w:val="23"/>
                <w:color w:val="auto"/>
              </w:rPr>
            </w:pPr>
          </w:p>
        </w:tc>
        <w:tc>
          <w:tcPr>
            <w:tcW w:w="1260" w:type="dxa"/>
            <w:vAlign w:val="bottom"/>
            <w:shd w:val="clear" w:color="auto" w:fill="E0E7ED"/>
          </w:tcPr>
          <w:p>
            <w:pPr>
              <w:spacing w:after="0"/>
              <w:rPr>
                <w:sz w:val="23"/>
                <w:szCs w:val="23"/>
                <w:color w:val="auto"/>
              </w:rPr>
            </w:pPr>
          </w:p>
        </w:tc>
        <w:tc>
          <w:tcPr>
            <w:tcW w:w="18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14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14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1580" w:type="dxa"/>
            <w:vAlign w:val="bottom"/>
            <w:shd w:val="clear" w:color="auto" w:fill="E0E7ED"/>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620" w:type="dxa"/>
            <w:vAlign w:val="bottom"/>
          </w:tcPr>
          <w:p>
            <w:pPr>
              <w:ind w:left="180"/>
              <w:spacing w:after="0"/>
              <w:rPr>
                <w:sz w:val="20"/>
                <w:szCs w:val="20"/>
                <w:color w:val="auto"/>
              </w:rPr>
            </w:pPr>
            <w:r>
              <w:rPr>
                <w:rFonts w:ascii="Verdana" w:cs="Verdana" w:eastAsia="Verdana" w:hAnsi="Verdana"/>
                <w:sz w:val="18"/>
                <w:szCs w:val="18"/>
                <w:color w:val="auto"/>
              </w:rPr>
              <w:t>Non-performing loans:</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62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Non-accrual loans</w:t>
            </w: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26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8,192</w:t>
            </w:r>
          </w:p>
        </w:tc>
        <w:tc>
          <w:tcPr>
            <w:tcW w:w="520" w:type="dxa"/>
            <w:vAlign w:val="bottom"/>
            <w:gridSpan w:val="3"/>
            <w:shd w:val="clear" w:color="auto" w:fill="E0E7ED"/>
          </w:tcPr>
          <w:p>
            <w:pPr>
              <w:jc w:val="right"/>
              <w:ind w:right="120"/>
              <w:spacing w:after="0"/>
              <w:rPr>
                <w:sz w:val="20"/>
                <w:szCs w:val="20"/>
                <w:color w:val="auto"/>
              </w:rPr>
            </w:pPr>
            <w:r>
              <w:rPr>
                <w:rFonts w:ascii="Verdana" w:cs="Verdana" w:eastAsia="Verdana" w:hAnsi="Verdana"/>
                <w:sz w:val="18"/>
                <w:szCs w:val="18"/>
                <w:color w:val="auto"/>
              </w:rPr>
              <w:t>$</w:t>
            </w:r>
          </w:p>
        </w:tc>
        <w:tc>
          <w:tcPr>
            <w:tcW w:w="140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7,441</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751</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10.1 %</w:t>
            </w:r>
          </w:p>
        </w:tc>
        <w:tc>
          <w:tcPr>
            <w:tcW w:w="0" w:type="dxa"/>
            <w:vAlign w:val="bottom"/>
          </w:tcPr>
          <w:p>
            <w:pPr>
              <w:spacing w:after="0"/>
              <w:rPr>
                <w:sz w:val="1"/>
                <w:szCs w:val="1"/>
                <w:color w:val="auto"/>
              </w:rPr>
            </w:pPr>
          </w:p>
        </w:tc>
      </w:tr>
      <w:tr>
        <w:trPr>
          <w:trHeight w:val="263"/>
        </w:trPr>
        <w:tc>
          <w:tcPr>
            <w:tcW w:w="4620" w:type="dxa"/>
            <w:vAlign w:val="bottom"/>
            <w:tcBorders>
              <w:bottom w:val="single" w:sz="8" w:color="E0E7ED"/>
            </w:tcBorders>
          </w:tcPr>
          <w:p>
            <w:pPr>
              <w:ind w:left="360"/>
              <w:spacing w:after="0"/>
              <w:rPr>
                <w:sz w:val="20"/>
                <w:szCs w:val="20"/>
                <w:color w:val="auto"/>
              </w:rPr>
            </w:pPr>
            <w:r>
              <w:rPr>
                <w:rFonts w:ascii="Verdana" w:cs="Verdana" w:eastAsia="Verdana" w:hAnsi="Verdana"/>
                <w:sz w:val="18"/>
                <w:szCs w:val="18"/>
                <w:color w:val="auto"/>
              </w:rPr>
              <w:t>Loans 90+ days past due and still accruing</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4"/>
              <w:spacing w:after="0"/>
              <w:rPr>
                <w:sz w:val="20"/>
                <w:szCs w:val="20"/>
                <w:color w:val="auto"/>
              </w:rPr>
            </w:pPr>
            <w:r>
              <w:rPr>
                <w:rFonts w:ascii="Verdana" w:cs="Verdana" w:eastAsia="Verdana" w:hAnsi="Verdana"/>
                <w:sz w:val="18"/>
                <w:szCs w:val="18"/>
                <w:color w:val="auto"/>
              </w:rPr>
              <w:t>25</w:t>
            </w:r>
          </w:p>
        </w:tc>
        <w:tc>
          <w:tcPr>
            <w:tcW w:w="180" w:type="dxa"/>
            <w:vAlign w:val="bottom"/>
            <w:tcBorders>
              <w:bottom w:val="single" w:sz="8" w:color="auto"/>
            </w:tcBorders>
          </w:tcPr>
          <w:p>
            <w:pPr>
              <w:spacing w:after="0"/>
              <w:rPr>
                <w:sz w:val="22"/>
                <w:szCs w:val="22"/>
                <w:color w:val="auto"/>
              </w:rPr>
            </w:pPr>
          </w:p>
        </w:tc>
        <w:tc>
          <w:tcPr>
            <w:tcW w:w="80" w:type="dxa"/>
            <w:vAlign w:val="bottom"/>
            <w:tcBorders>
              <w:bottom w:val="single" w:sz="8" w:color="E0E7ED"/>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4"/>
              <w:spacing w:after="0"/>
              <w:rPr>
                <w:sz w:val="20"/>
                <w:szCs w:val="20"/>
                <w:color w:val="auto"/>
              </w:rPr>
            </w:pPr>
            <w:r>
              <w:rPr>
                <w:rFonts w:ascii="Verdana" w:cs="Verdana" w:eastAsia="Verdana" w:hAnsi="Verdana"/>
                <w:sz w:val="18"/>
                <w:szCs w:val="18"/>
                <w:color w:val="auto"/>
              </w:rPr>
              <w:t>375</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(350)</w:t>
            </w:r>
          </w:p>
        </w:tc>
        <w:tc>
          <w:tcPr>
            <w:tcW w:w="168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(93.3)%</w:t>
            </w:r>
          </w:p>
        </w:tc>
        <w:tc>
          <w:tcPr>
            <w:tcW w:w="0" w:type="dxa"/>
            <w:vAlign w:val="bottom"/>
          </w:tcPr>
          <w:p>
            <w:pPr>
              <w:spacing w:after="0"/>
              <w:rPr>
                <w:sz w:val="1"/>
                <w:szCs w:val="1"/>
                <w:color w:val="auto"/>
              </w:rPr>
            </w:pPr>
          </w:p>
        </w:tc>
      </w:tr>
      <w:tr>
        <w:trPr>
          <w:trHeight w:val="270"/>
        </w:trPr>
        <w:tc>
          <w:tcPr>
            <w:tcW w:w="46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Total non-performing loans</w:t>
            </w:r>
          </w:p>
        </w:tc>
        <w:tc>
          <w:tcPr>
            <w:tcW w:w="220" w:type="dxa"/>
            <w:vAlign w:val="bottom"/>
            <w:shd w:val="clear" w:color="auto" w:fill="E0E7ED"/>
          </w:tcPr>
          <w:p>
            <w:pPr>
              <w:spacing w:after="0"/>
              <w:rPr>
                <w:sz w:val="23"/>
                <w:szCs w:val="23"/>
                <w:color w:val="auto"/>
              </w:rPr>
            </w:pPr>
          </w:p>
        </w:tc>
        <w:tc>
          <w:tcPr>
            <w:tcW w:w="126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8,217</w:t>
            </w:r>
          </w:p>
        </w:tc>
        <w:tc>
          <w:tcPr>
            <w:tcW w:w="18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140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7,816</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401</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5.1 %</w:t>
            </w:r>
          </w:p>
        </w:tc>
        <w:tc>
          <w:tcPr>
            <w:tcW w:w="0" w:type="dxa"/>
            <w:vAlign w:val="bottom"/>
          </w:tcPr>
          <w:p>
            <w:pPr>
              <w:spacing w:after="0"/>
              <w:rPr>
                <w:sz w:val="1"/>
                <w:szCs w:val="1"/>
                <w:color w:val="auto"/>
              </w:rPr>
            </w:pPr>
          </w:p>
        </w:tc>
      </w:tr>
      <w:tr>
        <w:trPr>
          <w:trHeight w:val="264"/>
        </w:trPr>
        <w:tc>
          <w:tcPr>
            <w:tcW w:w="46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OREO and other repossessed assets</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4"/>
              <w:spacing w:after="0"/>
              <w:rPr>
                <w:sz w:val="20"/>
                <w:szCs w:val="20"/>
                <w:color w:val="auto"/>
              </w:rPr>
            </w:pPr>
            <w:r>
              <w:rPr>
                <w:rFonts w:ascii="Verdana" w:cs="Verdana" w:eastAsia="Verdana" w:hAnsi="Verdana"/>
                <w:sz w:val="18"/>
                <w:szCs w:val="18"/>
                <w:color w:val="auto"/>
              </w:rPr>
              <w:t>64</w:t>
            </w:r>
          </w:p>
        </w:tc>
        <w:tc>
          <w:tcPr>
            <w:tcW w:w="180" w:type="dxa"/>
            <w:vAlign w:val="bottom"/>
            <w:tcBorders>
              <w:bottom w:val="single" w:sz="8" w:color="auto"/>
            </w:tcBorders>
          </w:tcPr>
          <w:p>
            <w:pPr>
              <w:spacing w:after="0"/>
              <w:rPr>
                <w:sz w:val="22"/>
                <w:szCs w:val="22"/>
                <w:color w:val="auto"/>
              </w:rPr>
            </w:pPr>
          </w:p>
        </w:tc>
        <w:tc>
          <w:tcPr>
            <w:tcW w:w="80" w:type="dxa"/>
            <w:vAlign w:val="bottom"/>
            <w:tcBorders>
              <w:bottom w:val="single" w:sz="8" w:color="E0E7ED"/>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4"/>
              <w:spacing w:after="0"/>
              <w:rPr>
                <w:sz w:val="20"/>
                <w:szCs w:val="20"/>
                <w:color w:val="auto"/>
              </w:rPr>
            </w:pPr>
            <w:r>
              <w:rPr>
                <w:rFonts w:ascii="Verdana" w:cs="Verdana" w:eastAsia="Verdana" w:hAnsi="Verdana"/>
                <w:sz w:val="18"/>
                <w:szCs w:val="18"/>
                <w:color w:val="auto"/>
              </w:rPr>
              <w:t>125</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(61)</w:t>
            </w:r>
          </w:p>
        </w:tc>
        <w:tc>
          <w:tcPr>
            <w:tcW w:w="168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(48.8)%</w:t>
            </w:r>
          </w:p>
        </w:tc>
        <w:tc>
          <w:tcPr>
            <w:tcW w:w="0" w:type="dxa"/>
            <w:vAlign w:val="bottom"/>
          </w:tcPr>
          <w:p>
            <w:pPr>
              <w:spacing w:after="0"/>
              <w:rPr>
                <w:sz w:val="1"/>
                <w:szCs w:val="1"/>
                <w:color w:val="auto"/>
              </w:rPr>
            </w:pPr>
          </w:p>
        </w:tc>
      </w:tr>
      <w:tr>
        <w:trPr>
          <w:trHeight w:val="270"/>
        </w:trPr>
        <w:tc>
          <w:tcPr>
            <w:tcW w:w="46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non-performing assets</w:t>
            </w:r>
          </w:p>
        </w:tc>
        <w:tc>
          <w:tcPr>
            <w:tcW w:w="220" w:type="dxa"/>
            <w:vAlign w:val="bottom"/>
            <w:shd w:val="clear" w:color="auto" w:fill="E0E7ED"/>
          </w:tcPr>
          <w:p>
            <w:pPr>
              <w:spacing w:after="0"/>
              <w:rPr>
                <w:sz w:val="23"/>
                <w:szCs w:val="23"/>
                <w:color w:val="auto"/>
              </w:rPr>
            </w:pPr>
          </w:p>
        </w:tc>
        <w:tc>
          <w:tcPr>
            <w:tcW w:w="126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8,281</w:t>
            </w:r>
          </w:p>
        </w:tc>
        <w:tc>
          <w:tcPr>
            <w:tcW w:w="18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140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7,941</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340</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4.3 %</w:t>
            </w:r>
          </w:p>
        </w:tc>
        <w:tc>
          <w:tcPr>
            <w:tcW w:w="0" w:type="dxa"/>
            <w:vAlign w:val="bottom"/>
          </w:tcPr>
          <w:p>
            <w:pPr>
              <w:spacing w:after="0"/>
              <w:rPr>
                <w:sz w:val="1"/>
                <w:szCs w:val="1"/>
                <w:color w:val="auto"/>
              </w:rPr>
            </w:pPr>
          </w:p>
        </w:tc>
      </w:tr>
      <w:tr>
        <w:trPr>
          <w:trHeight w:val="264"/>
        </w:trPr>
        <w:tc>
          <w:tcPr>
            <w:tcW w:w="4620" w:type="dxa"/>
            <w:vAlign w:val="bottom"/>
            <w:tcBorders>
              <w:bottom w:val="single" w:sz="8" w:color="E0E7ED"/>
            </w:tcBorders>
          </w:tcPr>
          <w:p>
            <w:pPr>
              <w:ind w:left="20"/>
              <w:spacing w:after="0"/>
              <w:rPr>
                <w:sz w:val="20"/>
                <w:szCs w:val="20"/>
                <w:color w:val="auto"/>
              </w:rPr>
            </w:pPr>
            <w:r>
              <w:rPr>
                <w:rFonts w:ascii="Verdana" w:cs="Verdana" w:eastAsia="Verdana" w:hAnsi="Verdana"/>
                <w:sz w:val="18"/>
                <w:szCs w:val="18"/>
                <w:color w:val="auto"/>
              </w:rPr>
              <w:t>Substandard (excludes 90+ days past due)</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4"/>
              <w:spacing w:after="0"/>
              <w:rPr>
                <w:sz w:val="20"/>
                <w:szCs w:val="20"/>
                <w:color w:val="auto"/>
              </w:rPr>
            </w:pPr>
            <w:r>
              <w:rPr>
                <w:rFonts w:ascii="Verdana" w:cs="Verdana" w:eastAsia="Verdana" w:hAnsi="Verdana"/>
                <w:sz w:val="18"/>
                <w:szCs w:val="18"/>
                <w:color w:val="auto"/>
              </w:rPr>
              <w:t>80,704</w:t>
            </w:r>
          </w:p>
        </w:tc>
        <w:tc>
          <w:tcPr>
            <w:tcW w:w="180" w:type="dxa"/>
            <w:vAlign w:val="bottom"/>
            <w:tcBorders>
              <w:bottom w:val="single" w:sz="8" w:color="auto"/>
            </w:tcBorders>
          </w:tcPr>
          <w:p>
            <w:pPr>
              <w:spacing w:after="0"/>
              <w:rPr>
                <w:sz w:val="22"/>
                <w:szCs w:val="22"/>
                <w:color w:val="auto"/>
              </w:rPr>
            </w:pPr>
          </w:p>
        </w:tc>
        <w:tc>
          <w:tcPr>
            <w:tcW w:w="80" w:type="dxa"/>
            <w:vAlign w:val="bottom"/>
            <w:tcBorders>
              <w:bottom w:val="single" w:sz="8" w:color="E0E7ED"/>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4"/>
              <w:spacing w:after="0"/>
              <w:rPr>
                <w:sz w:val="20"/>
                <w:szCs w:val="20"/>
                <w:color w:val="auto"/>
              </w:rPr>
            </w:pPr>
            <w:r>
              <w:rPr>
                <w:rFonts w:ascii="Verdana" w:cs="Verdana" w:eastAsia="Verdana" w:hAnsi="Verdana"/>
                <w:sz w:val="18"/>
                <w:szCs w:val="18"/>
                <w:color w:val="auto"/>
              </w:rPr>
              <w:t>64,347</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16,357</w:t>
            </w:r>
          </w:p>
        </w:tc>
        <w:tc>
          <w:tcPr>
            <w:tcW w:w="168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25.4 %</w:t>
            </w:r>
          </w:p>
        </w:tc>
        <w:tc>
          <w:tcPr>
            <w:tcW w:w="0" w:type="dxa"/>
            <w:vAlign w:val="bottom"/>
          </w:tcPr>
          <w:p>
            <w:pPr>
              <w:spacing w:after="0"/>
              <w:rPr>
                <w:sz w:val="1"/>
                <w:szCs w:val="1"/>
                <w:color w:val="auto"/>
              </w:rPr>
            </w:pPr>
          </w:p>
        </w:tc>
      </w:tr>
      <w:tr>
        <w:trPr>
          <w:trHeight w:val="290"/>
        </w:trPr>
        <w:tc>
          <w:tcPr>
            <w:tcW w:w="46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Classified assets</w:t>
            </w: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26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88,985</w:t>
            </w:r>
          </w:p>
        </w:tc>
        <w:tc>
          <w:tcPr>
            <w:tcW w:w="520" w:type="dxa"/>
            <w:vAlign w:val="bottom"/>
            <w:gridSpan w:val="3"/>
            <w:shd w:val="clear" w:color="auto" w:fill="E0E7ED"/>
          </w:tcPr>
          <w:p>
            <w:pPr>
              <w:jc w:val="right"/>
              <w:ind w:right="120"/>
              <w:spacing w:after="0"/>
              <w:rPr>
                <w:sz w:val="20"/>
                <w:szCs w:val="20"/>
                <w:color w:val="auto"/>
              </w:rPr>
            </w:pPr>
            <w:r>
              <w:rPr>
                <w:rFonts w:ascii="Verdana" w:cs="Verdana" w:eastAsia="Verdana" w:hAnsi="Verdana"/>
                <w:sz w:val="18"/>
                <w:szCs w:val="18"/>
                <w:color w:val="auto"/>
              </w:rPr>
              <w:t>$</w:t>
            </w:r>
          </w:p>
        </w:tc>
        <w:tc>
          <w:tcPr>
            <w:tcW w:w="140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72,288</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16,697</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23.1 %</w:t>
            </w:r>
          </w:p>
        </w:tc>
        <w:tc>
          <w:tcPr>
            <w:tcW w:w="0" w:type="dxa"/>
            <w:vAlign w:val="bottom"/>
          </w:tcPr>
          <w:p>
            <w:pPr>
              <w:spacing w:after="0"/>
              <w:rPr>
                <w:sz w:val="1"/>
                <w:szCs w:val="1"/>
                <w:color w:val="auto"/>
              </w:rPr>
            </w:pPr>
          </w:p>
        </w:tc>
      </w:tr>
      <w:tr>
        <w:trPr>
          <w:trHeight w:val="20"/>
        </w:trPr>
        <w:tc>
          <w:tcPr>
            <w:tcW w:w="462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58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6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ACL</w:t>
            </w: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26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84,981</w:t>
            </w:r>
          </w:p>
        </w:tc>
        <w:tc>
          <w:tcPr>
            <w:tcW w:w="520" w:type="dxa"/>
            <w:vAlign w:val="bottom"/>
            <w:gridSpan w:val="3"/>
            <w:shd w:val="clear" w:color="auto" w:fill="E0E7ED"/>
          </w:tcPr>
          <w:p>
            <w:pPr>
              <w:jc w:val="right"/>
              <w:ind w:right="120"/>
              <w:spacing w:after="0"/>
              <w:rPr>
                <w:sz w:val="20"/>
                <w:szCs w:val="20"/>
                <w:color w:val="auto"/>
              </w:rPr>
            </w:pPr>
            <w:r>
              <w:rPr>
                <w:rFonts w:ascii="Verdana" w:cs="Verdana" w:eastAsia="Verdana" w:hAnsi="Verdana"/>
                <w:sz w:val="18"/>
                <w:szCs w:val="18"/>
                <w:color w:val="auto"/>
              </w:rPr>
              <w:t>$</w:t>
            </w:r>
          </w:p>
        </w:tc>
        <w:tc>
          <w:tcPr>
            <w:tcW w:w="140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91,740</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(6,759)</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(7.4)%</w:t>
            </w:r>
          </w:p>
        </w:tc>
        <w:tc>
          <w:tcPr>
            <w:tcW w:w="0" w:type="dxa"/>
            <w:vAlign w:val="bottom"/>
          </w:tcPr>
          <w:p>
            <w:pPr>
              <w:spacing w:after="0"/>
              <w:rPr>
                <w:sz w:val="1"/>
                <w:szCs w:val="1"/>
                <w:color w:val="auto"/>
              </w:rPr>
            </w:pPr>
          </w:p>
        </w:tc>
      </w:tr>
      <w:tr>
        <w:trPr>
          <w:trHeight w:val="263"/>
        </w:trPr>
        <w:tc>
          <w:tcPr>
            <w:tcW w:w="4620" w:type="dxa"/>
            <w:vAlign w:val="bottom"/>
          </w:tcPr>
          <w:p>
            <w:pPr>
              <w:ind w:left="20"/>
              <w:spacing w:after="0"/>
              <w:rPr>
                <w:sz w:val="20"/>
                <w:szCs w:val="20"/>
                <w:color w:val="auto"/>
              </w:rPr>
            </w:pPr>
            <w:r>
              <w:rPr>
                <w:rFonts w:ascii="Verdana" w:cs="Verdana" w:eastAsia="Verdana" w:hAnsi="Verdana"/>
                <w:sz w:val="18"/>
                <w:szCs w:val="18"/>
                <w:color w:val="auto"/>
              </w:rPr>
              <w:t>Bank Tier 1 Capital</w:t>
            </w:r>
          </w:p>
        </w:tc>
        <w:tc>
          <w:tcPr>
            <w:tcW w:w="220" w:type="dxa"/>
            <w:vAlign w:val="bottom"/>
          </w:tcPr>
          <w:p>
            <w:pPr>
              <w:spacing w:after="0"/>
              <w:rPr>
                <w:sz w:val="22"/>
                <w:szCs w:val="22"/>
                <w:color w:val="auto"/>
              </w:rPr>
            </w:pPr>
          </w:p>
        </w:tc>
        <w:tc>
          <w:tcPr>
            <w:tcW w:w="1260" w:type="dxa"/>
            <w:vAlign w:val="bottom"/>
          </w:tcPr>
          <w:p>
            <w:pPr>
              <w:jc w:val="right"/>
              <w:ind w:right="14"/>
              <w:spacing w:after="0"/>
              <w:rPr>
                <w:sz w:val="20"/>
                <w:szCs w:val="20"/>
                <w:color w:val="auto"/>
              </w:rPr>
            </w:pPr>
            <w:r>
              <w:rPr>
                <w:rFonts w:ascii="Verdana" w:cs="Verdana" w:eastAsia="Verdana" w:hAnsi="Verdana"/>
                <w:sz w:val="18"/>
                <w:szCs w:val="18"/>
                <w:color w:val="auto"/>
              </w:rPr>
              <w:t>1,425,762</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ind w:right="194"/>
              <w:spacing w:after="0"/>
              <w:rPr>
                <w:sz w:val="20"/>
                <w:szCs w:val="20"/>
                <w:color w:val="auto"/>
              </w:rPr>
            </w:pPr>
            <w:r>
              <w:rPr>
                <w:rFonts w:ascii="Verdana" w:cs="Verdana" w:eastAsia="Verdana" w:hAnsi="Verdana"/>
                <w:sz w:val="18"/>
                <w:szCs w:val="18"/>
                <w:color w:val="auto"/>
              </w:rPr>
              <w:t>1,362,962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62,800</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4.6 %</w:t>
            </w:r>
          </w:p>
        </w:tc>
        <w:tc>
          <w:tcPr>
            <w:tcW w:w="0" w:type="dxa"/>
            <w:vAlign w:val="bottom"/>
          </w:tcPr>
          <w:p>
            <w:pPr>
              <w:spacing w:after="0"/>
              <w:rPr>
                <w:sz w:val="1"/>
                <w:szCs w:val="1"/>
                <w:color w:val="auto"/>
              </w:rPr>
            </w:pPr>
          </w:p>
        </w:tc>
      </w:tr>
      <w:tr>
        <w:trPr>
          <w:trHeight w:val="277"/>
        </w:trPr>
        <w:tc>
          <w:tcPr>
            <w:tcW w:w="462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26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4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4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1580" w:type="dxa"/>
            <w:vAlign w:val="bottom"/>
            <w:shd w:val="clear" w:color="auto" w:fill="E0E7ED"/>
          </w:tcPr>
          <w:p>
            <w:pPr>
              <w:spacing w:after="0"/>
              <w:rPr>
                <w:sz w:val="24"/>
                <w:szCs w:val="24"/>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Verdana" w:cs="Verdana" w:eastAsia="Verdana" w:hAnsi="Verdana"/>
          <w:sz w:val="18"/>
          <w:szCs w:val="18"/>
          <w:b w:val="1"/>
          <w:bCs w:val="1"/>
          <w:color w:val="auto"/>
        </w:rPr>
        <w:t>Ratios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9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ACL to portfolio loans</w:t>
            </w:r>
          </w:p>
        </w:tc>
        <w:tc>
          <w:tcPr>
            <w:tcW w:w="1820" w:type="dxa"/>
            <w:vAlign w:val="bottom"/>
            <w:shd w:val="clear" w:color="auto" w:fill="E0E7ED"/>
          </w:tcPr>
          <w:p>
            <w:pPr>
              <w:jc w:val="right"/>
              <w:ind w:right="430"/>
              <w:spacing w:after="0"/>
              <w:rPr>
                <w:sz w:val="20"/>
                <w:szCs w:val="20"/>
                <w:color w:val="auto"/>
              </w:rPr>
            </w:pPr>
            <w:r>
              <w:rPr>
                <w:rFonts w:ascii="Verdana" w:cs="Verdana" w:eastAsia="Verdana" w:hAnsi="Verdana"/>
                <w:sz w:val="18"/>
                <w:szCs w:val="18"/>
                <w:color w:val="auto"/>
              </w:rPr>
              <w:t>1.09 %</w:t>
            </w:r>
          </w:p>
        </w:tc>
        <w:tc>
          <w:tcPr>
            <w:tcW w:w="1620" w:type="dxa"/>
            <w:vAlign w:val="bottom"/>
            <w:shd w:val="clear" w:color="auto" w:fill="E0E7ED"/>
          </w:tcPr>
          <w:p>
            <w:pPr>
              <w:jc w:val="right"/>
              <w:ind w:right="310"/>
              <w:spacing w:after="0"/>
              <w:rPr>
                <w:sz w:val="20"/>
                <w:szCs w:val="20"/>
                <w:color w:val="auto"/>
              </w:rPr>
            </w:pPr>
            <w:r>
              <w:rPr>
                <w:rFonts w:ascii="Verdana" w:cs="Verdana" w:eastAsia="Verdana" w:hAnsi="Verdana"/>
                <w:sz w:val="18"/>
                <w:szCs w:val="18"/>
                <w:color w:val="auto"/>
              </w:rPr>
              <w:t>1.20 %</w:t>
            </w:r>
          </w:p>
        </w:tc>
        <w:tc>
          <w:tcPr>
            <w:tcW w:w="2840" w:type="dxa"/>
            <w:vAlign w:val="bottom"/>
            <w:shd w:val="clear" w:color="auto" w:fill="E0E7ED"/>
          </w:tcPr>
          <w:p>
            <w:pPr>
              <w:jc w:val="right"/>
              <w:ind w:right="1610"/>
              <w:spacing w:after="0"/>
              <w:rPr>
                <w:sz w:val="20"/>
                <w:szCs w:val="20"/>
                <w:color w:val="auto"/>
              </w:rPr>
            </w:pPr>
            <w:r>
              <w:rPr>
                <w:rFonts w:ascii="Verdana" w:cs="Verdana" w:eastAsia="Verdana" w:hAnsi="Verdana"/>
                <w:sz w:val="18"/>
                <w:szCs w:val="18"/>
                <w:color w:val="auto"/>
              </w:rPr>
              <w:t>(11) bps</w:t>
            </w:r>
          </w:p>
        </w:tc>
      </w:tr>
      <w:tr>
        <w:trPr>
          <w:trHeight w:val="263"/>
        </w:trPr>
        <w:tc>
          <w:tcPr>
            <w:tcW w:w="4960" w:type="dxa"/>
            <w:vAlign w:val="bottom"/>
          </w:tcPr>
          <w:p>
            <w:pPr>
              <w:ind w:left="20"/>
              <w:spacing w:after="0"/>
              <w:rPr>
                <w:sz w:val="20"/>
                <w:szCs w:val="20"/>
                <w:color w:val="auto"/>
              </w:rPr>
            </w:pPr>
            <w:r>
              <w:rPr>
                <w:rFonts w:ascii="Verdana" w:cs="Verdana" w:eastAsia="Verdana" w:hAnsi="Verdana"/>
                <w:sz w:val="18"/>
                <w:szCs w:val="18"/>
                <w:color w:val="auto"/>
              </w:rPr>
              <w:t>ACL to non-accrual loans</w:t>
            </w:r>
          </w:p>
        </w:tc>
        <w:tc>
          <w:tcPr>
            <w:tcW w:w="1820" w:type="dxa"/>
            <w:vAlign w:val="bottom"/>
          </w:tcPr>
          <w:p>
            <w:pPr>
              <w:jc w:val="right"/>
              <w:ind w:right="430"/>
              <w:spacing w:after="0"/>
              <w:rPr>
                <w:sz w:val="20"/>
                <w:szCs w:val="20"/>
                <w:color w:val="auto"/>
              </w:rPr>
            </w:pPr>
            <w:r>
              <w:rPr>
                <w:rFonts w:ascii="Verdana" w:cs="Verdana" w:eastAsia="Verdana" w:hAnsi="Verdana"/>
                <w:sz w:val="18"/>
                <w:szCs w:val="18"/>
                <w:color w:val="auto"/>
              </w:rPr>
              <w:t>10.37 x</w:t>
            </w:r>
          </w:p>
        </w:tc>
        <w:tc>
          <w:tcPr>
            <w:tcW w:w="1620" w:type="dxa"/>
            <w:vAlign w:val="bottom"/>
          </w:tcPr>
          <w:p>
            <w:pPr>
              <w:jc w:val="right"/>
              <w:ind w:right="310"/>
              <w:spacing w:after="0"/>
              <w:rPr>
                <w:sz w:val="20"/>
                <w:szCs w:val="20"/>
                <w:color w:val="auto"/>
              </w:rPr>
            </w:pPr>
            <w:r>
              <w:rPr>
                <w:rFonts w:ascii="Verdana" w:cs="Verdana" w:eastAsia="Verdana" w:hAnsi="Verdana"/>
                <w:sz w:val="18"/>
                <w:szCs w:val="18"/>
                <w:color w:val="auto"/>
              </w:rPr>
              <w:t>12.33 x</w:t>
            </w:r>
          </w:p>
        </w:tc>
        <w:tc>
          <w:tcPr>
            <w:tcW w:w="2840" w:type="dxa"/>
            <w:vAlign w:val="bottom"/>
          </w:tcPr>
          <w:p>
            <w:pPr>
              <w:jc w:val="right"/>
              <w:ind w:right="1610"/>
              <w:spacing w:after="0"/>
              <w:rPr>
                <w:sz w:val="20"/>
                <w:szCs w:val="20"/>
                <w:color w:val="auto"/>
              </w:rPr>
            </w:pPr>
            <w:r>
              <w:rPr>
                <w:rFonts w:ascii="Verdana" w:cs="Verdana" w:eastAsia="Verdana" w:hAnsi="Verdana"/>
                <w:sz w:val="18"/>
                <w:szCs w:val="18"/>
                <w:color w:val="auto"/>
              </w:rPr>
              <w:t>NM</w:t>
            </w:r>
          </w:p>
        </w:tc>
      </w:tr>
      <w:tr>
        <w:trPr>
          <w:trHeight w:val="277"/>
        </w:trPr>
        <w:tc>
          <w:tcPr>
            <w:tcW w:w="49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ACL to non-performing loans</w:t>
            </w:r>
          </w:p>
        </w:tc>
        <w:tc>
          <w:tcPr>
            <w:tcW w:w="1820" w:type="dxa"/>
            <w:vAlign w:val="bottom"/>
            <w:shd w:val="clear" w:color="auto" w:fill="E0E7ED"/>
          </w:tcPr>
          <w:p>
            <w:pPr>
              <w:jc w:val="right"/>
              <w:ind w:right="430"/>
              <w:spacing w:after="0"/>
              <w:rPr>
                <w:sz w:val="20"/>
                <w:szCs w:val="20"/>
                <w:color w:val="auto"/>
              </w:rPr>
            </w:pPr>
            <w:r>
              <w:rPr>
                <w:rFonts w:ascii="Verdana" w:cs="Verdana" w:eastAsia="Verdana" w:hAnsi="Verdana"/>
                <w:sz w:val="18"/>
                <w:szCs w:val="18"/>
                <w:color w:val="auto"/>
              </w:rPr>
              <w:t>10.34 x</w:t>
            </w:r>
          </w:p>
        </w:tc>
        <w:tc>
          <w:tcPr>
            <w:tcW w:w="1620" w:type="dxa"/>
            <w:vAlign w:val="bottom"/>
            <w:shd w:val="clear" w:color="auto" w:fill="E0E7ED"/>
          </w:tcPr>
          <w:p>
            <w:pPr>
              <w:jc w:val="right"/>
              <w:ind w:right="310"/>
              <w:spacing w:after="0"/>
              <w:rPr>
                <w:sz w:val="20"/>
                <w:szCs w:val="20"/>
                <w:color w:val="auto"/>
              </w:rPr>
            </w:pPr>
            <w:r>
              <w:rPr>
                <w:rFonts w:ascii="Verdana" w:cs="Verdana" w:eastAsia="Verdana" w:hAnsi="Verdana"/>
                <w:sz w:val="18"/>
                <w:szCs w:val="18"/>
                <w:color w:val="auto"/>
              </w:rPr>
              <w:t>11.74 x</w:t>
            </w:r>
          </w:p>
        </w:tc>
        <w:tc>
          <w:tcPr>
            <w:tcW w:w="2840" w:type="dxa"/>
            <w:vAlign w:val="bottom"/>
            <w:shd w:val="clear" w:color="auto" w:fill="E0E7ED"/>
          </w:tcPr>
          <w:p>
            <w:pPr>
              <w:jc w:val="right"/>
              <w:ind w:right="1610"/>
              <w:spacing w:after="0"/>
              <w:rPr>
                <w:sz w:val="20"/>
                <w:szCs w:val="20"/>
                <w:color w:val="auto"/>
              </w:rPr>
            </w:pPr>
            <w:r>
              <w:rPr>
                <w:rFonts w:ascii="Verdana" w:cs="Verdana" w:eastAsia="Verdana" w:hAnsi="Verdana"/>
                <w:sz w:val="18"/>
                <w:szCs w:val="18"/>
                <w:color w:val="auto"/>
              </w:rPr>
              <w:t>NM</w:t>
            </w:r>
          </w:p>
        </w:tc>
      </w:tr>
      <w:tr>
        <w:trPr>
          <w:trHeight w:val="263"/>
        </w:trPr>
        <w:tc>
          <w:tcPr>
            <w:tcW w:w="4960" w:type="dxa"/>
            <w:vAlign w:val="bottom"/>
          </w:tcPr>
          <w:p>
            <w:pPr>
              <w:ind w:left="20"/>
              <w:spacing w:after="0"/>
              <w:rPr>
                <w:sz w:val="20"/>
                <w:szCs w:val="20"/>
                <w:color w:val="auto"/>
              </w:rPr>
            </w:pPr>
            <w:r>
              <w:rPr>
                <w:rFonts w:ascii="Verdana" w:cs="Verdana" w:eastAsia="Verdana" w:hAnsi="Verdana"/>
                <w:sz w:val="18"/>
                <w:szCs w:val="18"/>
                <w:color w:val="auto"/>
              </w:rPr>
              <w:t>ACL to non-performing assets</w:t>
            </w:r>
          </w:p>
        </w:tc>
        <w:tc>
          <w:tcPr>
            <w:tcW w:w="1820" w:type="dxa"/>
            <w:vAlign w:val="bottom"/>
          </w:tcPr>
          <w:p>
            <w:pPr>
              <w:jc w:val="right"/>
              <w:ind w:right="430"/>
              <w:spacing w:after="0"/>
              <w:rPr>
                <w:sz w:val="20"/>
                <w:szCs w:val="20"/>
                <w:color w:val="auto"/>
              </w:rPr>
            </w:pPr>
            <w:r>
              <w:rPr>
                <w:rFonts w:ascii="Verdana" w:cs="Verdana" w:eastAsia="Verdana" w:hAnsi="Verdana"/>
                <w:sz w:val="18"/>
                <w:szCs w:val="18"/>
                <w:color w:val="auto"/>
              </w:rPr>
              <w:t>10.26 x</w:t>
            </w:r>
          </w:p>
        </w:tc>
        <w:tc>
          <w:tcPr>
            <w:tcW w:w="1620" w:type="dxa"/>
            <w:vAlign w:val="bottom"/>
          </w:tcPr>
          <w:p>
            <w:pPr>
              <w:jc w:val="right"/>
              <w:ind w:right="310"/>
              <w:spacing w:after="0"/>
              <w:rPr>
                <w:sz w:val="20"/>
                <w:szCs w:val="20"/>
                <w:color w:val="auto"/>
              </w:rPr>
            </w:pPr>
            <w:r>
              <w:rPr>
                <w:rFonts w:ascii="Verdana" w:cs="Verdana" w:eastAsia="Verdana" w:hAnsi="Verdana"/>
                <w:sz w:val="18"/>
                <w:szCs w:val="18"/>
                <w:color w:val="auto"/>
              </w:rPr>
              <w:t>11.55 x</w:t>
            </w:r>
          </w:p>
        </w:tc>
        <w:tc>
          <w:tcPr>
            <w:tcW w:w="2840" w:type="dxa"/>
            <w:vAlign w:val="bottom"/>
          </w:tcPr>
          <w:p>
            <w:pPr>
              <w:jc w:val="right"/>
              <w:ind w:right="1610"/>
              <w:spacing w:after="0"/>
              <w:rPr>
                <w:sz w:val="20"/>
                <w:szCs w:val="20"/>
                <w:color w:val="auto"/>
              </w:rPr>
            </w:pPr>
            <w:r>
              <w:rPr>
                <w:rFonts w:ascii="Verdana" w:cs="Verdana" w:eastAsia="Verdana" w:hAnsi="Verdana"/>
                <w:sz w:val="18"/>
                <w:szCs w:val="18"/>
                <w:color w:val="auto"/>
              </w:rPr>
              <w:t>NM</w:t>
            </w:r>
          </w:p>
        </w:tc>
      </w:tr>
      <w:tr>
        <w:trPr>
          <w:trHeight w:val="277"/>
        </w:trPr>
        <w:tc>
          <w:tcPr>
            <w:tcW w:w="49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Non-accrual loans to portfolio loans</w:t>
            </w:r>
          </w:p>
        </w:tc>
        <w:tc>
          <w:tcPr>
            <w:tcW w:w="1820" w:type="dxa"/>
            <w:vAlign w:val="bottom"/>
            <w:shd w:val="clear" w:color="auto" w:fill="E0E7ED"/>
          </w:tcPr>
          <w:p>
            <w:pPr>
              <w:jc w:val="right"/>
              <w:ind w:right="430"/>
              <w:spacing w:after="0"/>
              <w:rPr>
                <w:sz w:val="20"/>
                <w:szCs w:val="20"/>
                <w:color w:val="auto"/>
              </w:rPr>
            </w:pPr>
            <w:r>
              <w:rPr>
                <w:rFonts w:ascii="Verdana" w:cs="Verdana" w:eastAsia="Verdana" w:hAnsi="Verdana"/>
                <w:sz w:val="18"/>
                <w:szCs w:val="18"/>
                <w:color w:val="auto"/>
              </w:rPr>
              <w:t>0.10 %</w:t>
            </w:r>
          </w:p>
        </w:tc>
        <w:tc>
          <w:tcPr>
            <w:tcW w:w="1620" w:type="dxa"/>
            <w:vAlign w:val="bottom"/>
            <w:shd w:val="clear" w:color="auto" w:fill="E0E7ED"/>
          </w:tcPr>
          <w:p>
            <w:pPr>
              <w:jc w:val="right"/>
              <w:ind w:right="310"/>
              <w:spacing w:after="0"/>
              <w:rPr>
                <w:sz w:val="20"/>
                <w:szCs w:val="20"/>
                <w:color w:val="auto"/>
              </w:rPr>
            </w:pPr>
            <w:r>
              <w:rPr>
                <w:rFonts w:ascii="Verdana" w:cs="Verdana" w:eastAsia="Verdana" w:hAnsi="Verdana"/>
                <w:sz w:val="18"/>
                <w:szCs w:val="18"/>
                <w:color w:val="auto"/>
              </w:rPr>
              <w:t>0.10 %</w:t>
            </w:r>
          </w:p>
        </w:tc>
        <w:tc>
          <w:tcPr>
            <w:tcW w:w="2840" w:type="dxa"/>
            <w:vAlign w:val="bottom"/>
            <w:shd w:val="clear" w:color="auto" w:fill="E0E7ED"/>
          </w:tcPr>
          <w:p>
            <w:pPr>
              <w:jc w:val="right"/>
              <w:ind w:right="1610"/>
              <w:spacing w:after="0"/>
              <w:rPr>
                <w:sz w:val="20"/>
                <w:szCs w:val="20"/>
                <w:color w:val="auto"/>
              </w:rPr>
            </w:pPr>
            <w:r>
              <w:rPr>
                <w:rFonts w:ascii="Verdana" w:cs="Verdana" w:eastAsia="Verdana" w:hAnsi="Verdana"/>
                <w:sz w:val="18"/>
                <w:szCs w:val="18"/>
                <w:color w:val="auto"/>
              </w:rPr>
              <w:t>— bps</w:t>
            </w:r>
          </w:p>
        </w:tc>
      </w:tr>
      <w:tr>
        <w:trPr>
          <w:trHeight w:val="263"/>
        </w:trPr>
        <w:tc>
          <w:tcPr>
            <w:tcW w:w="4960" w:type="dxa"/>
            <w:vAlign w:val="bottom"/>
          </w:tcPr>
          <w:p>
            <w:pPr>
              <w:ind w:left="20"/>
              <w:spacing w:after="0"/>
              <w:rPr>
                <w:sz w:val="20"/>
                <w:szCs w:val="20"/>
                <w:color w:val="auto"/>
              </w:rPr>
            </w:pPr>
            <w:r>
              <w:rPr>
                <w:rFonts w:ascii="Verdana" w:cs="Verdana" w:eastAsia="Verdana" w:hAnsi="Verdana"/>
                <w:sz w:val="18"/>
                <w:szCs w:val="18"/>
                <w:color w:val="auto"/>
              </w:rPr>
              <w:t>Non-performing loans to portfolio loans</w:t>
            </w:r>
          </w:p>
        </w:tc>
        <w:tc>
          <w:tcPr>
            <w:tcW w:w="1820" w:type="dxa"/>
            <w:vAlign w:val="bottom"/>
          </w:tcPr>
          <w:p>
            <w:pPr>
              <w:jc w:val="right"/>
              <w:ind w:right="430"/>
              <w:spacing w:after="0"/>
              <w:rPr>
                <w:sz w:val="20"/>
                <w:szCs w:val="20"/>
                <w:color w:val="auto"/>
              </w:rPr>
            </w:pPr>
            <w:r>
              <w:rPr>
                <w:rFonts w:ascii="Verdana" w:cs="Verdana" w:eastAsia="Verdana" w:hAnsi="Verdana"/>
                <w:sz w:val="18"/>
                <w:szCs w:val="18"/>
                <w:color w:val="auto"/>
              </w:rPr>
              <w:t>0.11 %</w:t>
            </w:r>
          </w:p>
        </w:tc>
        <w:tc>
          <w:tcPr>
            <w:tcW w:w="1620" w:type="dxa"/>
            <w:vAlign w:val="bottom"/>
          </w:tcPr>
          <w:p>
            <w:pPr>
              <w:jc w:val="right"/>
              <w:ind w:right="310"/>
              <w:spacing w:after="0"/>
              <w:rPr>
                <w:sz w:val="20"/>
                <w:szCs w:val="20"/>
                <w:color w:val="auto"/>
              </w:rPr>
            </w:pPr>
            <w:r>
              <w:rPr>
                <w:rFonts w:ascii="Verdana" w:cs="Verdana" w:eastAsia="Verdana" w:hAnsi="Verdana"/>
                <w:sz w:val="18"/>
                <w:szCs w:val="18"/>
                <w:color w:val="auto"/>
              </w:rPr>
              <w:t>0.10 %</w:t>
            </w:r>
          </w:p>
        </w:tc>
        <w:tc>
          <w:tcPr>
            <w:tcW w:w="2840" w:type="dxa"/>
            <w:vAlign w:val="bottom"/>
          </w:tcPr>
          <w:p>
            <w:pPr>
              <w:jc w:val="right"/>
              <w:ind w:right="1610"/>
              <w:spacing w:after="0"/>
              <w:rPr>
                <w:sz w:val="20"/>
                <w:szCs w:val="20"/>
                <w:color w:val="auto"/>
              </w:rPr>
            </w:pPr>
            <w:r>
              <w:rPr>
                <w:rFonts w:ascii="Verdana" w:cs="Verdana" w:eastAsia="Verdana" w:hAnsi="Verdana"/>
                <w:sz w:val="18"/>
                <w:szCs w:val="18"/>
                <w:color w:val="auto"/>
              </w:rPr>
              <w:t>1 bps</w:t>
            </w:r>
          </w:p>
        </w:tc>
      </w:tr>
      <w:tr>
        <w:trPr>
          <w:trHeight w:val="277"/>
        </w:trPr>
        <w:tc>
          <w:tcPr>
            <w:tcW w:w="49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Non-performing assets to total assets</w:t>
            </w:r>
          </w:p>
        </w:tc>
        <w:tc>
          <w:tcPr>
            <w:tcW w:w="1820" w:type="dxa"/>
            <w:vAlign w:val="bottom"/>
            <w:shd w:val="clear" w:color="auto" w:fill="E0E7ED"/>
          </w:tcPr>
          <w:p>
            <w:pPr>
              <w:jc w:val="right"/>
              <w:ind w:right="430"/>
              <w:spacing w:after="0"/>
              <w:rPr>
                <w:sz w:val="20"/>
                <w:szCs w:val="20"/>
                <w:color w:val="auto"/>
              </w:rPr>
            </w:pPr>
            <w:r>
              <w:rPr>
                <w:rFonts w:ascii="Verdana" w:cs="Verdana" w:eastAsia="Verdana" w:hAnsi="Verdana"/>
                <w:sz w:val="18"/>
                <w:szCs w:val="18"/>
                <w:color w:val="auto"/>
              </w:rPr>
              <w:t>0.07 %</w:t>
            </w:r>
          </w:p>
        </w:tc>
        <w:tc>
          <w:tcPr>
            <w:tcW w:w="1620" w:type="dxa"/>
            <w:vAlign w:val="bottom"/>
            <w:shd w:val="clear" w:color="auto" w:fill="E0E7ED"/>
          </w:tcPr>
          <w:p>
            <w:pPr>
              <w:jc w:val="right"/>
              <w:ind w:right="310"/>
              <w:spacing w:after="0"/>
              <w:rPr>
                <w:sz w:val="20"/>
                <w:szCs w:val="20"/>
                <w:color w:val="auto"/>
              </w:rPr>
            </w:pPr>
            <w:r>
              <w:rPr>
                <w:rFonts w:ascii="Verdana" w:cs="Verdana" w:eastAsia="Verdana" w:hAnsi="Verdana"/>
                <w:sz w:val="18"/>
                <w:szCs w:val="18"/>
                <w:color w:val="auto"/>
              </w:rPr>
              <w:t>0.06 %</w:t>
            </w:r>
          </w:p>
        </w:tc>
        <w:tc>
          <w:tcPr>
            <w:tcW w:w="2840" w:type="dxa"/>
            <w:vAlign w:val="bottom"/>
            <w:shd w:val="clear" w:color="auto" w:fill="E0E7ED"/>
          </w:tcPr>
          <w:p>
            <w:pPr>
              <w:jc w:val="right"/>
              <w:ind w:right="1610"/>
              <w:spacing w:after="0"/>
              <w:rPr>
                <w:sz w:val="20"/>
                <w:szCs w:val="20"/>
                <w:color w:val="auto"/>
              </w:rPr>
            </w:pPr>
            <w:r>
              <w:rPr>
                <w:rFonts w:ascii="Verdana" w:cs="Verdana" w:eastAsia="Verdana" w:hAnsi="Verdana"/>
                <w:sz w:val="18"/>
                <w:szCs w:val="18"/>
                <w:color w:val="auto"/>
              </w:rPr>
              <w:t>1 bps</w:t>
            </w:r>
          </w:p>
        </w:tc>
      </w:tr>
      <w:tr>
        <w:trPr>
          <w:trHeight w:val="238"/>
        </w:trPr>
        <w:tc>
          <w:tcPr>
            <w:tcW w:w="4960" w:type="dxa"/>
            <w:vAlign w:val="bottom"/>
          </w:tcPr>
          <w:p>
            <w:pPr>
              <w:ind w:left="20"/>
              <w:spacing w:after="0"/>
              <w:rPr>
                <w:sz w:val="20"/>
                <w:szCs w:val="20"/>
                <w:color w:val="auto"/>
              </w:rPr>
            </w:pPr>
            <w:r>
              <w:rPr>
                <w:rFonts w:ascii="Verdana" w:cs="Verdana" w:eastAsia="Verdana" w:hAnsi="Verdana"/>
                <w:sz w:val="18"/>
                <w:szCs w:val="18"/>
                <w:color w:val="auto"/>
              </w:rPr>
              <w:t>Non-performing assets to portfolio loans and</w:t>
            </w:r>
          </w:p>
        </w:tc>
        <w:tc>
          <w:tcPr>
            <w:tcW w:w="18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242"/>
        </w:trPr>
        <w:tc>
          <w:tcPr>
            <w:tcW w:w="4960" w:type="dxa"/>
            <w:vAlign w:val="bottom"/>
          </w:tcPr>
          <w:p>
            <w:pPr>
              <w:ind w:left="20"/>
              <w:spacing w:after="0"/>
              <w:rPr>
                <w:sz w:val="20"/>
                <w:szCs w:val="20"/>
                <w:color w:val="auto"/>
              </w:rPr>
            </w:pPr>
            <w:r>
              <w:rPr>
                <w:rFonts w:ascii="Verdana" w:cs="Verdana" w:eastAsia="Verdana" w:hAnsi="Verdana"/>
                <w:sz w:val="18"/>
                <w:szCs w:val="18"/>
                <w:color w:val="auto"/>
              </w:rPr>
              <w:t>OREO and other repossessed assets</w:t>
            </w:r>
          </w:p>
        </w:tc>
        <w:tc>
          <w:tcPr>
            <w:tcW w:w="1820" w:type="dxa"/>
            <w:vAlign w:val="bottom"/>
          </w:tcPr>
          <w:p>
            <w:pPr>
              <w:jc w:val="right"/>
              <w:ind w:right="430"/>
              <w:spacing w:after="0"/>
              <w:rPr>
                <w:sz w:val="20"/>
                <w:szCs w:val="20"/>
                <w:color w:val="auto"/>
              </w:rPr>
            </w:pPr>
            <w:r>
              <w:rPr>
                <w:rFonts w:ascii="Verdana" w:cs="Verdana" w:eastAsia="Verdana" w:hAnsi="Verdana"/>
                <w:sz w:val="18"/>
                <w:szCs w:val="18"/>
                <w:color w:val="auto"/>
              </w:rPr>
              <w:t>0.11 %</w:t>
            </w:r>
          </w:p>
        </w:tc>
        <w:tc>
          <w:tcPr>
            <w:tcW w:w="1620" w:type="dxa"/>
            <w:vAlign w:val="bottom"/>
          </w:tcPr>
          <w:p>
            <w:pPr>
              <w:jc w:val="right"/>
              <w:ind w:right="310"/>
              <w:spacing w:after="0"/>
              <w:rPr>
                <w:sz w:val="20"/>
                <w:szCs w:val="20"/>
                <w:color w:val="auto"/>
              </w:rPr>
            </w:pPr>
            <w:r>
              <w:rPr>
                <w:rFonts w:ascii="Verdana" w:cs="Verdana" w:eastAsia="Verdana" w:hAnsi="Verdana"/>
                <w:sz w:val="18"/>
                <w:szCs w:val="18"/>
                <w:color w:val="auto"/>
              </w:rPr>
              <w:t>0.10 %</w:t>
            </w:r>
          </w:p>
        </w:tc>
        <w:tc>
          <w:tcPr>
            <w:tcW w:w="2840" w:type="dxa"/>
            <w:vAlign w:val="bottom"/>
          </w:tcPr>
          <w:p>
            <w:pPr>
              <w:jc w:val="right"/>
              <w:ind w:right="1610"/>
              <w:spacing w:after="0"/>
              <w:rPr>
                <w:sz w:val="20"/>
                <w:szCs w:val="20"/>
                <w:color w:val="auto"/>
              </w:rPr>
            </w:pPr>
            <w:r>
              <w:rPr>
                <w:rFonts w:ascii="Verdana" w:cs="Verdana" w:eastAsia="Verdana" w:hAnsi="Verdana"/>
                <w:sz w:val="18"/>
                <w:szCs w:val="18"/>
                <w:color w:val="auto"/>
              </w:rPr>
              <w:t>1 bps</w:t>
            </w:r>
          </w:p>
        </w:tc>
      </w:tr>
      <w:tr>
        <w:trPr>
          <w:trHeight w:val="277"/>
        </w:trPr>
        <w:tc>
          <w:tcPr>
            <w:tcW w:w="49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Classified assets to Bank Tier 1 Capital and ACL</w:t>
            </w:r>
          </w:p>
        </w:tc>
        <w:tc>
          <w:tcPr>
            <w:tcW w:w="1820" w:type="dxa"/>
            <w:vAlign w:val="bottom"/>
            <w:shd w:val="clear" w:color="auto" w:fill="E0E7ED"/>
          </w:tcPr>
          <w:p>
            <w:pPr>
              <w:jc w:val="right"/>
              <w:ind w:right="430"/>
              <w:spacing w:after="0"/>
              <w:rPr>
                <w:sz w:val="20"/>
                <w:szCs w:val="20"/>
                <w:color w:val="auto"/>
              </w:rPr>
            </w:pPr>
            <w:r>
              <w:rPr>
                <w:rFonts w:ascii="Verdana" w:cs="Verdana" w:eastAsia="Verdana" w:hAnsi="Verdana"/>
                <w:sz w:val="18"/>
                <w:szCs w:val="18"/>
                <w:color w:val="auto"/>
              </w:rPr>
              <w:t>5.89 %</w:t>
            </w:r>
          </w:p>
        </w:tc>
        <w:tc>
          <w:tcPr>
            <w:tcW w:w="1620" w:type="dxa"/>
            <w:vAlign w:val="bottom"/>
            <w:shd w:val="clear" w:color="auto" w:fill="E0E7ED"/>
          </w:tcPr>
          <w:p>
            <w:pPr>
              <w:jc w:val="right"/>
              <w:ind w:right="310"/>
              <w:spacing w:after="0"/>
              <w:rPr>
                <w:sz w:val="20"/>
                <w:szCs w:val="20"/>
                <w:color w:val="auto"/>
              </w:rPr>
            </w:pPr>
            <w:r>
              <w:rPr>
                <w:rFonts w:ascii="Verdana" w:cs="Verdana" w:eastAsia="Verdana" w:hAnsi="Verdana"/>
                <w:sz w:val="18"/>
                <w:szCs w:val="18"/>
                <w:color w:val="auto"/>
              </w:rPr>
              <w:t>4.97 %</w:t>
            </w:r>
          </w:p>
        </w:tc>
        <w:tc>
          <w:tcPr>
            <w:tcW w:w="2840" w:type="dxa"/>
            <w:vAlign w:val="bottom"/>
            <w:shd w:val="clear" w:color="auto" w:fill="E0E7ED"/>
          </w:tcPr>
          <w:p>
            <w:pPr>
              <w:jc w:val="right"/>
              <w:ind w:right="1610"/>
              <w:spacing w:after="0"/>
              <w:rPr>
                <w:sz w:val="20"/>
                <w:szCs w:val="20"/>
                <w:color w:val="auto"/>
              </w:rPr>
            </w:pPr>
            <w:r>
              <w:rPr>
                <w:rFonts w:ascii="Verdana" w:cs="Verdana" w:eastAsia="Verdana" w:hAnsi="Verdana"/>
                <w:sz w:val="18"/>
                <w:szCs w:val="18"/>
                <w:color w:val="auto"/>
              </w:rPr>
              <w:t>92 bps</w:t>
            </w:r>
          </w:p>
        </w:tc>
      </w:tr>
    </w:tbl>
    <w:p>
      <w:pPr>
        <w:spacing w:after="0" w:line="200" w:lineRule="exact"/>
        <w:rPr>
          <w:sz w:val="20"/>
          <w:szCs w:val="20"/>
          <w:color w:val="auto"/>
        </w:rPr>
      </w:pPr>
    </w:p>
    <w:p>
      <w:pPr>
        <w:sectPr>
          <w:pgSz w:w="11900" w:h="16838" w:orient="portrait"/>
          <w:cols w:equalWidth="0" w:num="1">
            <w:col w:w="11240"/>
          </w:cols>
          <w:pgMar w:left="320" w:top="310" w:right="3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ind w:left="7940"/>
        <w:spacing w:after="0"/>
        <w:rPr>
          <w:sz w:val="20"/>
          <w:szCs w:val="20"/>
          <w:color w:val="auto"/>
        </w:rPr>
      </w:pPr>
      <w:r>
        <w:rPr>
          <w:rFonts w:ascii="Verdana" w:cs="Verdana" w:eastAsia="Verdana" w:hAnsi="Verdana"/>
          <w:sz w:val="17"/>
          <w:szCs w:val="17"/>
          <w:color w:val="808285"/>
        </w:rPr>
        <w:t xml:space="preserve">First Busey Corporation (BUSE) | </w:t>
      </w:r>
      <w:r>
        <w:rPr>
          <w:rFonts w:ascii="Verdana" w:cs="Verdana" w:eastAsia="Verdana" w:hAnsi="Verdana"/>
          <w:sz w:val="17"/>
          <w:szCs w:val="17"/>
          <w:b w:val="1"/>
          <w:bCs w:val="1"/>
          <w:color w:val="376484"/>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bookmarkStart w:id="91" w:name="page92"/>
    <w:bookmarkEnd w:id="91"/>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Asset quality remains strong both by Busey’s historical trends and by current industry trends, and our operating mandate and focus have been on emphasizing credit quality over asset growth.</w:t>
      </w:r>
    </w:p>
    <w:p>
      <w:pPr>
        <w:spacing w:after="0" w:line="144"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Non-performing loan balances increased to $8.2 million as of September 30, 2024, compared to $7.8 million as of December 31, 2023. Non-performing loans represented 0.11% of portfolio loans as of September 30, 2024, compared to 0.10% as of December 31, 2023. Our allowance for credit losses provided coverage of 10.34 times our non-performing loans at September 30, 2024, compared to 11.74 times at December 31, 2023.</w:t>
      </w:r>
    </w:p>
    <w:p>
      <w:pPr>
        <w:spacing w:after="0" w:line="157"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Non-performing assets, which includes non-performing loans, OREO, and other repossessed assets, increased to $8.3 million as of September 30, 2024, compared to $7.9 million as of December 31, 2023. Non-performing assets represented 0.07% of total assets as of September 30, 2024, compared to 0.06% as of December 31, 2023. Our allowance for credit losses provided coverage of 10.26 times our non-performing assets at September 30, 2024, compared to 11.55 times at December 31, 2023.</w:t>
      </w:r>
    </w:p>
    <w:p>
      <w:pPr>
        <w:spacing w:after="0" w:line="171"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Classified assets, which includes non-performing assets and substandard loans, increased to $89.0 million as of September 30, 2024, compared to $72.3 million as of December 31, 2023. Classified assets represented 5.89% of Busey Bank’s Tier 1 capital and ACL at September 30, 2024, compared to 4.97% at December 31, 2023.</w:t>
      </w:r>
    </w:p>
    <w:p>
      <w:pPr>
        <w:spacing w:after="0" w:line="154"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Net charge-offs totaled $0.2 million and $15.3 million for the three and nine months ended September 30, 2024, respectively, compared to $0.3 million and $1.8 million for the comparable periods in 2023. Increases in net charge-offs during the nine months ended September 30, 2024, were significantly attributable to a single C&amp;I credit relationship.</w:t>
      </w:r>
    </w:p>
    <w:p>
      <w:pPr>
        <w:spacing w:after="0" w:line="154"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Asset quality metrics remain dependent upon market-specific economic conditions, and specific measures may fluctuate from period to period. If economic conditions were to deteriorate, we would expect the credit quality of our loan portfolio to decline and loan defaults to increase.</w:t>
      </w:r>
    </w:p>
    <w:p>
      <w:pPr>
        <w:spacing w:after="0" w:line="167"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Potential Problem Loans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Potential problem loans are those classified as substandard that are not individually evaluated, non-accrual, or 90+ days past due, but where current information indicates that the borrower may not be able to comply with loan repayment terms. Management assesses the potential for loss on such loans and considers the effect of any potential loss in determining its provision for expected credit losses. Potential problem loans increased to $80.7 million as of September 30, 2024, compared to $64.3 million as of December 31, 2023. Management continues to monitor these loans and anticipates that restructurings, guarantees, additional collateral, or other planned actions will result in full repayment of the debts. As of September 30, 2024, management identified no other loans that represent or result from trends or uncertainties which would be expected to materially impact future operating results, liquidity, or capital resources.</w:t>
      </w:r>
    </w:p>
    <w:p>
      <w:pPr>
        <w:spacing w:after="0" w:line="161"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Deposits</w:t>
      </w:r>
    </w:p>
    <w:p>
      <w:pPr>
        <w:spacing w:after="0" w:line="186" w:lineRule="exact"/>
        <w:rPr>
          <w:sz w:val="20"/>
          <w:szCs w:val="20"/>
          <w:color w:val="auto"/>
        </w:rPr>
      </w:pPr>
    </w:p>
    <w:p>
      <w:pPr>
        <w:jc w:val="both"/>
        <w:spacing w:after="0" w:line="232" w:lineRule="auto"/>
        <w:rPr>
          <w:sz w:val="20"/>
          <w:szCs w:val="20"/>
          <w:color w:val="auto"/>
        </w:rPr>
      </w:pPr>
      <w:r>
        <w:rPr>
          <w:rFonts w:ascii="Verdana" w:cs="Verdana" w:eastAsia="Verdana" w:hAnsi="Verdana"/>
          <w:sz w:val="18"/>
          <w:szCs w:val="18"/>
          <w:color w:val="auto"/>
        </w:rPr>
        <w:t>Total deposits decreased by 3.4% to $9.94 billion as of September 30, 2024, compared to $10.29 billion as of December 31, 2023. The quality of our core deposit</w:t>
      </w:r>
      <w:r>
        <w:rPr>
          <w:rFonts w:ascii="Verdana" w:cs="Verdana" w:eastAsia="Verdana" w:hAnsi="Verdana"/>
          <w:sz w:val="23"/>
          <w:szCs w:val="23"/>
          <w:color w:val="auto"/>
          <w:vertAlign w:val="superscript"/>
        </w:rPr>
        <w:t>3</w:t>
      </w:r>
      <w:r>
        <w:rPr>
          <w:rFonts w:ascii="Verdana" w:cs="Verdana" w:eastAsia="Verdana" w:hAnsi="Verdana"/>
          <w:sz w:val="18"/>
          <w:szCs w:val="18"/>
          <w:color w:val="auto"/>
        </w:rPr>
        <w:t xml:space="preserve"> franchise coupled with cash flows from our securities portfolio allows us to fund loan growth while limiting our reliance on higher cost wholesale funding alternatives. We focus on deepening our relationships with customers to maintain and protect our strong core deposit franchise. As of September 30, 2024, our average customer tenure was 16.7 years for retail customers and 12.6 years for commercial customers. Core deposits include non-brokered transaction accounts, money market and savings deposit accounts, and time deposits of $250,000 or less. Core deposits represented 96.5% of total deposits as of September 30, 2024, compared to 96.2% as of December 31, 2023. Our estimated amount of uninsured deposits was $3.84 billion as of September 30, 2024, compared to $3.81 billion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1714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Verdana" w:cs="Verdana" w:eastAsia="Verdana" w:hAnsi="Verdana"/>
          <w:sz w:val="23"/>
          <w:szCs w:val="23"/>
          <w:color w:val="auto"/>
          <w:vertAlign w:val="superscript"/>
        </w:rPr>
        <w:t>3</w:t>
      </w:r>
      <w:r>
        <w:rPr>
          <w:rFonts w:ascii="Verdana" w:cs="Verdana" w:eastAsia="Verdana" w:hAnsi="Verdana"/>
          <w:sz w:val="13"/>
          <w:szCs w:val="13"/>
          <w:color w:val="auto"/>
        </w:rPr>
        <w:t xml:space="preserve">  Core deposits is a non-GAAP financial measure. For a reconciliation of non-GAAP measures to the most directly comparable GAAP financial measures, see </w:t>
      </w:r>
      <w:r>
        <w:rPr>
          <w:rFonts w:ascii="Verdana" w:cs="Verdana" w:eastAsia="Verdana" w:hAnsi="Verdana"/>
          <w:sz w:val="13"/>
          <w:szCs w:val="13"/>
          <w:i w:val="1"/>
          <w:iCs w:val="1"/>
          <w:u w:val="single" w:color="auto"/>
          <w:color w:val="0000FF"/>
        </w:rPr>
        <w:t>“Item 2.</w:t>
      </w:r>
    </w:p>
    <w:p>
      <w:pPr>
        <w:ind w:left="180"/>
        <w:spacing w:after="0"/>
        <w:rPr>
          <w:sz w:val="20"/>
          <w:szCs w:val="20"/>
          <w:color w:val="auto"/>
        </w:rPr>
      </w:pPr>
      <w:r>
        <w:rPr>
          <w:rFonts w:ascii="Verdana" w:cs="Verdana" w:eastAsia="Verdana" w:hAnsi="Verdana"/>
          <w:sz w:val="13"/>
          <w:szCs w:val="13"/>
          <w:i w:val="1"/>
          <w:iCs w:val="1"/>
          <w:u w:val="single" w:color="auto"/>
          <w:color w:val="0000FF"/>
        </w:rPr>
        <w:t>Management’s Discussion and Analysis—Non-GAAP Financial Information”</w:t>
      </w:r>
      <w:r>
        <w:rPr>
          <w:rFonts w:ascii="Verdana" w:cs="Verdana" w:eastAsia="Verdana" w:hAnsi="Verdana"/>
          <w:sz w:val="13"/>
          <w:szCs w:val="13"/>
          <w:i w:val="1"/>
          <w:iCs w:val="1"/>
          <w:color w:val="0000FF"/>
        </w:rPr>
        <w:t xml:space="preserve"> </w:t>
      </w:r>
      <w:r>
        <w:rPr>
          <w:rFonts w:ascii="Verdana" w:cs="Verdana" w:eastAsia="Verdana" w:hAnsi="Verdana"/>
          <w:sz w:val="13"/>
          <w:szCs w:val="13"/>
          <w:color w:val="000000"/>
        </w:rPr>
        <w:t>included in this Quarterly Report.</w:t>
      </w: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92" w:name="page93"/>
    <w:bookmarkEnd w:id="92"/>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Liquidity</w:t>
      </w:r>
    </w:p>
    <w:p>
      <w:pPr>
        <w:spacing w:after="0" w:line="173"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Liquidity management is the process by which we ensure that adequate liquid funds are available to meet the present and future cash flow obligations arising in the daily operations of our business. These financial obligations consist of needs for funds to meet commitments to borrowers for extensions of credit, fund capital expenditures, honor withdrawals by customers, pay dividends to stockholders, and pay operating expenses. Our most liquid assets are cash and due from banks, interest-bearing bank deposits, and federal funds sold. Balances of these assets are dependent on our operating, investing, lending, and financing activities during any given period.</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Average liquid assets are summarized in the table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60" w:type="dxa"/>
            <w:vAlign w:val="bottom"/>
            <w:gridSpan w:val="5"/>
          </w:tcPr>
          <w:p>
            <w:pPr>
              <w:ind w:left="140"/>
              <w:spacing w:after="0"/>
              <w:rPr>
                <w:sz w:val="20"/>
                <w:szCs w:val="20"/>
                <w:color w:val="auto"/>
              </w:rPr>
            </w:pPr>
            <w:r>
              <w:rPr>
                <w:rFonts w:ascii="Verdana" w:cs="Verdana" w:eastAsia="Verdana" w:hAnsi="Verdana"/>
                <w:sz w:val="13"/>
                <w:szCs w:val="13"/>
                <w:b w:val="1"/>
                <w:bCs w:val="1"/>
                <w:color w:val="auto"/>
              </w:rPr>
              <w:t>Three Months Ended September 30,</w:t>
            </w:r>
          </w:p>
        </w:tc>
        <w:tc>
          <w:tcPr>
            <w:tcW w:w="300" w:type="dxa"/>
            <w:vAlign w:val="bottom"/>
          </w:tcPr>
          <w:p>
            <w:pPr>
              <w:spacing w:after="0"/>
              <w:rPr>
                <w:sz w:val="15"/>
                <w:szCs w:val="15"/>
                <w:color w:val="auto"/>
              </w:rPr>
            </w:pPr>
          </w:p>
        </w:tc>
        <w:tc>
          <w:tcPr>
            <w:tcW w:w="3040" w:type="dxa"/>
            <w:vAlign w:val="bottom"/>
            <w:gridSpan w:val="4"/>
          </w:tcPr>
          <w:p>
            <w:pPr>
              <w:jc w:val="right"/>
              <w:ind w:right="355"/>
              <w:spacing w:after="0"/>
              <w:rPr>
                <w:sz w:val="20"/>
                <w:szCs w:val="20"/>
                <w:color w:val="auto"/>
              </w:rPr>
            </w:pPr>
            <w:r>
              <w:rPr>
                <w:rFonts w:ascii="Verdana" w:cs="Verdana" w:eastAsia="Verdana" w:hAnsi="Verdana"/>
                <w:sz w:val="13"/>
                <w:szCs w:val="13"/>
                <w:b w:val="1"/>
                <w:bCs w:val="1"/>
                <w:color w:val="auto"/>
              </w:rPr>
              <w:t>Nine Months Ended September 30,</w:t>
            </w:r>
          </w:p>
        </w:tc>
      </w:tr>
      <w:tr>
        <w:trPr>
          <w:trHeight w:val="170"/>
        </w:trPr>
        <w:tc>
          <w:tcPr>
            <w:tcW w:w="4480" w:type="dxa"/>
            <w:vAlign w:val="bottom"/>
            <w:tcBorders>
              <w:bottom w:val="single" w:sz="8" w:color="E0E7ED"/>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559"/>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55"/>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E0E7ED"/>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55"/>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44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Average liquid assets</w:t>
            </w:r>
          </w:p>
        </w:tc>
        <w:tc>
          <w:tcPr>
            <w:tcW w:w="260" w:type="dxa"/>
            <w:vAlign w:val="bottom"/>
            <w:shd w:val="clear" w:color="auto" w:fill="E0E7ED"/>
          </w:tcPr>
          <w:p>
            <w:pPr>
              <w:spacing w:after="0"/>
              <w:rPr>
                <w:sz w:val="22"/>
                <w:szCs w:val="22"/>
                <w:color w:val="auto"/>
              </w:rPr>
            </w:pPr>
          </w:p>
        </w:tc>
        <w:tc>
          <w:tcPr>
            <w:tcW w:w="13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126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30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1260" w:type="dxa"/>
            <w:vAlign w:val="bottom"/>
            <w:shd w:val="clear" w:color="auto" w:fill="E0E7ED"/>
          </w:tcPr>
          <w:p>
            <w:pPr>
              <w:spacing w:after="0"/>
              <w:rPr>
                <w:sz w:val="22"/>
                <w:szCs w:val="22"/>
                <w:color w:val="auto"/>
              </w:rPr>
            </w:pPr>
          </w:p>
        </w:tc>
      </w:tr>
      <w:tr>
        <w:trPr>
          <w:trHeight w:val="263"/>
        </w:trPr>
        <w:tc>
          <w:tcPr>
            <w:tcW w:w="4480" w:type="dxa"/>
            <w:vAlign w:val="bottom"/>
          </w:tcPr>
          <w:p>
            <w:pPr>
              <w:ind w:left="180"/>
              <w:spacing w:after="0"/>
              <w:rPr>
                <w:sz w:val="20"/>
                <w:szCs w:val="20"/>
                <w:color w:val="auto"/>
              </w:rPr>
            </w:pPr>
            <w:r>
              <w:rPr>
                <w:rFonts w:ascii="Verdana" w:cs="Verdana" w:eastAsia="Verdana" w:hAnsi="Verdana"/>
                <w:sz w:val="18"/>
                <w:szCs w:val="18"/>
                <w:color w:val="auto"/>
              </w:rPr>
              <w:t>Cash and due from banks</w:t>
            </w:r>
          </w:p>
        </w:tc>
        <w:tc>
          <w:tcPr>
            <w:tcW w:w="260" w:type="dxa"/>
            <w:vAlign w:val="bottom"/>
          </w:tcPr>
          <w:p>
            <w:pPr>
              <w:jc w:val="right"/>
              <w:ind w:right="50"/>
              <w:spacing w:after="0"/>
              <w:rPr>
                <w:sz w:val="20"/>
                <w:szCs w:val="20"/>
                <w:color w:val="auto"/>
              </w:rPr>
            </w:pPr>
            <w:r>
              <w:rPr>
                <w:rFonts w:ascii="Verdana" w:cs="Verdana" w:eastAsia="Verdana" w:hAnsi="Verdana"/>
                <w:sz w:val="18"/>
                <w:szCs w:val="18"/>
                <w:color w:val="auto"/>
                <w:w w:val="86"/>
              </w:rPr>
              <w:t>$</w:t>
            </w:r>
          </w:p>
        </w:tc>
        <w:tc>
          <w:tcPr>
            <w:tcW w:w="1360" w:type="dxa"/>
            <w:vAlign w:val="bottom"/>
          </w:tcPr>
          <w:p>
            <w:pPr>
              <w:jc w:val="right"/>
              <w:ind w:right="199"/>
              <w:spacing w:after="0"/>
              <w:rPr>
                <w:sz w:val="20"/>
                <w:szCs w:val="20"/>
                <w:color w:val="auto"/>
              </w:rPr>
            </w:pPr>
            <w:r>
              <w:rPr>
                <w:rFonts w:ascii="Verdana" w:cs="Verdana" w:eastAsia="Verdana" w:hAnsi="Verdana"/>
                <w:sz w:val="18"/>
                <w:szCs w:val="18"/>
                <w:color w:val="auto"/>
              </w:rPr>
              <w:t>113,122</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Verdana" w:cs="Verdana" w:eastAsia="Verdana" w:hAnsi="Verdana"/>
                <w:sz w:val="18"/>
                <w:szCs w:val="18"/>
                <w:color w:val="auto"/>
                <w:w w:val="86"/>
              </w:rPr>
              <w:t>$</w:t>
            </w:r>
          </w:p>
        </w:tc>
        <w:tc>
          <w:tcPr>
            <w:tcW w:w="1260" w:type="dxa"/>
            <w:vAlign w:val="bottom"/>
          </w:tcPr>
          <w:p>
            <w:pPr>
              <w:jc w:val="right"/>
              <w:ind w:right="195"/>
              <w:spacing w:after="0"/>
              <w:rPr>
                <w:sz w:val="20"/>
                <w:szCs w:val="20"/>
                <w:color w:val="auto"/>
              </w:rPr>
            </w:pPr>
            <w:r>
              <w:rPr>
                <w:rFonts w:ascii="Verdana" w:cs="Verdana" w:eastAsia="Verdana" w:hAnsi="Verdana"/>
                <w:sz w:val="18"/>
                <w:szCs w:val="18"/>
                <w:color w:val="auto"/>
              </w:rPr>
              <w:t>119,874</w:t>
            </w:r>
          </w:p>
        </w:tc>
        <w:tc>
          <w:tcPr>
            <w:tcW w:w="8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ind w:right="199"/>
              <w:spacing w:after="0"/>
              <w:rPr>
                <w:sz w:val="20"/>
                <w:szCs w:val="20"/>
                <w:color w:val="auto"/>
              </w:rPr>
            </w:pPr>
            <w:r>
              <w:rPr>
                <w:rFonts w:ascii="Verdana" w:cs="Verdana" w:eastAsia="Verdana" w:hAnsi="Verdana"/>
                <w:sz w:val="18"/>
                <w:szCs w:val="18"/>
                <w:color w:val="auto"/>
              </w:rPr>
              <w:t>109,507</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ind w:right="195"/>
              <w:spacing w:after="0"/>
              <w:rPr>
                <w:sz w:val="20"/>
                <w:szCs w:val="20"/>
                <w:color w:val="auto"/>
              </w:rPr>
            </w:pPr>
            <w:r>
              <w:rPr>
                <w:rFonts w:ascii="Verdana" w:cs="Verdana" w:eastAsia="Verdana" w:hAnsi="Verdana"/>
                <w:sz w:val="18"/>
                <w:szCs w:val="18"/>
                <w:color w:val="auto"/>
              </w:rPr>
              <w:t>117,977</w:t>
            </w:r>
          </w:p>
        </w:tc>
      </w:tr>
      <w:tr>
        <w:trPr>
          <w:trHeight w:val="270"/>
        </w:trPr>
        <w:tc>
          <w:tcPr>
            <w:tcW w:w="44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Interest-bearing bank deposits</w:t>
            </w:r>
          </w:p>
        </w:tc>
        <w:tc>
          <w:tcPr>
            <w:tcW w:w="260" w:type="dxa"/>
            <w:vAlign w:val="bottom"/>
            <w:tcBorders>
              <w:bottom w:val="single" w:sz="8" w:color="auto"/>
            </w:tcBorders>
            <w:shd w:val="clear" w:color="auto" w:fill="E0E7ED"/>
          </w:tcPr>
          <w:p>
            <w:pPr>
              <w:spacing w:after="0"/>
              <w:rPr>
                <w:sz w:val="23"/>
                <w:szCs w:val="23"/>
                <w:color w:val="auto"/>
              </w:rPr>
            </w:pPr>
          </w:p>
        </w:tc>
        <w:tc>
          <w:tcPr>
            <w:tcW w:w="1360" w:type="dxa"/>
            <w:vAlign w:val="bottom"/>
            <w:tcBorders>
              <w:bottom w:val="single" w:sz="8" w:color="auto"/>
            </w:tcBorders>
            <w:shd w:val="clear" w:color="auto" w:fill="E0E7ED"/>
          </w:tcPr>
          <w:p>
            <w:pPr>
              <w:jc w:val="right"/>
              <w:ind w:right="199"/>
              <w:spacing w:after="0"/>
              <w:rPr>
                <w:sz w:val="20"/>
                <w:szCs w:val="20"/>
                <w:color w:val="auto"/>
              </w:rPr>
            </w:pPr>
            <w:r>
              <w:rPr>
                <w:rFonts w:ascii="Verdana" w:cs="Verdana" w:eastAsia="Verdana" w:hAnsi="Verdana"/>
                <w:sz w:val="18"/>
                <w:szCs w:val="18"/>
                <w:color w:val="auto"/>
              </w:rPr>
              <w:t>389,005</w:t>
            </w:r>
          </w:p>
        </w:tc>
        <w:tc>
          <w:tcPr>
            <w:tcW w:w="100" w:type="dxa"/>
            <w:vAlign w:val="bottom"/>
            <w:shd w:val="clear" w:color="auto" w:fill="E0E7ED"/>
          </w:tcPr>
          <w:p>
            <w:pPr>
              <w:spacing w:after="0"/>
              <w:rPr>
                <w:sz w:val="23"/>
                <w:szCs w:val="23"/>
                <w:color w:val="auto"/>
              </w:rPr>
            </w:pPr>
          </w:p>
        </w:tc>
        <w:tc>
          <w:tcPr>
            <w:tcW w:w="36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ind w:right="195"/>
              <w:spacing w:after="0"/>
              <w:rPr>
                <w:sz w:val="20"/>
                <w:szCs w:val="20"/>
                <w:color w:val="auto"/>
              </w:rPr>
            </w:pPr>
            <w:r>
              <w:rPr>
                <w:rFonts w:ascii="Verdana" w:cs="Verdana" w:eastAsia="Verdana" w:hAnsi="Verdana"/>
                <w:sz w:val="18"/>
                <w:szCs w:val="18"/>
                <w:color w:val="auto"/>
              </w:rPr>
              <w:t>132,856</w:t>
            </w:r>
          </w:p>
        </w:tc>
        <w:tc>
          <w:tcPr>
            <w:tcW w:w="80" w:type="dxa"/>
            <w:vAlign w:val="bottom"/>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320" w:type="dxa"/>
            <w:vAlign w:val="bottom"/>
            <w:tcBorders>
              <w:bottom w:val="single" w:sz="8" w:color="auto"/>
            </w:tcBorders>
            <w:shd w:val="clear" w:color="auto" w:fill="E0E7ED"/>
          </w:tcPr>
          <w:p>
            <w:pPr>
              <w:jc w:val="right"/>
              <w:ind w:right="199"/>
              <w:spacing w:after="0"/>
              <w:rPr>
                <w:sz w:val="20"/>
                <w:szCs w:val="20"/>
                <w:color w:val="auto"/>
              </w:rPr>
            </w:pPr>
            <w:r>
              <w:rPr>
                <w:rFonts w:ascii="Verdana" w:cs="Verdana" w:eastAsia="Verdana" w:hAnsi="Verdana"/>
                <w:sz w:val="18"/>
                <w:szCs w:val="18"/>
                <w:color w:val="auto"/>
              </w:rPr>
              <w:t>371,472</w:t>
            </w:r>
          </w:p>
        </w:tc>
        <w:tc>
          <w:tcPr>
            <w:tcW w:w="100" w:type="dxa"/>
            <w:vAlign w:val="bottom"/>
            <w:shd w:val="clear" w:color="auto" w:fill="E0E7ED"/>
          </w:tcPr>
          <w:p>
            <w:pPr>
              <w:spacing w:after="0"/>
              <w:rPr>
                <w:sz w:val="23"/>
                <w:szCs w:val="23"/>
                <w:color w:val="auto"/>
              </w:rPr>
            </w:pPr>
          </w:p>
        </w:tc>
        <w:tc>
          <w:tcPr>
            <w:tcW w:w="36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ind w:right="195"/>
              <w:spacing w:after="0"/>
              <w:rPr>
                <w:sz w:val="20"/>
                <w:szCs w:val="20"/>
                <w:color w:val="auto"/>
              </w:rPr>
            </w:pPr>
            <w:r>
              <w:rPr>
                <w:rFonts w:ascii="Verdana" w:cs="Verdana" w:eastAsia="Verdana" w:hAnsi="Verdana"/>
                <w:sz w:val="18"/>
                <w:szCs w:val="18"/>
                <w:color w:val="auto"/>
              </w:rPr>
              <w:t>119,393</w:t>
            </w:r>
          </w:p>
        </w:tc>
      </w:tr>
      <w:tr>
        <w:trPr>
          <w:trHeight w:val="270"/>
        </w:trPr>
        <w:tc>
          <w:tcPr>
            <w:tcW w:w="4480" w:type="dxa"/>
            <w:vAlign w:val="bottom"/>
          </w:tcPr>
          <w:p>
            <w:pPr>
              <w:ind w:left="20"/>
              <w:spacing w:after="0"/>
              <w:rPr>
                <w:sz w:val="20"/>
                <w:szCs w:val="20"/>
                <w:color w:val="auto"/>
              </w:rPr>
            </w:pPr>
            <w:r>
              <w:rPr>
                <w:rFonts w:ascii="Verdana" w:cs="Verdana" w:eastAsia="Verdana" w:hAnsi="Verdana"/>
                <w:sz w:val="18"/>
                <w:szCs w:val="18"/>
                <w:color w:val="auto"/>
              </w:rPr>
              <w:t>Total average liquid assets</w:t>
            </w:r>
          </w:p>
        </w:tc>
        <w:tc>
          <w:tcPr>
            <w:tcW w:w="260" w:type="dxa"/>
            <w:vAlign w:val="bottom"/>
            <w:tcBorders>
              <w:bottom w:val="single" w:sz="8" w:color="auto"/>
            </w:tcBorders>
          </w:tcPr>
          <w:p>
            <w:pPr>
              <w:jc w:val="right"/>
              <w:ind w:right="50"/>
              <w:spacing w:after="0"/>
              <w:rPr>
                <w:sz w:val="20"/>
                <w:szCs w:val="20"/>
                <w:color w:val="auto"/>
              </w:rPr>
            </w:pPr>
            <w:r>
              <w:rPr>
                <w:rFonts w:ascii="Verdana" w:cs="Verdana" w:eastAsia="Verdana" w:hAnsi="Verdana"/>
                <w:sz w:val="18"/>
                <w:szCs w:val="18"/>
                <w:color w:val="auto"/>
                <w:w w:val="86"/>
              </w:rPr>
              <w:t>$</w:t>
            </w:r>
          </w:p>
        </w:tc>
        <w:tc>
          <w:tcPr>
            <w:tcW w:w="1360" w:type="dxa"/>
            <w:vAlign w:val="bottom"/>
            <w:tcBorders>
              <w:bottom w:val="single" w:sz="8" w:color="auto"/>
            </w:tcBorders>
          </w:tcPr>
          <w:p>
            <w:pPr>
              <w:jc w:val="right"/>
              <w:ind w:right="199"/>
              <w:spacing w:after="0"/>
              <w:rPr>
                <w:sz w:val="20"/>
                <w:szCs w:val="20"/>
                <w:color w:val="auto"/>
              </w:rPr>
            </w:pPr>
            <w:r>
              <w:rPr>
                <w:rFonts w:ascii="Verdana" w:cs="Verdana" w:eastAsia="Verdana" w:hAnsi="Verdana"/>
                <w:sz w:val="18"/>
                <w:szCs w:val="18"/>
                <w:color w:val="auto"/>
              </w:rPr>
              <w:t>502,127</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50"/>
              <w:spacing w:after="0"/>
              <w:rPr>
                <w:sz w:val="20"/>
                <w:szCs w:val="20"/>
                <w:color w:val="auto"/>
              </w:rPr>
            </w:pPr>
            <w:r>
              <w:rPr>
                <w:rFonts w:ascii="Verdana" w:cs="Verdana" w:eastAsia="Verdana" w:hAnsi="Verdana"/>
                <w:sz w:val="18"/>
                <w:szCs w:val="18"/>
                <w:color w:val="auto"/>
                <w:w w:val="86"/>
              </w:rPr>
              <w:t>$</w:t>
            </w:r>
          </w:p>
        </w:tc>
        <w:tc>
          <w:tcPr>
            <w:tcW w:w="1260" w:type="dxa"/>
            <w:vAlign w:val="bottom"/>
            <w:tcBorders>
              <w:bottom w:val="single" w:sz="8" w:color="auto"/>
            </w:tcBorders>
          </w:tcPr>
          <w:p>
            <w:pPr>
              <w:jc w:val="right"/>
              <w:ind w:right="195"/>
              <w:spacing w:after="0"/>
              <w:rPr>
                <w:sz w:val="20"/>
                <w:szCs w:val="20"/>
                <w:color w:val="auto"/>
              </w:rPr>
            </w:pPr>
            <w:r>
              <w:rPr>
                <w:rFonts w:ascii="Verdana" w:cs="Verdana" w:eastAsia="Verdana" w:hAnsi="Verdana"/>
                <w:sz w:val="18"/>
                <w:szCs w:val="18"/>
                <w:color w:val="auto"/>
              </w:rPr>
              <w:t>252,730</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tcPr>
          <w:p>
            <w:pPr>
              <w:jc w:val="right"/>
              <w:ind w:right="199"/>
              <w:spacing w:after="0"/>
              <w:rPr>
                <w:sz w:val="20"/>
                <w:szCs w:val="20"/>
                <w:color w:val="auto"/>
              </w:rPr>
            </w:pPr>
            <w:r>
              <w:rPr>
                <w:rFonts w:ascii="Verdana" w:cs="Verdana" w:eastAsia="Verdana" w:hAnsi="Verdana"/>
                <w:sz w:val="18"/>
                <w:szCs w:val="18"/>
                <w:color w:val="auto"/>
              </w:rPr>
              <w:t>480,979</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tcPr>
          <w:p>
            <w:pPr>
              <w:jc w:val="right"/>
              <w:ind w:right="195"/>
              <w:spacing w:after="0"/>
              <w:rPr>
                <w:sz w:val="20"/>
                <w:szCs w:val="20"/>
                <w:color w:val="auto"/>
              </w:rPr>
            </w:pPr>
            <w:r>
              <w:rPr>
                <w:rFonts w:ascii="Verdana" w:cs="Verdana" w:eastAsia="Verdana" w:hAnsi="Verdana"/>
                <w:sz w:val="18"/>
                <w:szCs w:val="18"/>
                <w:color w:val="auto"/>
              </w:rPr>
              <w:t>237,370</w:t>
            </w:r>
          </w:p>
        </w:tc>
      </w:tr>
      <w:tr>
        <w:trPr>
          <w:trHeight w:val="20"/>
        </w:trPr>
        <w:tc>
          <w:tcPr>
            <w:tcW w:w="4480" w:type="dxa"/>
            <w:vAlign w:val="bottom"/>
            <w:tcBorders>
              <w:bottom w:val="single" w:sz="8" w:color="E0E7E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448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36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60" w:type="dxa"/>
            <w:vAlign w:val="bottom"/>
            <w:shd w:val="clear" w:color="auto" w:fill="E0E7ED"/>
          </w:tcPr>
          <w:p>
            <w:pPr>
              <w:spacing w:after="0"/>
              <w:rPr>
                <w:sz w:val="20"/>
                <w:szCs w:val="20"/>
                <w:color w:val="auto"/>
              </w:rPr>
            </w:pPr>
          </w:p>
        </w:tc>
        <w:tc>
          <w:tcPr>
            <w:tcW w:w="126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3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60" w:type="dxa"/>
            <w:vAlign w:val="bottom"/>
            <w:shd w:val="clear" w:color="auto" w:fill="E0E7ED"/>
          </w:tcPr>
          <w:p>
            <w:pPr>
              <w:spacing w:after="0"/>
              <w:rPr>
                <w:sz w:val="20"/>
                <w:szCs w:val="20"/>
                <w:color w:val="auto"/>
              </w:rPr>
            </w:pPr>
          </w:p>
        </w:tc>
        <w:tc>
          <w:tcPr>
            <w:tcW w:w="1260" w:type="dxa"/>
            <w:vAlign w:val="bottom"/>
            <w:shd w:val="clear" w:color="auto" w:fill="E0E7ED"/>
          </w:tcPr>
          <w:p>
            <w:pPr>
              <w:spacing w:after="0"/>
              <w:rPr>
                <w:sz w:val="20"/>
                <w:szCs w:val="20"/>
                <w:color w:val="auto"/>
              </w:rPr>
            </w:pPr>
          </w:p>
        </w:tc>
      </w:tr>
      <w:tr>
        <w:trPr>
          <w:trHeight w:val="238"/>
        </w:trPr>
        <w:tc>
          <w:tcPr>
            <w:tcW w:w="4480" w:type="dxa"/>
            <w:vAlign w:val="bottom"/>
          </w:tcPr>
          <w:p>
            <w:pPr>
              <w:ind w:left="20"/>
              <w:spacing w:after="0"/>
              <w:rPr>
                <w:sz w:val="20"/>
                <w:szCs w:val="20"/>
                <w:color w:val="auto"/>
              </w:rPr>
            </w:pPr>
            <w:r>
              <w:rPr>
                <w:rFonts w:ascii="Verdana" w:cs="Verdana" w:eastAsia="Verdana" w:hAnsi="Verdana"/>
                <w:sz w:val="18"/>
                <w:szCs w:val="18"/>
                <w:color w:val="auto"/>
              </w:rPr>
              <w:t>Average liquid assets as a percent of average</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5"/>
        </w:trPr>
        <w:tc>
          <w:tcPr>
            <w:tcW w:w="4480" w:type="dxa"/>
            <w:vAlign w:val="bottom"/>
          </w:tcPr>
          <w:p>
            <w:pPr>
              <w:ind w:left="20"/>
              <w:spacing w:after="0"/>
              <w:rPr>
                <w:sz w:val="20"/>
                <w:szCs w:val="20"/>
                <w:color w:val="auto"/>
              </w:rPr>
            </w:pPr>
            <w:r>
              <w:rPr>
                <w:rFonts w:ascii="Verdana" w:cs="Verdana" w:eastAsia="Verdana" w:hAnsi="Verdana"/>
                <w:sz w:val="18"/>
                <w:szCs w:val="18"/>
                <w:color w:val="auto"/>
              </w:rPr>
              <w:t>total assets</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Verdana" w:cs="Verdana" w:eastAsia="Verdana" w:hAnsi="Verdana"/>
                <w:sz w:val="18"/>
                <w:szCs w:val="18"/>
                <w:color w:val="auto"/>
              </w:rPr>
              <w:t>4.2 %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2.1 %</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4.0 %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1.9 %</w:t>
            </w:r>
          </w:p>
        </w:tc>
      </w:tr>
    </w:tbl>
    <w:p>
      <w:pPr>
        <w:spacing w:after="0" w:line="278"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Cash and unencumbered securities on our </w:t>
      </w:r>
      <w:r>
        <w:rPr>
          <w:rFonts w:ascii="Verdana" w:cs="Verdana" w:eastAsia="Verdana" w:hAnsi="Verdana"/>
          <w:sz w:val="18"/>
          <w:szCs w:val="18"/>
          <w:u w:val="single" w:color="auto"/>
          <w:color w:val="0000FF"/>
        </w:rPr>
        <w:t>Consolidated Balance Sheets (Unaudited)</w:t>
      </w:r>
      <w:r>
        <w:rPr>
          <w:rFonts w:ascii="Verdana" w:cs="Verdana" w:eastAsia="Verdana" w:hAnsi="Verdana"/>
          <w:sz w:val="18"/>
          <w:szCs w:val="18"/>
          <w:color w:val="auto"/>
        </w:rPr>
        <w:t xml:space="preserve"> are summarized as follows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5"/>
                <w:szCs w:val="15"/>
                <w:color w:val="auto"/>
              </w:rPr>
            </w:pPr>
          </w:p>
        </w:tc>
      </w:tr>
      <w:tr>
        <w:trPr>
          <w:trHeight w:val="122"/>
        </w:trPr>
        <w:tc>
          <w:tcPr>
            <w:tcW w:w="8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gridSpan w:val="2"/>
          </w:tcPr>
          <w:p>
            <w:pPr>
              <w:ind w:left="60"/>
              <w:spacing w:after="0" w:line="122" w:lineRule="exact"/>
              <w:rPr>
                <w:sz w:val="20"/>
                <w:szCs w:val="20"/>
                <w:color w:val="auto"/>
              </w:rPr>
            </w:pPr>
            <w:r>
              <w:rPr>
                <w:rFonts w:ascii="Verdana" w:cs="Verdana" w:eastAsia="Verdana" w:hAnsi="Verdana"/>
                <w:sz w:val="13"/>
                <w:szCs w:val="13"/>
                <w:b w:val="1"/>
                <w:bCs w:val="1"/>
                <w:color w:val="auto"/>
              </w:rPr>
              <w:t>September 30,</w:t>
            </w:r>
          </w:p>
        </w:tc>
        <w:tc>
          <w:tcPr>
            <w:tcW w:w="200" w:type="dxa"/>
            <w:vAlign w:val="bottom"/>
          </w:tcPr>
          <w:p>
            <w:pPr>
              <w:spacing w:after="0"/>
              <w:rPr>
                <w:sz w:val="10"/>
                <w:szCs w:val="10"/>
                <w:color w:val="auto"/>
              </w:rPr>
            </w:pPr>
          </w:p>
        </w:tc>
        <w:tc>
          <w:tcPr>
            <w:tcW w:w="1320" w:type="dxa"/>
            <w:vAlign w:val="bottom"/>
          </w:tcPr>
          <w:p>
            <w:pPr>
              <w:jc w:val="right"/>
              <w:ind w:right="179"/>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812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02"/>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ind w:left="380"/>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Cash and unencumbered securities</w:t>
            </w:r>
          </w:p>
        </w:tc>
        <w:tc>
          <w:tcPr>
            <w:tcW w:w="180" w:type="dxa"/>
            <w:vAlign w:val="bottom"/>
            <w:shd w:val="clear" w:color="auto" w:fill="E0E7ED"/>
          </w:tcPr>
          <w:p>
            <w:pPr>
              <w:spacing w:after="0"/>
              <w:rPr>
                <w:sz w:val="22"/>
                <w:szCs w:val="22"/>
                <w:color w:val="auto"/>
              </w:rPr>
            </w:pPr>
          </w:p>
        </w:tc>
        <w:tc>
          <w:tcPr>
            <w:tcW w:w="13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Total cash and cash equivalents</w:t>
            </w:r>
          </w:p>
        </w:tc>
        <w:tc>
          <w:tcPr>
            <w:tcW w:w="18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40" w:type="dxa"/>
            <w:vAlign w:val="bottom"/>
          </w:tcPr>
          <w:p>
            <w:pPr>
              <w:jc w:val="right"/>
              <w:ind w:right="22"/>
              <w:spacing w:after="0"/>
              <w:rPr>
                <w:sz w:val="20"/>
                <w:szCs w:val="20"/>
                <w:color w:val="auto"/>
              </w:rPr>
            </w:pPr>
            <w:r>
              <w:rPr>
                <w:rFonts w:ascii="Verdana" w:cs="Verdana" w:eastAsia="Verdana" w:hAnsi="Verdana"/>
                <w:sz w:val="18"/>
                <w:szCs w:val="18"/>
                <w:color w:val="auto"/>
              </w:rPr>
              <w:t>553,709</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spacing w:after="0"/>
              <w:rPr>
                <w:sz w:val="20"/>
                <w:szCs w:val="20"/>
                <w:color w:val="auto"/>
              </w:rPr>
            </w:pPr>
            <w:r>
              <w:rPr>
                <w:rFonts w:ascii="Verdana" w:cs="Verdana" w:eastAsia="Verdana" w:hAnsi="Verdana"/>
                <w:sz w:val="18"/>
                <w:szCs w:val="18"/>
                <w:color w:val="auto"/>
              </w:rPr>
              <w:t>719,581</w:t>
            </w: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Debt securities available for sale</w:t>
            </w:r>
          </w:p>
        </w:tc>
        <w:tc>
          <w:tcPr>
            <w:tcW w:w="180" w:type="dxa"/>
            <w:vAlign w:val="bottom"/>
            <w:shd w:val="clear" w:color="auto" w:fill="E0E7ED"/>
          </w:tcPr>
          <w:p>
            <w:pPr>
              <w:spacing w:after="0"/>
              <w:rPr>
                <w:sz w:val="24"/>
                <w:szCs w:val="24"/>
                <w:color w:val="auto"/>
              </w:rPr>
            </w:pPr>
          </w:p>
        </w:tc>
        <w:tc>
          <w:tcPr>
            <w:tcW w:w="1340" w:type="dxa"/>
            <w:vAlign w:val="bottom"/>
            <w:shd w:val="clear" w:color="auto" w:fill="E0E7ED"/>
          </w:tcPr>
          <w:p>
            <w:pPr>
              <w:jc w:val="right"/>
              <w:ind w:right="22"/>
              <w:spacing w:after="0"/>
              <w:rPr>
                <w:sz w:val="20"/>
                <w:szCs w:val="20"/>
                <w:color w:val="auto"/>
              </w:rPr>
            </w:pPr>
            <w:r>
              <w:rPr>
                <w:rFonts w:ascii="Verdana" w:cs="Verdana" w:eastAsia="Verdana" w:hAnsi="Verdana"/>
                <w:sz w:val="18"/>
                <w:szCs w:val="18"/>
                <w:color w:val="auto"/>
              </w:rPr>
              <w:t>1,818,117</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2,087,571</w:t>
            </w:r>
          </w:p>
        </w:tc>
      </w:tr>
      <w:tr>
        <w:trPr>
          <w:trHeight w:val="263"/>
        </w:trPr>
        <w:tc>
          <w:tcPr>
            <w:tcW w:w="81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Debt securities available for sale pledged as collateral</w:t>
            </w: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(697,109)</w:t>
            </w:r>
          </w:p>
        </w:tc>
        <w:tc>
          <w:tcPr>
            <w:tcW w:w="8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ind w:left="380"/>
              <w:spacing w:after="0"/>
              <w:rPr>
                <w:sz w:val="20"/>
                <w:szCs w:val="20"/>
                <w:color w:val="auto"/>
              </w:rPr>
            </w:pPr>
            <w:r>
              <w:rPr>
                <w:rFonts w:ascii="Verdana" w:cs="Verdana" w:eastAsia="Verdana" w:hAnsi="Verdana"/>
                <w:sz w:val="18"/>
                <w:szCs w:val="18"/>
                <w:color w:val="auto"/>
              </w:rPr>
              <w:t>(649,769)</w:t>
            </w:r>
          </w:p>
        </w:tc>
      </w:tr>
      <w:tr>
        <w:trPr>
          <w:trHeight w:val="295"/>
        </w:trPr>
        <w:tc>
          <w:tcPr>
            <w:tcW w:w="81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Cash and unencumbered securities</w:t>
            </w:r>
          </w:p>
        </w:tc>
        <w:tc>
          <w:tcPr>
            <w:tcW w:w="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40" w:type="dxa"/>
            <w:vAlign w:val="bottom"/>
            <w:tcBorders>
              <w:bottom w:val="single" w:sz="8" w:color="auto"/>
            </w:tcBorders>
            <w:shd w:val="clear" w:color="auto" w:fill="E0E7ED"/>
          </w:tcPr>
          <w:p>
            <w:pPr>
              <w:jc w:val="right"/>
              <w:ind w:right="22"/>
              <w:spacing w:after="0"/>
              <w:rPr>
                <w:sz w:val="20"/>
                <w:szCs w:val="20"/>
                <w:color w:val="auto"/>
              </w:rPr>
            </w:pPr>
            <w:r>
              <w:rPr>
                <w:rFonts w:ascii="Verdana" w:cs="Verdana" w:eastAsia="Verdana" w:hAnsi="Verdana"/>
                <w:sz w:val="18"/>
                <w:szCs w:val="18"/>
                <w:color w:val="auto"/>
              </w:rPr>
              <w:t>1,674,717</w:t>
            </w:r>
          </w:p>
        </w:tc>
        <w:tc>
          <w:tcPr>
            <w:tcW w:w="80" w:type="dxa"/>
            <w:vAlign w:val="bottom"/>
            <w:tcBorders>
              <w:bottom w:val="single" w:sz="8" w:color="E0E7ED"/>
            </w:tcBorders>
            <w:shd w:val="clear" w:color="auto" w:fill="E0E7ED"/>
          </w:tcPr>
          <w:p>
            <w:pPr>
              <w:spacing w:after="0"/>
              <w:rPr>
                <w:sz w:val="24"/>
                <w:szCs w:val="24"/>
                <w:color w:val="auto"/>
              </w:rPr>
            </w:pPr>
          </w:p>
        </w:tc>
        <w:tc>
          <w:tcPr>
            <w:tcW w:w="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2,157,383</w:t>
            </w:r>
          </w:p>
        </w:tc>
      </w:tr>
      <w:tr>
        <w:trPr>
          <w:trHeight w:val="20"/>
        </w:trPr>
        <w:tc>
          <w:tcPr>
            <w:tcW w:w="812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13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320" w:type="dxa"/>
            <w:vAlign w:val="bottom"/>
            <w:tcBorders>
              <w:top w:val="single" w:sz="8" w:color="E0E7ED"/>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Busey’s primary sources of funds consist of deposits, investment maturities and sales, loan principal repayments, and capital funds. Additional liquidity is provided by the ability to borrow from the FHLB, the Federal Reserve, and our revolving credit facility, as summarized in the table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5"/>
                <w:szCs w:val="15"/>
                <w:color w:val="auto"/>
              </w:rPr>
            </w:pPr>
          </w:p>
        </w:tc>
      </w:tr>
      <w:tr>
        <w:trPr>
          <w:trHeight w:val="122"/>
        </w:trPr>
        <w:tc>
          <w:tcPr>
            <w:tcW w:w="8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gridSpan w:val="2"/>
          </w:tcPr>
          <w:p>
            <w:pPr>
              <w:ind w:left="60"/>
              <w:spacing w:after="0" w:line="122" w:lineRule="exact"/>
              <w:rPr>
                <w:sz w:val="20"/>
                <w:szCs w:val="20"/>
                <w:color w:val="auto"/>
              </w:rPr>
            </w:pPr>
            <w:r>
              <w:rPr>
                <w:rFonts w:ascii="Verdana" w:cs="Verdana" w:eastAsia="Verdana" w:hAnsi="Verdana"/>
                <w:sz w:val="13"/>
                <w:szCs w:val="13"/>
                <w:b w:val="1"/>
                <w:bCs w:val="1"/>
                <w:color w:val="auto"/>
              </w:rPr>
              <w:t>September 30,</w:t>
            </w:r>
          </w:p>
        </w:tc>
        <w:tc>
          <w:tcPr>
            <w:tcW w:w="200" w:type="dxa"/>
            <w:vAlign w:val="bottom"/>
          </w:tcPr>
          <w:p>
            <w:pPr>
              <w:spacing w:after="0"/>
              <w:rPr>
                <w:sz w:val="10"/>
                <w:szCs w:val="10"/>
                <w:color w:val="auto"/>
              </w:rPr>
            </w:pPr>
          </w:p>
        </w:tc>
        <w:tc>
          <w:tcPr>
            <w:tcW w:w="1320" w:type="dxa"/>
            <w:vAlign w:val="bottom"/>
          </w:tcPr>
          <w:p>
            <w:pPr>
              <w:jc w:val="right"/>
              <w:ind w:right="178"/>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812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00"/>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98"/>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Additional available borrowing capacity</w:t>
            </w:r>
          </w:p>
        </w:tc>
        <w:tc>
          <w:tcPr>
            <w:tcW w:w="180" w:type="dxa"/>
            <w:vAlign w:val="bottom"/>
            <w:shd w:val="clear" w:color="auto" w:fill="E0E7ED"/>
          </w:tcPr>
          <w:p>
            <w:pPr>
              <w:spacing w:after="0"/>
              <w:rPr>
                <w:sz w:val="22"/>
                <w:szCs w:val="22"/>
                <w:color w:val="auto"/>
              </w:rPr>
            </w:pPr>
          </w:p>
        </w:tc>
        <w:tc>
          <w:tcPr>
            <w:tcW w:w="13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FHLB</w:t>
            </w:r>
          </w:p>
        </w:tc>
        <w:tc>
          <w:tcPr>
            <w:tcW w:w="18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40" w:type="dxa"/>
            <w:vAlign w:val="bottom"/>
          </w:tcPr>
          <w:p>
            <w:pPr>
              <w:jc w:val="right"/>
              <w:ind w:right="20"/>
              <w:spacing w:after="0"/>
              <w:rPr>
                <w:sz w:val="20"/>
                <w:szCs w:val="20"/>
                <w:color w:val="auto"/>
              </w:rPr>
            </w:pPr>
            <w:r>
              <w:rPr>
                <w:rFonts w:ascii="Verdana" w:cs="Verdana" w:eastAsia="Verdana" w:hAnsi="Verdana"/>
                <w:sz w:val="18"/>
                <w:szCs w:val="18"/>
                <w:color w:val="auto"/>
              </w:rPr>
              <w:t>2,007,087</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spacing w:after="0"/>
              <w:rPr>
                <w:sz w:val="20"/>
                <w:szCs w:val="20"/>
                <w:color w:val="auto"/>
              </w:rPr>
            </w:pPr>
            <w:r>
              <w:rPr>
                <w:rFonts w:ascii="Verdana" w:cs="Verdana" w:eastAsia="Verdana" w:hAnsi="Verdana"/>
                <w:sz w:val="18"/>
                <w:szCs w:val="18"/>
                <w:color w:val="auto"/>
              </w:rPr>
              <w:t>1,898,737</w:t>
            </w: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Federal Reserve Bank</w:t>
            </w:r>
          </w:p>
        </w:tc>
        <w:tc>
          <w:tcPr>
            <w:tcW w:w="180" w:type="dxa"/>
            <w:vAlign w:val="bottom"/>
            <w:shd w:val="clear" w:color="auto" w:fill="E0E7ED"/>
          </w:tcPr>
          <w:p>
            <w:pPr>
              <w:spacing w:after="0"/>
              <w:rPr>
                <w:sz w:val="24"/>
                <w:szCs w:val="24"/>
                <w:color w:val="auto"/>
              </w:rPr>
            </w:pPr>
          </w:p>
        </w:tc>
        <w:tc>
          <w:tcPr>
            <w:tcW w:w="1340" w:type="dxa"/>
            <w:vAlign w:val="bottom"/>
            <w:shd w:val="clear" w:color="auto" w:fill="E0E7ED"/>
          </w:tcPr>
          <w:p>
            <w:pPr>
              <w:jc w:val="right"/>
              <w:ind w:right="20"/>
              <w:spacing w:after="0"/>
              <w:rPr>
                <w:sz w:val="20"/>
                <w:szCs w:val="20"/>
                <w:color w:val="auto"/>
              </w:rPr>
            </w:pPr>
            <w:r>
              <w:rPr>
                <w:rFonts w:ascii="Verdana" w:cs="Verdana" w:eastAsia="Verdana" w:hAnsi="Verdana"/>
                <w:sz w:val="18"/>
                <w:szCs w:val="18"/>
                <w:color w:val="auto"/>
              </w:rPr>
              <w:t>656,436</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598,878</w:t>
            </w: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Federal funds purchased</w:t>
            </w:r>
          </w:p>
        </w:tc>
        <w:tc>
          <w:tcPr>
            <w:tcW w:w="180" w:type="dxa"/>
            <w:vAlign w:val="bottom"/>
          </w:tcPr>
          <w:p>
            <w:pPr>
              <w:spacing w:after="0"/>
              <w:rPr>
                <w:sz w:val="22"/>
                <w:szCs w:val="22"/>
                <w:color w:val="auto"/>
              </w:rPr>
            </w:pPr>
          </w:p>
        </w:tc>
        <w:tc>
          <w:tcPr>
            <w:tcW w:w="1340" w:type="dxa"/>
            <w:vAlign w:val="bottom"/>
          </w:tcPr>
          <w:p>
            <w:pPr>
              <w:jc w:val="right"/>
              <w:ind w:right="20"/>
              <w:spacing w:after="0"/>
              <w:rPr>
                <w:sz w:val="20"/>
                <w:szCs w:val="20"/>
                <w:color w:val="auto"/>
              </w:rPr>
            </w:pPr>
            <w:r>
              <w:rPr>
                <w:rFonts w:ascii="Verdana" w:cs="Verdana" w:eastAsia="Verdana" w:hAnsi="Verdana"/>
                <w:sz w:val="18"/>
                <w:szCs w:val="18"/>
                <w:color w:val="auto"/>
              </w:rPr>
              <w:t>477,500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482,500</w:t>
            </w:r>
          </w:p>
        </w:tc>
      </w:tr>
      <w:tr>
        <w:trPr>
          <w:trHeight w:val="270"/>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Revolving credit facility</w:t>
            </w:r>
          </w:p>
        </w:tc>
        <w:tc>
          <w:tcPr>
            <w:tcW w:w="180" w:type="dxa"/>
            <w:vAlign w:val="bottom"/>
            <w:tcBorders>
              <w:bottom w:val="single" w:sz="8" w:color="auto"/>
            </w:tcBorders>
            <w:shd w:val="clear" w:color="auto" w:fill="E0E7ED"/>
          </w:tcPr>
          <w:p>
            <w:pPr>
              <w:spacing w:after="0"/>
              <w:rPr>
                <w:sz w:val="23"/>
                <w:szCs w:val="23"/>
                <w:color w:val="auto"/>
              </w:rPr>
            </w:pPr>
          </w:p>
        </w:tc>
        <w:tc>
          <w:tcPr>
            <w:tcW w:w="1340" w:type="dxa"/>
            <w:vAlign w:val="bottom"/>
            <w:tcBorders>
              <w:bottom w:val="single" w:sz="8" w:color="auto"/>
            </w:tcBorders>
            <w:shd w:val="clear" w:color="auto" w:fill="E0E7ED"/>
          </w:tcPr>
          <w:p>
            <w:pPr>
              <w:jc w:val="right"/>
              <w:ind w:right="20"/>
              <w:spacing w:after="0"/>
              <w:rPr>
                <w:sz w:val="20"/>
                <w:szCs w:val="20"/>
                <w:color w:val="auto"/>
              </w:rPr>
            </w:pPr>
            <w:r>
              <w:rPr>
                <w:rFonts w:ascii="Verdana" w:cs="Verdana" w:eastAsia="Verdana" w:hAnsi="Verdana"/>
                <w:sz w:val="18"/>
                <w:szCs w:val="18"/>
                <w:color w:val="auto"/>
              </w:rPr>
              <w:t>40,000</w:t>
            </w:r>
          </w:p>
        </w:tc>
        <w:tc>
          <w:tcPr>
            <w:tcW w:w="80" w:type="dxa"/>
            <w:vAlign w:val="bottom"/>
            <w:shd w:val="clear" w:color="auto" w:fill="E0E7ED"/>
          </w:tcPr>
          <w:p>
            <w:pPr>
              <w:spacing w:after="0"/>
              <w:rPr>
                <w:sz w:val="23"/>
                <w:szCs w:val="23"/>
                <w:color w:val="auto"/>
              </w:rPr>
            </w:pPr>
          </w:p>
        </w:tc>
        <w:tc>
          <w:tcPr>
            <w:tcW w:w="200" w:type="dxa"/>
            <w:vAlign w:val="bottom"/>
            <w:tcBorders>
              <w:bottom w:val="single" w:sz="8" w:color="auto"/>
            </w:tcBorders>
            <w:shd w:val="clear" w:color="auto" w:fill="E0E7ED"/>
          </w:tcPr>
          <w:p>
            <w:pPr>
              <w:spacing w:after="0"/>
              <w:rPr>
                <w:sz w:val="23"/>
                <w:szCs w:val="23"/>
                <w:color w:val="auto"/>
              </w:rPr>
            </w:pP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40,000</w:t>
            </w:r>
          </w:p>
        </w:tc>
      </w:tr>
      <w:tr>
        <w:trPr>
          <w:trHeight w:val="270"/>
        </w:trPr>
        <w:tc>
          <w:tcPr>
            <w:tcW w:w="8120" w:type="dxa"/>
            <w:vAlign w:val="bottom"/>
          </w:tcPr>
          <w:p>
            <w:pPr>
              <w:ind w:left="20"/>
              <w:spacing w:after="0"/>
              <w:rPr>
                <w:sz w:val="20"/>
                <w:szCs w:val="20"/>
                <w:color w:val="auto"/>
              </w:rPr>
            </w:pPr>
            <w:r>
              <w:rPr>
                <w:rFonts w:ascii="Verdana" w:cs="Verdana" w:eastAsia="Verdana" w:hAnsi="Verdana"/>
                <w:sz w:val="18"/>
                <w:szCs w:val="18"/>
                <w:color w:val="auto"/>
              </w:rPr>
              <w:t>Additional borrowing capacity</w:t>
            </w:r>
          </w:p>
        </w:tc>
        <w:tc>
          <w:tcPr>
            <w:tcW w:w="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40" w:type="dxa"/>
            <w:vAlign w:val="bottom"/>
            <w:tcBorders>
              <w:bottom w:val="single" w:sz="8" w:color="auto"/>
            </w:tcBorders>
          </w:tcPr>
          <w:p>
            <w:pPr>
              <w:jc w:val="right"/>
              <w:ind w:right="20"/>
              <w:spacing w:after="0"/>
              <w:rPr>
                <w:sz w:val="20"/>
                <w:szCs w:val="20"/>
                <w:color w:val="auto"/>
              </w:rPr>
            </w:pPr>
            <w:r>
              <w:rPr>
                <w:rFonts w:ascii="Verdana" w:cs="Verdana" w:eastAsia="Verdana" w:hAnsi="Verdana"/>
                <w:sz w:val="18"/>
                <w:szCs w:val="18"/>
                <w:color w:val="auto"/>
              </w:rPr>
              <w:t>3,181,023</w:t>
            </w:r>
          </w:p>
        </w:tc>
        <w:tc>
          <w:tcPr>
            <w:tcW w:w="8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3,020,115</w:t>
            </w: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color w:val="auto"/>
        </w:rPr>
        <w:t>Further, the company could utilize brokered deposits as additional sources of liquidity, as needed.</w:t>
      </w: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93" w:name="page94"/>
    <w:bookmarkEnd w:id="93"/>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As of September 30, 2024, management believed that adequate liquidity existed to meet all projected cash flow obligations. We seek to achieve a satisfactory degree of liquidity by actively managing both assets and liabilities. Asset management guides the proportion of liquid assets to total assets, while liability management monitors future funding requirements and prices liabilities accordingly.</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Off-Balance-Sheet Arrangements</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Busey Bank routinely enters into commitments to extend credit and standby letters of credit in the normal course of business to meet the financing needs of its customers. The balance of commitments to extend credit represents future cash requirements and some of these commitments may expire without being drawn upon.</w:t>
      </w:r>
    </w:p>
    <w:p>
      <w:pPr>
        <w:spacing w:after="0" w:line="167"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 xml:space="preserve">The following table summarizes our outstanding commitments and reserves for unfunded commitments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5"/>
                <w:szCs w:val="15"/>
                <w:color w:val="auto"/>
              </w:rPr>
            </w:pPr>
          </w:p>
        </w:tc>
      </w:tr>
      <w:tr>
        <w:trPr>
          <w:trHeight w:val="122"/>
        </w:trPr>
        <w:tc>
          <w:tcPr>
            <w:tcW w:w="8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gridSpan w:val="2"/>
          </w:tcPr>
          <w:p>
            <w:pPr>
              <w:ind w:left="60"/>
              <w:spacing w:after="0" w:line="122" w:lineRule="exact"/>
              <w:rPr>
                <w:sz w:val="20"/>
                <w:szCs w:val="20"/>
                <w:color w:val="auto"/>
              </w:rPr>
            </w:pPr>
            <w:r>
              <w:rPr>
                <w:rFonts w:ascii="Verdana" w:cs="Verdana" w:eastAsia="Verdana" w:hAnsi="Verdana"/>
                <w:sz w:val="13"/>
                <w:szCs w:val="13"/>
                <w:b w:val="1"/>
                <w:bCs w:val="1"/>
                <w:color w:val="auto"/>
              </w:rPr>
              <w:t>September 30,</w:t>
            </w:r>
          </w:p>
        </w:tc>
        <w:tc>
          <w:tcPr>
            <w:tcW w:w="200" w:type="dxa"/>
            <w:vAlign w:val="bottom"/>
          </w:tcPr>
          <w:p>
            <w:pPr>
              <w:spacing w:after="0"/>
              <w:rPr>
                <w:sz w:val="10"/>
                <w:szCs w:val="10"/>
                <w:color w:val="auto"/>
              </w:rPr>
            </w:pPr>
          </w:p>
        </w:tc>
        <w:tc>
          <w:tcPr>
            <w:tcW w:w="1320" w:type="dxa"/>
            <w:vAlign w:val="bottom"/>
          </w:tcPr>
          <w:p>
            <w:pPr>
              <w:jc w:val="right"/>
              <w:ind w:right="184"/>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812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06"/>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04"/>
              <w:spacing w:after="0"/>
              <w:rPr>
                <w:sz w:val="20"/>
                <w:szCs w:val="20"/>
                <w:color w:val="auto"/>
              </w:rPr>
            </w:pPr>
            <w:r>
              <w:rPr>
                <w:rFonts w:ascii="Verdana" w:cs="Verdana" w:eastAsia="Verdana" w:hAnsi="Verdana"/>
                <w:sz w:val="13"/>
                <w:szCs w:val="13"/>
                <w:b w:val="1"/>
                <w:bCs w:val="1"/>
                <w:color w:val="auto"/>
              </w:rPr>
              <w:t>2023</w:t>
            </w:r>
          </w:p>
        </w:tc>
      </w:tr>
      <w:tr>
        <w:trPr>
          <w:trHeight w:val="269"/>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Outstanding loan commitments and standby letters of credit</w:t>
            </w:r>
          </w:p>
        </w:tc>
        <w:tc>
          <w:tcPr>
            <w:tcW w:w="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40" w:type="dxa"/>
            <w:vAlign w:val="bottom"/>
            <w:shd w:val="clear" w:color="auto" w:fill="E0E7ED"/>
          </w:tcPr>
          <w:p>
            <w:pPr>
              <w:jc w:val="right"/>
              <w:ind w:right="26"/>
              <w:spacing w:after="0"/>
              <w:rPr>
                <w:sz w:val="20"/>
                <w:szCs w:val="20"/>
                <w:color w:val="auto"/>
              </w:rPr>
            </w:pPr>
            <w:r>
              <w:rPr>
                <w:rFonts w:ascii="Verdana" w:cs="Verdana" w:eastAsia="Verdana" w:hAnsi="Verdana"/>
                <w:sz w:val="18"/>
                <w:szCs w:val="18"/>
                <w:color w:val="auto"/>
              </w:rPr>
              <w:t>2,540,339</w:t>
            </w:r>
          </w:p>
        </w:tc>
        <w:tc>
          <w:tcPr>
            <w:tcW w:w="80" w:type="dxa"/>
            <w:vAlign w:val="bottom"/>
            <w:shd w:val="clear" w:color="auto" w:fill="E0E7ED"/>
          </w:tcPr>
          <w:p>
            <w:pPr>
              <w:spacing w:after="0"/>
              <w:rPr>
                <w:sz w:val="23"/>
                <w:szCs w:val="23"/>
                <w:color w:val="auto"/>
              </w:rPr>
            </w:pPr>
          </w:p>
        </w:tc>
        <w:tc>
          <w:tcPr>
            <w:tcW w:w="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shd w:val="clear" w:color="auto" w:fill="E0E7ED"/>
          </w:tcPr>
          <w:p>
            <w:pPr>
              <w:jc w:val="right"/>
              <w:ind w:right="4"/>
              <w:spacing w:after="0"/>
              <w:rPr>
                <w:sz w:val="20"/>
                <w:szCs w:val="20"/>
                <w:color w:val="auto"/>
              </w:rPr>
            </w:pPr>
            <w:r>
              <w:rPr>
                <w:rFonts w:ascii="Verdana" w:cs="Verdana" w:eastAsia="Verdana" w:hAnsi="Verdana"/>
                <w:sz w:val="18"/>
                <w:szCs w:val="18"/>
                <w:color w:val="auto"/>
              </w:rPr>
              <w:t>2,176,496</w:t>
            </w:r>
          </w:p>
        </w:tc>
      </w:tr>
      <w:tr>
        <w:trPr>
          <w:trHeight w:val="257"/>
        </w:trPr>
        <w:tc>
          <w:tcPr>
            <w:tcW w:w="8120" w:type="dxa"/>
            <w:vAlign w:val="bottom"/>
          </w:tcPr>
          <w:p>
            <w:pPr>
              <w:ind w:left="20"/>
              <w:spacing w:after="0"/>
              <w:rPr>
                <w:sz w:val="20"/>
                <w:szCs w:val="20"/>
                <w:color w:val="auto"/>
              </w:rPr>
            </w:pPr>
            <w:r>
              <w:rPr>
                <w:rFonts w:ascii="Verdana" w:cs="Verdana" w:eastAsia="Verdana" w:hAnsi="Verdana"/>
                <w:sz w:val="18"/>
                <w:szCs w:val="18"/>
                <w:color w:val="auto"/>
              </w:rPr>
              <w:t>Reserve for unfunded commitments</w:t>
            </w:r>
          </w:p>
        </w:tc>
        <w:tc>
          <w:tcPr>
            <w:tcW w:w="180" w:type="dxa"/>
            <w:vAlign w:val="bottom"/>
          </w:tcPr>
          <w:p>
            <w:pPr>
              <w:spacing w:after="0"/>
              <w:rPr>
                <w:sz w:val="22"/>
                <w:szCs w:val="22"/>
                <w:color w:val="auto"/>
              </w:rPr>
            </w:pPr>
          </w:p>
        </w:tc>
        <w:tc>
          <w:tcPr>
            <w:tcW w:w="1340" w:type="dxa"/>
            <w:vAlign w:val="bottom"/>
          </w:tcPr>
          <w:p>
            <w:pPr>
              <w:jc w:val="right"/>
              <w:ind w:right="26"/>
              <w:spacing w:after="0"/>
              <w:rPr>
                <w:sz w:val="20"/>
                <w:szCs w:val="20"/>
                <w:color w:val="auto"/>
              </w:rPr>
            </w:pPr>
            <w:r>
              <w:rPr>
                <w:rFonts w:ascii="Verdana" w:cs="Verdana" w:eastAsia="Verdana" w:hAnsi="Verdana"/>
                <w:sz w:val="18"/>
                <w:szCs w:val="18"/>
                <w:color w:val="auto"/>
              </w:rPr>
              <w:t>6,422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ind w:right="24"/>
              <w:spacing w:after="0"/>
              <w:rPr>
                <w:sz w:val="20"/>
                <w:szCs w:val="20"/>
                <w:color w:val="auto"/>
              </w:rPr>
            </w:pPr>
            <w:r>
              <w:rPr>
                <w:rFonts w:ascii="Verdana" w:cs="Verdana" w:eastAsia="Verdana" w:hAnsi="Verdana"/>
                <w:sz w:val="18"/>
                <w:szCs w:val="18"/>
                <w:color w:val="auto"/>
              </w:rPr>
              <w:t>7,062</w:t>
            </w:r>
          </w:p>
        </w:tc>
      </w:tr>
    </w:tbl>
    <w:p>
      <w:pPr>
        <w:spacing w:after="0" w:line="278"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 xml:space="preserve">The following table summarizes our provision for unfunded commitments expenses (releases) for the periods presented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80" w:type="dxa"/>
            <w:vAlign w:val="bottom"/>
            <w:gridSpan w:val="5"/>
          </w:tcPr>
          <w:p>
            <w:pPr>
              <w:ind w:left="80"/>
              <w:spacing w:after="0"/>
              <w:rPr>
                <w:sz w:val="20"/>
                <w:szCs w:val="20"/>
                <w:color w:val="auto"/>
              </w:rPr>
            </w:pPr>
            <w:r>
              <w:rPr>
                <w:rFonts w:ascii="Verdana" w:cs="Verdana" w:eastAsia="Verdana" w:hAnsi="Verdana"/>
                <w:sz w:val="13"/>
                <w:szCs w:val="13"/>
                <w:b w:val="1"/>
                <w:bCs w:val="1"/>
                <w:color w:val="auto"/>
              </w:rPr>
              <w:t>Three Months Ended September 30,</w:t>
            </w:r>
          </w:p>
        </w:tc>
        <w:tc>
          <w:tcPr>
            <w:tcW w:w="220" w:type="dxa"/>
            <w:vAlign w:val="bottom"/>
          </w:tcPr>
          <w:p>
            <w:pPr>
              <w:spacing w:after="0"/>
              <w:rPr>
                <w:sz w:val="15"/>
                <w:szCs w:val="15"/>
                <w:color w:val="auto"/>
              </w:rPr>
            </w:pPr>
          </w:p>
        </w:tc>
        <w:tc>
          <w:tcPr>
            <w:tcW w:w="2860" w:type="dxa"/>
            <w:vAlign w:val="bottom"/>
            <w:gridSpan w:val="4"/>
          </w:tcPr>
          <w:p>
            <w:pPr>
              <w:jc w:val="right"/>
              <w:ind w:right="244"/>
              <w:spacing w:after="0"/>
              <w:rPr>
                <w:sz w:val="20"/>
                <w:szCs w:val="20"/>
                <w:color w:val="auto"/>
              </w:rPr>
            </w:pPr>
            <w:r>
              <w:rPr>
                <w:rFonts w:ascii="Verdana" w:cs="Verdana" w:eastAsia="Verdana" w:hAnsi="Verdana"/>
                <w:sz w:val="13"/>
                <w:szCs w:val="13"/>
                <w:b w:val="1"/>
                <w:bCs w:val="1"/>
                <w:color w:val="auto"/>
                <w:w w:val="99"/>
              </w:rPr>
              <w:t>Nine Months Ended September 30,</w:t>
            </w:r>
          </w:p>
        </w:tc>
      </w:tr>
      <w:tr>
        <w:trPr>
          <w:trHeight w:val="170"/>
        </w:trPr>
        <w:tc>
          <w:tcPr>
            <w:tcW w:w="498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508"/>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top w:val="single" w:sz="8" w:color="auto"/>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84"/>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488"/>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04"/>
              <w:spacing w:after="0"/>
              <w:rPr>
                <w:sz w:val="20"/>
                <w:szCs w:val="20"/>
                <w:color w:val="auto"/>
              </w:rPr>
            </w:pPr>
            <w:r>
              <w:rPr>
                <w:rFonts w:ascii="Verdana" w:cs="Verdana" w:eastAsia="Verdana" w:hAnsi="Verdana"/>
                <w:sz w:val="13"/>
                <w:szCs w:val="13"/>
                <w:b w:val="1"/>
                <w:bCs w:val="1"/>
                <w:color w:val="auto"/>
              </w:rPr>
              <w:t>2023</w:t>
            </w:r>
          </w:p>
        </w:tc>
      </w:tr>
      <w:tr>
        <w:trPr>
          <w:trHeight w:val="223"/>
        </w:trPr>
        <w:tc>
          <w:tcPr>
            <w:tcW w:w="49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Provision for unfunded commitments expense</w:t>
            </w:r>
          </w:p>
        </w:tc>
        <w:tc>
          <w:tcPr>
            <w:tcW w:w="200" w:type="dxa"/>
            <w:vAlign w:val="bottom"/>
            <w:shd w:val="clear" w:color="auto" w:fill="E0E7ED"/>
          </w:tcPr>
          <w:p>
            <w:pPr>
              <w:spacing w:after="0"/>
              <w:rPr>
                <w:sz w:val="19"/>
                <w:szCs w:val="19"/>
                <w:color w:val="auto"/>
              </w:rPr>
            </w:pPr>
          </w:p>
        </w:tc>
        <w:tc>
          <w:tcPr>
            <w:tcW w:w="130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360" w:type="dxa"/>
            <w:vAlign w:val="bottom"/>
            <w:shd w:val="clear" w:color="auto" w:fill="E0E7ED"/>
          </w:tcPr>
          <w:p>
            <w:pPr>
              <w:spacing w:after="0"/>
              <w:rPr>
                <w:sz w:val="19"/>
                <w:szCs w:val="19"/>
                <w:color w:val="auto"/>
              </w:rPr>
            </w:pPr>
          </w:p>
        </w:tc>
        <w:tc>
          <w:tcPr>
            <w:tcW w:w="114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220" w:type="dxa"/>
            <w:vAlign w:val="bottom"/>
            <w:shd w:val="clear" w:color="auto" w:fill="E0E7ED"/>
          </w:tcPr>
          <w:p>
            <w:pPr>
              <w:spacing w:after="0"/>
              <w:rPr>
                <w:sz w:val="19"/>
                <w:szCs w:val="19"/>
                <w:color w:val="auto"/>
              </w:rPr>
            </w:pPr>
          </w:p>
        </w:tc>
        <w:tc>
          <w:tcPr>
            <w:tcW w:w="126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60" w:type="dxa"/>
            <w:vAlign w:val="bottom"/>
            <w:shd w:val="clear" w:color="auto" w:fill="E0E7ED"/>
          </w:tcPr>
          <w:p>
            <w:pPr>
              <w:spacing w:after="0"/>
              <w:rPr>
                <w:sz w:val="19"/>
                <w:szCs w:val="19"/>
                <w:color w:val="auto"/>
              </w:rPr>
            </w:pPr>
          </w:p>
        </w:tc>
        <w:tc>
          <w:tcPr>
            <w:tcW w:w="1140" w:type="dxa"/>
            <w:vAlign w:val="bottom"/>
            <w:shd w:val="clear" w:color="auto" w:fill="E0E7ED"/>
          </w:tcPr>
          <w:p>
            <w:pPr>
              <w:spacing w:after="0"/>
              <w:rPr>
                <w:sz w:val="19"/>
                <w:szCs w:val="19"/>
                <w:color w:val="auto"/>
              </w:rPr>
            </w:pPr>
          </w:p>
        </w:tc>
      </w:tr>
      <w:tr>
        <w:trPr>
          <w:trHeight w:val="248"/>
        </w:trPr>
        <w:tc>
          <w:tcPr>
            <w:tcW w:w="49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(release)</w:t>
            </w:r>
          </w:p>
        </w:tc>
        <w:tc>
          <w:tcPr>
            <w:tcW w:w="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300" w:type="dxa"/>
            <w:vAlign w:val="bottom"/>
            <w:shd w:val="clear" w:color="auto" w:fill="E0E7ED"/>
          </w:tcPr>
          <w:p>
            <w:pPr>
              <w:jc w:val="right"/>
              <w:ind w:right="28"/>
              <w:spacing w:after="0"/>
              <w:rPr>
                <w:sz w:val="20"/>
                <w:szCs w:val="20"/>
                <w:color w:val="auto"/>
              </w:rPr>
            </w:pPr>
            <w:r>
              <w:rPr>
                <w:rFonts w:ascii="Verdana" w:cs="Verdana" w:eastAsia="Verdana" w:hAnsi="Verdana"/>
                <w:sz w:val="18"/>
                <w:szCs w:val="18"/>
                <w:color w:val="auto"/>
              </w:rPr>
              <w:t>407</w:t>
            </w:r>
          </w:p>
        </w:tc>
        <w:tc>
          <w:tcPr>
            <w:tcW w:w="80" w:type="dxa"/>
            <w:vAlign w:val="bottom"/>
            <w:shd w:val="clear" w:color="auto" w:fill="E0E7ED"/>
          </w:tcPr>
          <w:p>
            <w:pPr>
              <w:spacing w:after="0"/>
              <w:rPr>
                <w:sz w:val="21"/>
                <w:szCs w:val="21"/>
                <w:color w:val="auto"/>
              </w:rPr>
            </w:pP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shd w:val="clear" w:color="auto" w:fill="E0E7ED"/>
          </w:tcPr>
          <w:p>
            <w:pPr>
              <w:jc w:val="right"/>
              <w:ind w:right="4"/>
              <w:spacing w:after="0"/>
              <w:rPr>
                <w:sz w:val="20"/>
                <w:szCs w:val="20"/>
                <w:color w:val="auto"/>
              </w:rPr>
            </w:pPr>
            <w:r>
              <w:rPr>
                <w:rFonts w:ascii="Verdana" w:cs="Verdana" w:eastAsia="Verdana" w:hAnsi="Verdana"/>
                <w:sz w:val="18"/>
                <w:szCs w:val="18"/>
                <w:color w:val="auto"/>
              </w:rPr>
              <w:t>13</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(640)</w:t>
            </w: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(357)</w:t>
            </w:r>
          </w:p>
        </w:tc>
      </w:tr>
    </w:tbl>
    <w:p>
      <w:pPr>
        <w:spacing w:after="0" w:line="265"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We anticipate we will have sufficient funds available to meet current loan commitments, including loan applications received and in process prior to the issuance of firm commitments.</w:t>
      </w:r>
    </w:p>
    <w:p>
      <w:pPr>
        <w:spacing w:after="0" w:line="158"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Capital Resources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Our capital ratios are in excess of those required to be considered “well -capitalized” pursuant to applicable regulatory guidelines. The Federal Reserve uses capital adequacy guidelines in its examination and regulation of bank holding companies and their subsidiary banks. Risk-based capital ratios are established by allocating assets and certain off-balance-sheet commitments into risk-weighted categories. These balances are then multiplied by the factor appropriate for that risk-weighted category. In order to refrain from restrictions on dividends, equity repurchases, and discretionary bonus payments, banking institutions must maintain capital in excess of regulatory minimum capital requirements. The table below presents minimum capital ratios that include the capital conservation buffer in comparison to the capital ratios for First Busey and Busey Bank as of September 30, 2024:</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160" w:type="dxa"/>
            <w:vAlign w:val="bottom"/>
          </w:tcPr>
          <w:p>
            <w:pPr>
              <w:spacing w:after="0"/>
              <w:rPr>
                <w:sz w:val="15"/>
                <w:szCs w:val="15"/>
                <w:color w:val="auto"/>
              </w:rPr>
            </w:pPr>
          </w:p>
        </w:tc>
        <w:tc>
          <w:tcPr>
            <w:tcW w:w="1740" w:type="dxa"/>
            <w:vAlign w:val="bottom"/>
            <w:gridSpan w:val="2"/>
          </w:tcPr>
          <w:p>
            <w:pPr>
              <w:jc w:val="center"/>
              <w:ind w:right="80"/>
              <w:spacing w:after="0"/>
              <w:rPr>
                <w:sz w:val="20"/>
                <w:szCs w:val="20"/>
                <w:color w:val="auto"/>
              </w:rPr>
            </w:pPr>
            <w:r>
              <w:rPr>
                <w:rFonts w:ascii="Verdana" w:cs="Verdana" w:eastAsia="Verdana" w:hAnsi="Verdana"/>
                <w:sz w:val="13"/>
                <w:szCs w:val="13"/>
                <w:b w:val="1"/>
                <w:bCs w:val="1"/>
                <w:color w:val="auto"/>
                <w:w w:val="96"/>
              </w:rPr>
              <w:t>Minimum Capital</w:t>
            </w:r>
          </w:p>
        </w:tc>
        <w:tc>
          <w:tcPr>
            <w:tcW w:w="3340" w:type="dxa"/>
            <w:vAlign w:val="bottom"/>
            <w:tcBorders>
              <w:bottom w:val="single" w:sz="8" w:color="auto"/>
            </w:tcBorders>
            <w:gridSpan w:val="3"/>
          </w:tcPr>
          <w:p>
            <w:pPr>
              <w:jc w:val="right"/>
              <w:ind w:right="659"/>
              <w:spacing w:after="0"/>
              <w:rPr>
                <w:sz w:val="20"/>
                <w:szCs w:val="20"/>
                <w:color w:val="auto"/>
              </w:rPr>
            </w:pPr>
            <w:r>
              <w:rPr>
                <w:rFonts w:ascii="Verdana" w:cs="Verdana" w:eastAsia="Verdana" w:hAnsi="Verdana"/>
                <w:sz w:val="13"/>
                <w:szCs w:val="13"/>
                <w:b w:val="1"/>
                <w:bCs w:val="1"/>
                <w:color w:val="auto"/>
              </w:rPr>
              <w:t>As of September 30, 2024</w:t>
            </w:r>
          </w:p>
        </w:tc>
      </w:tr>
      <w:tr>
        <w:trPr>
          <w:trHeight w:val="135"/>
        </w:trPr>
        <w:tc>
          <w:tcPr>
            <w:tcW w:w="6160" w:type="dxa"/>
            <w:vAlign w:val="bottom"/>
          </w:tcPr>
          <w:p>
            <w:pPr>
              <w:spacing w:after="0"/>
              <w:rPr>
                <w:sz w:val="11"/>
                <w:szCs w:val="11"/>
                <w:color w:val="auto"/>
              </w:rPr>
            </w:pPr>
          </w:p>
        </w:tc>
        <w:tc>
          <w:tcPr>
            <w:tcW w:w="1740" w:type="dxa"/>
            <w:vAlign w:val="bottom"/>
            <w:gridSpan w:val="2"/>
          </w:tcPr>
          <w:p>
            <w:pPr>
              <w:jc w:val="center"/>
              <w:ind w:right="80"/>
              <w:spacing w:after="0" w:line="135" w:lineRule="exact"/>
              <w:rPr>
                <w:sz w:val="20"/>
                <w:szCs w:val="20"/>
                <w:color w:val="auto"/>
              </w:rPr>
            </w:pPr>
            <w:r>
              <w:rPr>
                <w:rFonts w:ascii="Verdana" w:cs="Verdana" w:eastAsia="Verdana" w:hAnsi="Verdana"/>
                <w:sz w:val="13"/>
                <w:szCs w:val="13"/>
                <w:b w:val="1"/>
                <w:bCs w:val="1"/>
                <w:color w:val="auto"/>
                <w:w w:val="96"/>
              </w:rPr>
              <w:t>Requirements with</w:t>
            </w:r>
          </w:p>
        </w:tc>
        <w:tc>
          <w:tcPr>
            <w:tcW w:w="1720" w:type="dxa"/>
            <w:vAlign w:val="bottom"/>
            <w:gridSpan w:val="2"/>
          </w:tcPr>
          <w:p>
            <w:pPr>
              <w:jc w:val="center"/>
              <w:ind w:right="80"/>
              <w:spacing w:after="0" w:line="135" w:lineRule="exact"/>
              <w:rPr>
                <w:sz w:val="20"/>
                <w:szCs w:val="20"/>
                <w:color w:val="auto"/>
              </w:rPr>
            </w:pPr>
            <w:r>
              <w:rPr>
                <w:rFonts w:ascii="Verdana" w:cs="Verdana" w:eastAsia="Verdana" w:hAnsi="Verdana"/>
                <w:sz w:val="13"/>
                <w:szCs w:val="13"/>
                <w:b w:val="1"/>
                <w:bCs w:val="1"/>
                <w:color w:val="auto"/>
                <w:w w:val="96"/>
              </w:rPr>
              <w:t>First</w:t>
            </w:r>
          </w:p>
        </w:tc>
        <w:tc>
          <w:tcPr>
            <w:tcW w:w="1620" w:type="dxa"/>
            <w:vAlign w:val="bottom"/>
          </w:tcPr>
          <w:p>
            <w:pPr>
              <w:jc w:val="right"/>
              <w:ind w:right="519"/>
              <w:spacing w:after="0" w:line="135" w:lineRule="exact"/>
              <w:rPr>
                <w:sz w:val="20"/>
                <w:szCs w:val="20"/>
                <w:color w:val="auto"/>
              </w:rPr>
            </w:pPr>
            <w:r>
              <w:rPr>
                <w:rFonts w:ascii="Verdana" w:cs="Verdana" w:eastAsia="Verdana" w:hAnsi="Verdana"/>
                <w:sz w:val="13"/>
                <w:szCs w:val="13"/>
                <w:b w:val="1"/>
                <w:bCs w:val="1"/>
                <w:color w:val="auto"/>
              </w:rPr>
              <w:t>Busey</w:t>
            </w:r>
          </w:p>
        </w:tc>
      </w:tr>
      <w:tr>
        <w:trPr>
          <w:trHeight w:val="170"/>
        </w:trPr>
        <w:tc>
          <w:tcPr>
            <w:tcW w:w="6160" w:type="dxa"/>
            <w:vAlign w:val="bottom"/>
          </w:tcPr>
          <w:p>
            <w:pPr>
              <w:spacing w:after="0"/>
              <w:rPr>
                <w:sz w:val="14"/>
                <w:szCs w:val="14"/>
                <w:color w:val="auto"/>
              </w:rPr>
            </w:pPr>
          </w:p>
        </w:tc>
        <w:tc>
          <w:tcPr>
            <w:tcW w:w="1740" w:type="dxa"/>
            <w:vAlign w:val="bottom"/>
            <w:gridSpan w:val="2"/>
          </w:tcPr>
          <w:p>
            <w:pPr>
              <w:jc w:val="center"/>
              <w:ind w:right="80"/>
              <w:spacing w:after="0"/>
              <w:rPr>
                <w:sz w:val="20"/>
                <w:szCs w:val="20"/>
                <w:color w:val="auto"/>
              </w:rPr>
            </w:pPr>
            <w:r>
              <w:rPr>
                <w:rFonts w:ascii="Verdana" w:cs="Verdana" w:eastAsia="Verdana" w:hAnsi="Verdana"/>
                <w:sz w:val="13"/>
                <w:szCs w:val="13"/>
                <w:b w:val="1"/>
                <w:bCs w:val="1"/>
                <w:color w:val="auto"/>
                <w:w w:val="97"/>
              </w:rPr>
              <w:t>Capital Buffer</w:t>
            </w:r>
          </w:p>
        </w:tc>
        <w:tc>
          <w:tcPr>
            <w:tcW w:w="1720" w:type="dxa"/>
            <w:vAlign w:val="bottom"/>
            <w:gridSpan w:val="2"/>
          </w:tcPr>
          <w:p>
            <w:pPr>
              <w:jc w:val="center"/>
              <w:ind w:right="100"/>
              <w:spacing w:after="0"/>
              <w:rPr>
                <w:sz w:val="20"/>
                <w:szCs w:val="20"/>
                <w:color w:val="auto"/>
              </w:rPr>
            </w:pPr>
            <w:r>
              <w:rPr>
                <w:rFonts w:ascii="Verdana" w:cs="Verdana" w:eastAsia="Verdana" w:hAnsi="Verdana"/>
                <w:sz w:val="13"/>
                <w:szCs w:val="13"/>
                <w:b w:val="1"/>
                <w:bCs w:val="1"/>
                <w:color w:val="auto"/>
                <w:w w:val="95"/>
              </w:rPr>
              <w:t>Busey</w:t>
            </w:r>
          </w:p>
        </w:tc>
        <w:tc>
          <w:tcPr>
            <w:tcW w:w="1620" w:type="dxa"/>
            <w:vAlign w:val="bottom"/>
          </w:tcPr>
          <w:p>
            <w:pPr>
              <w:jc w:val="right"/>
              <w:ind w:right="559"/>
              <w:spacing w:after="0"/>
              <w:rPr>
                <w:sz w:val="20"/>
                <w:szCs w:val="20"/>
                <w:color w:val="auto"/>
              </w:rPr>
            </w:pPr>
            <w:r>
              <w:rPr>
                <w:rFonts w:ascii="Verdana" w:cs="Verdana" w:eastAsia="Verdana" w:hAnsi="Verdana"/>
                <w:sz w:val="13"/>
                <w:szCs w:val="13"/>
                <w:b w:val="1"/>
                <w:bCs w:val="1"/>
                <w:color w:val="auto"/>
              </w:rPr>
              <w:t>Bank</w:t>
            </w:r>
          </w:p>
        </w:tc>
      </w:tr>
      <w:tr>
        <w:trPr>
          <w:trHeight w:val="269"/>
        </w:trPr>
        <w:tc>
          <w:tcPr>
            <w:tcW w:w="61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Common Equity Tier 1 Capital to Risk Weighted Assets</w:t>
            </w:r>
          </w:p>
        </w:tc>
        <w:tc>
          <w:tcPr>
            <w:tcW w:w="166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7.00 %</w:t>
            </w:r>
          </w:p>
        </w:tc>
        <w:tc>
          <w:tcPr>
            <w:tcW w:w="80" w:type="dxa"/>
            <w:vAlign w:val="bottom"/>
            <w:tcBorders>
              <w:top w:val="single" w:sz="8" w:color="E0E7ED"/>
            </w:tcBorders>
            <w:shd w:val="clear" w:color="auto" w:fill="E0E7ED"/>
          </w:tcPr>
          <w:p>
            <w:pPr>
              <w:spacing w:after="0"/>
              <w:rPr>
                <w:sz w:val="23"/>
                <w:szCs w:val="23"/>
                <w:color w:val="auto"/>
              </w:rPr>
            </w:pPr>
          </w:p>
        </w:tc>
        <w:tc>
          <w:tcPr>
            <w:tcW w:w="16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13.78 %</w:t>
            </w:r>
          </w:p>
        </w:tc>
        <w:tc>
          <w:tcPr>
            <w:tcW w:w="100" w:type="dxa"/>
            <w:vAlign w:val="bottom"/>
            <w:tcBorders>
              <w:top w:val="single" w:sz="8" w:color="E0E7ED"/>
            </w:tcBorders>
            <w:shd w:val="clear" w:color="auto" w:fill="E0E7ED"/>
          </w:tcPr>
          <w:p>
            <w:pPr>
              <w:spacing w:after="0"/>
              <w:rPr>
                <w:sz w:val="23"/>
                <w:szCs w:val="23"/>
                <w:color w:val="auto"/>
              </w:rPr>
            </w:pPr>
          </w:p>
        </w:tc>
        <w:tc>
          <w:tcPr>
            <w:tcW w:w="16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16.17 %</w:t>
            </w:r>
          </w:p>
        </w:tc>
      </w:tr>
      <w:tr>
        <w:trPr>
          <w:trHeight w:val="263"/>
        </w:trPr>
        <w:tc>
          <w:tcPr>
            <w:tcW w:w="6160" w:type="dxa"/>
            <w:vAlign w:val="bottom"/>
          </w:tcPr>
          <w:p>
            <w:pPr>
              <w:ind w:left="20"/>
              <w:spacing w:after="0"/>
              <w:rPr>
                <w:sz w:val="20"/>
                <w:szCs w:val="20"/>
                <w:color w:val="auto"/>
              </w:rPr>
            </w:pPr>
            <w:r>
              <w:rPr>
                <w:rFonts w:ascii="Verdana" w:cs="Verdana" w:eastAsia="Verdana" w:hAnsi="Verdana"/>
                <w:sz w:val="18"/>
                <w:szCs w:val="18"/>
                <w:color w:val="auto"/>
              </w:rPr>
              <w:t>Tier 1 Capital to Risk Weighted Assets</w:t>
            </w:r>
          </w:p>
        </w:tc>
        <w:tc>
          <w:tcPr>
            <w:tcW w:w="1660" w:type="dxa"/>
            <w:vAlign w:val="bottom"/>
          </w:tcPr>
          <w:p>
            <w:pPr>
              <w:jc w:val="right"/>
              <w:spacing w:after="0"/>
              <w:rPr>
                <w:sz w:val="20"/>
                <w:szCs w:val="20"/>
                <w:color w:val="auto"/>
              </w:rPr>
            </w:pPr>
            <w:r>
              <w:rPr>
                <w:rFonts w:ascii="Verdana" w:cs="Verdana" w:eastAsia="Verdana" w:hAnsi="Verdana"/>
                <w:sz w:val="18"/>
                <w:szCs w:val="18"/>
                <w:color w:val="auto"/>
              </w:rPr>
              <w:t>8.50 %</w:t>
            </w:r>
          </w:p>
        </w:tc>
        <w:tc>
          <w:tcPr>
            <w:tcW w:w="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Verdana" w:cs="Verdana" w:eastAsia="Verdana" w:hAnsi="Verdana"/>
                <w:sz w:val="18"/>
                <w:szCs w:val="18"/>
                <w:color w:val="auto"/>
              </w:rPr>
              <w:t>14.65 %</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Verdana" w:cs="Verdana" w:eastAsia="Verdana" w:hAnsi="Verdana"/>
                <w:sz w:val="18"/>
                <w:szCs w:val="18"/>
                <w:color w:val="auto"/>
              </w:rPr>
              <w:t>16.17 %</w:t>
            </w:r>
          </w:p>
        </w:tc>
      </w:tr>
      <w:tr>
        <w:trPr>
          <w:trHeight w:val="277"/>
        </w:trPr>
        <w:tc>
          <w:tcPr>
            <w:tcW w:w="61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Capital to Risk Weighted Assets</w:t>
            </w:r>
          </w:p>
        </w:tc>
        <w:tc>
          <w:tcPr>
            <w:tcW w:w="16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10.50 %</w:t>
            </w:r>
          </w:p>
        </w:tc>
        <w:tc>
          <w:tcPr>
            <w:tcW w:w="80" w:type="dxa"/>
            <w:vAlign w:val="bottom"/>
            <w:shd w:val="clear" w:color="auto" w:fill="E0E7ED"/>
          </w:tcPr>
          <w:p>
            <w:pPr>
              <w:spacing w:after="0"/>
              <w:rPr>
                <w:sz w:val="24"/>
                <w:szCs w:val="24"/>
                <w:color w:val="auto"/>
              </w:rPr>
            </w:pPr>
          </w:p>
        </w:tc>
        <w:tc>
          <w:tcPr>
            <w:tcW w:w="16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18.19 %</w:t>
            </w:r>
          </w:p>
        </w:tc>
        <w:tc>
          <w:tcPr>
            <w:tcW w:w="100" w:type="dxa"/>
            <w:vAlign w:val="bottom"/>
            <w:shd w:val="clear" w:color="auto" w:fill="E0E7ED"/>
          </w:tcPr>
          <w:p>
            <w:pPr>
              <w:spacing w:after="0"/>
              <w:rPr>
                <w:sz w:val="24"/>
                <w:szCs w:val="24"/>
                <w:color w:val="auto"/>
              </w:rPr>
            </w:pPr>
          </w:p>
        </w:tc>
        <w:tc>
          <w:tcPr>
            <w:tcW w:w="16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17.13 %</w:t>
            </w:r>
          </w:p>
        </w:tc>
      </w:tr>
      <w:tr>
        <w:trPr>
          <w:trHeight w:val="256"/>
        </w:trPr>
        <w:tc>
          <w:tcPr>
            <w:tcW w:w="6160" w:type="dxa"/>
            <w:vAlign w:val="bottom"/>
          </w:tcPr>
          <w:p>
            <w:pPr>
              <w:ind w:left="20"/>
              <w:spacing w:after="0"/>
              <w:rPr>
                <w:sz w:val="20"/>
                <w:szCs w:val="20"/>
                <w:color w:val="auto"/>
              </w:rPr>
            </w:pPr>
            <w:r>
              <w:rPr>
                <w:rFonts w:ascii="Verdana" w:cs="Verdana" w:eastAsia="Verdana" w:hAnsi="Verdana"/>
                <w:sz w:val="18"/>
                <w:szCs w:val="18"/>
                <w:color w:val="auto"/>
              </w:rPr>
              <w:t>Leverage Ratio of Tier 1 Capital to Average Assets</w:t>
            </w:r>
          </w:p>
        </w:tc>
        <w:tc>
          <w:tcPr>
            <w:tcW w:w="1660" w:type="dxa"/>
            <w:vAlign w:val="bottom"/>
          </w:tcPr>
          <w:p>
            <w:pPr>
              <w:jc w:val="right"/>
              <w:spacing w:after="0"/>
              <w:rPr>
                <w:sz w:val="20"/>
                <w:szCs w:val="20"/>
                <w:color w:val="auto"/>
              </w:rPr>
            </w:pPr>
            <w:r>
              <w:rPr>
                <w:rFonts w:ascii="Verdana" w:cs="Verdana" w:eastAsia="Verdana" w:hAnsi="Verdana"/>
                <w:sz w:val="18"/>
                <w:szCs w:val="18"/>
                <w:color w:val="auto"/>
              </w:rPr>
              <w:t>6.50 %</w:t>
            </w:r>
          </w:p>
        </w:tc>
        <w:tc>
          <w:tcPr>
            <w:tcW w:w="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Verdana" w:cs="Verdana" w:eastAsia="Verdana" w:hAnsi="Verdana"/>
                <w:sz w:val="18"/>
                <w:szCs w:val="18"/>
                <w:color w:val="auto"/>
              </w:rPr>
              <w:t>10.97 %</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Verdana" w:cs="Verdana" w:eastAsia="Verdana" w:hAnsi="Verdana"/>
                <w:sz w:val="18"/>
                <w:szCs w:val="18"/>
                <w:color w:val="auto"/>
              </w:rPr>
              <w:t>12.10 %</w:t>
            </w:r>
          </w:p>
        </w:tc>
      </w:tr>
    </w:tbl>
    <w:p>
      <w:pPr>
        <w:spacing w:after="0" w:line="278"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For further discussion of capital resources and requirements, see </w:t>
      </w:r>
      <w:r>
        <w:rPr>
          <w:rFonts w:ascii="Verdana" w:cs="Verdana" w:eastAsia="Verdana" w:hAnsi="Verdana"/>
          <w:sz w:val="18"/>
          <w:szCs w:val="18"/>
          <w:i w:val="1"/>
          <w:iCs w:val="1"/>
          <w:color w:val="0000FF"/>
        </w:rPr>
        <w:t>“Note 8: Regulatory Capital.”</w:t>
      </w: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94" w:name="page95"/>
    <w:bookmarkEnd w:id="94"/>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NON-GAAP FINANCIAL INFORMATION</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This Quarterly Report contains certain financial information determined by methods other than in accordance with GAAP. Management uses these non-GAAP financial measures and non-GAAP ratios, together with the related GAAP financial measures, in analysis of Busey’s performance and in making business decisions, as well as for comparison to Busey’s peers. We believe the adjusted measures are useful for investors and management to understand the effects of certain non-core and non-recurring noninterest items and provide additional perspective on our performance over time.</w:t>
      </w:r>
    </w:p>
    <w:p>
      <w:pPr>
        <w:spacing w:after="0" w:line="157"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Non-GAAP disclosures have inherent limitations and are not audited. They should not be considered in isolation or as a substitute for the results reported in accordance with GAAP, nor are they necessarily comparable to non-GAAP performance measures that may be presented by other companies. Tax effected numbers included in these non-GAAP disclosures are based on estimated statutory rates and effective rates as appropriate.</w:t>
      </w:r>
    </w:p>
    <w:p>
      <w:pPr>
        <w:spacing w:after="0" w:line="171"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A listing of Busey's non-GAAP financial measures and ratios are shown in the table below, together with the related GAAP financial measures.</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95" w:name="page96"/>
    <w:bookmarkEnd w:id="95"/>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60" w:type="dxa"/>
            <w:vAlign w:val="bottom"/>
          </w:tcPr>
          <w:p>
            <w:pPr>
              <w:ind w:left="20"/>
              <w:spacing w:after="0"/>
              <w:rPr>
                <w:sz w:val="20"/>
                <w:szCs w:val="20"/>
                <w:color w:val="auto"/>
              </w:rPr>
            </w:pPr>
            <w:r>
              <w:rPr>
                <w:rFonts w:ascii="Arial" w:cs="Arial" w:eastAsia="Arial" w:hAnsi="Arial"/>
                <w:sz w:val="18"/>
                <w:szCs w:val="18"/>
                <w:color w:val="auto"/>
              </w:rPr>
              <w:t>GAAP Financial Measures</w:t>
            </w:r>
          </w:p>
        </w:tc>
        <w:tc>
          <w:tcPr>
            <w:tcW w:w="100" w:type="dxa"/>
            <w:vAlign w:val="bottom"/>
          </w:tcPr>
          <w:p>
            <w:pPr>
              <w:spacing w:after="0"/>
              <w:rPr>
                <w:sz w:val="20"/>
                <w:szCs w:val="20"/>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Related Non-GAAP Financial Measures</w:t>
            </w:r>
          </w:p>
        </w:tc>
        <w:tc>
          <w:tcPr>
            <w:tcW w:w="3680" w:type="dxa"/>
            <w:vAlign w:val="bottom"/>
          </w:tcPr>
          <w:p>
            <w:pPr>
              <w:ind w:left="20"/>
              <w:spacing w:after="0"/>
              <w:rPr>
                <w:sz w:val="20"/>
                <w:szCs w:val="20"/>
                <w:color w:val="auto"/>
              </w:rPr>
            </w:pPr>
            <w:r>
              <w:rPr>
                <w:rFonts w:ascii="Arial" w:cs="Arial" w:eastAsia="Arial" w:hAnsi="Arial"/>
                <w:sz w:val="18"/>
                <w:szCs w:val="18"/>
                <w:color w:val="auto"/>
              </w:rPr>
              <w:t>Related Non-GAAP Ratios</w:t>
            </w:r>
          </w:p>
        </w:tc>
        <w:tc>
          <w:tcPr>
            <w:tcW w:w="0" w:type="dxa"/>
            <w:vAlign w:val="bottom"/>
          </w:tcPr>
          <w:p>
            <w:pPr>
              <w:spacing w:after="0"/>
              <w:rPr>
                <w:sz w:val="1"/>
                <w:szCs w:val="1"/>
                <w:color w:val="auto"/>
              </w:rPr>
            </w:pPr>
          </w:p>
        </w:tc>
      </w:tr>
      <w:tr>
        <w:trPr>
          <w:trHeight w:val="23"/>
        </w:trPr>
        <w:tc>
          <w:tcPr>
            <w:tcW w:w="366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Net interest income</w:t>
            </w:r>
          </w:p>
        </w:tc>
        <w:tc>
          <w:tcPr>
            <w:tcW w:w="100" w:type="dxa"/>
            <w:vAlign w:val="bottom"/>
            <w:shd w:val="clear" w:color="auto" w:fill="E0E7ED"/>
          </w:tcPr>
          <w:p>
            <w:pPr>
              <w:spacing w:after="0"/>
              <w:rPr>
                <w:sz w:val="20"/>
                <w:szCs w:val="20"/>
                <w:color w:val="auto"/>
              </w:rPr>
            </w:pPr>
          </w:p>
        </w:tc>
        <w:tc>
          <w:tcPr>
            <w:tcW w:w="3780" w:type="dxa"/>
            <w:vAlign w:val="bottom"/>
            <w:gridSpan w:val="2"/>
            <w:vMerge w:val="restart"/>
            <w:shd w:val="clear" w:color="auto" w:fill="E0E7ED"/>
          </w:tcPr>
          <w:p>
            <w:pPr>
              <w:ind w:left="20"/>
              <w:spacing w:after="0"/>
              <w:rPr>
                <w:sz w:val="20"/>
                <w:szCs w:val="20"/>
                <w:color w:val="auto"/>
              </w:rPr>
            </w:pPr>
            <w:r>
              <w:rPr>
                <w:rFonts w:ascii="Verdana" w:cs="Verdana" w:eastAsia="Verdana" w:hAnsi="Verdana"/>
                <w:sz w:val="18"/>
                <w:szCs w:val="18"/>
                <w:color w:val="auto"/>
              </w:rPr>
              <w:t>Pre-provision net revenue</w:t>
            </w:r>
          </w:p>
        </w:tc>
        <w:tc>
          <w:tcPr>
            <w:tcW w:w="36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Pre-provision net revenue to average</w:t>
            </w:r>
          </w:p>
        </w:tc>
        <w:tc>
          <w:tcPr>
            <w:tcW w:w="0" w:type="dxa"/>
            <w:vAlign w:val="bottom"/>
          </w:tcPr>
          <w:p>
            <w:pPr>
              <w:spacing w:after="0"/>
              <w:rPr>
                <w:sz w:val="1"/>
                <w:szCs w:val="1"/>
                <w:color w:val="auto"/>
              </w:rPr>
            </w:pPr>
          </w:p>
        </w:tc>
      </w:tr>
      <w:tr>
        <w:trPr>
          <w:trHeight w:val="127"/>
        </w:trPr>
        <w:tc>
          <w:tcPr>
            <w:tcW w:w="3660" w:type="dxa"/>
            <w:vAlign w:val="bottom"/>
            <w:vMerge w:val="restart"/>
            <w:shd w:val="clear" w:color="auto" w:fill="E0E7ED"/>
          </w:tcPr>
          <w:p>
            <w:pPr>
              <w:ind w:left="20"/>
              <w:spacing w:after="0"/>
              <w:rPr>
                <w:sz w:val="20"/>
                <w:szCs w:val="20"/>
                <w:color w:val="auto"/>
              </w:rPr>
            </w:pPr>
            <w:r>
              <w:rPr>
                <w:rFonts w:ascii="Verdana" w:cs="Verdana" w:eastAsia="Verdana" w:hAnsi="Verdana"/>
                <w:sz w:val="18"/>
                <w:szCs w:val="18"/>
                <w:color w:val="auto"/>
              </w:rPr>
              <w:t>Total noninterest income</w:t>
            </w:r>
          </w:p>
        </w:tc>
        <w:tc>
          <w:tcPr>
            <w:tcW w:w="100" w:type="dxa"/>
            <w:vAlign w:val="bottom"/>
            <w:shd w:val="clear" w:color="auto" w:fill="E0E7ED"/>
          </w:tcPr>
          <w:p>
            <w:pPr>
              <w:spacing w:after="0"/>
              <w:rPr>
                <w:sz w:val="11"/>
                <w:szCs w:val="11"/>
                <w:color w:val="auto"/>
              </w:rPr>
            </w:pPr>
          </w:p>
        </w:tc>
        <w:tc>
          <w:tcPr>
            <w:tcW w:w="3780" w:type="dxa"/>
            <w:vAlign w:val="bottom"/>
            <w:gridSpan w:val="2"/>
            <w:vMerge w:val="continue"/>
            <w:shd w:val="clear" w:color="auto" w:fill="E0E7ED"/>
          </w:tcPr>
          <w:p>
            <w:pPr>
              <w:spacing w:after="0"/>
              <w:rPr>
                <w:sz w:val="11"/>
                <w:szCs w:val="11"/>
                <w:color w:val="auto"/>
              </w:rPr>
            </w:pPr>
          </w:p>
        </w:tc>
        <w:tc>
          <w:tcPr>
            <w:tcW w:w="3680" w:type="dxa"/>
            <w:vAlign w:val="bottom"/>
            <w:vMerge w:val="restart"/>
            <w:shd w:val="clear" w:color="auto" w:fill="E0E7ED"/>
          </w:tcPr>
          <w:p>
            <w:pPr>
              <w:ind w:left="20"/>
              <w:spacing w:after="0"/>
              <w:rPr>
                <w:sz w:val="20"/>
                <w:szCs w:val="20"/>
                <w:color w:val="auto"/>
              </w:rPr>
            </w:pPr>
            <w:r>
              <w:rPr>
                <w:rFonts w:ascii="Verdana" w:cs="Verdana" w:eastAsia="Verdana" w:hAnsi="Verdana"/>
                <w:sz w:val="18"/>
                <w:szCs w:val="18"/>
                <w:color w:val="auto"/>
              </w:rPr>
              <w:t>assets</w:t>
            </w:r>
          </w:p>
        </w:tc>
        <w:tc>
          <w:tcPr>
            <w:tcW w:w="0" w:type="dxa"/>
            <w:vAlign w:val="bottom"/>
          </w:tcPr>
          <w:p>
            <w:pPr>
              <w:spacing w:after="0"/>
              <w:rPr>
                <w:sz w:val="1"/>
                <w:szCs w:val="1"/>
                <w:color w:val="auto"/>
              </w:rPr>
            </w:pPr>
          </w:p>
        </w:tc>
      </w:tr>
      <w:tr>
        <w:trPr>
          <w:trHeight w:val="116"/>
        </w:trPr>
        <w:tc>
          <w:tcPr>
            <w:tcW w:w="3660" w:type="dxa"/>
            <w:vAlign w:val="bottom"/>
            <w:tcBorders>
              <w:bottom w:val="single" w:sz="8" w:color="E0E7ED"/>
            </w:tcBorders>
            <w:vMerge w:val="continue"/>
            <w:shd w:val="clear" w:color="auto" w:fill="E0E7ED"/>
          </w:tcPr>
          <w:p>
            <w:pPr>
              <w:spacing w:after="0"/>
              <w:rPr>
                <w:sz w:val="10"/>
                <w:szCs w:val="10"/>
                <w:color w:val="auto"/>
              </w:rPr>
            </w:pPr>
          </w:p>
        </w:tc>
        <w:tc>
          <w:tcPr>
            <w:tcW w:w="100" w:type="dxa"/>
            <w:vAlign w:val="bottom"/>
            <w:tcBorders>
              <w:bottom w:val="single" w:sz="8" w:color="E0E7ED"/>
            </w:tcBorders>
            <w:shd w:val="clear" w:color="auto" w:fill="E0E7ED"/>
          </w:tcPr>
          <w:p>
            <w:pPr>
              <w:spacing w:after="0"/>
              <w:rPr>
                <w:sz w:val="10"/>
                <w:szCs w:val="10"/>
                <w:color w:val="auto"/>
              </w:rPr>
            </w:pPr>
          </w:p>
        </w:tc>
        <w:tc>
          <w:tcPr>
            <w:tcW w:w="3680" w:type="dxa"/>
            <w:vAlign w:val="bottom"/>
            <w:tcBorders>
              <w:bottom w:val="single" w:sz="8" w:color="6D6D6D"/>
            </w:tcBorders>
            <w:shd w:val="clear" w:color="auto" w:fill="E0E7ED"/>
          </w:tcPr>
          <w:p>
            <w:pPr>
              <w:spacing w:after="0"/>
              <w:rPr>
                <w:sz w:val="10"/>
                <w:szCs w:val="10"/>
                <w:color w:val="auto"/>
              </w:rPr>
            </w:pPr>
          </w:p>
        </w:tc>
        <w:tc>
          <w:tcPr>
            <w:tcW w:w="100" w:type="dxa"/>
            <w:vAlign w:val="bottom"/>
            <w:tcBorders>
              <w:bottom w:val="single" w:sz="8" w:color="E0E7ED"/>
            </w:tcBorders>
            <w:shd w:val="clear" w:color="auto" w:fill="E0E7ED"/>
          </w:tcPr>
          <w:p>
            <w:pPr>
              <w:spacing w:after="0"/>
              <w:rPr>
                <w:sz w:val="10"/>
                <w:szCs w:val="10"/>
                <w:color w:val="auto"/>
              </w:rPr>
            </w:pPr>
          </w:p>
        </w:tc>
        <w:tc>
          <w:tcPr>
            <w:tcW w:w="3680" w:type="dxa"/>
            <w:vAlign w:val="bottom"/>
            <w:tcBorders>
              <w:bottom w:val="single" w:sz="8" w:color="6D6D6D"/>
            </w:tcBorders>
            <w:vMerge w:val="continue"/>
            <w:shd w:val="clear" w:color="auto" w:fill="E0E7ED"/>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3660" w:type="dxa"/>
            <w:vAlign w:val="bottom"/>
            <w:shd w:val="clear" w:color="auto" w:fill="E0E7ED"/>
          </w:tcPr>
          <w:p>
            <w:pPr>
              <w:ind w:left="20"/>
              <w:spacing w:after="0" w:line="201" w:lineRule="exact"/>
              <w:rPr>
                <w:sz w:val="20"/>
                <w:szCs w:val="20"/>
                <w:color w:val="auto"/>
              </w:rPr>
            </w:pPr>
            <w:r>
              <w:rPr>
                <w:rFonts w:ascii="Verdana" w:cs="Verdana" w:eastAsia="Verdana" w:hAnsi="Verdana"/>
                <w:sz w:val="18"/>
                <w:szCs w:val="18"/>
                <w:color w:val="auto"/>
              </w:rPr>
              <w:t>Net security gains and losses</w:t>
            </w:r>
          </w:p>
        </w:tc>
        <w:tc>
          <w:tcPr>
            <w:tcW w:w="100" w:type="dxa"/>
            <w:vAlign w:val="bottom"/>
            <w:shd w:val="clear" w:color="auto" w:fill="E0E7ED"/>
          </w:tcPr>
          <w:p>
            <w:pPr>
              <w:spacing w:after="0"/>
              <w:rPr>
                <w:sz w:val="17"/>
                <w:szCs w:val="17"/>
                <w:color w:val="auto"/>
              </w:rPr>
            </w:pPr>
          </w:p>
        </w:tc>
        <w:tc>
          <w:tcPr>
            <w:tcW w:w="3780" w:type="dxa"/>
            <w:vAlign w:val="bottom"/>
            <w:gridSpan w:val="2"/>
            <w:vMerge w:val="restart"/>
            <w:shd w:val="clear" w:color="auto" w:fill="E0E7ED"/>
          </w:tcPr>
          <w:p>
            <w:pPr>
              <w:ind w:left="20"/>
              <w:spacing w:after="0"/>
              <w:rPr>
                <w:sz w:val="20"/>
                <w:szCs w:val="20"/>
                <w:color w:val="auto"/>
              </w:rPr>
            </w:pPr>
            <w:r>
              <w:rPr>
                <w:rFonts w:ascii="Verdana" w:cs="Verdana" w:eastAsia="Verdana" w:hAnsi="Verdana"/>
                <w:sz w:val="18"/>
                <w:szCs w:val="18"/>
                <w:color w:val="auto"/>
              </w:rPr>
              <w:t>Adjusted pre-provision net revenue</w:t>
            </w:r>
          </w:p>
        </w:tc>
        <w:tc>
          <w:tcPr>
            <w:tcW w:w="3680" w:type="dxa"/>
            <w:vAlign w:val="bottom"/>
            <w:shd w:val="clear" w:color="auto" w:fill="E0E7ED"/>
          </w:tcPr>
          <w:p>
            <w:pPr>
              <w:ind w:left="20"/>
              <w:spacing w:after="0" w:line="201" w:lineRule="exact"/>
              <w:rPr>
                <w:sz w:val="20"/>
                <w:szCs w:val="20"/>
                <w:color w:val="auto"/>
              </w:rPr>
            </w:pPr>
            <w:r>
              <w:rPr>
                <w:rFonts w:ascii="Verdana" w:cs="Verdana" w:eastAsia="Verdana" w:hAnsi="Verdana"/>
                <w:sz w:val="18"/>
                <w:szCs w:val="18"/>
                <w:color w:val="auto"/>
              </w:rPr>
              <w:t>Adjusted pre-provision net revenue to</w:t>
            </w:r>
          </w:p>
        </w:tc>
        <w:tc>
          <w:tcPr>
            <w:tcW w:w="0" w:type="dxa"/>
            <w:vAlign w:val="bottom"/>
          </w:tcPr>
          <w:p>
            <w:pPr>
              <w:spacing w:after="0"/>
              <w:rPr>
                <w:sz w:val="1"/>
                <w:szCs w:val="1"/>
                <w:color w:val="auto"/>
              </w:rPr>
            </w:pPr>
          </w:p>
        </w:tc>
      </w:tr>
      <w:tr>
        <w:trPr>
          <w:trHeight w:val="162"/>
        </w:trPr>
        <w:tc>
          <w:tcPr>
            <w:tcW w:w="3660" w:type="dxa"/>
            <w:vAlign w:val="bottom"/>
            <w:vMerge w:val="restart"/>
            <w:shd w:val="clear" w:color="auto" w:fill="E0E7ED"/>
          </w:tcPr>
          <w:p>
            <w:pPr>
              <w:ind w:left="20"/>
              <w:spacing w:after="0"/>
              <w:rPr>
                <w:sz w:val="20"/>
                <w:szCs w:val="20"/>
                <w:color w:val="auto"/>
              </w:rPr>
            </w:pPr>
            <w:r>
              <w:rPr>
                <w:rFonts w:ascii="Verdana" w:cs="Verdana" w:eastAsia="Verdana" w:hAnsi="Verdana"/>
                <w:sz w:val="18"/>
                <w:szCs w:val="18"/>
                <w:color w:val="auto"/>
              </w:rPr>
              <w:t>Total noninterest expense</w:t>
            </w:r>
          </w:p>
        </w:tc>
        <w:tc>
          <w:tcPr>
            <w:tcW w:w="100" w:type="dxa"/>
            <w:vAlign w:val="bottom"/>
            <w:shd w:val="clear" w:color="auto" w:fill="E0E7ED"/>
          </w:tcPr>
          <w:p>
            <w:pPr>
              <w:spacing w:after="0"/>
              <w:rPr>
                <w:sz w:val="14"/>
                <w:szCs w:val="14"/>
                <w:color w:val="auto"/>
              </w:rPr>
            </w:pPr>
          </w:p>
        </w:tc>
        <w:tc>
          <w:tcPr>
            <w:tcW w:w="3780" w:type="dxa"/>
            <w:vAlign w:val="bottom"/>
            <w:gridSpan w:val="2"/>
            <w:vMerge w:val="continue"/>
            <w:shd w:val="clear" w:color="auto" w:fill="E0E7ED"/>
          </w:tcPr>
          <w:p>
            <w:pPr>
              <w:spacing w:after="0"/>
              <w:rPr>
                <w:sz w:val="14"/>
                <w:szCs w:val="14"/>
                <w:color w:val="auto"/>
              </w:rPr>
            </w:pPr>
          </w:p>
        </w:tc>
        <w:tc>
          <w:tcPr>
            <w:tcW w:w="3680" w:type="dxa"/>
            <w:vAlign w:val="bottom"/>
            <w:vMerge w:val="restart"/>
            <w:shd w:val="clear" w:color="auto" w:fill="E0E7ED"/>
          </w:tcPr>
          <w:p>
            <w:pPr>
              <w:ind w:left="20"/>
              <w:spacing w:after="0"/>
              <w:rPr>
                <w:sz w:val="20"/>
                <w:szCs w:val="20"/>
                <w:color w:val="auto"/>
              </w:rPr>
            </w:pPr>
            <w:r>
              <w:rPr>
                <w:rFonts w:ascii="Verdana" w:cs="Verdana" w:eastAsia="Verdana" w:hAnsi="Verdana"/>
                <w:sz w:val="18"/>
                <w:szCs w:val="18"/>
                <w:color w:val="auto"/>
              </w:rPr>
              <w:t>average assets</w:t>
            </w:r>
          </w:p>
        </w:tc>
        <w:tc>
          <w:tcPr>
            <w:tcW w:w="0" w:type="dxa"/>
            <w:vAlign w:val="bottom"/>
          </w:tcPr>
          <w:p>
            <w:pPr>
              <w:spacing w:after="0"/>
              <w:rPr>
                <w:sz w:val="1"/>
                <w:szCs w:val="1"/>
                <w:color w:val="auto"/>
              </w:rPr>
            </w:pPr>
          </w:p>
        </w:tc>
      </w:tr>
      <w:tr>
        <w:trPr>
          <w:trHeight w:val="121"/>
        </w:trPr>
        <w:tc>
          <w:tcPr>
            <w:tcW w:w="3660" w:type="dxa"/>
            <w:vAlign w:val="bottom"/>
            <w:vMerge w:val="continue"/>
            <w:shd w:val="clear" w:color="auto" w:fill="E0E7ED"/>
          </w:tcPr>
          <w:p>
            <w:pPr>
              <w:spacing w:after="0"/>
              <w:rPr>
                <w:sz w:val="10"/>
                <w:szCs w:val="10"/>
                <w:color w:val="auto"/>
              </w:rPr>
            </w:pPr>
          </w:p>
        </w:tc>
        <w:tc>
          <w:tcPr>
            <w:tcW w:w="100" w:type="dxa"/>
            <w:vAlign w:val="bottom"/>
            <w:shd w:val="clear" w:color="auto" w:fill="E0E7ED"/>
          </w:tcPr>
          <w:p>
            <w:pPr>
              <w:spacing w:after="0"/>
              <w:rPr>
                <w:sz w:val="10"/>
                <w:szCs w:val="10"/>
                <w:color w:val="auto"/>
              </w:rPr>
            </w:pPr>
          </w:p>
        </w:tc>
        <w:tc>
          <w:tcPr>
            <w:tcW w:w="3680" w:type="dxa"/>
            <w:vAlign w:val="bottom"/>
            <w:shd w:val="clear" w:color="auto" w:fill="E0E7ED"/>
          </w:tcPr>
          <w:p>
            <w:pPr>
              <w:spacing w:after="0"/>
              <w:rPr>
                <w:sz w:val="10"/>
                <w:szCs w:val="10"/>
                <w:color w:val="auto"/>
              </w:rPr>
            </w:pPr>
          </w:p>
        </w:tc>
        <w:tc>
          <w:tcPr>
            <w:tcW w:w="100" w:type="dxa"/>
            <w:vAlign w:val="bottom"/>
            <w:shd w:val="clear" w:color="auto" w:fill="E0E7ED"/>
          </w:tcPr>
          <w:p>
            <w:pPr>
              <w:spacing w:after="0"/>
              <w:rPr>
                <w:sz w:val="10"/>
                <w:szCs w:val="10"/>
                <w:color w:val="auto"/>
              </w:rPr>
            </w:pPr>
          </w:p>
        </w:tc>
        <w:tc>
          <w:tcPr>
            <w:tcW w:w="3680" w:type="dxa"/>
            <w:vAlign w:val="bottom"/>
            <w:vMerge w:val="continue"/>
            <w:shd w:val="clear" w:color="auto" w:fill="E0E7ED"/>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15175" cy="9340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7115175" cy="93408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tabs>
          <w:tab w:leader="none" w:pos="3760" w:val="left"/>
        </w:tabs>
        <w:rPr>
          <w:sz w:val="20"/>
          <w:szCs w:val="20"/>
          <w:color w:val="auto"/>
        </w:rPr>
      </w:pPr>
      <w:r>
        <w:rPr>
          <w:rFonts w:ascii="Verdana" w:cs="Verdana" w:eastAsia="Verdana" w:hAnsi="Verdana"/>
          <w:sz w:val="18"/>
          <w:szCs w:val="18"/>
          <w:color w:val="auto"/>
        </w:rPr>
        <w:t>Net income</w:t>
      </w:r>
      <w:r>
        <w:rPr>
          <w:sz w:val="20"/>
          <w:szCs w:val="20"/>
          <w:color w:val="auto"/>
        </w:rPr>
        <w:tab/>
      </w:r>
      <w:r>
        <w:rPr>
          <w:rFonts w:ascii="Verdana" w:cs="Verdana" w:eastAsia="Verdana" w:hAnsi="Verdana"/>
          <w:sz w:val="17"/>
          <w:szCs w:val="17"/>
          <w:color w:val="auto"/>
        </w:rPr>
        <w:t>Adjusted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499110</wp:posOffset>
            </wp:positionV>
            <wp:extent cx="7115175" cy="6261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711517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tabs>
          <w:tab w:leader="none" w:pos="3760" w:val="left"/>
        </w:tabs>
        <w:rPr>
          <w:sz w:val="20"/>
          <w:szCs w:val="20"/>
          <w:color w:val="auto"/>
        </w:rPr>
      </w:pPr>
      <w:r>
        <w:rPr>
          <w:rFonts w:ascii="Verdana" w:cs="Verdana" w:eastAsia="Verdana" w:hAnsi="Verdana"/>
          <w:sz w:val="18"/>
          <w:szCs w:val="18"/>
          <w:color w:val="auto"/>
        </w:rPr>
        <w:t>Average common equity</w:t>
      </w:r>
      <w:r>
        <w:rPr>
          <w:sz w:val="20"/>
          <w:szCs w:val="20"/>
          <w:color w:val="auto"/>
        </w:rPr>
        <w:tab/>
      </w:r>
      <w:r>
        <w:rPr>
          <w:rFonts w:ascii="Verdana" w:cs="Verdana" w:eastAsia="Verdana" w:hAnsi="Verdana"/>
          <w:sz w:val="17"/>
          <w:szCs w:val="17"/>
          <w:color w:val="auto"/>
        </w:rPr>
        <w:t>Average tangible common equity</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Verdana" w:cs="Verdana" w:eastAsia="Verdana" w:hAnsi="Verdana"/>
          <w:sz w:val="18"/>
          <w:szCs w:val="18"/>
          <w:color w:val="auto"/>
        </w:rPr>
        <w:t>Adjusted diluted earnings per share</w:t>
      </w:r>
    </w:p>
    <w:p>
      <w:pPr>
        <w:spacing w:after="0" w:line="267" w:lineRule="exact"/>
        <w:rPr>
          <w:sz w:val="20"/>
          <w:szCs w:val="20"/>
          <w:color w:val="auto"/>
        </w:rPr>
      </w:pPr>
    </w:p>
    <w:p>
      <w:pPr>
        <w:spacing w:after="0"/>
        <w:rPr>
          <w:sz w:val="20"/>
          <w:szCs w:val="20"/>
          <w:color w:val="auto"/>
        </w:rPr>
      </w:pPr>
      <w:r>
        <w:rPr>
          <w:rFonts w:ascii="Verdana" w:cs="Verdana" w:eastAsia="Verdana" w:hAnsi="Verdana"/>
          <w:sz w:val="18"/>
          <w:szCs w:val="18"/>
          <w:color w:val="auto"/>
        </w:rPr>
        <w:t>Adjusted return on average assets</w:t>
      </w:r>
    </w:p>
    <w:p>
      <w:pPr>
        <w:spacing w:after="0" w:line="173" w:lineRule="exact"/>
        <w:rPr>
          <w:sz w:val="20"/>
          <w:szCs w:val="20"/>
          <w:color w:val="auto"/>
        </w:rPr>
      </w:pPr>
    </w:p>
    <w:p>
      <w:pPr>
        <w:ind w:right="400"/>
        <w:spacing w:after="0" w:line="254" w:lineRule="auto"/>
        <w:rPr>
          <w:sz w:val="20"/>
          <w:szCs w:val="20"/>
          <w:color w:val="auto"/>
        </w:rPr>
      </w:pPr>
      <w:r>
        <w:rPr>
          <w:rFonts w:ascii="Verdana" w:cs="Verdana" w:eastAsia="Verdana" w:hAnsi="Verdana"/>
          <w:sz w:val="18"/>
          <w:szCs w:val="18"/>
          <w:color w:val="auto"/>
        </w:rPr>
        <w:t>Adjusted return on average tangible common equity</w:t>
      </w:r>
    </w:p>
    <w:p>
      <w:pPr>
        <w:spacing w:after="0" w:line="171" w:lineRule="exact"/>
        <w:rPr>
          <w:sz w:val="20"/>
          <w:szCs w:val="20"/>
          <w:color w:val="auto"/>
        </w:rPr>
      </w:pPr>
    </w:p>
    <w:p>
      <w:pPr>
        <w:ind w:right="380"/>
        <w:spacing w:after="0" w:line="254" w:lineRule="auto"/>
        <w:rPr>
          <w:sz w:val="20"/>
          <w:szCs w:val="20"/>
          <w:color w:val="auto"/>
        </w:rPr>
      </w:pPr>
      <w:r>
        <w:rPr>
          <w:rFonts w:ascii="Verdana" w:cs="Verdana" w:eastAsia="Verdana" w:hAnsi="Verdana"/>
          <w:sz w:val="18"/>
          <w:szCs w:val="18"/>
          <w:color w:val="auto"/>
        </w:rPr>
        <w:t>Return on average tangible common equity</w:t>
      </w:r>
    </w:p>
    <w:p>
      <w:pPr>
        <w:spacing w:after="0" w:line="36" w:lineRule="exact"/>
        <w:rPr>
          <w:sz w:val="20"/>
          <w:szCs w:val="20"/>
          <w:color w:val="auto"/>
        </w:rPr>
      </w:pPr>
    </w:p>
    <w:p>
      <w:pPr>
        <w:ind w:right="400"/>
        <w:spacing w:after="0" w:line="254" w:lineRule="auto"/>
        <w:rPr>
          <w:sz w:val="20"/>
          <w:szCs w:val="20"/>
          <w:color w:val="auto"/>
        </w:rPr>
      </w:pPr>
      <w:r>
        <w:rPr>
          <w:rFonts w:ascii="Verdana" w:cs="Verdana" w:eastAsia="Verdana" w:hAnsi="Verdana"/>
          <w:sz w:val="18"/>
          <w:szCs w:val="18"/>
          <w:color w:val="auto"/>
        </w:rPr>
        <w:t>Adjusted return on average tangible common equity</w:t>
      </w:r>
    </w:p>
    <w:p>
      <w:pPr>
        <w:spacing w:after="0" w:line="150" w:lineRule="exact"/>
        <w:rPr>
          <w:sz w:val="20"/>
          <w:szCs w:val="20"/>
          <w:color w:val="auto"/>
        </w:rPr>
      </w:pPr>
    </w:p>
    <w:p>
      <w:pPr>
        <w:sectPr>
          <w:pgSz w:w="11900" w:h="16838" w:orient="portrait"/>
          <w:cols w:equalWidth="0" w:num="2">
            <w:col w:w="6840" w:space="720"/>
            <w:col w:w="3680"/>
          </w:cols>
          <w:pgMar w:left="320" w:top="310" w:right="339" w:bottom="1440" w:gutter="0" w:footer="0" w:header="0"/>
          <w:type w:val="continuous"/>
        </w:sectPr>
      </w:pPr>
    </w:p>
    <w:tbl>
      <w:tblPr>
        <w:tblLayout w:type="fixed"/>
        <w:tblInd w:w="0" w:type="dxa"/>
        <w:tblCellMar>
          <w:top w:w="0" w:type="dxa"/>
          <w:left w:w="0" w:type="dxa"/>
          <w:bottom w:w="0" w:type="dxa"/>
          <w:right w:w="0" w:type="dxa"/>
        </w:tblCellMar>
      </w:tblPr>
      <w:tr>
        <w:trPr>
          <w:trHeight w:val="365"/>
        </w:trPr>
        <w:tc>
          <w:tcPr>
            <w:tcW w:w="3660" w:type="dxa"/>
            <w:vAlign w:val="bottom"/>
            <w:vMerge w:val="restart"/>
            <w:shd w:val="clear" w:color="auto" w:fill="E0E7ED"/>
          </w:tcPr>
          <w:p>
            <w:pPr>
              <w:ind w:left="20"/>
              <w:spacing w:after="0"/>
              <w:rPr>
                <w:sz w:val="20"/>
                <w:szCs w:val="20"/>
                <w:color w:val="auto"/>
              </w:rPr>
            </w:pPr>
            <w:r>
              <w:rPr>
                <w:rFonts w:ascii="Verdana" w:cs="Verdana" w:eastAsia="Verdana" w:hAnsi="Verdana"/>
                <w:sz w:val="18"/>
                <w:szCs w:val="18"/>
                <w:color w:val="auto"/>
              </w:rPr>
              <w:t>Net interest income</w:t>
            </w:r>
          </w:p>
        </w:tc>
        <w:tc>
          <w:tcPr>
            <w:tcW w:w="100" w:type="dxa"/>
            <w:vAlign w:val="bottom"/>
            <w:shd w:val="clear" w:color="auto" w:fill="E0E7ED"/>
          </w:tcPr>
          <w:p>
            <w:pPr>
              <w:spacing w:after="0"/>
              <w:rPr>
                <w:sz w:val="24"/>
                <w:szCs w:val="24"/>
                <w:color w:val="auto"/>
              </w:rPr>
            </w:pPr>
          </w:p>
        </w:tc>
        <w:tc>
          <w:tcPr>
            <w:tcW w:w="36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Tax-equivalent net interest income</w:t>
            </w:r>
          </w:p>
        </w:tc>
        <w:tc>
          <w:tcPr>
            <w:tcW w:w="100" w:type="dxa"/>
            <w:vAlign w:val="bottom"/>
            <w:shd w:val="clear" w:color="auto" w:fill="E0E7ED"/>
          </w:tcPr>
          <w:p>
            <w:pPr>
              <w:spacing w:after="0"/>
              <w:rPr>
                <w:sz w:val="24"/>
                <w:szCs w:val="24"/>
                <w:color w:val="auto"/>
              </w:rPr>
            </w:pPr>
          </w:p>
        </w:tc>
        <w:tc>
          <w:tcPr>
            <w:tcW w:w="36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Net interest margin</w:t>
            </w:r>
          </w:p>
        </w:tc>
        <w:tc>
          <w:tcPr>
            <w:tcW w:w="0" w:type="dxa"/>
            <w:vAlign w:val="bottom"/>
          </w:tcPr>
          <w:p>
            <w:pPr>
              <w:spacing w:after="0"/>
              <w:rPr>
                <w:sz w:val="1"/>
                <w:szCs w:val="1"/>
                <w:color w:val="auto"/>
              </w:rPr>
            </w:pPr>
          </w:p>
        </w:tc>
      </w:tr>
      <w:tr>
        <w:trPr>
          <w:trHeight w:val="121"/>
        </w:trPr>
        <w:tc>
          <w:tcPr>
            <w:tcW w:w="3660" w:type="dxa"/>
            <w:vAlign w:val="bottom"/>
            <w:tcBorders>
              <w:bottom w:val="single" w:sz="8" w:color="E0E7ED"/>
            </w:tcBorders>
            <w:vMerge w:val="continue"/>
            <w:shd w:val="clear" w:color="auto" w:fill="E0E7ED"/>
          </w:tcPr>
          <w:p>
            <w:pPr>
              <w:spacing w:after="0"/>
              <w:rPr>
                <w:sz w:val="10"/>
                <w:szCs w:val="10"/>
                <w:color w:val="auto"/>
              </w:rPr>
            </w:pPr>
          </w:p>
        </w:tc>
        <w:tc>
          <w:tcPr>
            <w:tcW w:w="100" w:type="dxa"/>
            <w:vAlign w:val="bottom"/>
            <w:tcBorders>
              <w:bottom w:val="single" w:sz="8" w:color="E0E7ED"/>
            </w:tcBorders>
            <w:shd w:val="clear" w:color="auto" w:fill="E0E7ED"/>
          </w:tcPr>
          <w:p>
            <w:pPr>
              <w:spacing w:after="0"/>
              <w:rPr>
                <w:sz w:val="10"/>
                <w:szCs w:val="10"/>
                <w:color w:val="auto"/>
              </w:rPr>
            </w:pPr>
          </w:p>
        </w:tc>
        <w:tc>
          <w:tcPr>
            <w:tcW w:w="3680" w:type="dxa"/>
            <w:vAlign w:val="bottom"/>
            <w:tcBorders>
              <w:bottom w:val="single" w:sz="8" w:color="6D6D6D"/>
            </w:tcBorders>
            <w:shd w:val="clear" w:color="auto" w:fill="E0E7ED"/>
          </w:tcPr>
          <w:p>
            <w:pPr>
              <w:spacing w:after="0"/>
              <w:rPr>
                <w:sz w:val="10"/>
                <w:szCs w:val="10"/>
                <w:color w:val="auto"/>
              </w:rPr>
            </w:pPr>
          </w:p>
        </w:tc>
        <w:tc>
          <w:tcPr>
            <w:tcW w:w="100" w:type="dxa"/>
            <w:vAlign w:val="bottom"/>
            <w:tcBorders>
              <w:bottom w:val="single" w:sz="8" w:color="E0E7ED"/>
            </w:tcBorders>
            <w:shd w:val="clear" w:color="auto" w:fill="E0E7ED"/>
          </w:tcPr>
          <w:p>
            <w:pPr>
              <w:spacing w:after="0"/>
              <w:rPr>
                <w:sz w:val="10"/>
                <w:szCs w:val="10"/>
                <w:color w:val="auto"/>
              </w:rPr>
            </w:pPr>
          </w:p>
        </w:tc>
        <w:tc>
          <w:tcPr>
            <w:tcW w:w="3680" w:type="dxa"/>
            <w:vAlign w:val="bottom"/>
            <w:tcBorders>
              <w:bottom w:val="single" w:sz="8" w:color="6D6D6D"/>
            </w:tcBorders>
            <w:shd w:val="clear" w:color="auto" w:fill="E0E7ED"/>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36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6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Adjusted net interest income</w:t>
            </w:r>
          </w:p>
        </w:tc>
        <w:tc>
          <w:tcPr>
            <w:tcW w:w="100" w:type="dxa"/>
            <w:vAlign w:val="bottom"/>
            <w:shd w:val="clear" w:color="auto" w:fill="E0E7ED"/>
          </w:tcPr>
          <w:p>
            <w:pPr>
              <w:spacing w:after="0"/>
              <w:rPr>
                <w:sz w:val="22"/>
                <w:szCs w:val="22"/>
                <w:color w:val="auto"/>
              </w:rPr>
            </w:pPr>
          </w:p>
        </w:tc>
        <w:tc>
          <w:tcPr>
            <w:tcW w:w="36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Adjusted net interest margin</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3660" w:type="dxa"/>
            <w:vAlign w:val="bottom"/>
            <w:vMerge w:val="restart"/>
          </w:tcPr>
          <w:p>
            <w:pPr>
              <w:ind w:left="20"/>
              <w:spacing w:after="0"/>
              <w:rPr>
                <w:sz w:val="20"/>
                <w:szCs w:val="20"/>
                <w:color w:val="auto"/>
              </w:rPr>
            </w:pPr>
            <w:r>
              <w:rPr>
                <w:rFonts w:ascii="Verdana" w:cs="Verdana" w:eastAsia="Verdana" w:hAnsi="Verdana"/>
                <w:sz w:val="18"/>
                <w:szCs w:val="18"/>
                <w:color w:val="auto"/>
              </w:rPr>
              <w:t>Net interest income</w:t>
            </w:r>
          </w:p>
        </w:tc>
        <w:tc>
          <w:tcPr>
            <w:tcW w:w="100" w:type="dxa"/>
            <w:vAlign w:val="bottom"/>
            <w:shd w:val="clear" w:color="auto" w:fill="E0E7ED"/>
          </w:tcPr>
          <w:p>
            <w:pPr>
              <w:spacing w:after="0"/>
              <w:rPr>
                <w:sz w:val="22"/>
                <w:szCs w:val="22"/>
                <w:color w:val="auto"/>
              </w:rPr>
            </w:pPr>
          </w:p>
        </w:tc>
        <w:tc>
          <w:tcPr>
            <w:tcW w:w="3680" w:type="dxa"/>
            <w:vAlign w:val="bottom"/>
            <w:tcBorders>
              <w:bottom w:val="single" w:sz="8" w:color="6D6D6D"/>
            </w:tcBorders>
            <w:shd w:val="clear" w:color="auto" w:fill="E0E7ED"/>
          </w:tcPr>
          <w:p>
            <w:pPr>
              <w:ind w:left="20"/>
              <w:spacing w:after="0"/>
              <w:rPr>
                <w:sz w:val="20"/>
                <w:szCs w:val="20"/>
                <w:color w:val="auto"/>
              </w:rPr>
            </w:pPr>
            <w:r>
              <w:rPr>
                <w:rFonts w:ascii="Verdana" w:cs="Verdana" w:eastAsia="Verdana" w:hAnsi="Verdana"/>
                <w:sz w:val="18"/>
                <w:szCs w:val="18"/>
                <w:color w:val="auto"/>
              </w:rPr>
              <w:t>Tax-equivalent revenue</w:t>
            </w:r>
          </w:p>
        </w:tc>
        <w:tc>
          <w:tcPr>
            <w:tcW w:w="100" w:type="dxa"/>
            <w:vAlign w:val="bottom"/>
            <w:tcBorders>
              <w:bottom w:val="single" w:sz="8" w:color="E0E7ED"/>
            </w:tcBorders>
            <w:shd w:val="clear" w:color="auto" w:fill="E0E7ED"/>
          </w:tcPr>
          <w:p>
            <w:pPr>
              <w:spacing w:after="0"/>
              <w:rPr>
                <w:sz w:val="22"/>
                <w:szCs w:val="22"/>
                <w:color w:val="auto"/>
              </w:rPr>
            </w:pPr>
          </w:p>
        </w:tc>
        <w:tc>
          <w:tcPr>
            <w:tcW w:w="3680" w:type="dxa"/>
            <w:vAlign w:val="bottom"/>
            <w:tcBorders>
              <w:bottom w:val="single" w:sz="8" w:color="6D6D6D"/>
            </w:tcBorders>
            <w:shd w:val="clear" w:color="auto" w:fill="E0E7ED"/>
          </w:tcPr>
          <w:p>
            <w:pPr>
              <w:ind w:left="20"/>
              <w:spacing w:after="0"/>
              <w:rPr>
                <w:sz w:val="20"/>
                <w:szCs w:val="20"/>
                <w:color w:val="auto"/>
              </w:rPr>
            </w:pPr>
            <w:r>
              <w:rPr>
                <w:rFonts w:ascii="Verdana" w:cs="Verdana" w:eastAsia="Verdana" w:hAnsi="Verdana"/>
                <w:sz w:val="18"/>
                <w:szCs w:val="18"/>
                <w:color w:val="auto"/>
              </w:rPr>
              <w:t>Efficiency ratio</w:t>
            </w:r>
          </w:p>
        </w:tc>
        <w:tc>
          <w:tcPr>
            <w:tcW w:w="0" w:type="dxa"/>
            <w:vAlign w:val="bottom"/>
          </w:tcPr>
          <w:p>
            <w:pPr>
              <w:spacing w:after="0"/>
              <w:rPr>
                <w:sz w:val="1"/>
                <w:szCs w:val="1"/>
                <w:color w:val="auto"/>
              </w:rPr>
            </w:pPr>
          </w:p>
        </w:tc>
      </w:tr>
      <w:tr>
        <w:trPr>
          <w:trHeight w:val="157"/>
        </w:trPr>
        <w:tc>
          <w:tcPr>
            <w:tcW w:w="3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3680" w:type="dxa"/>
            <w:vAlign w:val="bottom"/>
            <w:vMerge w:val="restart"/>
            <w:shd w:val="clear" w:color="auto" w:fill="E0E7ED"/>
          </w:tcPr>
          <w:p>
            <w:pPr>
              <w:ind w:left="20"/>
              <w:spacing w:after="0"/>
              <w:rPr>
                <w:sz w:val="20"/>
                <w:szCs w:val="20"/>
                <w:color w:val="auto"/>
              </w:rPr>
            </w:pPr>
            <w:r>
              <w:rPr>
                <w:rFonts w:ascii="Verdana" w:cs="Verdana" w:eastAsia="Verdana" w:hAnsi="Verdana"/>
                <w:sz w:val="18"/>
                <w:szCs w:val="18"/>
                <w:color w:val="auto"/>
              </w:rPr>
              <w:t>Adjusted efficiency ratio</w:t>
            </w:r>
          </w:p>
        </w:tc>
        <w:tc>
          <w:tcPr>
            <w:tcW w:w="0" w:type="dxa"/>
            <w:vAlign w:val="bottom"/>
          </w:tcPr>
          <w:p>
            <w:pPr>
              <w:spacing w:after="0"/>
              <w:rPr>
                <w:sz w:val="1"/>
                <w:szCs w:val="1"/>
                <w:color w:val="auto"/>
              </w:rPr>
            </w:pPr>
          </w:p>
        </w:tc>
      </w:tr>
      <w:tr>
        <w:trPr>
          <w:trHeight w:val="112"/>
        </w:trPr>
        <w:tc>
          <w:tcPr>
            <w:tcW w:w="3660" w:type="dxa"/>
            <w:vAlign w:val="bottom"/>
            <w:vMerge w:val="restart"/>
          </w:tcPr>
          <w:p>
            <w:pPr>
              <w:ind w:left="20"/>
              <w:spacing w:after="0" w:line="216" w:lineRule="exact"/>
              <w:rPr>
                <w:sz w:val="20"/>
                <w:szCs w:val="20"/>
                <w:color w:val="auto"/>
              </w:rPr>
            </w:pPr>
            <w:r>
              <w:rPr>
                <w:rFonts w:ascii="Verdana" w:cs="Verdana" w:eastAsia="Verdana" w:hAnsi="Verdana"/>
                <w:sz w:val="18"/>
                <w:szCs w:val="18"/>
                <w:color w:val="auto"/>
              </w:rPr>
              <w:t>Total noninterest income</w:t>
            </w:r>
          </w:p>
        </w:tc>
        <w:tc>
          <w:tcPr>
            <w:tcW w:w="100" w:type="dxa"/>
            <w:vAlign w:val="bottom"/>
          </w:tcPr>
          <w:p>
            <w:pPr>
              <w:spacing w:after="0"/>
              <w:rPr>
                <w:sz w:val="9"/>
                <w:szCs w:val="9"/>
                <w:color w:val="auto"/>
              </w:rPr>
            </w:pPr>
          </w:p>
        </w:tc>
        <w:tc>
          <w:tcPr>
            <w:tcW w:w="3680" w:type="dxa"/>
            <w:vAlign w:val="bottom"/>
            <w:vMerge w:val="restart"/>
          </w:tcPr>
          <w:p>
            <w:pPr>
              <w:ind w:left="20"/>
              <w:spacing w:after="0" w:line="216" w:lineRule="exact"/>
              <w:rPr>
                <w:sz w:val="20"/>
                <w:szCs w:val="20"/>
                <w:color w:val="auto"/>
              </w:rPr>
            </w:pPr>
            <w:r>
              <w:rPr>
                <w:rFonts w:ascii="Verdana" w:cs="Verdana" w:eastAsia="Verdana" w:hAnsi="Verdana"/>
                <w:sz w:val="18"/>
                <w:szCs w:val="18"/>
                <w:color w:val="auto"/>
              </w:rPr>
              <w:t>Adjusted tax-equivalent revenue</w:t>
            </w:r>
          </w:p>
        </w:tc>
        <w:tc>
          <w:tcPr>
            <w:tcW w:w="100" w:type="dxa"/>
            <w:vAlign w:val="bottom"/>
            <w:shd w:val="clear" w:color="auto" w:fill="E0E7ED"/>
          </w:tcPr>
          <w:p>
            <w:pPr>
              <w:spacing w:after="0"/>
              <w:rPr>
                <w:sz w:val="9"/>
                <w:szCs w:val="9"/>
                <w:color w:val="auto"/>
              </w:rPr>
            </w:pPr>
          </w:p>
        </w:tc>
        <w:tc>
          <w:tcPr>
            <w:tcW w:w="3680" w:type="dxa"/>
            <w:vAlign w:val="bottom"/>
            <w:tcBorders>
              <w:bottom w:val="single" w:sz="8" w:color="6D6D6D"/>
            </w:tcBorders>
            <w:vMerge w:val="continue"/>
            <w:shd w:val="clear" w:color="auto" w:fill="E0E7ED"/>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3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680" w:type="dxa"/>
            <w:vAlign w:val="bottom"/>
            <w:vMerge w:val="restart"/>
          </w:tcPr>
          <w:p>
            <w:pPr>
              <w:ind w:left="20"/>
              <w:spacing w:after="0"/>
              <w:rPr>
                <w:sz w:val="20"/>
                <w:szCs w:val="20"/>
                <w:color w:val="auto"/>
              </w:rPr>
            </w:pPr>
            <w:r>
              <w:rPr>
                <w:rFonts w:ascii="Verdana" w:cs="Verdana" w:eastAsia="Verdana" w:hAnsi="Verdana"/>
                <w:sz w:val="18"/>
                <w:szCs w:val="18"/>
                <w:color w:val="auto"/>
              </w:rPr>
              <w:t>Adjusted core efficiency ratio</w:t>
            </w:r>
          </w:p>
        </w:tc>
        <w:tc>
          <w:tcPr>
            <w:tcW w:w="0" w:type="dxa"/>
            <w:vAlign w:val="bottom"/>
          </w:tcPr>
          <w:p>
            <w:pPr>
              <w:spacing w:after="0"/>
              <w:rPr>
                <w:sz w:val="1"/>
                <w:szCs w:val="1"/>
                <w:color w:val="auto"/>
              </w:rPr>
            </w:pPr>
          </w:p>
        </w:tc>
      </w:tr>
      <w:tr>
        <w:trPr>
          <w:trHeight w:val="181"/>
        </w:trPr>
        <w:tc>
          <w:tcPr>
            <w:tcW w:w="3660" w:type="dxa"/>
            <w:vAlign w:val="bottom"/>
          </w:tcPr>
          <w:p>
            <w:pPr>
              <w:ind w:left="20"/>
              <w:spacing w:after="0" w:line="161" w:lineRule="exact"/>
              <w:rPr>
                <w:sz w:val="20"/>
                <w:szCs w:val="20"/>
                <w:color w:val="auto"/>
              </w:rPr>
            </w:pPr>
            <w:r>
              <w:rPr>
                <w:rFonts w:ascii="Verdana" w:cs="Verdana" w:eastAsia="Verdana" w:hAnsi="Verdana"/>
                <w:sz w:val="17"/>
                <w:szCs w:val="17"/>
                <w:color w:val="auto"/>
              </w:rPr>
              <w:t>Net security gains and losses</w:t>
            </w:r>
          </w:p>
        </w:tc>
        <w:tc>
          <w:tcPr>
            <w:tcW w:w="100" w:type="dxa"/>
            <w:vAlign w:val="bottom"/>
          </w:tcPr>
          <w:p>
            <w:pPr>
              <w:spacing w:after="0"/>
              <w:rPr>
                <w:sz w:val="15"/>
                <w:szCs w:val="15"/>
                <w:color w:val="auto"/>
              </w:rPr>
            </w:pPr>
          </w:p>
        </w:tc>
        <w:tc>
          <w:tcPr>
            <w:tcW w:w="3680" w:type="dxa"/>
            <w:vAlign w:val="bottom"/>
            <w:tcBorders>
              <w:bottom w:val="single" w:sz="8" w:color="6D6D6D"/>
            </w:tcBorders>
          </w:tcPr>
          <w:p>
            <w:pPr>
              <w:spacing w:after="0"/>
              <w:rPr>
                <w:sz w:val="15"/>
                <w:szCs w:val="15"/>
                <w:color w:val="auto"/>
              </w:rPr>
            </w:pPr>
          </w:p>
        </w:tc>
        <w:tc>
          <w:tcPr>
            <w:tcW w:w="100" w:type="dxa"/>
            <w:vAlign w:val="bottom"/>
          </w:tcPr>
          <w:p>
            <w:pPr>
              <w:spacing w:after="0"/>
              <w:rPr>
                <w:sz w:val="15"/>
                <w:szCs w:val="15"/>
                <w:color w:val="auto"/>
              </w:rPr>
            </w:pPr>
          </w:p>
        </w:tc>
        <w:tc>
          <w:tcPr>
            <w:tcW w:w="3680" w:type="dxa"/>
            <w:vAlign w:val="bottom"/>
            <w:tcBorders>
              <w:bottom w:val="single" w:sz="8" w:color="6D6D6D"/>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-539115</wp:posOffset>
            </wp:positionV>
            <wp:extent cx="7115175" cy="7112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7115175" cy="711200"/>
                    </a:xfrm>
                    <a:prstGeom prst="rect">
                      <a:avLst/>
                    </a:prstGeom>
                    <a:noFill/>
                  </pic:spPr>
                </pic:pic>
              </a:graphicData>
            </a:graphic>
          </wp:anchor>
        </w:drawing>
      </w:r>
    </w:p>
    <w:p>
      <w:pPr>
        <w:spacing w:after="0" w:line="2" w:lineRule="exact"/>
        <w:rPr>
          <w:sz w:val="20"/>
          <w:szCs w:val="20"/>
          <w:color w:val="auto"/>
        </w:rPr>
      </w:pPr>
    </w:p>
    <w:p>
      <w:pPr>
        <w:ind w:left="3780"/>
        <w:spacing w:after="0"/>
        <w:rPr>
          <w:sz w:val="20"/>
          <w:szCs w:val="20"/>
          <w:color w:val="auto"/>
        </w:rPr>
      </w:pPr>
      <w:r>
        <w:rPr>
          <w:rFonts w:ascii="Verdana" w:cs="Verdana" w:eastAsia="Verdana" w:hAnsi="Verdana"/>
          <w:sz w:val="18"/>
          <w:szCs w:val="18"/>
          <w:color w:val="auto"/>
        </w:rPr>
        <w:t>Adjusted noninterest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15175" cy="8058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7115175" cy="80581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p>
      <w:pPr>
        <w:spacing w:after="0" w:line="200" w:lineRule="exact"/>
        <w:rPr>
          <w:sz w:val="20"/>
          <w:szCs w:val="20"/>
          <w:color w:val="auto"/>
        </w:rPr>
      </w:pPr>
    </w:p>
    <w:p>
      <w:pPr>
        <w:spacing w:after="0" w:line="391" w:lineRule="exact"/>
        <w:rPr>
          <w:sz w:val="20"/>
          <w:szCs w:val="20"/>
          <w:color w:val="auto"/>
        </w:rPr>
      </w:pPr>
    </w:p>
    <w:p>
      <w:pPr>
        <w:ind w:left="20" w:right="380"/>
        <w:spacing w:after="0" w:line="254" w:lineRule="auto"/>
        <w:rPr>
          <w:sz w:val="20"/>
          <w:szCs w:val="20"/>
          <w:color w:val="auto"/>
        </w:rPr>
      </w:pPr>
      <w:r>
        <w:rPr>
          <w:rFonts w:ascii="Verdana" w:cs="Verdana" w:eastAsia="Verdana" w:hAnsi="Verdana"/>
          <w:sz w:val="18"/>
          <w:szCs w:val="18"/>
          <w:color w:val="auto"/>
        </w:rPr>
        <w:t>Total noninterest expense Amortization of intangible assets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Verdana" w:cs="Verdana" w:eastAsia="Verdana" w:hAnsi="Verdana"/>
          <w:sz w:val="18"/>
          <w:szCs w:val="18"/>
          <w:color w:val="auto"/>
        </w:rPr>
        <w:t>Total noninterest expense</w:t>
      </w:r>
    </w:p>
    <w:p>
      <w:pPr>
        <w:spacing w:after="0" w:line="305" w:lineRule="exact"/>
        <w:rPr>
          <w:sz w:val="20"/>
          <w:szCs w:val="20"/>
          <w:color w:val="auto"/>
        </w:rPr>
      </w:pPr>
    </w:p>
    <w:p>
      <w:pPr>
        <w:ind w:left="20"/>
        <w:spacing w:after="0"/>
        <w:rPr>
          <w:sz w:val="20"/>
          <w:szCs w:val="20"/>
          <w:color w:val="auto"/>
        </w:rPr>
      </w:pPr>
      <w:r>
        <w:rPr>
          <w:rFonts w:ascii="Verdana" w:cs="Verdana" w:eastAsia="Verdana" w:hAnsi="Verdana"/>
          <w:sz w:val="18"/>
          <w:szCs w:val="18"/>
          <w:color w:val="auto"/>
        </w:rPr>
        <w:t>Total assets</w:t>
      </w:r>
    </w:p>
    <w:p>
      <w:pPr>
        <w:ind w:left="20"/>
        <w:spacing w:after="0" w:line="254" w:lineRule="auto"/>
        <w:rPr>
          <w:sz w:val="20"/>
          <w:szCs w:val="20"/>
          <w:color w:val="auto"/>
        </w:rPr>
      </w:pPr>
      <w:r>
        <w:rPr>
          <w:rFonts w:ascii="Verdana" w:cs="Verdana" w:eastAsia="Verdana" w:hAnsi="Verdana"/>
          <w:sz w:val="18"/>
          <w:szCs w:val="18"/>
          <w:color w:val="auto"/>
        </w:rPr>
        <w:t>Goodwill and other intangible assets, net</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ind w:right="360"/>
        <w:spacing w:after="0" w:line="254" w:lineRule="auto"/>
        <w:rPr>
          <w:sz w:val="20"/>
          <w:szCs w:val="20"/>
          <w:color w:val="auto"/>
        </w:rPr>
      </w:pPr>
      <w:r>
        <w:rPr>
          <w:rFonts w:ascii="Verdana" w:cs="Verdana" w:eastAsia="Verdana" w:hAnsi="Verdana"/>
          <w:sz w:val="18"/>
          <w:szCs w:val="18"/>
          <w:color w:val="auto"/>
        </w:rPr>
        <w:t>Noninterest expense excluding amortization of intangible assets</w:t>
      </w:r>
    </w:p>
    <w:p>
      <w:pPr>
        <w:spacing w:after="0" w:line="144" w:lineRule="exact"/>
        <w:rPr>
          <w:sz w:val="20"/>
          <w:szCs w:val="20"/>
          <w:color w:val="auto"/>
        </w:rPr>
      </w:pPr>
    </w:p>
    <w:p>
      <w:pPr>
        <w:ind w:right="620"/>
        <w:spacing w:after="0" w:line="328" w:lineRule="auto"/>
        <w:rPr>
          <w:sz w:val="20"/>
          <w:szCs w:val="20"/>
          <w:color w:val="auto"/>
        </w:rPr>
      </w:pPr>
      <w:r>
        <w:rPr>
          <w:rFonts w:ascii="Verdana" w:cs="Verdana" w:eastAsia="Verdana" w:hAnsi="Verdana"/>
          <w:sz w:val="18"/>
          <w:szCs w:val="18"/>
          <w:color w:val="auto"/>
        </w:rPr>
        <w:t>Adjusted noninterest expense Adjusted core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52070</wp:posOffset>
            </wp:positionV>
            <wp:extent cx="7115175" cy="3086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7115175" cy="308610"/>
                    </a:xfrm>
                    <a:prstGeom prst="rect">
                      <a:avLst/>
                    </a:prstGeom>
                    <a:noFill/>
                  </pic:spPr>
                </pic:pic>
              </a:graphicData>
            </a:graphic>
          </wp:anchor>
        </w:drawing>
      </w:r>
    </w:p>
    <w:p>
      <w:pPr>
        <w:spacing w:after="0" w:line="84"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Noninterest expense, excluding non-operating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95250</wp:posOffset>
            </wp:positionV>
            <wp:extent cx="7115175" cy="4457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7115175" cy="44577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Verdana" w:cs="Verdana" w:eastAsia="Verdana" w:hAnsi="Verdana"/>
          <w:sz w:val="18"/>
          <w:szCs w:val="18"/>
          <w:color w:val="auto"/>
        </w:rPr>
        <w:t>Tangible assets</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rPr>
          <w:sz w:val="20"/>
          <w:szCs w:val="20"/>
          <w:color w:val="auto"/>
        </w:rPr>
      </w:pPr>
      <w:r>
        <w:rPr>
          <w:rFonts w:ascii="Verdana" w:cs="Verdana" w:eastAsia="Verdana" w:hAnsi="Verdana"/>
          <w:sz w:val="18"/>
          <w:szCs w:val="18"/>
          <w:color w:val="auto"/>
        </w:rPr>
        <w:t>Efficiency ratio</w:t>
      </w:r>
    </w:p>
    <w:p>
      <w:pPr>
        <w:spacing w:after="0" w:line="281" w:lineRule="exact"/>
        <w:rPr>
          <w:sz w:val="20"/>
          <w:szCs w:val="20"/>
          <w:color w:val="auto"/>
        </w:rPr>
      </w:pPr>
    </w:p>
    <w:p>
      <w:pPr>
        <w:ind w:right="1060"/>
        <w:spacing w:after="0" w:line="362" w:lineRule="auto"/>
        <w:rPr>
          <w:sz w:val="20"/>
          <w:szCs w:val="20"/>
          <w:color w:val="auto"/>
        </w:rPr>
      </w:pPr>
      <w:r>
        <w:rPr>
          <w:rFonts w:ascii="Verdana" w:cs="Verdana" w:eastAsia="Verdana" w:hAnsi="Verdana"/>
          <w:sz w:val="17"/>
          <w:szCs w:val="17"/>
          <w:color w:val="auto"/>
        </w:rPr>
        <w:t>Adjusted efficiency ratio Adjusted core efficiency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40"/>
        <w:spacing w:after="0" w:line="254" w:lineRule="auto"/>
        <w:rPr>
          <w:sz w:val="20"/>
          <w:szCs w:val="20"/>
          <w:color w:val="auto"/>
        </w:rPr>
      </w:pPr>
      <w:r>
        <w:rPr>
          <w:rFonts w:ascii="Verdana" w:cs="Verdana" w:eastAsia="Verdana" w:hAnsi="Verdana"/>
          <w:sz w:val="18"/>
          <w:szCs w:val="18"/>
          <w:color w:val="auto"/>
        </w:rPr>
        <w:t>Tangible common equity to tangible assets</w:t>
      </w:r>
    </w:p>
    <w:p>
      <w:pPr>
        <w:spacing w:after="0" w:line="257" w:lineRule="exact"/>
        <w:rPr>
          <w:sz w:val="20"/>
          <w:szCs w:val="20"/>
          <w:color w:val="auto"/>
        </w:rPr>
      </w:pPr>
    </w:p>
    <w:p>
      <w:pPr>
        <w:sectPr>
          <w:pgSz w:w="11900" w:h="16838" w:orient="portrait"/>
          <w:cols w:equalWidth="0" w:num="3">
            <w:col w:w="3380" w:space="400"/>
            <w:col w:w="3320" w:space="460"/>
            <w:col w:w="3680"/>
          </w:cols>
          <w:pgMar w:left="320" w:top="310"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3660" w:type="dxa"/>
            <w:vAlign w:val="bottom"/>
            <w:vMerge w:val="restart"/>
            <w:shd w:val="clear" w:color="auto" w:fill="E0E7ED"/>
          </w:tcPr>
          <w:p>
            <w:pPr>
              <w:ind w:left="20"/>
              <w:spacing w:after="0"/>
              <w:rPr>
                <w:sz w:val="20"/>
                <w:szCs w:val="20"/>
                <w:color w:val="auto"/>
              </w:rPr>
            </w:pPr>
            <w:r>
              <w:rPr>
                <w:rFonts w:ascii="Verdana" w:cs="Verdana" w:eastAsia="Verdana" w:hAnsi="Verdana"/>
                <w:sz w:val="18"/>
                <w:szCs w:val="18"/>
                <w:color w:val="auto"/>
              </w:rPr>
              <w:t>Total stockholders’ equity</w:t>
            </w:r>
          </w:p>
        </w:tc>
        <w:tc>
          <w:tcPr>
            <w:tcW w:w="100" w:type="dxa"/>
            <w:vAlign w:val="bottom"/>
            <w:shd w:val="clear" w:color="auto" w:fill="E0E7ED"/>
          </w:tcPr>
          <w:p>
            <w:pPr>
              <w:spacing w:after="0"/>
              <w:rPr>
                <w:sz w:val="20"/>
                <w:szCs w:val="20"/>
                <w:color w:val="auto"/>
              </w:rPr>
            </w:pPr>
          </w:p>
        </w:tc>
        <w:tc>
          <w:tcPr>
            <w:tcW w:w="3680" w:type="dxa"/>
            <w:vAlign w:val="bottom"/>
            <w:vMerge w:val="restart"/>
            <w:shd w:val="clear" w:color="auto" w:fill="E0E7ED"/>
          </w:tcPr>
          <w:p>
            <w:pPr>
              <w:ind w:left="20"/>
              <w:spacing w:after="0"/>
              <w:rPr>
                <w:sz w:val="20"/>
                <w:szCs w:val="20"/>
                <w:color w:val="auto"/>
              </w:rPr>
            </w:pPr>
            <w:r>
              <w:rPr>
                <w:rFonts w:ascii="Verdana" w:cs="Verdana" w:eastAsia="Verdana" w:hAnsi="Verdana"/>
                <w:sz w:val="18"/>
                <w:szCs w:val="18"/>
                <w:color w:val="auto"/>
              </w:rPr>
              <w:t>Tangible common equity</w:t>
            </w:r>
          </w:p>
        </w:tc>
        <w:tc>
          <w:tcPr>
            <w:tcW w:w="100" w:type="dxa"/>
            <w:vAlign w:val="bottom"/>
            <w:shd w:val="clear" w:color="auto" w:fill="E0E7ED"/>
          </w:tcPr>
          <w:p>
            <w:pPr>
              <w:spacing w:after="0"/>
              <w:rPr>
                <w:sz w:val="20"/>
                <w:szCs w:val="20"/>
                <w:color w:val="auto"/>
              </w:rPr>
            </w:pPr>
          </w:p>
        </w:tc>
        <w:tc>
          <w:tcPr>
            <w:tcW w:w="36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Tangible common equity to tangible</w:t>
            </w:r>
          </w:p>
        </w:tc>
        <w:tc>
          <w:tcPr>
            <w:tcW w:w="0" w:type="dxa"/>
            <w:vAlign w:val="bottom"/>
          </w:tcPr>
          <w:p>
            <w:pPr>
              <w:spacing w:after="0"/>
              <w:rPr>
                <w:sz w:val="1"/>
                <w:szCs w:val="1"/>
                <w:color w:val="auto"/>
              </w:rPr>
            </w:pPr>
          </w:p>
        </w:tc>
      </w:tr>
      <w:tr>
        <w:trPr>
          <w:trHeight w:val="135"/>
        </w:trPr>
        <w:tc>
          <w:tcPr>
            <w:tcW w:w="3660" w:type="dxa"/>
            <w:vAlign w:val="bottom"/>
            <w:vMerge w:val="continue"/>
            <w:shd w:val="clear" w:color="auto" w:fill="E0E7ED"/>
          </w:tcPr>
          <w:p>
            <w:pPr>
              <w:spacing w:after="0"/>
              <w:rPr>
                <w:sz w:val="11"/>
                <w:szCs w:val="11"/>
                <w:color w:val="auto"/>
              </w:rPr>
            </w:pPr>
          </w:p>
        </w:tc>
        <w:tc>
          <w:tcPr>
            <w:tcW w:w="100" w:type="dxa"/>
            <w:vAlign w:val="bottom"/>
            <w:shd w:val="clear" w:color="auto" w:fill="E0E7ED"/>
          </w:tcPr>
          <w:p>
            <w:pPr>
              <w:spacing w:after="0"/>
              <w:rPr>
                <w:sz w:val="11"/>
                <w:szCs w:val="11"/>
                <w:color w:val="auto"/>
              </w:rPr>
            </w:pPr>
          </w:p>
        </w:tc>
        <w:tc>
          <w:tcPr>
            <w:tcW w:w="3680" w:type="dxa"/>
            <w:vAlign w:val="bottom"/>
            <w:vMerge w:val="continue"/>
            <w:shd w:val="clear" w:color="auto" w:fill="E0E7ED"/>
          </w:tcPr>
          <w:p>
            <w:pPr>
              <w:spacing w:after="0"/>
              <w:rPr>
                <w:sz w:val="11"/>
                <w:szCs w:val="11"/>
                <w:color w:val="auto"/>
              </w:rPr>
            </w:pPr>
          </w:p>
        </w:tc>
        <w:tc>
          <w:tcPr>
            <w:tcW w:w="100" w:type="dxa"/>
            <w:vAlign w:val="bottom"/>
            <w:shd w:val="clear" w:color="auto" w:fill="E0E7ED"/>
          </w:tcPr>
          <w:p>
            <w:pPr>
              <w:spacing w:after="0"/>
              <w:rPr>
                <w:sz w:val="11"/>
                <w:szCs w:val="11"/>
                <w:color w:val="auto"/>
              </w:rPr>
            </w:pPr>
          </w:p>
        </w:tc>
        <w:tc>
          <w:tcPr>
            <w:tcW w:w="3680" w:type="dxa"/>
            <w:vAlign w:val="bottom"/>
            <w:vMerge w:val="restart"/>
            <w:shd w:val="clear" w:color="auto" w:fill="E0E7ED"/>
          </w:tcPr>
          <w:p>
            <w:pPr>
              <w:ind w:left="20"/>
              <w:spacing w:after="0"/>
              <w:rPr>
                <w:sz w:val="20"/>
                <w:szCs w:val="20"/>
                <w:color w:val="auto"/>
              </w:rPr>
            </w:pPr>
            <w:r>
              <w:rPr>
                <w:rFonts w:ascii="Verdana" w:cs="Verdana" w:eastAsia="Verdana" w:hAnsi="Verdana"/>
                <w:sz w:val="18"/>
                <w:szCs w:val="18"/>
                <w:color w:val="auto"/>
              </w:rPr>
              <w:t>assets</w:t>
            </w:r>
          </w:p>
        </w:tc>
        <w:tc>
          <w:tcPr>
            <w:tcW w:w="0" w:type="dxa"/>
            <w:vAlign w:val="bottom"/>
          </w:tcPr>
          <w:p>
            <w:pPr>
              <w:spacing w:after="0"/>
              <w:rPr>
                <w:sz w:val="1"/>
                <w:szCs w:val="1"/>
                <w:color w:val="auto"/>
              </w:rPr>
            </w:pPr>
          </w:p>
        </w:tc>
      </w:tr>
      <w:tr>
        <w:trPr>
          <w:trHeight w:val="107"/>
        </w:trPr>
        <w:tc>
          <w:tcPr>
            <w:tcW w:w="3660" w:type="dxa"/>
            <w:vAlign w:val="bottom"/>
            <w:tcBorders>
              <w:bottom w:val="single" w:sz="8" w:color="E0E7ED"/>
            </w:tcBorders>
            <w:vMerge w:val="restart"/>
            <w:shd w:val="clear" w:color="auto" w:fill="E0E7ED"/>
          </w:tcPr>
          <w:p>
            <w:pPr>
              <w:ind w:left="20"/>
              <w:spacing w:after="0" w:line="216" w:lineRule="exact"/>
              <w:rPr>
                <w:sz w:val="20"/>
                <w:szCs w:val="20"/>
                <w:color w:val="auto"/>
              </w:rPr>
            </w:pPr>
            <w:r>
              <w:rPr>
                <w:rFonts w:ascii="Verdana" w:cs="Verdana" w:eastAsia="Verdana" w:hAnsi="Verdana"/>
                <w:sz w:val="18"/>
                <w:szCs w:val="18"/>
                <w:color w:val="auto"/>
              </w:rPr>
              <w:t>Goodwill and other intangible assets,</w:t>
            </w:r>
          </w:p>
        </w:tc>
        <w:tc>
          <w:tcPr>
            <w:tcW w:w="100" w:type="dxa"/>
            <w:vAlign w:val="bottom"/>
            <w:tcBorders>
              <w:bottom w:val="single" w:sz="8" w:color="E0E7ED"/>
            </w:tcBorders>
            <w:shd w:val="clear" w:color="auto" w:fill="E0E7ED"/>
          </w:tcPr>
          <w:p>
            <w:pPr>
              <w:spacing w:after="0"/>
              <w:rPr>
                <w:sz w:val="9"/>
                <w:szCs w:val="9"/>
                <w:color w:val="auto"/>
              </w:rPr>
            </w:pPr>
          </w:p>
        </w:tc>
        <w:tc>
          <w:tcPr>
            <w:tcW w:w="3680" w:type="dxa"/>
            <w:vAlign w:val="bottom"/>
            <w:tcBorders>
              <w:bottom w:val="single" w:sz="8" w:color="6D6D6D"/>
            </w:tcBorders>
            <w:shd w:val="clear" w:color="auto" w:fill="E0E7ED"/>
          </w:tcPr>
          <w:p>
            <w:pPr>
              <w:spacing w:after="0"/>
              <w:rPr>
                <w:sz w:val="9"/>
                <w:szCs w:val="9"/>
                <w:color w:val="auto"/>
              </w:rPr>
            </w:pPr>
          </w:p>
        </w:tc>
        <w:tc>
          <w:tcPr>
            <w:tcW w:w="100" w:type="dxa"/>
            <w:vAlign w:val="bottom"/>
            <w:tcBorders>
              <w:bottom w:val="single" w:sz="8" w:color="E0E7ED"/>
            </w:tcBorders>
            <w:shd w:val="clear" w:color="auto" w:fill="E0E7ED"/>
          </w:tcPr>
          <w:p>
            <w:pPr>
              <w:spacing w:after="0"/>
              <w:rPr>
                <w:sz w:val="9"/>
                <w:szCs w:val="9"/>
                <w:color w:val="auto"/>
              </w:rPr>
            </w:pPr>
          </w:p>
        </w:tc>
        <w:tc>
          <w:tcPr>
            <w:tcW w:w="3680" w:type="dxa"/>
            <w:vAlign w:val="bottom"/>
            <w:tcBorders>
              <w:bottom w:val="single" w:sz="8" w:color="6D6D6D"/>
            </w:tcBorders>
            <w:vMerge w:val="continue"/>
            <w:shd w:val="clear" w:color="auto" w:fill="E0E7ED"/>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3660" w:type="dxa"/>
            <w:vAlign w:val="bottom"/>
            <w:vMerge w:val="continue"/>
            <w:shd w:val="clear" w:color="auto" w:fill="E0E7ED"/>
          </w:tcPr>
          <w:p>
            <w:pPr>
              <w:spacing w:after="0"/>
              <w:rPr>
                <w:sz w:val="7"/>
                <w:szCs w:val="7"/>
                <w:color w:val="auto"/>
              </w:rPr>
            </w:pPr>
          </w:p>
        </w:tc>
        <w:tc>
          <w:tcPr>
            <w:tcW w:w="100" w:type="dxa"/>
            <w:vAlign w:val="bottom"/>
            <w:shd w:val="clear" w:color="auto" w:fill="E0E7ED"/>
          </w:tcPr>
          <w:p>
            <w:pPr>
              <w:spacing w:after="0"/>
              <w:rPr>
                <w:sz w:val="7"/>
                <w:szCs w:val="7"/>
                <w:color w:val="auto"/>
              </w:rPr>
            </w:pPr>
          </w:p>
        </w:tc>
        <w:tc>
          <w:tcPr>
            <w:tcW w:w="3680" w:type="dxa"/>
            <w:vAlign w:val="bottom"/>
            <w:shd w:val="clear" w:color="auto" w:fill="E0E7ED"/>
          </w:tcPr>
          <w:p>
            <w:pPr>
              <w:spacing w:after="0"/>
              <w:rPr>
                <w:sz w:val="7"/>
                <w:szCs w:val="7"/>
                <w:color w:val="auto"/>
              </w:rPr>
            </w:pPr>
          </w:p>
        </w:tc>
        <w:tc>
          <w:tcPr>
            <w:tcW w:w="100" w:type="dxa"/>
            <w:vAlign w:val="bottom"/>
            <w:shd w:val="clear" w:color="auto" w:fill="E0E7ED"/>
          </w:tcPr>
          <w:p>
            <w:pPr>
              <w:spacing w:after="0"/>
              <w:rPr>
                <w:sz w:val="7"/>
                <w:szCs w:val="7"/>
                <w:color w:val="auto"/>
              </w:rPr>
            </w:pPr>
          </w:p>
        </w:tc>
        <w:tc>
          <w:tcPr>
            <w:tcW w:w="3680" w:type="dxa"/>
            <w:vAlign w:val="bottom"/>
            <w:shd w:val="clear" w:color="auto" w:fill="E0E7ED"/>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36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net</w:t>
            </w:r>
          </w:p>
        </w:tc>
        <w:tc>
          <w:tcPr>
            <w:tcW w:w="100" w:type="dxa"/>
            <w:vAlign w:val="bottom"/>
            <w:shd w:val="clear" w:color="auto" w:fill="E0E7ED"/>
          </w:tcPr>
          <w:p>
            <w:pPr>
              <w:spacing w:after="0"/>
              <w:rPr>
                <w:sz w:val="22"/>
                <w:szCs w:val="22"/>
                <w:color w:val="auto"/>
              </w:rPr>
            </w:pPr>
          </w:p>
        </w:tc>
        <w:tc>
          <w:tcPr>
            <w:tcW w:w="36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Tangible book value</w:t>
            </w:r>
          </w:p>
        </w:tc>
        <w:tc>
          <w:tcPr>
            <w:tcW w:w="100" w:type="dxa"/>
            <w:vAlign w:val="bottom"/>
            <w:shd w:val="clear" w:color="auto" w:fill="E0E7ED"/>
          </w:tcPr>
          <w:p>
            <w:pPr>
              <w:spacing w:after="0"/>
              <w:rPr>
                <w:sz w:val="22"/>
                <w:szCs w:val="22"/>
                <w:color w:val="auto"/>
              </w:rPr>
            </w:pPr>
          </w:p>
        </w:tc>
        <w:tc>
          <w:tcPr>
            <w:tcW w:w="36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Tangible book value per common share</w:t>
            </w:r>
          </w:p>
        </w:tc>
        <w:tc>
          <w:tcPr>
            <w:tcW w:w="0" w:type="dxa"/>
            <w:vAlign w:val="bottom"/>
          </w:tcPr>
          <w:p>
            <w:pPr>
              <w:spacing w:after="0"/>
              <w:rPr>
                <w:sz w:val="1"/>
                <w:szCs w:val="1"/>
                <w:color w:val="auto"/>
              </w:rPr>
            </w:pPr>
          </w:p>
        </w:tc>
      </w:tr>
      <w:tr>
        <w:trPr>
          <w:trHeight w:val="121"/>
        </w:trPr>
        <w:tc>
          <w:tcPr>
            <w:tcW w:w="3660" w:type="dxa"/>
            <w:vAlign w:val="bottom"/>
            <w:shd w:val="clear" w:color="auto" w:fill="E0E7ED"/>
          </w:tcPr>
          <w:p>
            <w:pPr>
              <w:spacing w:after="0"/>
              <w:rPr>
                <w:sz w:val="10"/>
                <w:szCs w:val="10"/>
                <w:color w:val="auto"/>
              </w:rPr>
            </w:pPr>
          </w:p>
        </w:tc>
        <w:tc>
          <w:tcPr>
            <w:tcW w:w="100" w:type="dxa"/>
            <w:vAlign w:val="bottom"/>
            <w:shd w:val="clear" w:color="auto" w:fill="E0E7ED"/>
          </w:tcPr>
          <w:p>
            <w:pPr>
              <w:spacing w:after="0"/>
              <w:rPr>
                <w:sz w:val="10"/>
                <w:szCs w:val="10"/>
                <w:color w:val="auto"/>
              </w:rPr>
            </w:pPr>
          </w:p>
        </w:tc>
        <w:tc>
          <w:tcPr>
            <w:tcW w:w="3680" w:type="dxa"/>
            <w:vAlign w:val="bottom"/>
            <w:shd w:val="clear" w:color="auto" w:fill="E0E7ED"/>
          </w:tcPr>
          <w:p>
            <w:pPr>
              <w:spacing w:after="0"/>
              <w:rPr>
                <w:sz w:val="10"/>
                <w:szCs w:val="10"/>
                <w:color w:val="auto"/>
              </w:rPr>
            </w:pPr>
          </w:p>
        </w:tc>
        <w:tc>
          <w:tcPr>
            <w:tcW w:w="100" w:type="dxa"/>
            <w:vAlign w:val="bottom"/>
            <w:shd w:val="clear" w:color="auto" w:fill="E0E7ED"/>
          </w:tcPr>
          <w:p>
            <w:pPr>
              <w:spacing w:after="0"/>
              <w:rPr>
                <w:sz w:val="10"/>
                <w:szCs w:val="10"/>
                <w:color w:val="auto"/>
              </w:rPr>
            </w:pPr>
          </w:p>
        </w:tc>
        <w:tc>
          <w:tcPr>
            <w:tcW w:w="3680" w:type="dxa"/>
            <w:vAlign w:val="bottom"/>
            <w:shd w:val="clear" w:color="auto" w:fill="E0E7ED"/>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E0E7ED"/>
            </w:tcBorders>
            <w:vMerge w:val="restart"/>
            <w:shd w:val="clear" w:color="auto" w:fill="E0E7ED"/>
          </w:tcPr>
          <w:p>
            <w:pPr>
              <w:ind w:left="20"/>
              <w:spacing w:after="0"/>
              <w:rPr>
                <w:sz w:val="20"/>
                <w:szCs w:val="20"/>
                <w:color w:val="auto"/>
              </w:rPr>
            </w:pPr>
            <w:r>
              <w:rPr>
                <w:rFonts w:ascii="Verdana" w:cs="Verdana" w:eastAsia="Verdana" w:hAnsi="Verdana"/>
                <w:sz w:val="18"/>
                <w:szCs w:val="18"/>
                <w:color w:val="auto"/>
              </w:rPr>
              <w:t>Total deposits</w:t>
            </w:r>
          </w:p>
        </w:tc>
        <w:tc>
          <w:tcPr>
            <w:tcW w:w="100" w:type="dxa"/>
            <w:vAlign w:val="bottom"/>
            <w:tcBorders>
              <w:bottom w:val="single" w:sz="8" w:color="E0E7ED"/>
            </w:tcBorders>
            <w:shd w:val="clear" w:color="auto" w:fill="E0E7ED"/>
          </w:tcPr>
          <w:p>
            <w:pPr>
              <w:spacing w:after="0"/>
              <w:rPr>
                <w:sz w:val="22"/>
                <w:szCs w:val="22"/>
                <w:color w:val="auto"/>
              </w:rPr>
            </w:pPr>
          </w:p>
        </w:tc>
        <w:tc>
          <w:tcPr>
            <w:tcW w:w="3680" w:type="dxa"/>
            <w:vAlign w:val="bottom"/>
            <w:tcBorders>
              <w:bottom w:val="single" w:sz="8" w:color="E0E7ED"/>
            </w:tcBorders>
            <w:vMerge w:val="restart"/>
            <w:shd w:val="clear" w:color="auto" w:fill="E0E7ED"/>
          </w:tcPr>
          <w:p>
            <w:pPr>
              <w:ind w:left="20"/>
              <w:spacing w:after="0"/>
              <w:rPr>
                <w:sz w:val="20"/>
                <w:szCs w:val="20"/>
                <w:color w:val="auto"/>
              </w:rPr>
            </w:pPr>
            <w:r>
              <w:rPr>
                <w:rFonts w:ascii="Verdana" w:cs="Verdana" w:eastAsia="Verdana" w:hAnsi="Verdana"/>
                <w:sz w:val="18"/>
                <w:szCs w:val="18"/>
                <w:color w:val="auto"/>
              </w:rPr>
              <w:t>Core deposits</w:t>
            </w:r>
          </w:p>
        </w:tc>
        <w:tc>
          <w:tcPr>
            <w:tcW w:w="100" w:type="dxa"/>
            <w:vAlign w:val="bottom"/>
            <w:tcBorders>
              <w:bottom w:val="single" w:sz="8" w:color="E0E7ED"/>
            </w:tcBorders>
            <w:shd w:val="clear" w:color="auto" w:fill="E0E7ED"/>
          </w:tcPr>
          <w:p>
            <w:pPr>
              <w:spacing w:after="0"/>
              <w:rPr>
                <w:sz w:val="22"/>
                <w:szCs w:val="22"/>
                <w:color w:val="auto"/>
              </w:rPr>
            </w:pPr>
          </w:p>
        </w:tc>
        <w:tc>
          <w:tcPr>
            <w:tcW w:w="3680" w:type="dxa"/>
            <w:vAlign w:val="bottom"/>
            <w:tcBorders>
              <w:bottom w:val="single" w:sz="8" w:color="6D6D6D"/>
            </w:tcBorders>
            <w:shd w:val="clear" w:color="auto" w:fill="E0E7ED"/>
          </w:tcPr>
          <w:p>
            <w:pPr>
              <w:ind w:left="20"/>
              <w:spacing w:after="0"/>
              <w:rPr>
                <w:sz w:val="20"/>
                <w:szCs w:val="20"/>
                <w:color w:val="auto"/>
              </w:rPr>
            </w:pPr>
            <w:r>
              <w:rPr>
                <w:rFonts w:ascii="Verdana" w:cs="Verdana" w:eastAsia="Verdana" w:hAnsi="Verdana"/>
                <w:sz w:val="18"/>
                <w:szCs w:val="18"/>
                <w:color w:val="auto"/>
              </w:rPr>
              <w:t>Core deposits to total deposits</w:t>
            </w:r>
          </w:p>
        </w:tc>
        <w:tc>
          <w:tcPr>
            <w:tcW w:w="0" w:type="dxa"/>
            <w:vAlign w:val="bottom"/>
          </w:tcPr>
          <w:p>
            <w:pPr>
              <w:spacing w:after="0"/>
              <w:rPr>
                <w:sz w:val="1"/>
                <w:szCs w:val="1"/>
                <w:color w:val="auto"/>
              </w:rPr>
            </w:pPr>
          </w:p>
        </w:tc>
      </w:tr>
      <w:tr>
        <w:trPr>
          <w:trHeight w:val="108"/>
        </w:trPr>
        <w:tc>
          <w:tcPr>
            <w:tcW w:w="3660" w:type="dxa"/>
            <w:vAlign w:val="bottom"/>
            <w:vMerge w:val="continue"/>
            <w:shd w:val="clear" w:color="auto" w:fill="E0E7ED"/>
          </w:tcPr>
          <w:p>
            <w:pPr>
              <w:spacing w:after="0"/>
              <w:rPr>
                <w:sz w:val="9"/>
                <w:szCs w:val="9"/>
                <w:color w:val="auto"/>
              </w:rPr>
            </w:pPr>
          </w:p>
        </w:tc>
        <w:tc>
          <w:tcPr>
            <w:tcW w:w="100" w:type="dxa"/>
            <w:vAlign w:val="bottom"/>
            <w:shd w:val="clear" w:color="auto" w:fill="E0E7ED"/>
          </w:tcPr>
          <w:p>
            <w:pPr>
              <w:spacing w:after="0"/>
              <w:rPr>
                <w:sz w:val="9"/>
                <w:szCs w:val="9"/>
                <w:color w:val="auto"/>
              </w:rPr>
            </w:pPr>
          </w:p>
        </w:tc>
        <w:tc>
          <w:tcPr>
            <w:tcW w:w="3680" w:type="dxa"/>
            <w:vAlign w:val="bottom"/>
            <w:vMerge w:val="continue"/>
            <w:shd w:val="clear" w:color="auto" w:fill="E0E7ED"/>
          </w:tcPr>
          <w:p>
            <w:pPr>
              <w:spacing w:after="0"/>
              <w:rPr>
                <w:sz w:val="9"/>
                <w:szCs w:val="9"/>
                <w:color w:val="auto"/>
              </w:rPr>
            </w:pPr>
          </w:p>
        </w:tc>
        <w:tc>
          <w:tcPr>
            <w:tcW w:w="100" w:type="dxa"/>
            <w:vAlign w:val="bottom"/>
            <w:shd w:val="clear" w:color="auto" w:fill="E0E7ED"/>
          </w:tcPr>
          <w:p>
            <w:pPr>
              <w:spacing w:after="0"/>
              <w:rPr>
                <w:sz w:val="9"/>
                <w:szCs w:val="9"/>
                <w:color w:val="auto"/>
              </w:rPr>
            </w:pPr>
          </w:p>
        </w:tc>
        <w:tc>
          <w:tcPr>
            <w:tcW w:w="3680" w:type="dxa"/>
            <w:vAlign w:val="bottom"/>
            <w:vMerge w:val="restart"/>
            <w:shd w:val="clear" w:color="auto" w:fill="E0E7ED"/>
          </w:tcPr>
          <w:p>
            <w:pPr>
              <w:ind w:left="20"/>
              <w:spacing w:after="0"/>
              <w:rPr>
                <w:sz w:val="20"/>
                <w:szCs w:val="20"/>
                <w:color w:val="auto"/>
              </w:rPr>
            </w:pPr>
            <w:r>
              <w:rPr>
                <w:rFonts w:ascii="Verdana" w:cs="Verdana" w:eastAsia="Verdana" w:hAnsi="Verdana"/>
                <w:sz w:val="18"/>
                <w:szCs w:val="18"/>
                <w:color w:val="auto"/>
              </w:rPr>
              <w:t>Portfolio loans to core deposits</w:t>
            </w:r>
          </w:p>
        </w:tc>
        <w:tc>
          <w:tcPr>
            <w:tcW w:w="0" w:type="dxa"/>
            <w:vAlign w:val="bottom"/>
          </w:tcPr>
          <w:p>
            <w:pPr>
              <w:spacing w:after="0"/>
              <w:rPr>
                <w:sz w:val="1"/>
                <w:szCs w:val="1"/>
                <w:color w:val="auto"/>
              </w:rPr>
            </w:pPr>
          </w:p>
        </w:tc>
      </w:tr>
      <w:tr>
        <w:trPr>
          <w:trHeight w:val="162"/>
        </w:trPr>
        <w:tc>
          <w:tcPr>
            <w:tcW w:w="366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368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3680" w:type="dxa"/>
            <w:vAlign w:val="bottom"/>
            <w:vMerge w:val="continue"/>
            <w:shd w:val="clear" w:color="auto" w:fill="E0E7ED"/>
          </w:tcPr>
          <w:p>
            <w:pPr>
              <w:spacing w:after="0"/>
              <w:rPr>
                <w:sz w:val="14"/>
                <w:szCs w:val="14"/>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A reconciliation of non-GAAP financial measures to what management believes to be the most directly comparable GAAP financial measures appears below.</w:t>
      </w:r>
    </w:p>
    <w:p>
      <w:pPr>
        <w:sectPr>
          <w:pgSz w:w="11900" w:h="16838" w:orient="portrait"/>
          <w:cols w:equalWidth="0" w:num="1">
            <w:col w:w="11240"/>
          </w:cols>
          <w:pgMar w:left="320" w:top="310" w:right="33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ind w:left="7940"/>
        <w:spacing w:after="0"/>
        <w:rPr>
          <w:sz w:val="20"/>
          <w:szCs w:val="20"/>
          <w:color w:val="auto"/>
        </w:rPr>
      </w:pPr>
      <w:r>
        <w:rPr>
          <w:rFonts w:ascii="Verdana" w:cs="Verdana" w:eastAsia="Verdana" w:hAnsi="Verdana"/>
          <w:sz w:val="17"/>
          <w:szCs w:val="17"/>
          <w:color w:val="808285"/>
        </w:rPr>
        <w:t xml:space="preserve">First Busey Corporation (BUSE) | </w:t>
      </w:r>
      <w:r>
        <w:rPr>
          <w:rFonts w:ascii="Verdana" w:cs="Verdana" w:eastAsia="Verdana" w:hAnsi="Verdana"/>
          <w:sz w:val="17"/>
          <w:szCs w:val="17"/>
          <w:b w:val="1"/>
          <w:bCs w:val="1"/>
          <w:color w:val="376484"/>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bookmarkStart w:id="96" w:name="page97"/>
    <w:bookmarkEnd w:id="96"/>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2. MD&amp;A</w:t>
      </w:r>
    </w:p>
    <w:p>
      <w:pPr>
        <w:spacing w:after="0" w:line="186"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RECONCILIATION OF NON-GAAP FINANCIAL MEASURES (Unaudited)</w:t>
      </w:r>
    </w:p>
    <w:p>
      <w:pPr>
        <w:spacing w:after="0" w:line="200" w:lineRule="exact"/>
        <w:rPr>
          <w:sz w:val="20"/>
          <w:szCs w:val="20"/>
          <w:color w:val="auto"/>
        </w:rPr>
      </w:pPr>
    </w:p>
    <w:p>
      <w:pPr>
        <w:spacing w:after="0" w:line="280" w:lineRule="exact"/>
        <w:rPr>
          <w:sz w:val="20"/>
          <w:szCs w:val="20"/>
          <w:color w:val="auto"/>
        </w:rPr>
      </w:pPr>
    </w:p>
    <w:p>
      <w:pPr>
        <w:ind w:left="2320"/>
        <w:spacing w:after="0"/>
        <w:rPr>
          <w:sz w:val="20"/>
          <w:szCs w:val="20"/>
          <w:color w:val="auto"/>
        </w:rPr>
      </w:pPr>
      <w:r>
        <w:rPr>
          <w:rFonts w:ascii="Verdana" w:cs="Verdana" w:eastAsia="Verdana" w:hAnsi="Verdana"/>
          <w:sz w:val="18"/>
          <w:szCs w:val="18"/>
          <w:b w:val="1"/>
          <w:bCs w:val="1"/>
          <w:color w:val="auto"/>
        </w:rPr>
        <w:t>Pre-Provision Net Revenue, Adjusted Pre-Provision Net Revenue,</w:t>
      </w:r>
    </w:p>
    <w:p>
      <w:pPr>
        <w:ind w:left="3040"/>
        <w:spacing w:after="0" w:line="236" w:lineRule="auto"/>
        <w:rPr>
          <w:sz w:val="20"/>
          <w:szCs w:val="20"/>
          <w:color w:val="auto"/>
        </w:rPr>
      </w:pPr>
      <w:r>
        <w:rPr>
          <w:rFonts w:ascii="Verdana" w:cs="Verdana" w:eastAsia="Verdana" w:hAnsi="Verdana"/>
          <w:sz w:val="18"/>
          <w:szCs w:val="18"/>
          <w:b w:val="1"/>
          <w:bCs w:val="1"/>
          <w:color w:val="auto"/>
        </w:rPr>
        <w:t>Pre-Provision Net Revenue to Average Assets, and</w:t>
      </w:r>
    </w:p>
    <w:p>
      <w:pPr>
        <w:spacing w:after="0" w:line="1" w:lineRule="exact"/>
        <w:rPr>
          <w:sz w:val="20"/>
          <w:szCs w:val="20"/>
          <w:color w:val="auto"/>
        </w:rPr>
      </w:pPr>
    </w:p>
    <w:p>
      <w:pPr>
        <w:ind w:left="2840"/>
        <w:spacing w:after="0"/>
        <w:rPr>
          <w:sz w:val="20"/>
          <w:szCs w:val="20"/>
          <w:color w:val="auto"/>
        </w:rPr>
      </w:pPr>
      <w:r>
        <w:rPr>
          <w:rFonts w:ascii="Verdana" w:cs="Verdana" w:eastAsia="Verdana" w:hAnsi="Verdana"/>
          <w:sz w:val="18"/>
          <w:szCs w:val="18"/>
          <w:b w:val="1"/>
          <w:bCs w:val="1"/>
          <w:color w:val="auto"/>
        </w:rPr>
        <w:t>Adjusted Pre-Provision Net Revenue to Average Assets</w:t>
      </w:r>
    </w:p>
    <w:p>
      <w:pPr>
        <w:spacing w:after="0" w:line="5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40" w:type="dxa"/>
            <w:vAlign w:val="bottom"/>
            <w:gridSpan w:val="5"/>
          </w:tcPr>
          <w:p>
            <w:pPr>
              <w:ind w:left="200"/>
              <w:spacing w:after="0"/>
              <w:rPr>
                <w:sz w:val="20"/>
                <w:szCs w:val="20"/>
                <w:color w:val="auto"/>
              </w:rPr>
            </w:pPr>
            <w:r>
              <w:rPr>
                <w:rFonts w:ascii="Verdana" w:cs="Verdana" w:eastAsia="Verdana" w:hAnsi="Verdana"/>
                <w:sz w:val="13"/>
                <w:szCs w:val="13"/>
                <w:b w:val="1"/>
                <w:bCs w:val="1"/>
                <w:color w:val="auto"/>
              </w:rPr>
              <w:t>Three Months Ended September 30,</w:t>
            </w:r>
          </w:p>
        </w:tc>
        <w:tc>
          <w:tcPr>
            <w:tcW w:w="220" w:type="dxa"/>
            <w:vAlign w:val="bottom"/>
          </w:tcPr>
          <w:p>
            <w:pPr>
              <w:spacing w:after="0"/>
              <w:rPr>
                <w:sz w:val="15"/>
                <w:szCs w:val="15"/>
                <w:color w:val="auto"/>
              </w:rPr>
            </w:pPr>
          </w:p>
        </w:tc>
        <w:tc>
          <w:tcPr>
            <w:tcW w:w="3140" w:type="dxa"/>
            <w:vAlign w:val="bottom"/>
            <w:gridSpan w:val="4"/>
          </w:tcPr>
          <w:p>
            <w:pPr>
              <w:jc w:val="right"/>
              <w:ind w:right="372"/>
              <w:spacing w:after="0"/>
              <w:rPr>
                <w:sz w:val="20"/>
                <w:szCs w:val="20"/>
                <w:color w:val="auto"/>
              </w:rPr>
            </w:pPr>
            <w:r>
              <w:rPr>
                <w:rFonts w:ascii="Verdana" w:cs="Verdana" w:eastAsia="Verdana" w:hAnsi="Verdana"/>
                <w:sz w:val="13"/>
                <w:szCs w:val="13"/>
                <w:b w:val="1"/>
                <w:bCs w:val="1"/>
                <w:color w:val="auto"/>
              </w:rPr>
              <w:t>Nine Months Ended September 30,</w:t>
            </w:r>
          </w:p>
        </w:tc>
      </w:tr>
      <w:tr>
        <w:trPr>
          <w:trHeight w:val="170"/>
        </w:trPr>
        <w:tc>
          <w:tcPr>
            <w:tcW w:w="3600" w:type="dxa"/>
            <w:vAlign w:val="bottom"/>
            <w:tcBorders>
              <w:bottom w:val="single" w:sz="8" w:color="E0E7ED"/>
            </w:tcBorders>
          </w:tcPr>
          <w:p>
            <w:pPr>
              <w:spacing w:after="0"/>
              <w:rPr>
                <w:sz w:val="14"/>
                <w:szCs w:val="14"/>
                <w:color w:val="auto"/>
              </w:rPr>
            </w:pPr>
          </w:p>
        </w:tc>
        <w:tc>
          <w:tcPr>
            <w:tcW w:w="820" w:type="dxa"/>
            <w:vAlign w:val="bottom"/>
            <w:tcBorders>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553"/>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552"/>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553"/>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top w:val="single" w:sz="8" w:color="auto"/>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552"/>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36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PRE-PROVISION NET REVENUE</w:t>
            </w:r>
          </w:p>
        </w:tc>
        <w:tc>
          <w:tcPr>
            <w:tcW w:w="820" w:type="dxa"/>
            <w:vAlign w:val="bottom"/>
            <w:shd w:val="clear" w:color="auto" w:fill="E0E7ED"/>
          </w:tcPr>
          <w:p>
            <w:pPr>
              <w:spacing w:after="0"/>
              <w:rPr>
                <w:sz w:val="22"/>
                <w:szCs w:val="22"/>
                <w:color w:val="auto"/>
              </w:rPr>
            </w:pPr>
          </w:p>
        </w:tc>
        <w:tc>
          <w:tcPr>
            <w:tcW w:w="220" w:type="dxa"/>
            <w:vAlign w:val="bottom"/>
            <w:shd w:val="clear" w:color="auto" w:fill="E0E7ED"/>
          </w:tcPr>
          <w:p>
            <w:pPr>
              <w:spacing w:after="0"/>
              <w:rPr>
                <w:sz w:val="22"/>
                <w:szCs w:val="22"/>
                <w:color w:val="auto"/>
              </w:rPr>
            </w:pPr>
          </w:p>
        </w:tc>
        <w:tc>
          <w:tcPr>
            <w:tcW w:w="142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20" w:type="dxa"/>
            <w:vAlign w:val="bottom"/>
            <w:shd w:val="clear" w:color="auto" w:fill="E0E7ED"/>
          </w:tcPr>
          <w:p>
            <w:pPr>
              <w:spacing w:after="0"/>
              <w:rPr>
                <w:sz w:val="22"/>
                <w:szCs w:val="22"/>
                <w:color w:val="auto"/>
              </w:rPr>
            </w:pPr>
          </w:p>
        </w:tc>
        <w:tc>
          <w:tcPr>
            <w:tcW w:w="140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20" w:type="dxa"/>
            <w:vAlign w:val="bottom"/>
            <w:shd w:val="clear" w:color="auto" w:fill="E0E7ED"/>
          </w:tcPr>
          <w:p>
            <w:pPr>
              <w:spacing w:after="0"/>
              <w:rPr>
                <w:sz w:val="22"/>
                <w:szCs w:val="22"/>
                <w:color w:val="auto"/>
              </w:rPr>
            </w:pPr>
          </w:p>
        </w:tc>
        <w:tc>
          <w:tcPr>
            <w:tcW w:w="14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20" w:type="dxa"/>
            <w:vAlign w:val="bottom"/>
            <w:shd w:val="clear" w:color="auto" w:fill="E0E7ED"/>
          </w:tcPr>
          <w:p>
            <w:pPr>
              <w:spacing w:after="0"/>
              <w:rPr>
                <w:sz w:val="22"/>
                <w:szCs w:val="22"/>
                <w:color w:val="auto"/>
              </w:rPr>
            </w:pPr>
          </w:p>
        </w:tc>
        <w:tc>
          <w:tcPr>
            <w:tcW w:w="1420" w:type="dxa"/>
            <w:vAlign w:val="bottom"/>
            <w:shd w:val="clear" w:color="auto" w:fill="E0E7ED"/>
          </w:tcPr>
          <w:p>
            <w:pPr>
              <w:spacing w:after="0"/>
              <w:rPr>
                <w:sz w:val="22"/>
                <w:szCs w:val="22"/>
                <w:color w:val="auto"/>
              </w:rPr>
            </w:pPr>
          </w:p>
        </w:tc>
      </w:tr>
      <w:tr>
        <w:trPr>
          <w:trHeight w:val="263"/>
        </w:trPr>
        <w:tc>
          <w:tcPr>
            <w:tcW w:w="3600" w:type="dxa"/>
            <w:vAlign w:val="bottom"/>
          </w:tcPr>
          <w:p>
            <w:pPr>
              <w:ind w:left="20"/>
              <w:spacing w:after="0"/>
              <w:rPr>
                <w:sz w:val="20"/>
                <w:szCs w:val="20"/>
                <w:color w:val="auto"/>
              </w:rPr>
            </w:pPr>
            <w:r>
              <w:rPr>
                <w:rFonts w:ascii="Verdana" w:cs="Verdana" w:eastAsia="Verdana" w:hAnsi="Verdana"/>
                <w:sz w:val="18"/>
                <w:szCs w:val="18"/>
                <w:b w:val="1"/>
                <w:bCs w:val="1"/>
                <w:color w:val="auto"/>
              </w:rPr>
              <w:t>Net interest income</w:t>
            </w:r>
          </w:p>
        </w:tc>
        <w:tc>
          <w:tcPr>
            <w:tcW w:w="8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420" w:type="dxa"/>
            <w:vAlign w:val="bottom"/>
          </w:tcPr>
          <w:p>
            <w:pPr>
              <w:jc w:val="right"/>
              <w:ind w:right="193"/>
              <w:spacing w:after="0"/>
              <w:rPr>
                <w:sz w:val="20"/>
                <w:szCs w:val="20"/>
                <w:color w:val="auto"/>
              </w:rPr>
            </w:pPr>
            <w:r>
              <w:rPr>
                <w:rFonts w:ascii="Verdana" w:cs="Verdana" w:eastAsia="Verdana" w:hAnsi="Verdana"/>
                <w:sz w:val="18"/>
                <w:szCs w:val="18"/>
                <w:color w:val="auto"/>
              </w:rPr>
              <w:t>82,541</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77,791</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420" w:type="dxa"/>
            <w:vAlign w:val="bottom"/>
          </w:tcPr>
          <w:p>
            <w:pPr>
              <w:jc w:val="right"/>
              <w:ind w:right="193"/>
              <w:spacing w:after="0"/>
              <w:rPr>
                <w:sz w:val="20"/>
                <w:szCs w:val="20"/>
                <w:color w:val="auto"/>
              </w:rPr>
            </w:pPr>
            <w:r>
              <w:rPr>
                <w:rFonts w:ascii="Verdana" w:cs="Verdana" w:eastAsia="Verdana" w:hAnsi="Verdana"/>
                <w:sz w:val="18"/>
                <w:szCs w:val="18"/>
                <w:color w:val="auto"/>
              </w:rPr>
              <w:t>240,742</w:t>
            </w:r>
          </w:p>
        </w:tc>
        <w:tc>
          <w:tcPr>
            <w:tcW w:w="8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420" w:type="dxa"/>
            <w:vAlign w:val="bottom"/>
          </w:tcPr>
          <w:p>
            <w:pPr>
              <w:jc w:val="right"/>
              <w:ind w:right="192"/>
              <w:spacing w:after="0"/>
              <w:rPr>
                <w:sz w:val="20"/>
                <w:szCs w:val="20"/>
                <w:color w:val="auto"/>
              </w:rPr>
            </w:pPr>
            <w:r>
              <w:rPr>
                <w:rFonts w:ascii="Verdana" w:cs="Verdana" w:eastAsia="Verdana" w:hAnsi="Verdana"/>
                <w:sz w:val="18"/>
                <w:szCs w:val="18"/>
                <w:color w:val="auto"/>
              </w:rPr>
              <w:t>242,318</w:t>
            </w:r>
          </w:p>
        </w:tc>
      </w:tr>
      <w:tr>
        <w:trPr>
          <w:trHeight w:val="277"/>
        </w:trPr>
        <w:tc>
          <w:tcPr>
            <w:tcW w:w="36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Total noninterest income</w:t>
            </w:r>
          </w:p>
        </w:tc>
        <w:tc>
          <w:tcPr>
            <w:tcW w:w="82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2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35,951</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31,008</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2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104,752</w:t>
            </w:r>
          </w:p>
        </w:tc>
        <w:tc>
          <w:tcPr>
            <w:tcW w:w="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2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90,868</w:t>
            </w:r>
          </w:p>
        </w:tc>
      </w:tr>
      <w:tr>
        <w:trPr>
          <w:trHeight w:val="263"/>
        </w:trPr>
        <w:tc>
          <w:tcPr>
            <w:tcW w:w="3600" w:type="dxa"/>
            <w:vAlign w:val="bottom"/>
          </w:tcPr>
          <w:p>
            <w:pPr>
              <w:ind w:left="20"/>
              <w:spacing w:after="0"/>
              <w:rPr>
                <w:sz w:val="20"/>
                <w:szCs w:val="20"/>
                <w:color w:val="auto"/>
              </w:rPr>
            </w:pPr>
            <w:r>
              <w:rPr>
                <w:rFonts w:ascii="Verdana" w:cs="Verdana" w:eastAsia="Verdana" w:hAnsi="Verdana"/>
                <w:sz w:val="18"/>
                <w:szCs w:val="18"/>
                <w:b w:val="1"/>
                <w:bCs w:val="1"/>
                <w:color w:val="auto"/>
              </w:rPr>
              <w:t>Net security (gains) losses</w:t>
            </w: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33"/>
              <w:spacing w:after="0"/>
              <w:rPr>
                <w:sz w:val="20"/>
                <w:szCs w:val="20"/>
                <w:color w:val="auto"/>
              </w:rPr>
            </w:pPr>
            <w:r>
              <w:rPr>
                <w:rFonts w:ascii="Verdana" w:cs="Verdana" w:eastAsia="Verdana" w:hAnsi="Verdana"/>
                <w:sz w:val="18"/>
                <w:szCs w:val="18"/>
                <w:color w:val="auto"/>
              </w:rPr>
              <w:t>(822)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285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93"/>
              <w:spacing w:after="0"/>
              <w:rPr>
                <w:sz w:val="20"/>
                <w:szCs w:val="20"/>
                <w:color w:val="auto"/>
              </w:rPr>
            </w:pPr>
            <w:r>
              <w:rPr>
                <w:rFonts w:ascii="Verdana" w:cs="Verdana" w:eastAsia="Verdana" w:hAnsi="Verdana"/>
                <w:sz w:val="18"/>
                <w:szCs w:val="18"/>
                <w:color w:val="auto"/>
              </w:rPr>
              <w:t>5,906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92"/>
              <w:spacing w:after="0"/>
              <w:rPr>
                <w:sz w:val="20"/>
                <w:szCs w:val="20"/>
                <w:color w:val="auto"/>
              </w:rPr>
            </w:pPr>
            <w:r>
              <w:rPr>
                <w:rFonts w:ascii="Verdana" w:cs="Verdana" w:eastAsia="Verdana" w:hAnsi="Verdana"/>
                <w:sz w:val="18"/>
                <w:szCs w:val="18"/>
                <w:color w:val="auto"/>
              </w:rPr>
              <w:t>2,960</w:t>
            </w:r>
          </w:p>
        </w:tc>
      </w:tr>
      <w:tr>
        <w:trPr>
          <w:trHeight w:val="270"/>
        </w:trPr>
        <w:tc>
          <w:tcPr>
            <w:tcW w:w="36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Total noninterest expense</w:t>
            </w:r>
          </w:p>
        </w:tc>
        <w:tc>
          <w:tcPr>
            <w:tcW w:w="820" w:type="dxa"/>
            <w:vAlign w:val="bottom"/>
            <w:shd w:val="clear" w:color="auto" w:fill="E0E7ED"/>
          </w:tcPr>
          <w:p>
            <w:pPr>
              <w:spacing w:after="0"/>
              <w:rPr>
                <w:sz w:val="23"/>
                <w:szCs w:val="23"/>
                <w:color w:val="auto"/>
              </w:rPr>
            </w:pPr>
          </w:p>
        </w:tc>
        <w:tc>
          <w:tcPr>
            <w:tcW w:w="220" w:type="dxa"/>
            <w:vAlign w:val="bottom"/>
            <w:tcBorders>
              <w:bottom w:val="single" w:sz="8" w:color="auto"/>
            </w:tcBorders>
            <w:shd w:val="clear" w:color="auto" w:fill="E0E7ED"/>
          </w:tcPr>
          <w:p>
            <w:pPr>
              <w:spacing w:after="0"/>
              <w:rPr>
                <w:sz w:val="23"/>
                <w:szCs w:val="23"/>
                <w:color w:val="auto"/>
              </w:rPr>
            </w:pPr>
          </w:p>
        </w:tc>
        <w:tc>
          <w:tcPr>
            <w:tcW w:w="1420" w:type="dxa"/>
            <w:vAlign w:val="bottom"/>
            <w:tcBorders>
              <w:bottom w:val="single" w:sz="8" w:color="auto"/>
            </w:tcBorders>
            <w:shd w:val="clear" w:color="auto" w:fill="E0E7ED"/>
          </w:tcPr>
          <w:p>
            <w:pPr>
              <w:jc w:val="right"/>
              <w:ind w:right="133"/>
              <w:spacing w:after="0"/>
              <w:rPr>
                <w:sz w:val="20"/>
                <w:szCs w:val="20"/>
                <w:color w:val="auto"/>
              </w:rPr>
            </w:pPr>
            <w:r>
              <w:rPr>
                <w:rFonts w:ascii="Verdana" w:cs="Verdana" w:eastAsia="Verdana" w:hAnsi="Verdana"/>
                <w:sz w:val="18"/>
                <w:szCs w:val="18"/>
                <w:color w:val="auto"/>
              </w:rPr>
              <w:t>(75,926)</w:t>
            </w:r>
          </w:p>
        </w:tc>
        <w:tc>
          <w:tcPr>
            <w:tcW w:w="100" w:type="dxa"/>
            <w:vAlign w:val="bottom"/>
            <w:shd w:val="clear" w:color="auto" w:fill="E0E7ED"/>
          </w:tcPr>
          <w:p>
            <w:pPr>
              <w:spacing w:after="0"/>
              <w:rPr>
                <w:sz w:val="23"/>
                <w:szCs w:val="23"/>
                <w:color w:val="auto"/>
              </w:rPr>
            </w:pPr>
          </w:p>
        </w:tc>
        <w:tc>
          <w:tcPr>
            <w:tcW w:w="220" w:type="dxa"/>
            <w:vAlign w:val="bottom"/>
            <w:tcBorders>
              <w:bottom w:val="single" w:sz="8" w:color="auto"/>
            </w:tcBorders>
            <w:shd w:val="clear" w:color="auto" w:fill="E0E7ED"/>
          </w:tcPr>
          <w:p>
            <w:pPr>
              <w:spacing w:after="0"/>
              <w:rPr>
                <w:sz w:val="23"/>
                <w:szCs w:val="23"/>
                <w:color w:val="auto"/>
              </w:rPr>
            </w:pPr>
          </w:p>
        </w:tc>
        <w:tc>
          <w:tcPr>
            <w:tcW w:w="1400" w:type="dxa"/>
            <w:vAlign w:val="bottom"/>
            <w:tcBorders>
              <w:bottom w:val="single" w:sz="8" w:color="auto"/>
            </w:tcBorders>
            <w:shd w:val="clear" w:color="auto" w:fill="E0E7ED"/>
          </w:tcPr>
          <w:p>
            <w:pPr>
              <w:jc w:val="right"/>
              <w:ind w:right="132"/>
              <w:spacing w:after="0"/>
              <w:rPr>
                <w:sz w:val="20"/>
                <w:szCs w:val="20"/>
                <w:color w:val="auto"/>
              </w:rPr>
            </w:pPr>
            <w:r>
              <w:rPr>
                <w:rFonts w:ascii="Verdana" w:cs="Verdana" w:eastAsia="Verdana" w:hAnsi="Verdana"/>
                <w:sz w:val="18"/>
                <w:szCs w:val="18"/>
                <w:color w:val="auto"/>
              </w:rPr>
              <w:t>(70,945)</w:t>
            </w:r>
          </w:p>
        </w:tc>
        <w:tc>
          <w:tcPr>
            <w:tcW w:w="100" w:type="dxa"/>
            <w:vAlign w:val="bottom"/>
            <w:shd w:val="clear" w:color="auto" w:fill="E0E7ED"/>
          </w:tcPr>
          <w:p>
            <w:pPr>
              <w:spacing w:after="0"/>
              <w:rPr>
                <w:sz w:val="23"/>
                <w:szCs w:val="23"/>
                <w:color w:val="auto"/>
              </w:rPr>
            </w:pPr>
          </w:p>
        </w:tc>
        <w:tc>
          <w:tcPr>
            <w:tcW w:w="220" w:type="dxa"/>
            <w:vAlign w:val="bottom"/>
            <w:tcBorders>
              <w:bottom w:val="single" w:sz="8" w:color="auto"/>
            </w:tcBorders>
            <w:shd w:val="clear" w:color="auto" w:fill="E0E7ED"/>
          </w:tcPr>
          <w:p>
            <w:pPr>
              <w:spacing w:after="0"/>
              <w:rPr>
                <w:sz w:val="23"/>
                <w:szCs w:val="23"/>
                <w:color w:val="auto"/>
              </w:rPr>
            </w:pPr>
          </w:p>
        </w:tc>
        <w:tc>
          <w:tcPr>
            <w:tcW w:w="1420" w:type="dxa"/>
            <w:vAlign w:val="bottom"/>
            <w:tcBorders>
              <w:bottom w:val="single" w:sz="8" w:color="auto"/>
            </w:tcBorders>
            <w:shd w:val="clear" w:color="auto" w:fill="E0E7ED"/>
          </w:tcPr>
          <w:p>
            <w:pPr>
              <w:jc w:val="right"/>
              <w:ind w:right="133"/>
              <w:spacing w:after="0"/>
              <w:rPr>
                <w:sz w:val="20"/>
                <w:szCs w:val="20"/>
                <w:color w:val="auto"/>
              </w:rPr>
            </w:pPr>
            <w:r>
              <w:rPr>
                <w:rFonts w:ascii="Verdana" w:cs="Verdana" w:eastAsia="Verdana" w:hAnsi="Verdana"/>
                <w:sz w:val="18"/>
                <w:szCs w:val="18"/>
                <w:color w:val="auto"/>
              </w:rPr>
              <w:t>(222,232)</w:t>
            </w:r>
          </w:p>
        </w:tc>
        <w:tc>
          <w:tcPr>
            <w:tcW w:w="80" w:type="dxa"/>
            <w:vAlign w:val="bottom"/>
            <w:shd w:val="clear" w:color="auto" w:fill="E0E7ED"/>
          </w:tcPr>
          <w:p>
            <w:pPr>
              <w:spacing w:after="0"/>
              <w:rPr>
                <w:sz w:val="23"/>
                <w:szCs w:val="23"/>
                <w:color w:val="auto"/>
              </w:rPr>
            </w:pPr>
          </w:p>
        </w:tc>
        <w:tc>
          <w:tcPr>
            <w:tcW w:w="220" w:type="dxa"/>
            <w:vAlign w:val="bottom"/>
            <w:tcBorders>
              <w:bottom w:val="single" w:sz="8" w:color="auto"/>
            </w:tcBorders>
            <w:shd w:val="clear" w:color="auto" w:fill="E0E7ED"/>
          </w:tcPr>
          <w:p>
            <w:pPr>
              <w:spacing w:after="0"/>
              <w:rPr>
                <w:sz w:val="23"/>
                <w:szCs w:val="23"/>
                <w:color w:val="auto"/>
              </w:rPr>
            </w:pPr>
          </w:p>
        </w:tc>
        <w:tc>
          <w:tcPr>
            <w:tcW w:w="1420" w:type="dxa"/>
            <w:vAlign w:val="bottom"/>
            <w:tcBorders>
              <w:bottom w:val="single" w:sz="8" w:color="auto"/>
            </w:tcBorders>
            <w:shd w:val="clear" w:color="auto" w:fill="E0E7ED"/>
          </w:tcPr>
          <w:p>
            <w:pPr>
              <w:jc w:val="right"/>
              <w:ind w:right="132"/>
              <w:spacing w:after="0"/>
              <w:rPr>
                <w:sz w:val="20"/>
                <w:szCs w:val="20"/>
                <w:color w:val="auto"/>
              </w:rPr>
            </w:pPr>
            <w:r>
              <w:rPr>
                <w:rFonts w:ascii="Verdana" w:cs="Verdana" w:eastAsia="Verdana" w:hAnsi="Verdana"/>
                <w:sz w:val="18"/>
                <w:szCs w:val="18"/>
                <w:color w:val="auto"/>
              </w:rPr>
              <w:t>(210,553)</w:t>
            </w:r>
          </w:p>
        </w:tc>
      </w:tr>
      <w:tr>
        <w:trPr>
          <w:trHeight w:val="263"/>
        </w:trPr>
        <w:tc>
          <w:tcPr>
            <w:tcW w:w="3600" w:type="dxa"/>
            <w:vAlign w:val="bottom"/>
          </w:tcPr>
          <w:p>
            <w:pPr>
              <w:ind w:left="20"/>
              <w:spacing w:after="0"/>
              <w:rPr>
                <w:sz w:val="20"/>
                <w:szCs w:val="20"/>
                <w:color w:val="auto"/>
              </w:rPr>
            </w:pPr>
            <w:r>
              <w:rPr>
                <w:rFonts w:ascii="Verdana" w:cs="Verdana" w:eastAsia="Verdana" w:hAnsi="Verdana"/>
                <w:sz w:val="18"/>
                <w:szCs w:val="18"/>
                <w:color w:val="auto"/>
              </w:rPr>
              <w:t>Pre-provision net revenue</w:t>
            </w: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93"/>
              <w:spacing w:after="0"/>
              <w:rPr>
                <w:sz w:val="20"/>
                <w:szCs w:val="20"/>
                <w:color w:val="auto"/>
              </w:rPr>
            </w:pPr>
            <w:r>
              <w:rPr>
                <w:rFonts w:ascii="Verdana" w:cs="Verdana" w:eastAsia="Verdana" w:hAnsi="Verdana"/>
                <w:sz w:val="18"/>
                <w:szCs w:val="18"/>
                <w:color w:val="auto"/>
              </w:rPr>
              <w:t>41,744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38,139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93"/>
              <w:spacing w:after="0"/>
              <w:rPr>
                <w:sz w:val="20"/>
                <w:szCs w:val="20"/>
                <w:color w:val="auto"/>
              </w:rPr>
            </w:pPr>
            <w:r>
              <w:rPr>
                <w:rFonts w:ascii="Verdana" w:cs="Verdana" w:eastAsia="Verdana" w:hAnsi="Verdana"/>
                <w:sz w:val="18"/>
                <w:szCs w:val="18"/>
                <w:color w:val="auto"/>
              </w:rPr>
              <w:t>129,168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92"/>
              <w:spacing w:after="0"/>
              <w:rPr>
                <w:sz w:val="20"/>
                <w:szCs w:val="20"/>
                <w:color w:val="auto"/>
              </w:rPr>
            </w:pPr>
            <w:r>
              <w:rPr>
                <w:rFonts w:ascii="Verdana" w:cs="Verdana" w:eastAsia="Verdana" w:hAnsi="Verdana"/>
                <w:sz w:val="18"/>
                <w:szCs w:val="18"/>
                <w:color w:val="auto"/>
              </w:rPr>
              <w:t>125,593</w:t>
            </w:r>
          </w:p>
        </w:tc>
      </w:tr>
      <w:tr>
        <w:trPr>
          <w:trHeight w:val="277"/>
        </w:trPr>
        <w:tc>
          <w:tcPr>
            <w:tcW w:w="36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Non-GAAP adjustments:</w:t>
            </w:r>
          </w:p>
        </w:tc>
        <w:tc>
          <w:tcPr>
            <w:tcW w:w="82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2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20" w:type="dxa"/>
            <w:vAlign w:val="bottom"/>
            <w:shd w:val="clear" w:color="auto" w:fill="E0E7ED"/>
          </w:tcPr>
          <w:p>
            <w:pPr>
              <w:spacing w:after="0"/>
              <w:rPr>
                <w:sz w:val="24"/>
                <w:szCs w:val="24"/>
                <w:color w:val="auto"/>
              </w:rPr>
            </w:pPr>
          </w:p>
        </w:tc>
      </w:tr>
      <w:tr>
        <w:trPr>
          <w:trHeight w:val="238"/>
        </w:trPr>
        <w:tc>
          <w:tcPr>
            <w:tcW w:w="3600" w:type="dxa"/>
            <w:vAlign w:val="bottom"/>
          </w:tcPr>
          <w:p>
            <w:pPr>
              <w:ind w:left="180"/>
              <w:spacing w:after="0"/>
              <w:rPr>
                <w:sz w:val="20"/>
                <w:szCs w:val="20"/>
                <w:color w:val="auto"/>
              </w:rPr>
            </w:pPr>
            <w:r>
              <w:rPr>
                <w:rFonts w:ascii="Verdana" w:cs="Verdana" w:eastAsia="Verdana" w:hAnsi="Verdana"/>
                <w:sz w:val="18"/>
                <w:szCs w:val="18"/>
                <w:color w:val="auto"/>
              </w:rPr>
              <w:t>Acquisition and restructuring</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42"/>
        </w:trPr>
        <w:tc>
          <w:tcPr>
            <w:tcW w:w="3600" w:type="dxa"/>
            <w:vAlign w:val="bottom"/>
          </w:tcPr>
          <w:p>
            <w:pPr>
              <w:ind w:left="180"/>
              <w:spacing w:after="0"/>
              <w:rPr>
                <w:sz w:val="20"/>
                <w:szCs w:val="20"/>
                <w:color w:val="auto"/>
              </w:rPr>
            </w:pPr>
            <w:r>
              <w:rPr>
                <w:rFonts w:ascii="Verdana" w:cs="Verdana" w:eastAsia="Verdana" w:hAnsi="Verdana"/>
                <w:sz w:val="18"/>
                <w:szCs w:val="18"/>
                <w:color w:val="auto"/>
              </w:rPr>
              <w:t>expenses</w:t>
            </w: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193"/>
              <w:spacing w:after="0"/>
              <w:rPr>
                <w:sz w:val="20"/>
                <w:szCs w:val="20"/>
                <w:color w:val="auto"/>
              </w:rPr>
            </w:pPr>
            <w:r>
              <w:rPr>
                <w:rFonts w:ascii="Verdana" w:cs="Verdana" w:eastAsia="Verdana" w:hAnsi="Verdana"/>
                <w:sz w:val="18"/>
                <w:szCs w:val="18"/>
                <w:color w:val="auto"/>
              </w:rPr>
              <w:t>1,935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193"/>
              <w:spacing w:after="0"/>
              <w:rPr>
                <w:sz w:val="20"/>
                <w:szCs w:val="20"/>
                <w:color w:val="auto"/>
              </w:rPr>
            </w:pPr>
            <w:r>
              <w:rPr>
                <w:rFonts w:ascii="Verdana" w:cs="Verdana" w:eastAsia="Verdana" w:hAnsi="Verdana"/>
                <w:sz w:val="18"/>
                <w:szCs w:val="18"/>
                <w:color w:val="auto"/>
              </w:rPr>
              <w:t>4,555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192"/>
              <w:spacing w:after="0"/>
              <w:rPr>
                <w:sz w:val="20"/>
                <w:szCs w:val="20"/>
                <w:color w:val="auto"/>
              </w:rPr>
            </w:pPr>
            <w:r>
              <w:rPr>
                <w:rFonts w:ascii="Verdana" w:cs="Verdana" w:eastAsia="Verdana" w:hAnsi="Verdana"/>
                <w:sz w:val="18"/>
                <w:szCs w:val="18"/>
                <w:color w:val="auto"/>
              </w:rPr>
              <w:t>91</w:t>
            </w:r>
          </w:p>
        </w:tc>
      </w:tr>
      <w:tr>
        <w:trPr>
          <w:trHeight w:val="277"/>
        </w:trPr>
        <w:tc>
          <w:tcPr>
            <w:tcW w:w="36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Provision for unfunded commitments</w:t>
            </w:r>
          </w:p>
        </w:tc>
        <w:tc>
          <w:tcPr>
            <w:tcW w:w="82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2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407</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13</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20" w:type="dxa"/>
            <w:vAlign w:val="bottom"/>
            <w:shd w:val="clear" w:color="auto" w:fill="E0E7ED"/>
          </w:tcPr>
          <w:p>
            <w:pPr>
              <w:jc w:val="right"/>
              <w:ind w:right="133"/>
              <w:spacing w:after="0"/>
              <w:rPr>
                <w:sz w:val="20"/>
                <w:szCs w:val="20"/>
                <w:color w:val="auto"/>
              </w:rPr>
            </w:pPr>
            <w:r>
              <w:rPr>
                <w:rFonts w:ascii="Verdana" w:cs="Verdana" w:eastAsia="Verdana" w:hAnsi="Verdana"/>
                <w:sz w:val="18"/>
                <w:szCs w:val="18"/>
                <w:color w:val="auto"/>
              </w:rPr>
              <w:t>(640)</w:t>
            </w:r>
          </w:p>
        </w:tc>
        <w:tc>
          <w:tcPr>
            <w:tcW w:w="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20" w:type="dxa"/>
            <w:vAlign w:val="bottom"/>
            <w:shd w:val="clear" w:color="auto" w:fill="E0E7ED"/>
          </w:tcPr>
          <w:p>
            <w:pPr>
              <w:jc w:val="right"/>
              <w:ind w:right="132"/>
              <w:spacing w:after="0"/>
              <w:rPr>
                <w:sz w:val="20"/>
                <w:szCs w:val="20"/>
                <w:color w:val="auto"/>
              </w:rPr>
            </w:pPr>
            <w:r>
              <w:rPr>
                <w:rFonts w:ascii="Verdana" w:cs="Verdana" w:eastAsia="Verdana" w:hAnsi="Verdana"/>
                <w:sz w:val="18"/>
                <w:szCs w:val="18"/>
                <w:color w:val="auto"/>
              </w:rPr>
              <w:t>(357)</w:t>
            </w:r>
          </w:p>
        </w:tc>
      </w:tr>
      <w:tr>
        <w:trPr>
          <w:trHeight w:val="263"/>
        </w:trPr>
        <w:tc>
          <w:tcPr>
            <w:tcW w:w="3600" w:type="dxa"/>
            <w:vAlign w:val="bottom"/>
          </w:tcPr>
          <w:p>
            <w:pPr>
              <w:ind w:left="180"/>
              <w:spacing w:after="0"/>
              <w:rPr>
                <w:sz w:val="20"/>
                <w:szCs w:val="20"/>
                <w:color w:val="auto"/>
              </w:rPr>
            </w:pPr>
            <w:r>
              <w:rPr>
                <w:rFonts w:ascii="Verdana" w:cs="Verdana" w:eastAsia="Verdana" w:hAnsi="Verdana"/>
                <w:sz w:val="18"/>
                <w:szCs w:val="18"/>
                <w:color w:val="auto"/>
              </w:rPr>
              <w:t>Amortization of NMTC</w:t>
            </w: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gridSpan w:val="2"/>
          </w:tcPr>
          <w:p>
            <w:pPr>
              <w:jc w:val="right"/>
              <w:ind w:right="380"/>
              <w:spacing w:after="0"/>
              <w:rPr>
                <w:sz w:val="20"/>
                <w:szCs w:val="20"/>
                <w:color w:val="auto"/>
              </w:rPr>
            </w:pPr>
            <w:r>
              <w:rPr>
                <w:rFonts w:ascii="Verdana" w:cs="Verdana" w:eastAsia="Verdana" w:hAnsi="Verdana"/>
                <w:sz w:val="18"/>
                <w:szCs w:val="18"/>
                <w:color w:val="auto"/>
              </w:rPr>
              <w:t>—</w:t>
            </w:r>
          </w:p>
        </w:tc>
        <w:tc>
          <w:tcPr>
            <w:tcW w:w="220" w:type="dxa"/>
            <w:vAlign w:val="bottom"/>
          </w:tcPr>
          <w:p>
            <w:pPr>
              <w:spacing w:after="0"/>
              <w:rPr>
                <w:sz w:val="22"/>
                <w:szCs w:val="22"/>
                <w:color w:val="auto"/>
              </w:rPr>
            </w:pP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2,260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jc w:val="right"/>
              <w:ind w:right="360"/>
              <w:spacing w:after="0"/>
              <w:rPr>
                <w:sz w:val="20"/>
                <w:szCs w:val="20"/>
                <w:color w:val="auto"/>
              </w:rPr>
            </w:pPr>
            <w:r>
              <w:rPr>
                <w:rFonts w:ascii="Verdana" w:cs="Verdana" w:eastAsia="Verdana" w:hAnsi="Verdana"/>
                <w:sz w:val="18"/>
                <w:szCs w:val="18"/>
                <w:color w:val="auto"/>
              </w:rPr>
              <w:t>—</w:t>
            </w:r>
          </w:p>
        </w:tc>
        <w:tc>
          <w:tcPr>
            <w:tcW w:w="220" w:type="dxa"/>
            <w:vAlign w:val="bottom"/>
          </w:tcPr>
          <w:p>
            <w:pPr>
              <w:spacing w:after="0"/>
              <w:rPr>
                <w:sz w:val="22"/>
                <w:szCs w:val="22"/>
                <w:color w:val="auto"/>
              </w:rPr>
            </w:pPr>
          </w:p>
        </w:tc>
        <w:tc>
          <w:tcPr>
            <w:tcW w:w="1420" w:type="dxa"/>
            <w:vAlign w:val="bottom"/>
          </w:tcPr>
          <w:p>
            <w:pPr>
              <w:jc w:val="right"/>
              <w:ind w:right="192"/>
              <w:spacing w:after="0"/>
              <w:rPr>
                <w:sz w:val="20"/>
                <w:szCs w:val="20"/>
                <w:color w:val="auto"/>
              </w:rPr>
            </w:pPr>
            <w:r>
              <w:rPr>
                <w:rFonts w:ascii="Verdana" w:cs="Verdana" w:eastAsia="Verdana" w:hAnsi="Verdana"/>
                <w:sz w:val="18"/>
                <w:szCs w:val="18"/>
                <w:color w:val="auto"/>
              </w:rPr>
              <w:t>6,740</w:t>
            </w:r>
          </w:p>
        </w:tc>
      </w:tr>
      <w:tr>
        <w:trPr>
          <w:trHeight w:val="244"/>
        </w:trPr>
        <w:tc>
          <w:tcPr>
            <w:tcW w:w="36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Realized (gain) loss on the sale of</w:t>
            </w:r>
          </w:p>
        </w:tc>
        <w:tc>
          <w:tcPr>
            <w:tcW w:w="82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20" w:type="dxa"/>
            <w:vAlign w:val="bottom"/>
            <w:shd w:val="clear" w:color="auto" w:fill="E0E7ED"/>
          </w:tcPr>
          <w:p>
            <w:pPr>
              <w:spacing w:after="0"/>
              <w:rPr>
                <w:sz w:val="21"/>
                <w:szCs w:val="21"/>
                <w:color w:val="auto"/>
              </w:rPr>
            </w:pPr>
          </w:p>
        </w:tc>
      </w:tr>
      <w:tr>
        <w:trPr>
          <w:trHeight w:val="242"/>
        </w:trPr>
        <w:tc>
          <w:tcPr>
            <w:tcW w:w="36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mortgage service rights</w:t>
            </w:r>
          </w:p>
        </w:tc>
        <w:tc>
          <w:tcPr>
            <w:tcW w:w="82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2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18</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500" w:type="dxa"/>
            <w:vAlign w:val="bottom"/>
            <w:gridSpan w:val="2"/>
            <w:shd w:val="clear" w:color="auto" w:fill="E0E7ED"/>
          </w:tcPr>
          <w:p>
            <w:pPr>
              <w:jc w:val="right"/>
              <w:ind w:right="380"/>
              <w:spacing w:after="0"/>
              <w:rPr>
                <w:sz w:val="20"/>
                <w:szCs w:val="20"/>
                <w:color w:val="auto"/>
              </w:rPr>
            </w:pPr>
            <w:r>
              <w:rPr>
                <w:rFonts w:ascii="Verdana" w:cs="Verdana" w:eastAsia="Verdana" w:hAnsi="Verdana"/>
                <w:sz w:val="18"/>
                <w:szCs w:val="18"/>
                <w:color w:val="auto"/>
              </w:rPr>
              <w:t>—</w:t>
            </w:r>
          </w:p>
        </w:tc>
        <w:tc>
          <w:tcPr>
            <w:tcW w:w="220" w:type="dxa"/>
            <w:vAlign w:val="bottom"/>
            <w:shd w:val="clear" w:color="auto" w:fill="E0E7ED"/>
          </w:tcPr>
          <w:p>
            <w:pPr>
              <w:spacing w:after="0"/>
              <w:rPr>
                <w:sz w:val="21"/>
                <w:szCs w:val="21"/>
                <w:color w:val="auto"/>
              </w:rPr>
            </w:pPr>
          </w:p>
        </w:tc>
        <w:tc>
          <w:tcPr>
            <w:tcW w:w="1420" w:type="dxa"/>
            <w:vAlign w:val="bottom"/>
            <w:shd w:val="clear" w:color="auto" w:fill="E0E7ED"/>
          </w:tcPr>
          <w:p>
            <w:pPr>
              <w:jc w:val="right"/>
              <w:ind w:right="133"/>
              <w:spacing w:after="0"/>
              <w:rPr>
                <w:sz w:val="20"/>
                <w:szCs w:val="20"/>
                <w:color w:val="auto"/>
              </w:rPr>
            </w:pPr>
            <w:r>
              <w:rPr>
                <w:rFonts w:ascii="Verdana" w:cs="Verdana" w:eastAsia="Verdana" w:hAnsi="Verdana"/>
                <w:sz w:val="18"/>
                <w:szCs w:val="18"/>
                <w:color w:val="auto"/>
              </w:rPr>
              <w:t>(7,724)</w:t>
            </w: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2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w:t>
            </w:r>
          </w:p>
        </w:tc>
      </w:tr>
      <w:tr>
        <w:trPr>
          <w:trHeight w:val="270"/>
        </w:trPr>
        <w:tc>
          <w:tcPr>
            <w:tcW w:w="3600" w:type="dxa"/>
            <w:vAlign w:val="bottom"/>
          </w:tcPr>
          <w:p>
            <w:pPr>
              <w:ind w:left="20"/>
              <w:spacing w:after="0"/>
              <w:rPr>
                <w:sz w:val="20"/>
                <w:szCs w:val="20"/>
                <w:color w:val="auto"/>
              </w:rPr>
            </w:pPr>
            <w:r>
              <w:rPr>
                <w:rFonts w:ascii="Verdana" w:cs="Verdana" w:eastAsia="Verdana" w:hAnsi="Verdana"/>
                <w:sz w:val="18"/>
                <w:szCs w:val="18"/>
                <w:color w:val="auto"/>
              </w:rPr>
              <w:t>Adjusted pre-provision net revenue</w:t>
            </w:r>
          </w:p>
        </w:tc>
        <w:tc>
          <w:tcPr>
            <w:tcW w:w="820" w:type="dxa"/>
            <w:vAlign w:val="bottom"/>
          </w:tcPr>
          <w:p>
            <w:pPr>
              <w:spacing w:after="0"/>
              <w:rPr>
                <w:sz w:val="23"/>
                <w:szCs w:val="23"/>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420" w:type="dxa"/>
            <w:vAlign w:val="bottom"/>
            <w:tcBorders>
              <w:top w:val="single" w:sz="8" w:color="auto"/>
              <w:bottom w:val="single" w:sz="8" w:color="auto"/>
            </w:tcBorders>
          </w:tcPr>
          <w:p>
            <w:pPr>
              <w:jc w:val="right"/>
              <w:ind w:right="193"/>
              <w:spacing w:after="0"/>
              <w:rPr>
                <w:sz w:val="20"/>
                <w:szCs w:val="20"/>
                <w:color w:val="auto"/>
              </w:rPr>
            </w:pPr>
            <w:r>
              <w:rPr>
                <w:rFonts w:ascii="Verdana" w:cs="Verdana" w:eastAsia="Verdana" w:hAnsi="Verdana"/>
                <w:sz w:val="18"/>
                <w:szCs w:val="18"/>
                <w:color w:val="auto"/>
              </w:rPr>
              <w:t>44,104</w:t>
            </w:r>
          </w:p>
        </w:tc>
        <w:tc>
          <w:tcPr>
            <w:tcW w:w="100" w:type="dxa"/>
            <w:vAlign w:val="bottom"/>
          </w:tcPr>
          <w:p>
            <w:pPr>
              <w:spacing w:after="0"/>
              <w:rPr>
                <w:sz w:val="23"/>
                <w:szCs w:val="23"/>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Verdana" w:cs="Verdana" w:eastAsia="Verdana" w:hAnsi="Verdana"/>
                <w:sz w:val="18"/>
                <w:szCs w:val="18"/>
                <w:color w:val="auto"/>
                <w:w w:val="86"/>
              </w:rPr>
              <w:t>$</w:t>
            </w:r>
          </w:p>
        </w:tc>
        <w:tc>
          <w:tcPr>
            <w:tcW w:w="1400" w:type="dxa"/>
            <w:vAlign w:val="bottom"/>
            <w:tcBorders>
              <w:top w:val="single" w:sz="8" w:color="auto"/>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40,491</w:t>
            </w:r>
          </w:p>
        </w:tc>
        <w:tc>
          <w:tcPr>
            <w:tcW w:w="100" w:type="dxa"/>
            <w:vAlign w:val="bottom"/>
          </w:tcPr>
          <w:p>
            <w:pPr>
              <w:spacing w:after="0"/>
              <w:rPr>
                <w:sz w:val="23"/>
                <w:szCs w:val="23"/>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420" w:type="dxa"/>
            <w:vAlign w:val="bottom"/>
            <w:tcBorders>
              <w:top w:val="single" w:sz="8" w:color="auto"/>
              <w:bottom w:val="single" w:sz="8" w:color="auto"/>
            </w:tcBorders>
          </w:tcPr>
          <w:p>
            <w:pPr>
              <w:jc w:val="right"/>
              <w:ind w:right="193"/>
              <w:spacing w:after="0"/>
              <w:rPr>
                <w:sz w:val="20"/>
                <w:szCs w:val="20"/>
                <w:color w:val="auto"/>
              </w:rPr>
            </w:pPr>
            <w:r>
              <w:rPr>
                <w:rFonts w:ascii="Verdana" w:cs="Verdana" w:eastAsia="Verdana" w:hAnsi="Verdana"/>
                <w:sz w:val="18"/>
                <w:szCs w:val="18"/>
                <w:color w:val="auto"/>
              </w:rPr>
              <w:t>125,359</w:t>
            </w:r>
          </w:p>
        </w:tc>
        <w:tc>
          <w:tcPr>
            <w:tcW w:w="80" w:type="dxa"/>
            <w:vAlign w:val="bottom"/>
          </w:tcPr>
          <w:p>
            <w:pPr>
              <w:spacing w:after="0"/>
              <w:rPr>
                <w:sz w:val="23"/>
                <w:szCs w:val="23"/>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420" w:type="dxa"/>
            <w:vAlign w:val="bottom"/>
            <w:tcBorders>
              <w:top w:val="single" w:sz="8" w:color="auto"/>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132,067</w:t>
            </w:r>
          </w:p>
        </w:tc>
      </w:tr>
      <w:tr>
        <w:trPr>
          <w:trHeight w:val="20"/>
        </w:trPr>
        <w:tc>
          <w:tcPr>
            <w:tcW w:w="3600" w:type="dxa"/>
            <w:vAlign w:val="bottom"/>
            <w:tcBorders>
              <w:bottom w:val="single" w:sz="8" w:color="E0E7ED"/>
            </w:tcBorders>
          </w:tcPr>
          <w:p>
            <w:pPr>
              <w:spacing w:after="0" w:line="20" w:lineRule="exact"/>
              <w:rPr>
                <w:sz w:val="1"/>
                <w:szCs w:val="1"/>
                <w:color w:val="auto"/>
              </w:rPr>
            </w:pPr>
          </w:p>
        </w:tc>
        <w:tc>
          <w:tcPr>
            <w:tcW w:w="820" w:type="dxa"/>
            <w:vAlign w:val="bottom"/>
            <w:tcBorders>
              <w:bottom w:val="single" w:sz="8" w:color="E0E7E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7"/>
        </w:trPr>
        <w:tc>
          <w:tcPr>
            <w:tcW w:w="3600" w:type="dxa"/>
            <w:vAlign w:val="bottom"/>
            <w:shd w:val="clear" w:color="auto" w:fill="E0E7ED"/>
          </w:tcPr>
          <w:p>
            <w:pPr>
              <w:spacing w:after="0"/>
              <w:rPr>
                <w:sz w:val="20"/>
                <w:szCs w:val="20"/>
                <w:color w:val="auto"/>
              </w:rPr>
            </w:pPr>
          </w:p>
        </w:tc>
        <w:tc>
          <w:tcPr>
            <w:tcW w:w="82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14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14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142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1420" w:type="dxa"/>
            <w:vAlign w:val="bottom"/>
            <w:shd w:val="clear" w:color="auto" w:fill="E0E7ED"/>
          </w:tcPr>
          <w:p>
            <w:pPr>
              <w:spacing w:after="0"/>
              <w:rPr>
                <w:sz w:val="20"/>
                <w:szCs w:val="20"/>
                <w:color w:val="auto"/>
              </w:rPr>
            </w:pPr>
          </w:p>
        </w:tc>
      </w:tr>
      <w:tr>
        <w:trPr>
          <w:trHeight w:val="263"/>
        </w:trPr>
        <w:tc>
          <w:tcPr>
            <w:tcW w:w="3600" w:type="dxa"/>
            <w:vAlign w:val="bottom"/>
          </w:tcPr>
          <w:p>
            <w:pPr>
              <w:ind w:left="20"/>
              <w:spacing w:after="0"/>
              <w:rPr>
                <w:sz w:val="20"/>
                <w:szCs w:val="20"/>
                <w:color w:val="auto"/>
              </w:rPr>
            </w:pPr>
            <w:r>
              <w:rPr>
                <w:rFonts w:ascii="Verdana" w:cs="Verdana" w:eastAsia="Verdana" w:hAnsi="Verdana"/>
                <w:sz w:val="18"/>
                <w:szCs w:val="18"/>
                <w:color w:val="auto"/>
              </w:rPr>
              <w:t>Pre-provision net revenue, annualized</w:t>
            </w:r>
          </w:p>
        </w:tc>
        <w:tc>
          <w:tcPr>
            <w:tcW w:w="820" w:type="dxa"/>
            <w:vAlign w:val="bottom"/>
          </w:tcPr>
          <w:p>
            <w:pPr>
              <w:ind w:left="80"/>
              <w:spacing w:after="0"/>
              <w:rPr>
                <w:sz w:val="20"/>
                <w:szCs w:val="20"/>
                <w:color w:val="auto"/>
              </w:rPr>
            </w:pPr>
            <w:r>
              <w:rPr>
                <w:rFonts w:ascii="Verdana" w:cs="Verdana" w:eastAsia="Verdana" w:hAnsi="Verdana"/>
                <w:sz w:val="18"/>
                <w:szCs w:val="18"/>
                <w:color w:val="auto"/>
              </w:rPr>
              <w:t>[a]</w:t>
            </w: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420" w:type="dxa"/>
            <w:vAlign w:val="bottom"/>
          </w:tcPr>
          <w:p>
            <w:pPr>
              <w:jc w:val="right"/>
              <w:ind w:right="193"/>
              <w:spacing w:after="0"/>
              <w:rPr>
                <w:sz w:val="20"/>
                <w:szCs w:val="20"/>
                <w:color w:val="auto"/>
              </w:rPr>
            </w:pPr>
            <w:r>
              <w:rPr>
                <w:rFonts w:ascii="Verdana" w:cs="Verdana" w:eastAsia="Verdana" w:hAnsi="Verdana"/>
                <w:sz w:val="18"/>
                <w:szCs w:val="18"/>
                <w:color w:val="auto"/>
              </w:rPr>
              <w:t>166,069</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151,312</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420" w:type="dxa"/>
            <w:vAlign w:val="bottom"/>
          </w:tcPr>
          <w:p>
            <w:pPr>
              <w:jc w:val="right"/>
              <w:ind w:right="193"/>
              <w:spacing w:after="0"/>
              <w:rPr>
                <w:sz w:val="20"/>
                <w:szCs w:val="20"/>
                <w:color w:val="auto"/>
              </w:rPr>
            </w:pPr>
            <w:r>
              <w:rPr>
                <w:rFonts w:ascii="Verdana" w:cs="Verdana" w:eastAsia="Verdana" w:hAnsi="Verdana"/>
                <w:sz w:val="18"/>
                <w:szCs w:val="18"/>
                <w:color w:val="auto"/>
              </w:rPr>
              <w:t>172,538</w:t>
            </w:r>
          </w:p>
        </w:tc>
        <w:tc>
          <w:tcPr>
            <w:tcW w:w="8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420" w:type="dxa"/>
            <w:vAlign w:val="bottom"/>
          </w:tcPr>
          <w:p>
            <w:pPr>
              <w:jc w:val="right"/>
              <w:ind w:right="192"/>
              <w:spacing w:after="0"/>
              <w:rPr>
                <w:sz w:val="20"/>
                <w:szCs w:val="20"/>
                <w:color w:val="auto"/>
              </w:rPr>
            </w:pPr>
            <w:r>
              <w:rPr>
                <w:rFonts w:ascii="Verdana" w:cs="Verdana" w:eastAsia="Verdana" w:hAnsi="Verdana"/>
                <w:sz w:val="18"/>
                <w:szCs w:val="18"/>
                <w:color w:val="auto"/>
              </w:rPr>
              <w:t>167,917</w:t>
            </w:r>
          </w:p>
        </w:tc>
      </w:tr>
      <w:tr>
        <w:trPr>
          <w:trHeight w:val="244"/>
        </w:trPr>
        <w:tc>
          <w:tcPr>
            <w:tcW w:w="36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Adjusted pre-provision net revenue,</w:t>
            </w:r>
          </w:p>
        </w:tc>
        <w:tc>
          <w:tcPr>
            <w:tcW w:w="82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20" w:type="dxa"/>
            <w:vAlign w:val="bottom"/>
            <w:shd w:val="clear" w:color="auto" w:fill="E0E7ED"/>
          </w:tcPr>
          <w:p>
            <w:pPr>
              <w:spacing w:after="0"/>
              <w:rPr>
                <w:sz w:val="21"/>
                <w:szCs w:val="21"/>
                <w:color w:val="auto"/>
              </w:rPr>
            </w:pPr>
          </w:p>
        </w:tc>
      </w:tr>
      <w:tr>
        <w:trPr>
          <w:trHeight w:val="248"/>
        </w:trPr>
        <w:tc>
          <w:tcPr>
            <w:tcW w:w="36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annualized</w:t>
            </w:r>
          </w:p>
        </w:tc>
        <w:tc>
          <w:tcPr>
            <w:tcW w:w="820" w:type="dxa"/>
            <w:vAlign w:val="bottom"/>
            <w:shd w:val="clear" w:color="auto" w:fill="E0E7ED"/>
          </w:tcPr>
          <w:p>
            <w:pPr>
              <w:ind w:left="80"/>
              <w:spacing w:after="0"/>
              <w:rPr>
                <w:sz w:val="20"/>
                <w:szCs w:val="20"/>
                <w:color w:val="auto"/>
              </w:rPr>
            </w:pPr>
            <w:r>
              <w:rPr>
                <w:rFonts w:ascii="Verdana" w:cs="Verdana" w:eastAsia="Verdana" w:hAnsi="Verdana"/>
                <w:sz w:val="18"/>
                <w:szCs w:val="18"/>
                <w:color w:val="auto"/>
              </w:rPr>
              <w:t>[b]</w:t>
            </w:r>
          </w:p>
        </w:tc>
        <w:tc>
          <w:tcPr>
            <w:tcW w:w="220" w:type="dxa"/>
            <w:vAlign w:val="bottom"/>
            <w:shd w:val="clear" w:color="auto" w:fill="E0E7ED"/>
          </w:tcPr>
          <w:p>
            <w:pPr>
              <w:spacing w:after="0"/>
              <w:rPr>
                <w:sz w:val="21"/>
                <w:szCs w:val="21"/>
                <w:color w:val="auto"/>
              </w:rPr>
            </w:pPr>
          </w:p>
        </w:tc>
        <w:tc>
          <w:tcPr>
            <w:tcW w:w="142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175,457</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160,644</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2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167,450</w:t>
            </w: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2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176,573</w:t>
            </w:r>
          </w:p>
        </w:tc>
      </w:tr>
      <w:tr>
        <w:trPr>
          <w:trHeight w:val="263"/>
        </w:trPr>
        <w:tc>
          <w:tcPr>
            <w:tcW w:w="3600" w:type="dxa"/>
            <w:vAlign w:val="bottom"/>
          </w:tcPr>
          <w:p>
            <w:pPr>
              <w:ind w:left="20"/>
              <w:spacing w:after="0"/>
              <w:rPr>
                <w:sz w:val="20"/>
                <w:szCs w:val="20"/>
                <w:color w:val="auto"/>
              </w:rPr>
            </w:pPr>
            <w:r>
              <w:rPr>
                <w:rFonts w:ascii="Verdana" w:cs="Verdana" w:eastAsia="Verdana" w:hAnsi="Verdana"/>
                <w:sz w:val="18"/>
                <w:szCs w:val="18"/>
                <w:color w:val="auto"/>
              </w:rPr>
              <w:t>Average total assets</w:t>
            </w:r>
          </w:p>
        </w:tc>
        <w:tc>
          <w:tcPr>
            <w:tcW w:w="820" w:type="dxa"/>
            <w:vAlign w:val="bottom"/>
          </w:tcPr>
          <w:p>
            <w:pPr>
              <w:ind w:left="80"/>
              <w:spacing w:after="0"/>
              <w:rPr>
                <w:sz w:val="20"/>
                <w:szCs w:val="20"/>
                <w:color w:val="auto"/>
              </w:rPr>
            </w:pPr>
            <w:r>
              <w:rPr>
                <w:rFonts w:ascii="Verdana" w:cs="Verdana" w:eastAsia="Verdana" w:hAnsi="Verdana"/>
                <w:sz w:val="18"/>
                <w:szCs w:val="18"/>
                <w:color w:val="auto"/>
              </w:rPr>
              <w:t>[c]</w:t>
            </w:r>
          </w:p>
        </w:tc>
        <w:tc>
          <w:tcPr>
            <w:tcW w:w="220" w:type="dxa"/>
            <w:vAlign w:val="bottom"/>
          </w:tcPr>
          <w:p>
            <w:pPr>
              <w:spacing w:after="0"/>
              <w:rPr>
                <w:sz w:val="22"/>
                <w:szCs w:val="22"/>
                <w:color w:val="auto"/>
              </w:rPr>
            </w:pPr>
          </w:p>
        </w:tc>
        <w:tc>
          <w:tcPr>
            <w:tcW w:w="1420" w:type="dxa"/>
            <w:vAlign w:val="bottom"/>
          </w:tcPr>
          <w:p>
            <w:pPr>
              <w:jc w:val="right"/>
              <w:ind w:right="193"/>
              <w:spacing w:after="0"/>
              <w:rPr>
                <w:sz w:val="20"/>
                <w:szCs w:val="20"/>
                <w:color w:val="auto"/>
              </w:rPr>
            </w:pPr>
            <w:r>
              <w:rPr>
                <w:rFonts w:ascii="Verdana" w:cs="Verdana" w:eastAsia="Verdana" w:hAnsi="Verdana"/>
                <w:sz w:val="18"/>
                <w:szCs w:val="18"/>
                <w:color w:val="auto"/>
              </w:rPr>
              <w:t>12,007,702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12,202,783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93"/>
              <w:spacing w:after="0"/>
              <w:rPr>
                <w:sz w:val="20"/>
                <w:szCs w:val="20"/>
                <w:color w:val="auto"/>
              </w:rPr>
            </w:pPr>
            <w:r>
              <w:rPr>
                <w:rFonts w:ascii="Verdana" w:cs="Verdana" w:eastAsia="Verdana" w:hAnsi="Verdana"/>
                <w:sz w:val="18"/>
                <w:szCs w:val="18"/>
                <w:color w:val="auto"/>
              </w:rPr>
              <w:t>12,040,414</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92"/>
              <w:spacing w:after="0"/>
              <w:rPr>
                <w:sz w:val="20"/>
                <w:szCs w:val="20"/>
                <w:color w:val="auto"/>
              </w:rPr>
            </w:pPr>
            <w:r>
              <w:rPr>
                <w:rFonts w:ascii="Verdana" w:cs="Verdana" w:eastAsia="Verdana" w:hAnsi="Verdana"/>
                <w:sz w:val="18"/>
                <w:szCs w:val="18"/>
                <w:color w:val="auto"/>
              </w:rPr>
              <w:t>12,225,232</w:t>
            </w:r>
          </w:p>
        </w:tc>
      </w:tr>
      <w:tr>
        <w:trPr>
          <w:trHeight w:val="277"/>
        </w:trPr>
        <w:tc>
          <w:tcPr>
            <w:tcW w:w="3600" w:type="dxa"/>
            <w:vAlign w:val="bottom"/>
            <w:shd w:val="clear" w:color="auto" w:fill="E0E7ED"/>
          </w:tcPr>
          <w:p>
            <w:pPr>
              <w:spacing w:after="0"/>
              <w:rPr>
                <w:sz w:val="24"/>
                <w:szCs w:val="24"/>
                <w:color w:val="auto"/>
              </w:rPr>
            </w:pPr>
          </w:p>
        </w:tc>
        <w:tc>
          <w:tcPr>
            <w:tcW w:w="82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2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20" w:type="dxa"/>
            <w:vAlign w:val="bottom"/>
            <w:shd w:val="clear" w:color="auto" w:fill="E0E7ED"/>
          </w:tcPr>
          <w:p>
            <w:pPr>
              <w:spacing w:after="0"/>
              <w:rPr>
                <w:sz w:val="24"/>
                <w:szCs w:val="24"/>
                <w:color w:val="auto"/>
              </w:rPr>
            </w:pPr>
          </w:p>
        </w:tc>
      </w:tr>
      <w:tr>
        <w:trPr>
          <w:trHeight w:val="238"/>
        </w:trPr>
        <w:tc>
          <w:tcPr>
            <w:tcW w:w="3600" w:type="dxa"/>
            <w:vAlign w:val="bottom"/>
          </w:tcPr>
          <w:p>
            <w:pPr>
              <w:ind w:left="20"/>
              <w:spacing w:after="0"/>
              <w:rPr>
                <w:sz w:val="20"/>
                <w:szCs w:val="20"/>
                <w:color w:val="auto"/>
              </w:rPr>
            </w:pPr>
            <w:r>
              <w:rPr>
                <w:rFonts w:ascii="Verdana" w:cs="Verdana" w:eastAsia="Verdana" w:hAnsi="Verdana"/>
                <w:sz w:val="18"/>
                <w:szCs w:val="18"/>
                <w:b w:val="1"/>
                <w:bCs w:val="1"/>
                <w:color w:val="auto"/>
              </w:rPr>
              <w:t xml:space="preserve">Reported: </w:t>
            </w:r>
            <w:r>
              <w:rPr>
                <w:rFonts w:ascii="Verdana" w:cs="Verdana" w:eastAsia="Verdana" w:hAnsi="Verdana"/>
                <w:sz w:val="18"/>
                <w:szCs w:val="18"/>
                <w:color w:val="auto"/>
              </w:rPr>
              <w:t>Pre-provision net revenue</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42"/>
        </w:trPr>
        <w:tc>
          <w:tcPr>
            <w:tcW w:w="3600" w:type="dxa"/>
            <w:vAlign w:val="bottom"/>
          </w:tcPr>
          <w:p>
            <w:pPr>
              <w:ind w:left="20"/>
              <w:spacing w:after="0"/>
              <w:rPr>
                <w:sz w:val="20"/>
                <w:szCs w:val="20"/>
                <w:color w:val="auto"/>
              </w:rPr>
            </w:pPr>
            <w:r>
              <w:rPr>
                <w:rFonts w:ascii="Verdana" w:cs="Verdana" w:eastAsia="Verdana" w:hAnsi="Verdana"/>
                <w:sz w:val="18"/>
                <w:szCs w:val="18"/>
                <w:color w:val="auto"/>
              </w:rPr>
              <w:t>to average assets</w:t>
            </w:r>
            <w:r>
              <w:rPr>
                <w:rFonts w:ascii="Verdana" w:cs="Verdana" w:eastAsia="Verdana" w:hAnsi="Verdana"/>
                <w:sz w:val="11"/>
                <w:szCs w:val="11"/>
                <w:color w:val="auto"/>
              </w:rPr>
              <w:t>1</w:t>
            </w:r>
          </w:p>
        </w:tc>
        <w:tc>
          <w:tcPr>
            <w:tcW w:w="820" w:type="dxa"/>
            <w:vAlign w:val="bottom"/>
          </w:tcPr>
          <w:p>
            <w:pPr>
              <w:ind w:left="80"/>
              <w:spacing w:after="0"/>
              <w:rPr>
                <w:sz w:val="20"/>
                <w:szCs w:val="20"/>
                <w:color w:val="auto"/>
              </w:rPr>
            </w:pPr>
            <w:r>
              <w:rPr>
                <w:rFonts w:ascii="Verdana" w:cs="Verdana" w:eastAsia="Verdana" w:hAnsi="Verdana"/>
                <w:sz w:val="18"/>
                <w:szCs w:val="18"/>
                <w:color w:val="auto"/>
              </w:rPr>
              <w:t>[a÷c]</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Verdana" w:cs="Verdana" w:eastAsia="Verdana" w:hAnsi="Verdana"/>
                <w:sz w:val="18"/>
                <w:szCs w:val="18"/>
                <w:color w:val="auto"/>
              </w:rPr>
              <w:t>1.38 %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1.24 %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Verdana" w:cs="Verdana" w:eastAsia="Verdana" w:hAnsi="Verdana"/>
                <w:sz w:val="18"/>
                <w:szCs w:val="18"/>
                <w:color w:val="auto"/>
              </w:rPr>
              <w:t>1.43 %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Verdana" w:cs="Verdana" w:eastAsia="Verdana" w:hAnsi="Verdana"/>
                <w:sz w:val="18"/>
                <w:szCs w:val="18"/>
                <w:color w:val="auto"/>
              </w:rPr>
              <w:t>1.37 %</w:t>
            </w:r>
          </w:p>
        </w:tc>
      </w:tr>
      <w:tr>
        <w:trPr>
          <w:trHeight w:val="244"/>
        </w:trPr>
        <w:tc>
          <w:tcPr>
            <w:tcW w:w="36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 xml:space="preserve">Adjusted: </w:t>
            </w:r>
            <w:r>
              <w:rPr>
                <w:rFonts w:ascii="Verdana" w:cs="Verdana" w:eastAsia="Verdana" w:hAnsi="Verdana"/>
                <w:sz w:val="18"/>
                <w:szCs w:val="18"/>
                <w:color w:val="auto"/>
              </w:rPr>
              <w:t>Pre-provision net revenue</w:t>
            </w:r>
          </w:p>
        </w:tc>
        <w:tc>
          <w:tcPr>
            <w:tcW w:w="82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20" w:type="dxa"/>
            <w:vAlign w:val="bottom"/>
            <w:shd w:val="clear" w:color="auto" w:fill="E0E7ED"/>
          </w:tcPr>
          <w:p>
            <w:pPr>
              <w:spacing w:after="0"/>
              <w:rPr>
                <w:sz w:val="21"/>
                <w:szCs w:val="21"/>
                <w:color w:val="auto"/>
              </w:rPr>
            </w:pPr>
          </w:p>
        </w:tc>
      </w:tr>
      <w:tr>
        <w:trPr>
          <w:trHeight w:val="248"/>
        </w:trPr>
        <w:tc>
          <w:tcPr>
            <w:tcW w:w="36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 average assets</w:t>
            </w:r>
            <w:r>
              <w:rPr>
                <w:rFonts w:ascii="Verdana" w:cs="Verdana" w:eastAsia="Verdana" w:hAnsi="Verdana"/>
                <w:sz w:val="11"/>
                <w:szCs w:val="11"/>
                <w:color w:val="auto"/>
              </w:rPr>
              <w:t>1</w:t>
            </w:r>
          </w:p>
        </w:tc>
        <w:tc>
          <w:tcPr>
            <w:tcW w:w="820" w:type="dxa"/>
            <w:vAlign w:val="bottom"/>
            <w:shd w:val="clear" w:color="auto" w:fill="E0E7ED"/>
          </w:tcPr>
          <w:p>
            <w:pPr>
              <w:ind w:left="80"/>
              <w:spacing w:after="0"/>
              <w:rPr>
                <w:sz w:val="20"/>
                <w:szCs w:val="20"/>
                <w:color w:val="auto"/>
              </w:rPr>
            </w:pPr>
            <w:r>
              <w:rPr>
                <w:rFonts w:ascii="Verdana" w:cs="Verdana" w:eastAsia="Verdana" w:hAnsi="Verdana"/>
                <w:sz w:val="18"/>
                <w:szCs w:val="18"/>
                <w:color w:val="auto"/>
              </w:rPr>
              <w:t>[b÷c]</w:t>
            </w:r>
          </w:p>
        </w:tc>
        <w:tc>
          <w:tcPr>
            <w:tcW w:w="220" w:type="dxa"/>
            <w:vAlign w:val="bottom"/>
            <w:shd w:val="clear" w:color="auto" w:fill="E0E7ED"/>
          </w:tcPr>
          <w:p>
            <w:pPr>
              <w:spacing w:after="0"/>
              <w:rPr>
                <w:sz w:val="21"/>
                <w:szCs w:val="21"/>
                <w:color w:val="auto"/>
              </w:rPr>
            </w:pPr>
          </w:p>
        </w:tc>
        <w:tc>
          <w:tcPr>
            <w:tcW w:w="14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1.46 %</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1.32 %</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1.39 %</w:t>
            </w: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1.44 %</w:t>
            </w:r>
          </w:p>
        </w:tc>
      </w:tr>
    </w:tbl>
    <w:p>
      <w:pPr>
        <w:spacing w:after="0" w:line="80"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tabs>
          <w:tab w:leader="none" w:pos="480" w:val="left"/>
        </w:tabs>
        <w:numPr>
          <w:ilvl w:val="0"/>
          <w:numId w:val="29"/>
        </w:numPr>
        <w:rPr>
          <w:rFonts w:ascii="Verdana" w:cs="Verdana" w:eastAsia="Verdana" w:hAnsi="Verdana"/>
          <w:sz w:val="13"/>
          <w:szCs w:val="13"/>
          <w:color w:val="auto"/>
        </w:rPr>
      </w:pPr>
      <w:r>
        <w:rPr>
          <w:rFonts w:ascii="Verdana" w:cs="Verdana" w:eastAsia="Verdana" w:hAnsi="Verdana"/>
          <w:sz w:val="13"/>
          <w:szCs w:val="13"/>
          <w:color w:val="auto"/>
        </w:rPr>
        <w:t>Annualized measure.</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97" w:name="page98"/>
    <w:bookmarkEnd w:id="97"/>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2. MD&amp;A</w:t>
      </w:r>
    </w:p>
    <w:p>
      <w:pPr>
        <w:spacing w:after="0" w:line="186"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RECONCILIATION OF NON-GAAP FINANCIAL MEASURES (Unaudited)</w:t>
      </w:r>
    </w:p>
    <w:p>
      <w:pPr>
        <w:spacing w:after="0" w:line="200" w:lineRule="exact"/>
        <w:rPr>
          <w:sz w:val="20"/>
          <w:szCs w:val="20"/>
          <w:color w:val="auto"/>
        </w:rPr>
      </w:pPr>
    </w:p>
    <w:p>
      <w:pPr>
        <w:spacing w:after="0" w:line="283" w:lineRule="exact"/>
        <w:rPr>
          <w:sz w:val="20"/>
          <w:szCs w:val="20"/>
          <w:color w:val="auto"/>
        </w:rPr>
      </w:pPr>
    </w:p>
    <w:p>
      <w:pPr>
        <w:jc w:val="center"/>
        <w:spacing w:after="0" w:line="245" w:lineRule="auto"/>
        <w:rPr>
          <w:sz w:val="20"/>
          <w:szCs w:val="20"/>
          <w:color w:val="auto"/>
        </w:rPr>
      </w:pPr>
      <w:r>
        <w:rPr>
          <w:rFonts w:ascii="Verdana" w:cs="Verdana" w:eastAsia="Verdana" w:hAnsi="Verdana"/>
          <w:sz w:val="18"/>
          <w:szCs w:val="18"/>
          <w:b w:val="1"/>
          <w:bCs w:val="1"/>
          <w:color w:val="auto"/>
        </w:rPr>
        <w:t>Adjusted Net Income, Adjusted Diluted Earnings Per Share, Adjusted Return on Average Assets, Average Tangible Common Equity, Return on Average Tangible Common Equity, and Adjusted Return on Average Tangible Common Equity</w:t>
      </w:r>
    </w:p>
    <w:p>
      <w:pPr>
        <w:spacing w:after="0" w:line="32"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 except per share amounts)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0" w:type="dxa"/>
            <w:vAlign w:val="bottom"/>
            <w:gridSpan w:val="5"/>
          </w:tcPr>
          <w:p>
            <w:pPr>
              <w:ind w:left="180"/>
              <w:spacing w:after="0"/>
              <w:rPr>
                <w:sz w:val="20"/>
                <w:szCs w:val="20"/>
                <w:color w:val="auto"/>
              </w:rPr>
            </w:pPr>
            <w:r>
              <w:rPr>
                <w:rFonts w:ascii="Verdana" w:cs="Verdana" w:eastAsia="Verdana" w:hAnsi="Verdana"/>
                <w:sz w:val="13"/>
                <w:szCs w:val="13"/>
                <w:b w:val="1"/>
                <w:bCs w:val="1"/>
                <w:color w:val="auto"/>
              </w:rPr>
              <w:t>Three Months Ended September 30,</w:t>
            </w:r>
          </w:p>
        </w:tc>
        <w:tc>
          <w:tcPr>
            <w:tcW w:w="200" w:type="dxa"/>
            <w:vAlign w:val="bottom"/>
          </w:tcPr>
          <w:p>
            <w:pPr>
              <w:spacing w:after="0"/>
              <w:rPr>
                <w:sz w:val="15"/>
                <w:szCs w:val="15"/>
                <w:color w:val="auto"/>
              </w:rPr>
            </w:pPr>
          </w:p>
        </w:tc>
        <w:tc>
          <w:tcPr>
            <w:tcW w:w="3100" w:type="dxa"/>
            <w:vAlign w:val="bottom"/>
            <w:gridSpan w:val="4"/>
          </w:tcPr>
          <w:p>
            <w:pPr>
              <w:jc w:val="right"/>
              <w:ind w:right="351"/>
              <w:spacing w:after="0"/>
              <w:rPr>
                <w:sz w:val="20"/>
                <w:szCs w:val="20"/>
                <w:color w:val="auto"/>
              </w:rPr>
            </w:pPr>
            <w:r>
              <w:rPr>
                <w:rFonts w:ascii="Verdana" w:cs="Verdana" w:eastAsia="Verdana" w:hAnsi="Verdana"/>
                <w:sz w:val="13"/>
                <w:szCs w:val="13"/>
                <w:b w:val="1"/>
                <w:bCs w:val="1"/>
                <w:color w:val="auto"/>
              </w:rPr>
              <w:t>Nine Months Ended September 30,</w:t>
            </w:r>
          </w:p>
        </w:tc>
      </w:tr>
      <w:tr>
        <w:trPr>
          <w:trHeight w:val="170"/>
        </w:trPr>
        <w:tc>
          <w:tcPr>
            <w:tcW w:w="3700" w:type="dxa"/>
            <w:vAlign w:val="bottom"/>
            <w:tcBorders>
              <w:bottom w:val="single" w:sz="8" w:color="E0E7ED"/>
            </w:tcBorders>
          </w:tcPr>
          <w:p>
            <w:pPr>
              <w:spacing w:after="0"/>
              <w:rPr>
                <w:sz w:val="14"/>
                <w:szCs w:val="14"/>
                <w:color w:val="auto"/>
              </w:rPr>
            </w:pPr>
          </w:p>
        </w:tc>
        <w:tc>
          <w:tcPr>
            <w:tcW w:w="84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532"/>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531"/>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532"/>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531"/>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6240" w:type="dxa"/>
            <w:vAlign w:val="bottom"/>
            <w:gridSpan w:val="5"/>
            <w:shd w:val="clear" w:color="auto" w:fill="E0E7ED"/>
          </w:tcPr>
          <w:p>
            <w:pPr>
              <w:ind w:left="20"/>
              <w:spacing w:after="0"/>
              <w:rPr>
                <w:sz w:val="20"/>
                <w:szCs w:val="20"/>
                <w:color w:val="auto"/>
              </w:rPr>
            </w:pPr>
            <w:r>
              <w:rPr>
                <w:rFonts w:ascii="Verdana" w:cs="Verdana" w:eastAsia="Verdana" w:hAnsi="Verdana"/>
                <w:sz w:val="18"/>
                <w:szCs w:val="18"/>
                <w:b w:val="1"/>
                <w:bCs w:val="1"/>
                <w:color w:val="auto"/>
              </w:rPr>
              <w:t>NET INCOME ADJUSTED FOR NON-OPERATING ITEMS</w:t>
            </w:r>
          </w:p>
        </w:tc>
        <w:tc>
          <w:tcPr>
            <w:tcW w:w="200" w:type="dxa"/>
            <w:vAlign w:val="bottom"/>
            <w:shd w:val="clear" w:color="auto" w:fill="E0E7ED"/>
          </w:tcPr>
          <w:p>
            <w:pPr>
              <w:spacing w:after="0"/>
              <w:rPr>
                <w:sz w:val="22"/>
                <w:szCs w:val="22"/>
                <w:color w:val="auto"/>
              </w:rPr>
            </w:pPr>
          </w:p>
        </w:tc>
        <w:tc>
          <w:tcPr>
            <w:tcW w:w="140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40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400" w:type="dxa"/>
            <w:vAlign w:val="bottom"/>
            <w:shd w:val="clear" w:color="auto" w:fill="E0E7ED"/>
          </w:tcPr>
          <w:p>
            <w:pPr>
              <w:spacing w:after="0"/>
              <w:rPr>
                <w:sz w:val="22"/>
                <w:szCs w:val="22"/>
                <w:color w:val="auto"/>
              </w:rPr>
            </w:pPr>
          </w:p>
        </w:tc>
      </w:tr>
      <w:tr>
        <w:trPr>
          <w:trHeight w:val="263"/>
        </w:trPr>
        <w:tc>
          <w:tcPr>
            <w:tcW w:w="3700" w:type="dxa"/>
            <w:vAlign w:val="bottom"/>
          </w:tcPr>
          <w:p>
            <w:pPr>
              <w:ind w:left="20"/>
              <w:spacing w:after="0"/>
              <w:rPr>
                <w:sz w:val="20"/>
                <w:szCs w:val="20"/>
                <w:color w:val="auto"/>
              </w:rPr>
            </w:pPr>
            <w:r>
              <w:rPr>
                <w:rFonts w:ascii="Verdana" w:cs="Verdana" w:eastAsia="Verdana" w:hAnsi="Verdana"/>
                <w:sz w:val="18"/>
                <w:szCs w:val="18"/>
                <w:b w:val="1"/>
                <w:bCs w:val="1"/>
                <w:color w:val="auto"/>
              </w:rPr>
              <w:t>Net income</w:t>
            </w:r>
          </w:p>
        </w:tc>
        <w:tc>
          <w:tcPr>
            <w:tcW w:w="840" w:type="dxa"/>
            <w:vAlign w:val="bottom"/>
          </w:tcPr>
          <w:p>
            <w:pPr>
              <w:ind w:left="100"/>
              <w:spacing w:after="0"/>
              <w:rPr>
                <w:sz w:val="20"/>
                <w:szCs w:val="20"/>
                <w:color w:val="auto"/>
              </w:rPr>
            </w:pPr>
            <w:r>
              <w:rPr>
                <w:rFonts w:ascii="Verdana" w:cs="Verdana" w:eastAsia="Verdana" w:hAnsi="Verdana"/>
                <w:sz w:val="18"/>
                <w:szCs w:val="18"/>
                <w:color w:val="auto"/>
              </w:rPr>
              <w:t>[a]</w:t>
            </w:r>
          </w:p>
        </w:tc>
        <w:tc>
          <w:tcPr>
            <w:tcW w:w="20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32,004</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Pr>
          <w:p>
            <w:pPr>
              <w:jc w:val="right"/>
              <w:ind w:right="191"/>
              <w:spacing w:after="0"/>
              <w:rPr>
                <w:sz w:val="20"/>
                <w:szCs w:val="20"/>
                <w:color w:val="auto"/>
              </w:rPr>
            </w:pPr>
            <w:r>
              <w:rPr>
                <w:rFonts w:ascii="Verdana" w:cs="Verdana" w:eastAsia="Verdana" w:hAnsi="Verdana"/>
                <w:sz w:val="18"/>
                <w:szCs w:val="18"/>
                <w:color w:val="auto"/>
              </w:rPr>
              <w:t>30,666</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85,586</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Pr>
          <w:p>
            <w:pPr>
              <w:jc w:val="right"/>
              <w:ind w:right="191"/>
              <w:spacing w:after="0"/>
              <w:rPr>
                <w:sz w:val="20"/>
                <w:szCs w:val="20"/>
                <w:color w:val="auto"/>
              </w:rPr>
            </w:pPr>
            <w:r>
              <w:rPr>
                <w:rFonts w:ascii="Verdana" w:cs="Verdana" w:eastAsia="Verdana" w:hAnsi="Verdana"/>
                <w:sz w:val="18"/>
                <w:szCs w:val="18"/>
                <w:color w:val="auto"/>
              </w:rPr>
              <w:t>96,816</w:t>
            </w:r>
          </w:p>
        </w:tc>
      </w:tr>
      <w:tr>
        <w:trPr>
          <w:trHeight w:val="244"/>
        </w:trPr>
        <w:tc>
          <w:tcPr>
            <w:tcW w:w="37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Non-GAAP adjustments for non-</w:t>
            </w:r>
          </w:p>
        </w:tc>
        <w:tc>
          <w:tcPr>
            <w:tcW w:w="84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r>
      <w:tr>
        <w:trPr>
          <w:trHeight w:val="248"/>
        </w:trPr>
        <w:tc>
          <w:tcPr>
            <w:tcW w:w="37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operating expenses:</w:t>
            </w:r>
          </w:p>
        </w:tc>
        <w:tc>
          <w:tcPr>
            <w:tcW w:w="84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r>
      <w:tr>
        <w:trPr>
          <w:trHeight w:val="263"/>
        </w:trPr>
        <w:tc>
          <w:tcPr>
            <w:tcW w:w="3700" w:type="dxa"/>
            <w:vAlign w:val="bottom"/>
          </w:tcPr>
          <w:p>
            <w:pPr>
              <w:ind w:left="180"/>
              <w:spacing w:after="0"/>
              <w:rPr>
                <w:sz w:val="20"/>
                <w:szCs w:val="20"/>
                <w:color w:val="auto"/>
              </w:rPr>
            </w:pPr>
            <w:r>
              <w:rPr>
                <w:rFonts w:ascii="Verdana" w:cs="Verdana" w:eastAsia="Verdana" w:hAnsi="Verdana"/>
                <w:sz w:val="18"/>
                <w:szCs w:val="18"/>
                <w:color w:val="auto"/>
              </w:rPr>
              <w:t>Acquisition expenses:</w:t>
            </w: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44"/>
        </w:trPr>
        <w:tc>
          <w:tcPr>
            <w:tcW w:w="37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Salaries, wages, and employee</w:t>
            </w:r>
          </w:p>
        </w:tc>
        <w:tc>
          <w:tcPr>
            <w:tcW w:w="84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r>
      <w:tr>
        <w:trPr>
          <w:trHeight w:val="248"/>
        </w:trPr>
        <w:tc>
          <w:tcPr>
            <w:tcW w:w="37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benefits</w:t>
            </w:r>
          </w:p>
        </w:tc>
        <w:tc>
          <w:tcPr>
            <w:tcW w:w="84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73</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500" w:type="dxa"/>
            <w:vAlign w:val="bottom"/>
            <w:gridSpan w:val="2"/>
            <w:shd w:val="clear" w:color="auto" w:fill="E0E7ED"/>
          </w:tcPr>
          <w:p>
            <w:pPr>
              <w:jc w:val="right"/>
              <w:ind w:right="380"/>
              <w:spacing w:after="0"/>
              <w:rPr>
                <w:sz w:val="20"/>
                <w:szCs w:val="20"/>
                <w:color w:val="auto"/>
              </w:rPr>
            </w:pPr>
            <w:r>
              <w:rPr>
                <w:rFonts w:ascii="Verdana" w:cs="Verdana" w:eastAsia="Verdana" w:hAnsi="Verdana"/>
                <w:sz w:val="18"/>
                <w:szCs w:val="18"/>
                <w:color w:val="auto"/>
              </w:rPr>
              <w:t>—</w:t>
            </w: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1,210</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w:t>
            </w:r>
          </w:p>
        </w:tc>
      </w:tr>
      <w:tr>
        <w:trPr>
          <w:trHeight w:val="263"/>
        </w:trPr>
        <w:tc>
          <w:tcPr>
            <w:tcW w:w="3700" w:type="dxa"/>
            <w:vAlign w:val="bottom"/>
          </w:tcPr>
          <w:p>
            <w:pPr>
              <w:ind w:left="360"/>
              <w:spacing w:after="0"/>
              <w:rPr>
                <w:sz w:val="20"/>
                <w:szCs w:val="20"/>
                <w:color w:val="auto"/>
              </w:rPr>
            </w:pPr>
            <w:r>
              <w:rPr>
                <w:rFonts w:ascii="Verdana" w:cs="Verdana" w:eastAsia="Verdana" w:hAnsi="Verdana"/>
                <w:sz w:val="18"/>
                <w:szCs w:val="18"/>
                <w:color w:val="auto"/>
              </w:rPr>
              <w:t>Data processing</w:t>
            </w: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90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gridSpan w:val="2"/>
          </w:tcPr>
          <w:p>
            <w:pPr>
              <w:jc w:val="right"/>
              <w:ind w:right="380"/>
              <w:spacing w:after="0"/>
              <w:rPr>
                <w:sz w:val="20"/>
                <w:szCs w:val="20"/>
                <w:color w:val="auto"/>
              </w:rPr>
            </w:pPr>
            <w:r>
              <w:rPr>
                <w:rFonts w:ascii="Verdana" w:cs="Verdana" w:eastAsia="Verdana" w:hAnsi="Verdana"/>
                <w:sz w:val="18"/>
                <w:szCs w:val="18"/>
                <w:color w:val="auto"/>
              </w:rPr>
              <w:t>—</w:t>
            </w:r>
          </w:p>
        </w:tc>
        <w:tc>
          <w:tcPr>
            <w:tcW w:w="200" w:type="dxa"/>
            <w:vAlign w:val="bottom"/>
          </w:tcPr>
          <w:p>
            <w:pPr>
              <w:spacing w:after="0"/>
              <w:rPr>
                <w:sz w:val="22"/>
                <w:szCs w:val="22"/>
                <w:color w:val="auto"/>
              </w:rPr>
            </w:pP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534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1"/>
              <w:spacing w:after="0"/>
              <w:rPr>
                <w:sz w:val="20"/>
                <w:szCs w:val="20"/>
                <w:color w:val="auto"/>
              </w:rPr>
            </w:pPr>
            <w:r>
              <w:rPr>
                <w:rFonts w:ascii="Verdana" w:cs="Verdana" w:eastAsia="Verdana" w:hAnsi="Verdana"/>
                <w:sz w:val="18"/>
                <w:szCs w:val="18"/>
                <w:color w:val="auto"/>
              </w:rPr>
              <w:t>—</w:t>
            </w:r>
          </w:p>
        </w:tc>
      </w:tr>
      <w:tr>
        <w:trPr>
          <w:trHeight w:val="244"/>
        </w:trPr>
        <w:tc>
          <w:tcPr>
            <w:tcW w:w="37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Professional fees, occupancy,</w:t>
            </w:r>
          </w:p>
        </w:tc>
        <w:tc>
          <w:tcPr>
            <w:tcW w:w="84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r>
      <w:tr>
        <w:trPr>
          <w:trHeight w:val="248"/>
        </w:trPr>
        <w:tc>
          <w:tcPr>
            <w:tcW w:w="37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furniture and fixtures, and other</w:t>
            </w:r>
          </w:p>
        </w:tc>
        <w:tc>
          <w:tcPr>
            <w:tcW w:w="84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1,772</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79</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2,688</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91</w:t>
            </w:r>
          </w:p>
        </w:tc>
      </w:tr>
      <w:tr>
        <w:trPr>
          <w:trHeight w:val="263"/>
        </w:trPr>
        <w:tc>
          <w:tcPr>
            <w:tcW w:w="3700" w:type="dxa"/>
            <w:vAlign w:val="bottom"/>
          </w:tcPr>
          <w:p>
            <w:pPr>
              <w:ind w:left="180"/>
              <w:spacing w:after="0"/>
              <w:rPr>
                <w:sz w:val="20"/>
                <w:szCs w:val="20"/>
                <w:color w:val="auto"/>
              </w:rPr>
            </w:pPr>
            <w:r>
              <w:rPr>
                <w:rFonts w:ascii="Verdana" w:cs="Verdana" w:eastAsia="Verdana" w:hAnsi="Verdana"/>
                <w:sz w:val="18"/>
                <w:szCs w:val="18"/>
                <w:color w:val="auto"/>
              </w:rPr>
              <w:t>Restructuring expenses:</w:t>
            </w: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44"/>
        </w:trPr>
        <w:tc>
          <w:tcPr>
            <w:tcW w:w="37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Salaries, wages, and employee</w:t>
            </w:r>
          </w:p>
        </w:tc>
        <w:tc>
          <w:tcPr>
            <w:tcW w:w="84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r>
      <w:tr>
        <w:trPr>
          <w:trHeight w:val="248"/>
        </w:trPr>
        <w:tc>
          <w:tcPr>
            <w:tcW w:w="37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benefits</w:t>
            </w:r>
          </w:p>
        </w:tc>
        <w:tc>
          <w:tcPr>
            <w:tcW w:w="84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500" w:type="dxa"/>
            <w:vAlign w:val="bottom"/>
            <w:gridSpan w:val="2"/>
            <w:shd w:val="clear" w:color="auto" w:fill="E0E7ED"/>
          </w:tcPr>
          <w:p>
            <w:pPr>
              <w:jc w:val="right"/>
              <w:ind w:right="380"/>
              <w:spacing w:after="0"/>
              <w:rPr>
                <w:sz w:val="20"/>
                <w:szCs w:val="20"/>
                <w:color w:val="auto"/>
              </w:rPr>
            </w:pPr>
            <w:r>
              <w:rPr>
                <w:rFonts w:ascii="Verdana" w:cs="Verdana" w:eastAsia="Verdana" w:hAnsi="Verdana"/>
                <w:sz w:val="18"/>
                <w:szCs w:val="18"/>
                <w:color w:val="auto"/>
              </w:rPr>
              <w:t>—</w:t>
            </w:r>
          </w:p>
        </w:tc>
        <w:tc>
          <w:tcPr>
            <w:tcW w:w="200" w:type="dxa"/>
            <w:vAlign w:val="bottom"/>
            <w:shd w:val="clear" w:color="auto" w:fill="E0E7ED"/>
          </w:tcPr>
          <w:p>
            <w:pPr>
              <w:spacing w:after="0"/>
              <w:rPr>
                <w:sz w:val="21"/>
                <w:szCs w:val="21"/>
                <w:color w:val="auto"/>
              </w:rPr>
            </w:pPr>
          </w:p>
        </w:tc>
        <w:tc>
          <w:tcPr>
            <w:tcW w:w="1500" w:type="dxa"/>
            <w:vAlign w:val="bottom"/>
            <w:gridSpan w:val="2"/>
            <w:shd w:val="clear" w:color="auto" w:fill="E0E7ED"/>
          </w:tcPr>
          <w:p>
            <w:pPr>
              <w:jc w:val="right"/>
              <w:ind w:right="380"/>
              <w:spacing w:after="0"/>
              <w:rPr>
                <w:sz w:val="20"/>
                <w:szCs w:val="20"/>
                <w:color w:val="auto"/>
              </w:rPr>
            </w:pPr>
            <w:r>
              <w:rPr>
                <w:rFonts w:ascii="Verdana" w:cs="Verdana" w:eastAsia="Verdana" w:hAnsi="Verdana"/>
                <w:sz w:val="18"/>
                <w:szCs w:val="18"/>
                <w:color w:val="auto"/>
              </w:rPr>
              <w:t>—</w:t>
            </w: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123</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w:t>
            </w:r>
          </w:p>
        </w:tc>
      </w:tr>
      <w:tr>
        <w:trPr>
          <w:trHeight w:val="263"/>
        </w:trPr>
        <w:tc>
          <w:tcPr>
            <w:tcW w:w="370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Related tax benefit</w:t>
            </w:r>
            <w:r>
              <w:rPr>
                <w:rFonts w:ascii="Verdana" w:cs="Verdana" w:eastAsia="Verdana" w:hAnsi="Verdana"/>
                <w:sz w:val="11"/>
                <w:szCs w:val="11"/>
                <w:color w:val="auto"/>
              </w:rPr>
              <w:t>1</w:t>
            </w:r>
          </w:p>
        </w:tc>
        <w:tc>
          <w:tcPr>
            <w:tcW w:w="84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32"/>
              <w:spacing w:after="0"/>
              <w:rPr>
                <w:sz w:val="20"/>
                <w:szCs w:val="20"/>
                <w:color w:val="auto"/>
              </w:rPr>
            </w:pPr>
            <w:r>
              <w:rPr>
                <w:rFonts w:ascii="Verdana" w:cs="Verdana" w:eastAsia="Verdana" w:hAnsi="Verdana"/>
                <w:sz w:val="18"/>
                <w:szCs w:val="18"/>
                <w:color w:val="auto"/>
              </w:rPr>
              <w:t>(406)</w:t>
            </w:r>
          </w:p>
        </w:tc>
        <w:tc>
          <w:tcPr>
            <w:tcW w:w="10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31"/>
              <w:spacing w:after="0"/>
              <w:rPr>
                <w:sz w:val="20"/>
                <w:szCs w:val="20"/>
                <w:color w:val="auto"/>
              </w:rPr>
            </w:pPr>
            <w:r>
              <w:rPr>
                <w:rFonts w:ascii="Verdana" w:cs="Verdana" w:eastAsia="Verdana" w:hAnsi="Verdana"/>
                <w:sz w:val="18"/>
                <w:szCs w:val="18"/>
                <w:color w:val="auto"/>
              </w:rPr>
              <w:t>(15)</w:t>
            </w:r>
          </w:p>
        </w:tc>
        <w:tc>
          <w:tcPr>
            <w:tcW w:w="10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32"/>
              <w:spacing w:after="0"/>
              <w:rPr>
                <w:sz w:val="20"/>
                <w:szCs w:val="20"/>
                <w:color w:val="auto"/>
              </w:rPr>
            </w:pPr>
            <w:r>
              <w:rPr>
                <w:rFonts w:ascii="Verdana" w:cs="Verdana" w:eastAsia="Verdana" w:hAnsi="Verdana"/>
                <w:sz w:val="18"/>
                <w:szCs w:val="18"/>
                <w:color w:val="auto"/>
              </w:rPr>
              <w:t>(1,061)</w:t>
            </w:r>
          </w:p>
        </w:tc>
        <w:tc>
          <w:tcPr>
            <w:tcW w:w="10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31"/>
              <w:spacing w:after="0"/>
              <w:rPr>
                <w:sz w:val="20"/>
                <w:szCs w:val="20"/>
                <w:color w:val="auto"/>
              </w:rPr>
            </w:pPr>
            <w:r>
              <w:rPr>
                <w:rFonts w:ascii="Verdana" w:cs="Verdana" w:eastAsia="Verdana" w:hAnsi="Verdana"/>
                <w:sz w:val="18"/>
                <w:szCs w:val="18"/>
                <w:color w:val="auto"/>
              </w:rPr>
              <w:t>(18)</w:t>
            </w:r>
          </w:p>
        </w:tc>
      </w:tr>
      <w:tr>
        <w:trPr>
          <w:trHeight w:val="295"/>
        </w:trPr>
        <w:tc>
          <w:tcPr>
            <w:tcW w:w="370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Adjusted net income</w:t>
            </w:r>
          </w:p>
        </w:tc>
        <w:tc>
          <w:tcPr>
            <w:tcW w:w="840" w:type="dxa"/>
            <w:vAlign w:val="bottom"/>
            <w:tcBorders>
              <w:bottom w:val="single" w:sz="8" w:color="E0E7ED"/>
            </w:tcBorders>
            <w:shd w:val="clear" w:color="auto" w:fill="E0E7ED"/>
          </w:tcPr>
          <w:p>
            <w:pPr>
              <w:ind w:left="100"/>
              <w:spacing w:after="0"/>
              <w:rPr>
                <w:sz w:val="20"/>
                <w:szCs w:val="20"/>
                <w:color w:val="auto"/>
              </w:rPr>
            </w:pPr>
            <w:r>
              <w:rPr>
                <w:rFonts w:ascii="Verdana" w:cs="Verdana" w:eastAsia="Verdana" w:hAnsi="Verdana"/>
                <w:sz w:val="18"/>
                <w:szCs w:val="18"/>
                <w:color w:val="auto"/>
              </w:rPr>
              <w:t>[b]</w:t>
            </w:r>
          </w:p>
        </w:tc>
        <w:tc>
          <w:tcPr>
            <w:tcW w:w="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Borders>
              <w:bottom w:val="single" w:sz="8" w:color="auto"/>
            </w:tcBorders>
            <w:shd w:val="clear" w:color="auto" w:fill="E0E7ED"/>
          </w:tcPr>
          <w:p>
            <w:pPr>
              <w:jc w:val="right"/>
              <w:ind w:right="192"/>
              <w:spacing w:after="0"/>
              <w:rPr>
                <w:sz w:val="20"/>
                <w:szCs w:val="20"/>
                <w:color w:val="auto"/>
              </w:rPr>
            </w:pPr>
            <w:r>
              <w:rPr>
                <w:rFonts w:ascii="Verdana" w:cs="Verdana" w:eastAsia="Verdana" w:hAnsi="Verdana"/>
                <w:sz w:val="18"/>
                <w:szCs w:val="18"/>
                <w:color w:val="auto"/>
              </w:rPr>
              <w:t>33,533</w:t>
            </w:r>
          </w:p>
        </w:tc>
        <w:tc>
          <w:tcPr>
            <w:tcW w:w="100" w:type="dxa"/>
            <w:vAlign w:val="bottom"/>
            <w:tcBorders>
              <w:bottom w:val="single" w:sz="8" w:color="E0E7ED"/>
            </w:tcBorders>
            <w:shd w:val="clear" w:color="auto" w:fill="E0E7ED"/>
          </w:tcPr>
          <w:p>
            <w:pPr>
              <w:spacing w:after="0"/>
              <w:rPr>
                <w:sz w:val="24"/>
                <w:szCs w:val="24"/>
                <w:color w:val="auto"/>
              </w:rPr>
            </w:pPr>
          </w:p>
        </w:tc>
        <w:tc>
          <w:tcPr>
            <w:tcW w:w="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Borders>
              <w:bottom w:val="single" w:sz="8" w:color="auto"/>
            </w:tcBorders>
            <w:shd w:val="clear" w:color="auto" w:fill="E0E7ED"/>
          </w:tcPr>
          <w:p>
            <w:pPr>
              <w:jc w:val="right"/>
              <w:ind w:right="191"/>
              <w:spacing w:after="0"/>
              <w:rPr>
                <w:sz w:val="20"/>
                <w:szCs w:val="20"/>
                <w:color w:val="auto"/>
              </w:rPr>
            </w:pPr>
            <w:r>
              <w:rPr>
                <w:rFonts w:ascii="Verdana" w:cs="Verdana" w:eastAsia="Verdana" w:hAnsi="Verdana"/>
                <w:sz w:val="18"/>
                <w:szCs w:val="18"/>
                <w:color w:val="auto"/>
              </w:rPr>
              <w:t>30,730</w:t>
            </w:r>
          </w:p>
        </w:tc>
        <w:tc>
          <w:tcPr>
            <w:tcW w:w="100" w:type="dxa"/>
            <w:vAlign w:val="bottom"/>
            <w:tcBorders>
              <w:bottom w:val="single" w:sz="8" w:color="E0E7ED"/>
            </w:tcBorders>
            <w:shd w:val="clear" w:color="auto" w:fill="E0E7ED"/>
          </w:tcPr>
          <w:p>
            <w:pPr>
              <w:spacing w:after="0"/>
              <w:rPr>
                <w:sz w:val="24"/>
                <w:szCs w:val="24"/>
                <w:color w:val="auto"/>
              </w:rPr>
            </w:pPr>
          </w:p>
        </w:tc>
        <w:tc>
          <w:tcPr>
            <w:tcW w:w="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Borders>
              <w:bottom w:val="single" w:sz="8" w:color="auto"/>
            </w:tcBorders>
            <w:shd w:val="clear" w:color="auto" w:fill="E0E7ED"/>
          </w:tcPr>
          <w:p>
            <w:pPr>
              <w:jc w:val="right"/>
              <w:ind w:right="192"/>
              <w:spacing w:after="0"/>
              <w:rPr>
                <w:sz w:val="20"/>
                <w:szCs w:val="20"/>
                <w:color w:val="auto"/>
              </w:rPr>
            </w:pPr>
            <w:r>
              <w:rPr>
                <w:rFonts w:ascii="Verdana" w:cs="Verdana" w:eastAsia="Verdana" w:hAnsi="Verdana"/>
                <w:sz w:val="18"/>
                <w:szCs w:val="18"/>
                <w:color w:val="auto"/>
              </w:rPr>
              <w:t>89,080</w:t>
            </w:r>
          </w:p>
        </w:tc>
        <w:tc>
          <w:tcPr>
            <w:tcW w:w="100" w:type="dxa"/>
            <w:vAlign w:val="bottom"/>
            <w:tcBorders>
              <w:bottom w:val="single" w:sz="8" w:color="E0E7ED"/>
            </w:tcBorders>
            <w:shd w:val="clear" w:color="auto" w:fill="E0E7ED"/>
          </w:tcPr>
          <w:p>
            <w:pPr>
              <w:spacing w:after="0"/>
              <w:rPr>
                <w:sz w:val="24"/>
                <w:szCs w:val="24"/>
                <w:color w:val="auto"/>
              </w:rPr>
            </w:pPr>
          </w:p>
        </w:tc>
        <w:tc>
          <w:tcPr>
            <w:tcW w:w="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Borders>
              <w:bottom w:val="single" w:sz="8" w:color="auto"/>
            </w:tcBorders>
            <w:shd w:val="clear" w:color="auto" w:fill="E0E7ED"/>
          </w:tcPr>
          <w:p>
            <w:pPr>
              <w:jc w:val="right"/>
              <w:ind w:right="191"/>
              <w:spacing w:after="0"/>
              <w:rPr>
                <w:sz w:val="20"/>
                <w:szCs w:val="20"/>
                <w:color w:val="auto"/>
              </w:rPr>
            </w:pPr>
            <w:r>
              <w:rPr>
                <w:rFonts w:ascii="Verdana" w:cs="Verdana" w:eastAsia="Verdana" w:hAnsi="Verdana"/>
                <w:sz w:val="18"/>
                <w:szCs w:val="18"/>
                <w:color w:val="auto"/>
              </w:rPr>
              <w:t>96,889</w:t>
            </w:r>
          </w:p>
        </w:tc>
      </w:tr>
      <w:tr>
        <w:trPr>
          <w:trHeight w:val="20"/>
        </w:trPr>
        <w:tc>
          <w:tcPr>
            <w:tcW w:w="3700" w:type="dxa"/>
            <w:vAlign w:val="bottom"/>
            <w:tcBorders>
              <w:top w:val="single" w:sz="8" w:color="E0E7ED"/>
            </w:tcBorders>
          </w:tcPr>
          <w:p>
            <w:pPr>
              <w:spacing w:after="0" w:line="20" w:lineRule="exact"/>
              <w:rPr>
                <w:sz w:val="1"/>
                <w:szCs w:val="1"/>
                <w:color w:val="auto"/>
              </w:rPr>
            </w:pPr>
          </w:p>
        </w:tc>
        <w:tc>
          <w:tcPr>
            <w:tcW w:w="84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4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4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4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400" w:type="dxa"/>
            <w:vAlign w:val="bottom"/>
            <w:tcBorders>
              <w:top w:val="single" w:sz="8" w:color="E0E7ED"/>
              <w:bottom w:val="single" w:sz="8" w:color="auto"/>
            </w:tcBorders>
          </w:tcPr>
          <w:p>
            <w:pPr>
              <w:spacing w:after="0" w:line="20" w:lineRule="exact"/>
              <w:rPr>
                <w:sz w:val="1"/>
                <w:szCs w:val="1"/>
                <w:color w:val="auto"/>
              </w:rPr>
            </w:pPr>
          </w:p>
        </w:tc>
      </w:tr>
      <w:tr>
        <w:trPr>
          <w:trHeight w:val="217"/>
        </w:trPr>
        <w:tc>
          <w:tcPr>
            <w:tcW w:w="3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70"/>
        </w:trPr>
        <w:tc>
          <w:tcPr>
            <w:tcW w:w="37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DILUTED EARNINGS PER SHARE</w:t>
            </w:r>
          </w:p>
        </w:tc>
        <w:tc>
          <w:tcPr>
            <w:tcW w:w="84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4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4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4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400" w:type="dxa"/>
            <w:vAlign w:val="bottom"/>
            <w:shd w:val="clear" w:color="auto" w:fill="E0E7ED"/>
          </w:tcPr>
          <w:p>
            <w:pPr>
              <w:spacing w:after="0"/>
              <w:rPr>
                <w:sz w:val="23"/>
                <w:szCs w:val="23"/>
                <w:color w:val="auto"/>
              </w:rPr>
            </w:pPr>
          </w:p>
        </w:tc>
      </w:tr>
      <w:tr>
        <w:trPr>
          <w:trHeight w:val="238"/>
        </w:trPr>
        <w:tc>
          <w:tcPr>
            <w:tcW w:w="3700" w:type="dxa"/>
            <w:vAlign w:val="bottom"/>
          </w:tcPr>
          <w:p>
            <w:pPr>
              <w:ind w:left="20"/>
              <w:spacing w:after="0"/>
              <w:rPr>
                <w:sz w:val="20"/>
                <w:szCs w:val="20"/>
                <w:color w:val="auto"/>
              </w:rPr>
            </w:pPr>
            <w:r>
              <w:rPr>
                <w:rFonts w:ascii="Verdana" w:cs="Verdana" w:eastAsia="Verdana" w:hAnsi="Verdana"/>
                <w:sz w:val="18"/>
                <w:szCs w:val="18"/>
                <w:color w:val="auto"/>
              </w:rPr>
              <w:t>Diluted average common shares</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42"/>
        </w:trPr>
        <w:tc>
          <w:tcPr>
            <w:tcW w:w="3700" w:type="dxa"/>
            <w:vAlign w:val="bottom"/>
          </w:tcPr>
          <w:p>
            <w:pPr>
              <w:ind w:left="20"/>
              <w:spacing w:after="0"/>
              <w:rPr>
                <w:sz w:val="20"/>
                <w:szCs w:val="20"/>
                <w:color w:val="auto"/>
              </w:rPr>
            </w:pPr>
            <w:r>
              <w:rPr>
                <w:rFonts w:ascii="Verdana" w:cs="Verdana" w:eastAsia="Verdana" w:hAnsi="Verdana"/>
                <w:sz w:val="18"/>
                <w:szCs w:val="18"/>
                <w:color w:val="auto"/>
              </w:rPr>
              <w:t>outstanding</w:t>
            </w:r>
          </w:p>
        </w:tc>
        <w:tc>
          <w:tcPr>
            <w:tcW w:w="840" w:type="dxa"/>
            <w:vAlign w:val="bottom"/>
          </w:tcPr>
          <w:p>
            <w:pPr>
              <w:ind w:left="100"/>
              <w:spacing w:after="0"/>
              <w:rPr>
                <w:sz w:val="20"/>
                <w:szCs w:val="20"/>
                <w:color w:val="auto"/>
              </w:rPr>
            </w:pPr>
            <w:r>
              <w:rPr>
                <w:rFonts w:ascii="Verdana" w:cs="Verdana" w:eastAsia="Verdana" w:hAnsi="Verdana"/>
                <w:sz w:val="18"/>
                <w:szCs w:val="18"/>
                <w:color w:val="auto"/>
              </w:rPr>
              <w:t>[c]</w:t>
            </w:r>
          </w:p>
        </w:tc>
        <w:tc>
          <w:tcPr>
            <w:tcW w:w="200" w:type="dxa"/>
            <w:vAlign w:val="bottom"/>
          </w:tcPr>
          <w:p>
            <w:pPr>
              <w:spacing w:after="0"/>
              <w:rPr>
                <w:sz w:val="21"/>
                <w:szCs w:val="21"/>
                <w:color w:val="auto"/>
              </w:rPr>
            </w:pP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57,967,848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91"/>
              <w:spacing w:after="0"/>
              <w:rPr>
                <w:sz w:val="20"/>
                <w:szCs w:val="20"/>
                <w:color w:val="auto"/>
              </w:rPr>
            </w:pPr>
            <w:r>
              <w:rPr>
                <w:rFonts w:ascii="Verdana" w:cs="Verdana" w:eastAsia="Verdana" w:hAnsi="Verdana"/>
                <w:sz w:val="18"/>
                <w:szCs w:val="18"/>
                <w:color w:val="auto"/>
              </w:rPr>
              <w:t>56,315,492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57,411,299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91"/>
              <w:spacing w:after="0"/>
              <w:rPr>
                <w:sz w:val="20"/>
                <w:szCs w:val="20"/>
                <w:color w:val="auto"/>
              </w:rPr>
            </w:pPr>
            <w:r>
              <w:rPr>
                <w:rFonts w:ascii="Verdana" w:cs="Verdana" w:eastAsia="Verdana" w:hAnsi="Verdana"/>
                <w:sz w:val="18"/>
                <w:szCs w:val="18"/>
                <w:color w:val="auto"/>
              </w:rPr>
              <w:t>56,230,624</w:t>
            </w:r>
          </w:p>
        </w:tc>
      </w:tr>
      <w:tr>
        <w:trPr>
          <w:trHeight w:val="277"/>
        </w:trPr>
        <w:tc>
          <w:tcPr>
            <w:tcW w:w="3700" w:type="dxa"/>
            <w:vAlign w:val="bottom"/>
            <w:shd w:val="clear" w:color="auto" w:fill="E0E7ED"/>
          </w:tcPr>
          <w:p>
            <w:pPr>
              <w:spacing w:after="0"/>
              <w:rPr>
                <w:sz w:val="24"/>
                <w:szCs w:val="24"/>
                <w:color w:val="auto"/>
              </w:rPr>
            </w:pPr>
          </w:p>
        </w:tc>
        <w:tc>
          <w:tcPr>
            <w:tcW w:w="84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00" w:type="dxa"/>
            <w:vAlign w:val="bottom"/>
            <w:shd w:val="clear" w:color="auto" w:fill="E0E7ED"/>
          </w:tcPr>
          <w:p>
            <w:pPr>
              <w:spacing w:after="0"/>
              <w:rPr>
                <w:sz w:val="24"/>
                <w:szCs w:val="24"/>
                <w:color w:val="auto"/>
              </w:rPr>
            </w:pPr>
          </w:p>
        </w:tc>
      </w:tr>
      <w:tr>
        <w:trPr>
          <w:trHeight w:val="263"/>
        </w:trPr>
        <w:tc>
          <w:tcPr>
            <w:tcW w:w="3700" w:type="dxa"/>
            <w:vAlign w:val="bottom"/>
          </w:tcPr>
          <w:p>
            <w:pPr>
              <w:ind w:left="20"/>
              <w:spacing w:after="0"/>
              <w:rPr>
                <w:sz w:val="20"/>
                <w:szCs w:val="20"/>
                <w:color w:val="auto"/>
              </w:rPr>
            </w:pPr>
            <w:r>
              <w:rPr>
                <w:rFonts w:ascii="Verdana" w:cs="Verdana" w:eastAsia="Verdana" w:hAnsi="Verdana"/>
                <w:sz w:val="18"/>
                <w:szCs w:val="18"/>
                <w:b w:val="1"/>
                <w:bCs w:val="1"/>
                <w:color w:val="auto"/>
              </w:rPr>
              <w:t xml:space="preserve">Reported: </w:t>
            </w:r>
            <w:r>
              <w:rPr>
                <w:rFonts w:ascii="Verdana" w:cs="Verdana" w:eastAsia="Verdana" w:hAnsi="Verdana"/>
                <w:sz w:val="18"/>
                <w:szCs w:val="18"/>
                <w:color w:val="auto"/>
              </w:rPr>
              <w:t>Diluted earnings per share</w:t>
            </w:r>
          </w:p>
        </w:tc>
        <w:tc>
          <w:tcPr>
            <w:tcW w:w="840" w:type="dxa"/>
            <w:vAlign w:val="bottom"/>
          </w:tcPr>
          <w:p>
            <w:pPr>
              <w:ind w:left="100"/>
              <w:spacing w:after="0"/>
              <w:rPr>
                <w:sz w:val="20"/>
                <w:szCs w:val="20"/>
                <w:color w:val="auto"/>
              </w:rPr>
            </w:pPr>
            <w:r>
              <w:rPr>
                <w:rFonts w:ascii="Verdana" w:cs="Verdana" w:eastAsia="Verdana" w:hAnsi="Verdana"/>
                <w:sz w:val="18"/>
                <w:szCs w:val="18"/>
                <w:color w:val="auto"/>
              </w:rPr>
              <w:t>[a÷c]</w:t>
            </w:r>
          </w:p>
        </w:tc>
        <w:tc>
          <w:tcPr>
            <w:tcW w:w="200" w:type="dxa"/>
            <w:vAlign w:val="bottom"/>
          </w:tcPr>
          <w:p>
            <w:pPr>
              <w:spacing w:after="0"/>
              <w:rPr>
                <w:sz w:val="22"/>
                <w:szCs w:val="22"/>
                <w:color w:val="auto"/>
              </w:rPr>
            </w:pP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0.55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1"/>
              <w:spacing w:after="0"/>
              <w:rPr>
                <w:sz w:val="20"/>
                <w:szCs w:val="20"/>
                <w:color w:val="auto"/>
              </w:rPr>
            </w:pPr>
            <w:r>
              <w:rPr>
                <w:rFonts w:ascii="Verdana" w:cs="Verdana" w:eastAsia="Verdana" w:hAnsi="Verdana"/>
                <w:sz w:val="18"/>
                <w:szCs w:val="18"/>
                <w:color w:val="auto"/>
              </w:rPr>
              <w:t>0.54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1.49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1"/>
              <w:spacing w:after="0"/>
              <w:rPr>
                <w:sz w:val="20"/>
                <w:szCs w:val="20"/>
                <w:color w:val="auto"/>
              </w:rPr>
            </w:pPr>
            <w:r>
              <w:rPr>
                <w:rFonts w:ascii="Verdana" w:cs="Verdana" w:eastAsia="Verdana" w:hAnsi="Verdana"/>
                <w:sz w:val="18"/>
                <w:szCs w:val="18"/>
                <w:color w:val="auto"/>
              </w:rPr>
              <w:t>1.72</w:t>
            </w:r>
          </w:p>
        </w:tc>
      </w:tr>
      <w:tr>
        <w:trPr>
          <w:trHeight w:val="277"/>
        </w:trPr>
        <w:tc>
          <w:tcPr>
            <w:tcW w:w="37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 xml:space="preserve">Adjusted: </w:t>
            </w:r>
            <w:r>
              <w:rPr>
                <w:rFonts w:ascii="Verdana" w:cs="Verdana" w:eastAsia="Verdana" w:hAnsi="Verdana"/>
                <w:sz w:val="18"/>
                <w:szCs w:val="18"/>
                <w:color w:val="auto"/>
              </w:rPr>
              <w:t>Diluted earnings per share</w:t>
            </w:r>
          </w:p>
        </w:tc>
        <w:tc>
          <w:tcPr>
            <w:tcW w:w="840" w:type="dxa"/>
            <w:vAlign w:val="bottom"/>
            <w:shd w:val="clear" w:color="auto" w:fill="E0E7ED"/>
          </w:tcPr>
          <w:p>
            <w:pPr>
              <w:ind w:left="100"/>
              <w:spacing w:after="0"/>
              <w:rPr>
                <w:sz w:val="20"/>
                <w:szCs w:val="20"/>
                <w:color w:val="auto"/>
              </w:rPr>
            </w:pPr>
            <w:r>
              <w:rPr>
                <w:rFonts w:ascii="Verdana" w:cs="Verdana" w:eastAsia="Verdana" w:hAnsi="Verdana"/>
                <w:sz w:val="18"/>
                <w:szCs w:val="18"/>
                <w:color w:val="auto"/>
              </w:rPr>
              <w:t>[b÷c]</w:t>
            </w:r>
          </w:p>
        </w:tc>
        <w:tc>
          <w:tcPr>
            <w:tcW w:w="200" w:type="dxa"/>
            <w:vAlign w:val="bottom"/>
            <w:shd w:val="clear" w:color="auto" w:fill="E0E7ED"/>
          </w:tcPr>
          <w:p>
            <w:pPr>
              <w:spacing w:after="0"/>
              <w:rPr>
                <w:sz w:val="24"/>
                <w:szCs w:val="24"/>
                <w:color w:val="auto"/>
              </w:rPr>
            </w:pPr>
          </w:p>
        </w:tc>
        <w:tc>
          <w:tcPr>
            <w:tcW w:w="14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0.58</w:t>
            </w: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0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0.55</w:t>
            </w: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1.55</w:t>
            </w: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0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1.72</w:t>
            </w:r>
          </w:p>
        </w:tc>
      </w:tr>
      <w:tr>
        <w:trPr>
          <w:trHeight w:val="270"/>
        </w:trPr>
        <w:tc>
          <w:tcPr>
            <w:tcW w:w="3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0"/>
        </w:trPr>
        <w:tc>
          <w:tcPr>
            <w:tcW w:w="37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RETURN ON AVERAGE ASSETS</w:t>
            </w:r>
          </w:p>
        </w:tc>
        <w:tc>
          <w:tcPr>
            <w:tcW w:w="84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4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4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4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400" w:type="dxa"/>
            <w:vAlign w:val="bottom"/>
            <w:shd w:val="clear" w:color="auto" w:fill="E0E7ED"/>
          </w:tcPr>
          <w:p>
            <w:pPr>
              <w:spacing w:after="0"/>
              <w:rPr>
                <w:sz w:val="23"/>
                <w:szCs w:val="23"/>
                <w:color w:val="auto"/>
              </w:rPr>
            </w:pPr>
          </w:p>
        </w:tc>
      </w:tr>
      <w:tr>
        <w:trPr>
          <w:trHeight w:val="263"/>
        </w:trPr>
        <w:tc>
          <w:tcPr>
            <w:tcW w:w="3700" w:type="dxa"/>
            <w:vAlign w:val="bottom"/>
          </w:tcPr>
          <w:p>
            <w:pPr>
              <w:ind w:left="20"/>
              <w:spacing w:after="0"/>
              <w:rPr>
                <w:sz w:val="20"/>
                <w:szCs w:val="20"/>
                <w:color w:val="auto"/>
              </w:rPr>
            </w:pPr>
            <w:r>
              <w:rPr>
                <w:rFonts w:ascii="Verdana" w:cs="Verdana" w:eastAsia="Verdana" w:hAnsi="Verdana"/>
                <w:sz w:val="18"/>
                <w:szCs w:val="18"/>
                <w:color w:val="auto"/>
              </w:rPr>
              <w:t>Net income, annualized</w:t>
            </w:r>
          </w:p>
        </w:tc>
        <w:tc>
          <w:tcPr>
            <w:tcW w:w="840" w:type="dxa"/>
            <w:vAlign w:val="bottom"/>
          </w:tcPr>
          <w:p>
            <w:pPr>
              <w:ind w:left="100"/>
              <w:spacing w:after="0"/>
              <w:rPr>
                <w:sz w:val="20"/>
                <w:szCs w:val="20"/>
                <w:color w:val="auto"/>
              </w:rPr>
            </w:pPr>
            <w:r>
              <w:rPr>
                <w:rFonts w:ascii="Verdana" w:cs="Verdana" w:eastAsia="Verdana" w:hAnsi="Verdana"/>
                <w:sz w:val="18"/>
                <w:szCs w:val="18"/>
                <w:color w:val="auto"/>
              </w:rPr>
              <w:t>[d]</w:t>
            </w:r>
          </w:p>
        </w:tc>
        <w:tc>
          <w:tcPr>
            <w:tcW w:w="20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127,320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Pr>
          <w:p>
            <w:pPr>
              <w:jc w:val="right"/>
              <w:ind w:right="191"/>
              <w:spacing w:after="0"/>
              <w:rPr>
                <w:sz w:val="20"/>
                <w:szCs w:val="20"/>
                <w:color w:val="auto"/>
              </w:rPr>
            </w:pPr>
            <w:r>
              <w:rPr>
                <w:rFonts w:ascii="Verdana" w:cs="Verdana" w:eastAsia="Verdana" w:hAnsi="Verdana"/>
                <w:sz w:val="18"/>
                <w:szCs w:val="18"/>
                <w:color w:val="auto"/>
              </w:rPr>
              <w:t>121,664</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114,323</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Pr>
          <w:p>
            <w:pPr>
              <w:jc w:val="right"/>
              <w:ind w:right="191"/>
              <w:spacing w:after="0"/>
              <w:rPr>
                <w:sz w:val="20"/>
                <w:szCs w:val="20"/>
                <w:color w:val="auto"/>
              </w:rPr>
            </w:pPr>
            <w:r>
              <w:rPr>
                <w:rFonts w:ascii="Verdana" w:cs="Verdana" w:eastAsia="Verdana" w:hAnsi="Verdana"/>
                <w:sz w:val="18"/>
                <w:szCs w:val="18"/>
                <w:color w:val="auto"/>
              </w:rPr>
              <w:t>129,443</w:t>
            </w:r>
          </w:p>
        </w:tc>
      </w:tr>
      <w:tr>
        <w:trPr>
          <w:trHeight w:val="277"/>
        </w:trPr>
        <w:tc>
          <w:tcPr>
            <w:tcW w:w="37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Adjusted net income, annualized</w:t>
            </w:r>
          </w:p>
        </w:tc>
        <w:tc>
          <w:tcPr>
            <w:tcW w:w="840" w:type="dxa"/>
            <w:vAlign w:val="bottom"/>
            <w:shd w:val="clear" w:color="auto" w:fill="E0E7ED"/>
          </w:tcPr>
          <w:p>
            <w:pPr>
              <w:ind w:left="100"/>
              <w:spacing w:after="0"/>
              <w:rPr>
                <w:sz w:val="20"/>
                <w:szCs w:val="20"/>
                <w:color w:val="auto"/>
              </w:rPr>
            </w:pPr>
            <w:r>
              <w:rPr>
                <w:rFonts w:ascii="Verdana" w:cs="Verdana" w:eastAsia="Verdana" w:hAnsi="Verdana"/>
                <w:sz w:val="18"/>
                <w:szCs w:val="18"/>
                <w:color w:val="auto"/>
              </w:rPr>
              <w:t>[e]</w:t>
            </w:r>
          </w:p>
        </w:tc>
        <w:tc>
          <w:tcPr>
            <w:tcW w:w="200" w:type="dxa"/>
            <w:vAlign w:val="bottom"/>
            <w:shd w:val="clear" w:color="auto" w:fill="E0E7ED"/>
          </w:tcPr>
          <w:p>
            <w:pPr>
              <w:spacing w:after="0"/>
              <w:rPr>
                <w:sz w:val="24"/>
                <w:szCs w:val="24"/>
                <w:color w:val="auto"/>
              </w:rPr>
            </w:pPr>
          </w:p>
        </w:tc>
        <w:tc>
          <w:tcPr>
            <w:tcW w:w="14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133,403</w:t>
            </w: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0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121,918</w:t>
            </w: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118,990</w:t>
            </w: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0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129,540</w:t>
            </w:r>
          </w:p>
        </w:tc>
      </w:tr>
      <w:tr>
        <w:trPr>
          <w:trHeight w:val="263"/>
        </w:trPr>
        <w:tc>
          <w:tcPr>
            <w:tcW w:w="3700" w:type="dxa"/>
            <w:vAlign w:val="bottom"/>
          </w:tcPr>
          <w:p>
            <w:pPr>
              <w:ind w:left="20"/>
              <w:spacing w:after="0"/>
              <w:rPr>
                <w:sz w:val="20"/>
                <w:szCs w:val="20"/>
                <w:color w:val="auto"/>
              </w:rPr>
            </w:pPr>
            <w:r>
              <w:rPr>
                <w:rFonts w:ascii="Verdana" w:cs="Verdana" w:eastAsia="Verdana" w:hAnsi="Verdana"/>
                <w:sz w:val="18"/>
                <w:szCs w:val="18"/>
                <w:color w:val="auto"/>
              </w:rPr>
              <w:t>Average total assets</w:t>
            </w:r>
          </w:p>
        </w:tc>
        <w:tc>
          <w:tcPr>
            <w:tcW w:w="840" w:type="dxa"/>
            <w:vAlign w:val="bottom"/>
          </w:tcPr>
          <w:p>
            <w:pPr>
              <w:ind w:left="100"/>
              <w:spacing w:after="0"/>
              <w:rPr>
                <w:sz w:val="20"/>
                <w:szCs w:val="20"/>
                <w:color w:val="auto"/>
              </w:rPr>
            </w:pPr>
            <w:r>
              <w:rPr>
                <w:rFonts w:ascii="Verdana" w:cs="Verdana" w:eastAsia="Verdana" w:hAnsi="Verdana"/>
                <w:sz w:val="18"/>
                <w:szCs w:val="18"/>
                <w:color w:val="auto"/>
              </w:rPr>
              <w:t>[f]</w:t>
            </w:r>
          </w:p>
        </w:tc>
        <w:tc>
          <w:tcPr>
            <w:tcW w:w="200" w:type="dxa"/>
            <w:vAlign w:val="bottom"/>
          </w:tcPr>
          <w:p>
            <w:pPr>
              <w:spacing w:after="0"/>
              <w:rPr>
                <w:sz w:val="22"/>
                <w:szCs w:val="22"/>
                <w:color w:val="auto"/>
              </w:rPr>
            </w:pP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12,007,702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1"/>
              <w:spacing w:after="0"/>
              <w:rPr>
                <w:sz w:val="20"/>
                <w:szCs w:val="20"/>
                <w:color w:val="auto"/>
              </w:rPr>
            </w:pPr>
            <w:r>
              <w:rPr>
                <w:rFonts w:ascii="Verdana" w:cs="Verdana" w:eastAsia="Verdana" w:hAnsi="Verdana"/>
                <w:sz w:val="18"/>
                <w:szCs w:val="18"/>
                <w:color w:val="auto"/>
              </w:rPr>
              <w:t>12,202,783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12,040,414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1"/>
              <w:spacing w:after="0"/>
              <w:rPr>
                <w:sz w:val="20"/>
                <w:szCs w:val="20"/>
                <w:color w:val="auto"/>
              </w:rPr>
            </w:pPr>
            <w:r>
              <w:rPr>
                <w:rFonts w:ascii="Verdana" w:cs="Verdana" w:eastAsia="Verdana" w:hAnsi="Verdana"/>
                <w:sz w:val="18"/>
                <w:szCs w:val="18"/>
                <w:color w:val="auto"/>
              </w:rPr>
              <w:t>12,225,232</w:t>
            </w:r>
          </w:p>
        </w:tc>
      </w:tr>
      <w:tr>
        <w:trPr>
          <w:trHeight w:val="277"/>
        </w:trPr>
        <w:tc>
          <w:tcPr>
            <w:tcW w:w="3700" w:type="dxa"/>
            <w:vAlign w:val="bottom"/>
            <w:shd w:val="clear" w:color="auto" w:fill="E0E7ED"/>
          </w:tcPr>
          <w:p>
            <w:pPr>
              <w:spacing w:after="0"/>
              <w:rPr>
                <w:sz w:val="24"/>
                <w:szCs w:val="24"/>
                <w:color w:val="auto"/>
              </w:rPr>
            </w:pPr>
          </w:p>
        </w:tc>
        <w:tc>
          <w:tcPr>
            <w:tcW w:w="84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00" w:type="dxa"/>
            <w:vAlign w:val="bottom"/>
            <w:shd w:val="clear" w:color="auto" w:fill="E0E7ED"/>
          </w:tcPr>
          <w:p>
            <w:pPr>
              <w:spacing w:after="0"/>
              <w:rPr>
                <w:sz w:val="24"/>
                <w:szCs w:val="24"/>
                <w:color w:val="auto"/>
              </w:rPr>
            </w:pPr>
          </w:p>
        </w:tc>
      </w:tr>
      <w:tr>
        <w:trPr>
          <w:trHeight w:val="263"/>
        </w:trPr>
        <w:tc>
          <w:tcPr>
            <w:tcW w:w="3700" w:type="dxa"/>
            <w:vAlign w:val="bottom"/>
          </w:tcPr>
          <w:p>
            <w:pPr>
              <w:ind w:left="20"/>
              <w:spacing w:after="0"/>
              <w:rPr>
                <w:sz w:val="20"/>
                <w:szCs w:val="20"/>
                <w:color w:val="auto"/>
              </w:rPr>
            </w:pPr>
            <w:r>
              <w:rPr>
                <w:rFonts w:ascii="Verdana" w:cs="Verdana" w:eastAsia="Verdana" w:hAnsi="Verdana"/>
                <w:sz w:val="18"/>
                <w:szCs w:val="18"/>
                <w:b w:val="1"/>
                <w:bCs w:val="1"/>
                <w:color w:val="auto"/>
              </w:rPr>
              <w:t xml:space="preserve">Reported: </w:t>
            </w:r>
            <w:r>
              <w:rPr>
                <w:rFonts w:ascii="Verdana" w:cs="Verdana" w:eastAsia="Verdana" w:hAnsi="Verdana"/>
                <w:sz w:val="18"/>
                <w:szCs w:val="18"/>
                <w:color w:val="auto"/>
              </w:rPr>
              <w:t>Return on average assets</w:t>
            </w:r>
            <w:r>
              <w:rPr>
                <w:rFonts w:ascii="Verdana" w:cs="Verdana" w:eastAsia="Verdana" w:hAnsi="Verdana"/>
                <w:sz w:val="11"/>
                <w:szCs w:val="11"/>
                <w:color w:val="auto"/>
              </w:rPr>
              <w:t>2</w:t>
            </w:r>
          </w:p>
        </w:tc>
        <w:tc>
          <w:tcPr>
            <w:tcW w:w="840" w:type="dxa"/>
            <w:vAlign w:val="bottom"/>
          </w:tcPr>
          <w:p>
            <w:pPr>
              <w:ind w:left="100"/>
              <w:spacing w:after="0"/>
              <w:rPr>
                <w:sz w:val="20"/>
                <w:szCs w:val="20"/>
                <w:color w:val="auto"/>
              </w:rPr>
            </w:pPr>
            <w:r>
              <w:rPr>
                <w:rFonts w:ascii="Verdana" w:cs="Verdana" w:eastAsia="Verdana" w:hAnsi="Verdana"/>
                <w:sz w:val="18"/>
                <w:szCs w:val="18"/>
                <w:color w:val="auto"/>
              </w:rPr>
              <w:t>[d÷f]</w:t>
            </w: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1.06 %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1.00 %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0.95 %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1.06 %</w:t>
            </w:r>
          </w:p>
        </w:tc>
      </w:tr>
      <w:tr>
        <w:trPr>
          <w:trHeight w:val="277"/>
        </w:trPr>
        <w:tc>
          <w:tcPr>
            <w:tcW w:w="37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 xml:space="preserve">Adjusted: </w:t>
            </w:r>
            <w:r>
              <w:rPr>
                <w:rFonts w:ascii="Verdana" w:cs="Verdana" w:eastAsia="Verdana" w:hAnsi="Verdana"/>
                <w:sz w:val="18"/>
                <w:szCs w:val="18"/>
                <w:color w:val="auto"/>
              </w:rPr>
              <w:t>Return on average assets</w:t>
            </w:r>
            <w:r>
              <w:rPr>
                <w:rFonts w:ascii="Verdana" w:cs="Verdana" w:eastAsia="Verdana" w:hAnsi="Verdana"/>
                <w:sz w:val="11"/>
                <w:szCs w:val="11"/>
                <w:color w:val="auto"/>
              </w:rPr>
              <w:t>2</w:t>
            </w:r>
          </w:p>
        </w:tc>
        <w:tc>
          <w:tcPr>
            <w:tcW w:w="840" w:type="dxa"/>
            <w:vAlign w:val="bottom"/>
            <w:shd w:val="clear" w:color="auto" w:fill="E0E7ED"/>
          </w:tcPr>
          <w:p>
            <w:pPr>
              <w:ind w:left="100"/>
              <w:spacing w:after="0"/>
              <w:rPr>
                <w:sz w:val="20"/>
                <w:szCs w:val="20"/>
                <w:color w:val="auto"/>
              </w:rPr>
            </w:pPr>
            <w:r>
              <w:rPr>
                <w:rFonts w:ascii="Verdana" w:cs="Verdana" w:eastAsia="Verdana" w:hAnsi="Verdana"/>
                <w:sz w:val="18"/>
                <w:szCs w:val="18"/>
                <w:color w:val="auto"/>
              </w:rPr>
              <w:t>[e÷f]</w:t>
            </w:r>
          </w:p>
        </w:tc>
        <w:tc>
          <w:tcPr>
            <w:tcW w:w="20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1.11 %</w:t>
            </w: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1.00 %</w:t>
            </w: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0.99 %</w:t>
            </w: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1.06 %</w:t>
            </w:r>
          </w:p>
        </w:tc>
      </w:tr>
      <w:tr>
        <w:trPr>
          <w:trHeight w:val="270"/>
        </w:trPr>
        <w:tc>
          <w:tcPr>
            <w:tcW w:w="6140" w:type="dxa"/>
            <w:vAlign w:val="bottom"/>
            <w:gridSpan w:val="4"/>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0"/>
        </w:trPr>
        <w:tc>
          <w:tcPr>
            <w:tcW w:w="6240" w:type="dxa"/>
            <w:vAlign w:val="bottom"/>
            <w:gridSpan w:val="5"/>
            <w:shd w:val="clear" w:color="auto" w:fill="E0E7ED"/>
          </w:tcPr>
          <w:p>
            <w:pPr>
              <w:ind w:left="20"/>
              <w:spacing w:after="0"/>
              <w:rPr>
                <w:sz w:val="20"/>
                <w:szCs w:val="20"/>
                <w:color w:val="auto"/>
              </w:rPr>
            </w:pPr>
            <w:r>
              <w:rPr>
                <w:rFonts w:ascii="Verdana" w:cs="Verdana" w:eastAsia="Verdana" w:hAnsi="Verdana"/>
                <w:sz w:val="18"/>
                <w:szCs w:val="18"/>
                <w:b w:val="1"/>
                <w:bCs w:val="1"/>
                <w:color w:val="auto"/>
              </w:rPr>
              <w:t>RETURN ON AVERAGE TANGIBLE COMMON EQUITY</w:t>
            </w:r>
          </w:p>
        </w:tc>
        <w:tc>
          <w:tcPr>
            <w:tcW w:w="200" w:type="dxa"/>
            <w:vAlign w:val="bottom"/>
            <w:shd w:val="clear" w:color="auto" w:fill="E0E7ED"/>
          </w:tcPr>
          <w:p>
            <w:pPr>
              <w:spacing w:after="0"/>
              <w:rPr>
                <w:sz w:val="23"/>
                <w:szCs w:val="23"/>
                <w:color w:val="auto"/>
              </w:rPr>
            </w:pPr>
          </w:p>
        </w:tc>
        <w:tc>
          <w:tcPr>
            <w:tcW w:w="14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4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400" w:type="dxa"/>
            <w:vAlign w:val="bottom"/>
            <w:shd w:val="clear" w:color="auto" w:fill="E0E7ED"/>
          </w:tcPr>
          <w:p>
            <w:pPr>
              <w:spacing w:after="0"/>
              <w:rPr>
                <w:sz w:val="23"/>
                <w:szCs w:val="23"/>
                <w:color w:val="auto"/>
              </w:rPr>
            </w:pPr>
          </w:p>
        </w:tc>
      </w:tr>
      <w:tr>
        <w:trPr>
          <w:trHeight w:val="263"/>
        </w:trPr>
        <w:tc>
          <w:tcPr>
            <w:tcW w:w="3700" w:type="dxa"/>
            <w:vAlign w:val="bottom"/>
          </w:tcPr>
          <w:p>
            <w:pPr>
              <w:ind w:left="20"/>
              <w:spacing w:after="0"/>
              <w:rPr>
                <w:sz w:val="20"/>
                <w:szCs w:val="20"/>
                <w:color w:val="auto"/>
              </w:rPr>
            </w:pPr>
            <w:r>
              <w:rPr>
                <w:rFonts w:ascii="Verdana" w:cs="Verdana" w:eastAsia="Verdana" w:hAnsi="Verdana"/>
                <w:sz w:val="18"/>
                <w:szCs w:val="18"/>
                <w:color w:val="auto"/>
              </w:rPr>
              <w:t>Average common equity</w:t>
            </w:r>
          </w:p>
        </w:tc>
        <w:tc>
          <w:tcPr>
            <w:tcW w:w="84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1,364,377</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Pr>
          <w:p>
            <w:pPr>
              <w:jc w:val="right"/>
              <w:ind w:right="191"/>
              <w:spacing w:after="0"/>
              <w:rPr>
                <w:sz w:val="20"/>
                <w:szCs w:val="20"/>
                <w:color w:val="auto"/>
              </w:rPr>
            </w:pPr>
            <w:r>
              <w:rPr>
                <w:rFonts w:ascii="Verdana" w:cs="Verdana" w:eastAsia="Verdana" w:hAnsi="Verdana"/>
                <w:sz w:val="18"/>
                <w:szCs w:val="18"/>
                <w:color w:val="auto"/>
              </w:rPr>
              <w:t>1,208,407</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1,324,119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Pr>
          <w:p>
            <w:pPr>
              <w:jc w:val="right"/>
              <w:ind w:right="191"/>
              <w:spacing w:after="0"/>
              <w:rPr>
                <w:sz w:val="20"/>
                <w:szCs w:val="20"/>
                <w:color w:val="auto"/>
              </w:rPr>
            </w:pPr>
            <w:r>
              <w:rPr>
                <w:rFonts w:ascii="Verdana" w:cs="Verdana" w:eastAsia="Verdana" w:hAnsi="Verdana"/>
                <w:sz w:val="18"/>
                <w:szCs w:val="18"/>
                <w:color w:val="auto"/>
              </w:rPr>
              <w:t>1,195,858</w:t>
            </w:r>
          </w:p>
        </w:tc>
      </w:tr>
      <w:tr>
        <w:trPr>
          <w:trHeight w:val="244"/>
        </w:trPr>
        <w:tc>
          <w:tcPr>
            <w:tcW w:w="37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Average goodwill and other intangible</w:t>
            </w:r>
          </w:p>
        </w:tc>
        <w:tc>
          <w:tcPr>
            <w:tcW w:w="84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r>
      <w:tr>
        <w:trPr>
          <w:trHeight w:val="242"/>
        </w:trPr>
        <w:tc>
          <w:tcPr>
            <w:tcW w:w="37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assets, net</w:t>
            </w:r>
          </w:p>
        </w:tc>
        <w:tc>
          <w:tcPr>
            <w:tcW w:w="840" w:type="dxa"/>
            <w:vAlign w:val="bottom"/>
            <w:shd w:val="clear" w:color="auto" w:fill="E0E7ED"/>
          </w:tcPr>
          <w:p>
            <w:pPr>
              <w:spacing w:after="0"/>
              <w:rPr>
                <w:sz w:val="21"/>
                <w:szCs w:val="21"/>
                <w:color w:val="auto"/>
              </w:rPr>
            </w:pPr>
          </w:p>
        </w:tc>
        <w:tc>
          <w:tcPr>
            <w:tcW w:w="200" w:type="dxa"/>
            <w:vAlign w:val="bottom"/>
            <w:tcBorders>
              <w:bottom w:val="single" w:sz="8" w:color="auto"/>
            </w:tcBorders>
            <w:shd w:val="clear" w:color="auto" w:fill="E0E7ED"/>
          </w:tcPr>
          <w:p>
            <w:pPr>
              <w:spacing w:after="0"/>
              <w:rPr>
                <w:sz w:val="21"/>
                <w:szCs w:val="21"/>
                <w:color w:val="auto"/>
              </w:rPr>
            </w:pPr>
          </w:p>
        </w:tc>
        <w:tc>
          <w:tcPr>
            <w:tcW w:w="1400" w:type="dxa"/>
            <w:vAlign w:val="bottom"/>
            <w:tcBorders>
              <w:bottom w:val="single" w:sz="8" w:color="auto"/>
            </w:tcBorders>
            <w:shd w:val="clear" w:color="auto" w:fill="E0E7ED"/>
          </w:tcPr>
          <w:p>
            <w:pPr>
              <w:jc w:val="right"/>
              <w:ind w:right="132"/>
              <w:spacing w:after="0"/>
              <w:rPr>
                <w:sz w:val="20"/>
                <w:szCs w:val="20"/>
                <w:color w:val="auto"/>
              </w:rPr>
            </w:pPr>
            <w:r>
              <w:rPr>
                <w:rFonts w:ascii="Verdana" w:cs="Verdana" w:eastAsia="Verdana" w:hAnsi="Verdana"/>
                <w:sz w:val="18"/>
                <w:szCs w:val="18"/>
                <w:color w:val="auto"/>
              </w:rPr>
              <w:t>(369,720)</w:t>
            </w:r>
          </w:p>
        </w:tc>
        <w:tc>
          <w:tcPr>
            <w:tcW w:w="100" w:type="dxa"/>
            <w:vAlign w:val="bottom"/>
            <w:shd w:val="clear" w:color="auto" w:fill="E0E7ED"/>
          </w:tcPr>
          <w:p>
            <w:pPr>
              <w:spacing w:after="0"/>
              <w:rPr>
                <w:sz w:val="21"/>
                <w:szCs w:val="21"/>
                <w:color w:val="auto"/>
              </w:rPr>
            </w:pPr>
          </w:p>
        </w:tc>
        <w:tc>
          <w:tcPr>
            <w:tcW w:w="200" w:type="dxa"/>
            <w:vAlign w:val="bottom"/>
            <w:tcBorders>
              <w:bottom w:val="single" w:sz="8" w:color="auto"/>
            </w:tcBorders>
            <w:shd w:val="clear" w:color="auto" w:fill="E0E7ED"/>
          </w:tcPr>
          <w:p>
            <w:pPr>
              <w:spacing w:after="0"/>
              <w:rPr>
                <w:sz w:val="21"/>
                <w:szCs w:val="21"/>
                <w:color w:val="auto"/>
              </w:rPr>
            </w:pPr>
          </w:p>
        </w:tc>
        <w:tc>
          <w:tcPr>
            <w:tcW w:w="1400" w:type="dxa"/>
            <w:vAlign w:val="bottom"/>
            <w:tcBorders>
              <w:bottom w:val="single" w:sz="8" w:color="auto"/>
            </w:tcBorders>
            <w:shd w:val="clear" w:color="auto" w:fill="E0E7ED"/>
          </w:tcPr>
          <w:p>
            <w:pPr>
              <w:jc w:val="right"/>
              <w:ind w:right="131"/>
              <w:spacing w:after="0"/>
              <w:rPr>
                <w:sz w:val="20"/>
                <w:szCs w:val="20"/>
                <w:color w:val="auto"/>
              </w:rPr>
            </w:pPr>
            <w:r>
              <w:rPr>
                <w:rFonts w:ascii="Verdana" w:cs="Verdana" w:eastAsia="Verdana" w:hAnsi="Verdana"/>
                <w:sz w:val="18"/>
                <w:szCs w:val="18"/>
                <w:color w:val="auto"/>
              </w:rPr>
              <w:t>(358,025)</w:t>
            </w:r>
          </w:p>
        </w:tc>
        <w:tc>
          <w:tcPr>
            <w:tcW w:w="100" w:type="dxa"/>
            <w:vAlign w:val="bottom"/>
            <w:shd w:val="clear" w:color="auto" w:fill="E0E7ED"/>
          </w:tcPr>
          <w:p>
            <w:pPr>
              <w:spacing w:after="0"/>
              <w:rPr>
                <w:sz w:val="21"/>
                <w:szCs w:val="21"/>
                <w:color w:val="auto"/>
              </w:rPr>
            </w:pPr>
          </w:p>
        </w:tc>
        <w:tc>
          <w:tcPr>
            <w:tcW w:w="200" w:type="dxa"/>
            <w:vAlign w:val="bottom"/>
            <w:tcBorders>
              <w:bottom w:val="single" w:sz="8" w:color="auto"/>
            </w:tcBorders>
            <w:shd w:val="clear" w:color="auto" w:fill="E0E7ED"/>
          </w:tcPr>
          <w:p>
            <w:pPr>
              <w:spacing w:after="0"/>
              <w:rPr>
                <w:sz w:val="21"/>
                <w:szCs w:val="21"/>
                <w:color w:val="auto"/>
              </w:rPr>
            </w:pPr>
          </w:p>
        </w:tc>
        <w:tc>
          <w:tcPr>
            <w:tcW w:w="1400" w:type="dxa"/>
            <w:vAlign w:val="bottom"/>
            <w:tcBorders>
              <w:bottom w:val="single" w:sz="8" w:color="auto"/>
            </w:tcBorders>
            <w:shd w:val="clear" w:color="auto" w:fill="E0E7ED"/>
          </w:tcPr>
          <w:p>
            <w:pPr>
              <w:jc w:val="right"/>
              <w:ind w:right="132"/>
              <w:spacing w:after="0"/>
              <w:rPr>
                <w:sz w:val="20"/>
                <w:szCs w:val="20"/>
                <w:color w:val="auto"/>
              </w:rPr>
            </w:pPr>
            <w:r>
              <w:rPr>
                <w:rFonts w:ascii="Verdana" w:cs="Verdana" w:eastAsia="Verdana" w:hAnsi="Verdana"/>
                <w:sz w:val="18"/>
                <w:szCs w:val="18"/>
                <w:color w:val="auto"/>
              </w:rPr>
              <w:t>(366,331)</w:t>
            </w:r>
          </w:p>
        </w:tc>
        <w:tc>
          <w:tcPr>
            <w:tcW w:w="100" w:type="dxa"/>
            <w:vAlign w:val="bottom"/>
            <w:shd w:val="clear" w:color="auto" w:fill="E0E7ED"/>
          </w:tcPr>
          <w:p>
            <w:pPr>
              <w:spacing w:after="0"/>
              <w:rPr>
                <w:sz w:val="21"/>
                <w:szCs w:val="21"/>
                <w:color w:val="auto"/>
              </w:rPr>
            </w:pPr>
          </w:p>
        </w:tc>
        <w:tc>
          <w:tcPr>
            <w:tcW w:w="200" w:type="dxa"/>
            <w:vAlign w:val="bottom"/>
            <w:tcBorders>
              <w:bottom w:val="single" w:sz="8" w:color="auto"/>
            </w:tcBorders>
            <w:shd w:val="clear" w:color="auto" w:fill="E0E7ED"/>
          </w:tcPr>
          <w:p>
            <w:pPr>
              <w:spacing w:after="0"/>
              <w:rPr>
                <w:sz w:val="21"/>
                <w:szCs w:val="21"/>
                <w:color w:val="auto"/>
              </w:rPr>
            </w:pPr>
          </w:p>
        </w:tc>
        <w:tc>
          <w:tcPr>
            <w:tcW w:w="1400" w:type="dxa"/>
            <w:vAlign w:val="bottom"/>
            <w:tcBorders>
              <w:bottom w:val="single" w:sz="8" w:color="auto"/>
            </w:tcBorders>
            <w:shd w:val="clear" w:color="auto" w:fill="E0E7ED"/>
          </w:tcPr>
          <w:p>
            <w:pPr>
              <w:jc w:val="right"/>
              <w:ind w:right="131"/>
              <w:spacing w:after="0"/>
              <w:rPr>
                <w:sz w:val="20"/>
                <w:szCs w:val="20"/>
                <w:color w:val="auto"/>
              </w:rPr>
            </w:pPr>
            <w:r>
              <w:rPr>
                <w:rFonts w:ascii="Verdana" w:cs="Verdana" w:eastAsia="Verdana" w:hAnsi="Verdana"/>
                <w:sz w:val="18"/>
                <w:szCs w:val="18"/>
                <w:color w:val="auto"/>
              </w:rPr>
              <w:t>(360,654)</w:t>
            </w:r>
          </w:p>
        </w:tc>
      </w:tr>
      <w:tr>
        <w:trPr>
          <w:trHeight w:val="270"/>
        </w:trPr>
        <w:tc>
          <w:tcPr>
            <w:tcW w:w="3700" w:type="dxa"/>
            <w:vAlign w:val="bottom"/>
          </w:tcPr>
          <w:p>
            <w:pPr>
              <w:ind w:left="20"/>
              <w:spacing w:after="0"/>
              <w:rPr>
                <w:sz w:val="20"/>
                <w:szCs w:val="20"/>
                <w:color w:val="auto"/>
              </w:rPr>
            </w:pPr>
            <w:r>
              <w:rPr>
                <w:rFonts w:ascii="Verdana" w:cs="Verdana" w:eastAsia="Verdana" w:hAnsi="Verdana"/>
                <w:sz w:val="18"/>
                <w:szCs w:val="18"/>
                <w:color w:val="auto"/>
              </w:rPr>
              <w:t>Average tangible common equity</w:t>
            </w:r>
          </w:p>
        </w:tc>
        <w:tc>
          <w:tcPr>
            <w:tcW w:w="840" w:type="dxa"/>
            <w:vAlign w:val="bottom"/>
          </w:tcPr>
          <w:p>
            <w:pPr>
              <w:ind w:left="100"/>
              <w:spacing w:after="0"/>
              <w:rPr>
                <w:sz w:val="20"/>
                <w:szCs w:val="20"/>
                <w:color w:val="auto"/>
              </w:rPr>
            </w:pPr>
            <w:r>
              <w:rPr>
                <w:rFonts w:ascii="Verdana" w:cs="Verdana" w:eastAsia="Verdana" w:hAnsi="Verdana"/>
                <w:sz w:val="18"/>
                <w:szCs w:val="18"/>
                <w:color w:val="auto"/>
              </w:rPr>
              <w:t>[g]</w:t>
            </w: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Borders>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994,657</w:t>
            </w: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Borders>
              <w:bottom w:val="single" w:sz="8" w:color="auto"/>
            </w:tcBorders>
          </w:tcPr>
          <w:p>
            <w:pPr>
              <w:jc w:val="right"/>
              <w:ind w:right="191"/>
              <w:spacing w:after="0"/>
              <w:rPr>
                <w:sz w:val="20"/>
                <w:szCs w:val="20"/>
                <w:color w:val="auto"/>
              </w:rPr>
            </w:pPr>
            <w:r>
              <w:rPr>
                <w:rFonts w:ascii="Verdana" w:cs="Verdana" w:eastAsia="Verdana" w:hAnsi="Verdana"/>
                <w:sz w:val="18"/>
                <w:szCs w:val="18"/>
                <w:color w:val="auto"/>
              </w:rPr>
              <w:t>850,382</w:t>
            </w: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Borders>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957,788</w:t>
            </w: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Borders>
              <w:bottom w:val="single" w:sz="8" w:color="auto"/>
            </w:tcBorders>
          </w:tcPr>
          <w:p>
            <w:pPr>
              <w:jc w:val="right"/>
              <w:ind w:right="191"/>
              <w:spacing w:after="0"/>
              <w:rPr>
                <w:sz w:val="20"/>
                <w:szCs w:val="20"/>
                <w:color w:val="auto"/>
              </w:rPr>
            </w:pPr>
            <w:r>
              <w:rPr>
                <w:rFonts w:ascii="Verdana" w:cs="Verdana" w:eastAsia="Verdana" w:hAnsi="Verdana"/>
                <w:sz w:val="18"/>
                <w:szCs w:val="18"/>
                <w:color w:val="auto"/>
              </w:rPr>
              <w:t>835,204</w:t>
            </w:r>
          </w:p>
        </w:tc>
      </w:tr>
      <w:tr>
        <w:trPr>
          <w:trHeight w:val="20"/>
        </w:trPr>
        <w:tc>
          <w:tcPr>
            <w:tcW w:w="3700" w:type="dxa"/>
            <w:vAlign w:val="bottom"/>
            <w:tcBorders>
              <w:bottom w:val="single" w:sz="8" w:color="E0E7ED"/>
            </w:tcBorders>
          </w:tcPr>
          <w:p>
            <w:pPr>
              <w:spacing w:after="0" w:line="20" w:lineRule="exact"/>
              <w:rPr>
                <w:sz w:val="1"/>
                <w:szCs w:val="1"/>
                <w:color w:val="auto"/>
              </w:rPr>
            </w:pPr>
          </w:p>
        </w:tc>
        <w:tc>
          <w:tcPr>
            <w:tcW w:w="84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7"/>
        </w:trPr>
        <w:tc>
          <w:tcPr>
            <w:tcW w:w="3700" w:type="dxa"/>
            <w:vAlign w:val="bottom"/>
            <w:shd w:val="clear" w:color="auto" w:fill="E0E7ED"/>
          </w:tcPr>
          <w:p>
            <w:pPr>
              <w:spacing w:after="0"/>
              <w:rPr>
                <w:sz w:val="20"/>
                <w:szCs w:val="20"/>
                <w:color w:val="auto"/>
              </w:rPr>
            </w:pPr>
          </w:p>
        </w:tc>
        <w:tc>
          <w:tcPr>
            <w:tcW w:w="840" w:type="dxa"/>
            <w:vAlign w:val="bottom"/>
            <w:shd w:val="clear" w:color="auto" w:fill="E0E7ED"/>
          </w:tcPr>
          <w:p>
            <w:pPr>
              <w:spacing w:after="0"/>
              <w:rPr>
                <w:sz w:val="20"/>
                <w:szCs w:val="20"/>
                <w:color w:val="auto"/>
              </w:rPr>
            </w:pPr>
          </w:p>
        </w:tc>
        <w:tc>
          <w:tcPr>
            <w:tcW w:w="200" w:type="dxa"/>
            <w:vAlign w:val="bottom"/>
            <w:shd w:val="clear" w:color="auto" w:fill="E0E7ED"/>
          </w:tcPr>
          <w:p>
            <w:pPr>
              <w:spacing w:after="0"/>
              <w:rPr>
                <w:sz w:val="20"/>
                <w:szCs w:val="20"/>
                <w:color w:val="auto"/>
              </w:rPr>
            </w:pPr>
          </w:p>
        </w:tc>
        <w:tc>
          <w:tcPr>
            <w:tcW w:w="14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00" w:type="dxa"/>
            <w:vAlign w:val="bottom"/>
            <w:shd w:val="clear" w:color="auto" w:fill="E0E7ED"/>
          </w:tcPr>
          <w:p>
            <w:pPr>
              <w:spacing w:after="0"/>
              <w:rPr>
                <w:sz w:val="20"/>
                <w:szCs w:val="20"/>
                <w:color w:val="auto"/>
              </w:rPr>
            </w:pPr>
          </w:p>
        </w:tc>
        <w:tc>
          <w:tcPr>
            <w:tcW w:w="14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00" w:type="dxa"/>
            <w:vAlign w:val="bottom"/>
            <w:shd w:val="clear" w:color="auto" w:fill="E0E7ED"/>
          </w:tcPr>
          <w:p>
            <w:pPr>
              <w:spacing w:after="0"/>
              <w:rPr>
                <w:sz w:val="20"/>
                <w:szCs w:val="20"/>
                <w:color w:val="auto"/>
              </w:rPr>
            </w:pPr>
          </w:p>
        </w:tc>
        <w:tc>
          <w:tcPr>
            <w:tcW w:w="14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00" w:type="dxa"/>
            <w:vAlign w:val="bottom"/>
            <w:shd w:val="clear" w:color="auto" w:fill="E0E7ED"/>
          </w:tcPr>
          <w:p>
            <w:pPr>
              <w:spacing w:after="0"/>
              <w:rPr>
                <w:sz w:val="20"/>
                <w:szCs w:val="20"/>
                <w:color w:val="auto"/>
              </w:rPr>
            </w:pPr>
          </w:p>
        </w:tc>
        <w:tc>
          <w:tcPr>
            <w:tcW w:w="1400" w:type="dxa"/>
            <w:vAlign w:val="bottom"/>
            <w:shd w:val="clear" w:color="auto" w:fill="E0E7ED"/>
          </w:tcPr>
          <w:p>
            <w:pPr>
              <w:spacing w:after="0"/>
              <w:rPr>
                <w:sz w:val="20"/>
                <w:szCs w:val="20"/>
                <w:color w:val="auto"/>
              </w:rPr>
            </w:pPr>
          </w:p>
        </w:tc>
      </w:tr>
      <w:tr>
        <w:trPr>
          <w:trHeight w:val="238"/>
        </w:trPr>
        <w:tc>
          <w:tcPr>
            <w:tcW w:w="3700" w:type="dxa"/>
            <w:vAlign w:val="bottom"/>
          </w:tcPr>
          <w:p>
            <w:pPr>
              <w:ind w:left="20"/>
              <w:spacing w:after="0"/>
              <w:rPr>
                <w:sz w:val="20"/>
                <w:szCs w:val="20"/>
                <w:color w:val="auto"/>
              </w:rPr>
            </w:pPr>
            <w:r>
              <w:rPr>
                <w:rFonts w:ascii="Verdana" w:cs="Verdana" w:eastAsia="Verdana" w:hAnsi="Verdana"/>
                <w:sz w:val="18"/>
                <w:szCs w:val="18"/>
                <w:b w:val="1"/>
                <w:bCs w:val="1"/>
                <w:color w:val="auto"/>
              </w:rPr>
              <w:t xml:space="preserve">Reported: </w:t>
            </w:r>
            <w:r>
              <w:rPr>
                <w:rFonts w:ascii="Verdana" w:cs="Verdana" w:eastAsia="Verdana" w:hAnsi="Verdana"/>
                <w:sz w:val="18"/>
                <w:szCs w:val="18"/>
                <w:color w:val="auto"/>
              </w:rPr>
              <w:t>Return on average tangible</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42"/>
        </w:trPr>
        <w:tc>
          <w:tcPr>
            <w:tcW w:w="3700" w:type="dxa"/>
            <w:vAlign w:val="bottom"/>
          </w:tcPr>
          <w:p>
            <w:pPr>
              <w:ind w:left="20"/>
              <w:spacing w:after="0"/>
              <w:rPr>
                <w:sz w:val="20"/>
                <w:szCs w:val="20"/>
                <w:color w:val="auto"/>
              </w:rPr>
            </w:pPr>
            <w:r>
              <w:rPr>
                <w:rFonts w:ascii="Verdana" w:cs="Verdana" w:eastAsia="Verdana" w:hAnsi="Verdana"/>
                <w:sz w:val="18"/>
                <w:szCs w:val="18"/>
                <w:color w:val="auto"/>
              </w:rPr>
              <w:t>common equity</w:t>
            </w:r>
            <w:r>
              <w:rPr>
                <w:rFonts w:ascii="Verdana" w:cs="Verdana" w:eastAsia="Verdana" w:hAnsi="Verdana"/>
                <w:sz w:val="11"/>
                <w:szCs w:val="11"/>
                <w:color w:val="auto"/>
              </w:rPr>
              <w:t>2</w:t>
            </w:r>
          </w:p>
        </w:tc>
        <w:tc>
          <w:tcPr>
            <w:tcW w:w="840" w:type="dxa"/>
            <w:vAlign w:val="bottom"/>
          </w:tcPr>
          <w:p>
            <w:pPr>
              <w:ind w:left="100"/>
              <w:spacing w:after="0"/>
              <w:rPr>
                <w:sz w:val="20"/>
                <w:szCs w:val="20"/>
                <w:color w:val="auto"/>
              </w:rPr>
            </w:pPr>
            <w:r>
              <w:rPr>
                <w:rFonts w:ascii="Verdana" w:cs="Verdana" w:eastAsia="Verdana" w:hAnsi="Verdana"/>
                <w:sz w:val="18"/>
                <w:szCs w:val="18"/>
                <w:color w:val="auto"/>
              </w:rPr>
              <w:t>[d÷g]</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12.80 %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14.31 %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11.94 %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15.50 %</w:t>
            </w:r>
          </w:p>
        </w:tc>
      </w:tr>
      <w:tr>
        <w:trPr>
          <w:trHeight w:val="244"/>
        </w:trPr>
        <w:tc>
          <w:tcPr>
            <w:tcW w:w="37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 xml:space="preserve">Adjusted: </w:t>
            </w:r>
            <w:r>
              <w:rPr>
                <w:rFonts w:ascii="Verdana" w:cs="Verdana" w:eastAsia="Verdana" w:hAnsi="Verdana"/>
                <w:sz w:val="18"/>
                <w:szCs w:val="18"/>
                <w:color w:val="auto"/>
              </w:rPr>
              <w:t>Return on average tangible</w:t>
            </w:r>
          </w:p>
        </w:tc>
        <w:tc>
          <w:tcPr>
            <w:tcW w:w="84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r>
      <w:tr>
        <w:trPr>
          <w:trHeight w:val="248"/>
        </w:trPr>
        <w:tc>
          <w:tcPr>
            <w:tcW w:w="37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common equity</w:t>
            </w:r>
            <w:r>
              <w:rPr>
                <w:rFonts w:ascii="Verdana" w:cs="Verdana" w:eastAsia="Verdana" w:hAnsi="Verdana"/>
                <w:sz w:val="11"/>
                <w:szCs w:val="11"/>
                <w:color w:val="auto"/>
              </w:rPr>
              <w:t>2</w:t>
            </w:r>
          </w:p>
        </w:tc>
        <w:tc>
          <w:tcPr>
            <w:tcW w:w="840" w:type="dxa"/>
            <w:vAlign w:val="bottom"/>
            <w:shd w:val="clear" w:color="auto" w:fill="E0E7ED"/>
          </w:tcPr>
          <w:p>
            <w:pPr>
              <w:ind w:left="100"/>
              <w:spacing w:after="0"/>
              <w:rPr>
                <w:sz w:val="20"/>
                <w:szCs w:val="20"/>
                <w:color w:val="auto"/>
              </w:rPr>
            </w:pPr>
            <w:r>
              <w:rPr>
                <w:rFonts w:ascii="Verdana" w:cs="Verdana" w:eastAsia="Verdana" w:hAnsi="Verdana"/>
                <w:sz w:val="18"/>
                <w:szCs w:val="18"/>
                <w:color w:val="auto"/>
              </w:rPr>
              <w:t>[e÷g]</w:t>
            </w: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13.41 %</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14.34 %</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12.42 %</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15.51 %</w:t>
            </w:r>
          </w:p>
        </w:tc>
      </w:tr>
    </w:tbl>
    <w:p>
      <w:pPr>
        <w:spacing w:after="0" w:line="80"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jc w:val="both"/>
        <w:ind w:left="500" w:hanging="330"/>
        <w:spacing w:after="0" w:line="232" w:lineRule="auto"/>
        <w:tabs>
          <w:tab w:leader="none" w:pos="491" w:val="left"/>
        </w:tabs>
        <w:numPr>
          <w:ilvl w:val="0"/>
          <w:numId w:val="30"/>
        </w:numPr>
        <w:rPr>
          <w:rFonts w:ascii="Verdana" w:cs="Verdana" w:eastAsia="Verdana" w:hAnsi="Verdana"/>
          <w:sz w:val="13"/>
          <w:szCs w:val="13"/>
          <w:color w:val="auto"/>
        </w:rPr>
      </w:pPr>
      <w:r>
        <w:rPr>
          <w:rFonts w:ascii="Verdana" w:cs="Verdana" w:eastAsia="Verdana" w:hAnsi="Verdana"/>
          <w:sz w:val="13"/>
          <w:szCs w:val="13"/>
          <w:color w:val="auto"/>
        </w:rPr>
        <w:t>Tax benefits were calculated by multiplying acquisition expenses and restructuring expenses by the effective tax rate for each period. Effective tax rates used in this calculation were 21.0% and 19.7% for the three months ended September 30, 2024 and 2023, respectively, and were 23.3% and 19.8% for the nine months ended September 30, 2024 and 2023.</w:t>
      </w:r>
    </w:p>
    <w:p>
      <w:pPr>
        <w:ind w:left="480" w:hanging="310"/>
        <w:spacing w:after="0"/>
        <w:tabs>
          <w:tab w:leader="none" w:pos="480" w:val="left"/>
        </w:tabs>
        <w:numPr>
          <w:ilvl w:val="0"/>
          <w:numId w:val="30"/>
        </w:numPr>
        <w:rPr>
          <w:rFonts w:ascii="Verdana" w:cs="Verdana" w:eastAsia="Verdana" w:hAnsi="Verdana"/>
          <w:sz w:val="13"/>
          <w:szCs w:val="13"/>
          <w:color w:val="auto"/>
        </w:rPr>
      </w:pPr>
      <w:r>
        <w:rPr>
          <w:rFonts w:ascii="Verdana" w:cs="Verdana" w:eastAsia="Verdana" w:hAnsi="Verdana"/>
          <w:sz w:val="13"/>
          <w:szCs w:val="13"/>
          <w:color w:val="auto"/>
        </w:rPr>
        <w:t>Annualized measure.</w:t>
      </w:r>
    </w:p>
    <w:p>
      <w:pPr>
        <w:sectPr>
          <w:pgSz w:w="11900" w:h="16838" w:orient="portrait"/>
          <w:cols w:equalWidth="0" w:num="1">
            <w:col w:w="11240"/>
          </w:cols>
          <w:pgMar w:left="320" w:top="310" w:right="339" w:bottom="1083" w:gutter="0" w:footer="0" w:header="0"/>
        </w:sectPr>
      </w:pPr>
    </w:p>
    <w:p>
      <w:pPr>
        <w:spacing w:after="0" w:line="200" w:lineRule="exact"/>
        <w:rPr>
          <w:sz w:val="20"/>
          <w:szCs w:val="20"/>
          <w:color w:val="auto"/>
        </w:rPr>
      </w:pPr>
    </w:p>
    <w:p>
      <w:pPr>
        <w:spacing w:after="0" w:line="209" w:lineRule="exact"/>
        <w:rPr>
          <w:sz w:val="20"/>
          <w:szCs w:val="20"/>
          <w:color w:val="auto"/>
        </w:rPr>
      </w:pPr>
    </w:p>
    <w:p>
      <w:pPr>
        <w:ind w:left="7940"/>
        <w:spacing w:after="0"/>
        <w:rPr>
          <w:sz w:val="20"/>
          <w:szCs w:val="20"/>
          <w:color w:val="auto"/>
        </w:rPr>
      </w:pPr>
      <w:r>
        <w:rPr>
          <w:rFonts w:ascii="Verdana" w:cs="Verdana" w:eastAsia="Verdana" w:hAnsi="Verdana"/>
          <w:sz w:val="17"/>
          <w:szCs w:val="17"/>
          <w:color w:val="808285"/>
        </w:rPr>
        <w:t xml:space="preserve">First Busey Corporation (BUSE) | </w:t>
      </w:r>
      <w:r>
        <w:rPr>
          <w:rFonts w:ascii="Verdana" w:cs="Verdana" w:eastAsia="Verdana" w:hAnsi="Verdana"/>
          <w:sz w:val="17"/>
          <w:szCs w:val="17"/>
          <w:b w:val="1"/>
          <w:bCs w:val="1"/>
          <w:color w:val="376484"/>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083" w:gutter="0" w:footer="0" w:header="0"/>
          <w:type w:val="continuous"/>
        </w:sectPr>
      </w:pPr>
    </w:p>
    <w:bookmarkStart w:id="98" w:name="page99"/>
    <w:bookmarkEnd w:id="98"/>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2. MD&amp;A</w:t>
      </w:r>
    </w:p>
    <w:p>
      <w:pPr>
        <w:spacing w:after="0" w:line="186"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RECONCILIATION OF NON-GAAP FINANCIAL MEASURES (Unaudited)</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Adjusted Net Interest Income and Adjusted Net Interest Margin</w:t>
      </w:r>
    </w:p>
    <w:p>
      <w:pPr>
        <w:spacing w:after="0" w:line="5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0" w:type="dxa"/>
            <w:vAlign w:val="bottom"/>
            <w:gridSpan w:val="5"/>
          </w:tcPr>
          <w:p>
            <w:pPr>
              <w:ind w:left="180"/>
              <w:spacing w:after="0"/>
              <w:rPr>
                <w:sz w:val="20"/>
                <w:szCs w:val="20"/>
                <w:color w:val="auto"/>
              </w:rPr>
            </w:pPr>
            <w:r>
              <w:rPr>
                <w:rFonts w:ascii="Verdana" w:cs="Verdana" w:eastAsia="Verdana" w:hAnsi="Verdana"/>
                <w:sz w:val="13"/>
                <w:szCs w:val="13"/>
                <w:b w:val="1"/>
                <w:bCs w:val="1"/>
                <w:color w:val="auto"/>
              </w:rPr>
              <w:t>Three Months Ended September 30,</w:t>
            </w:r>
          </w:p>
        </w:tc>
        <w:tc>
          <w:tcPr>
            <w:tcW w:w="220" w:type="dxa"/>
            <w:vAlign w:val="bottom"/>
          </w:tcPr>
          <w:p>
            <w:pPr>
              <w:spacing w:after="0"/>
              <w:rPr>
                <w:sz w:val="15"/>
                <w:szCs w:val="15"/>
                <w:color w:val="auto"/>
              </w:rPr>
            </w:pPr>
          </w:p>
        </w:tc>
        <w:tc>
          <w:tcPr>
            <w:tcW w:w="3120" w:type="dxa"/>
            <w:vAlign w:val="bottom"/>
            <w:gridSpan w:val="4"/>
          </w:tcPr>
          <w:p>
            <w:pPr>
              <w:jc w:val="right"/>
              <w:ind w:right="353"/>
              <w:spacing w:after="0"/>
              <w:rPr>
                <w:sz w:val="20"/>
                <w:szCs w:val="20"/>
                <w:color w:val="auto"/>
              </w:rPr>
            </w:pPr>
            <w:r>
              <w:rPr>
                <w:rFonts w:ascii="Verdana" w:cs="Verdana" w:eastAsia="Verdana" w:hAnsi="Verdana"/>
                <w:sz w:val="13"/>
                <w:szCs w:val="13"/>
                <w:b w:val="1"/>
                <w:bCs w:val="1"/>
                <w:color w:val="auto"/>
              </w:rPr>
              <w:t>Nine Months Ended September 30,</w:t>
            </w:r>
          </w:p>
        </w:tc>
      </w:tr>
      <w:tr>
        <w:trPr>
          <w:trHeight w:val="170"/>
        </w:trPr>
        <w:tc>
          <w:tcPr>
            <w:tcW w:w="3680" w:type="dxa"/>
            <w:vAlign w:val="bottom"/>
            <w:tcBorders>
              <w:bottom w:val="single" w:sz="8" w:color="E0E7ED"/>
            </w:tcBorders>
          </w:tcPr>
          <w:p>
            <w:pPr>
              <w:spacing w:after="0"/>
              <w:rPr>
                <w:sz w:val="14"/>
                <w:szCs w:val="14"/>
                <w:color w:val="auto"/>
              </w:rPr>
            </w:pPr>
          </w:p>
        </w:tc>
        <w:tc>
          <w:tcPr>
            <w:tcW w:w="800" w:type="dxa"/>
            <w:vAlign w:val="bottom"/>
            <w:tcBorders>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555"/>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553"/>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535"/>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553"/>
              <w:spacing w:after="0"/>
              <w:rPr>
                <w:sz w:val="20"/>
                <w:szCs w:val="20"/>
                <w:color w:val="auto"/>
              </w:rPr>
            </w:pPr>
            <w:r>
              <w:rPr>
                <w:rFonts w:ascii="Verdana" w:cs="Verdana" w:eastAsia="Verdana" w:hAnsi="Verdana"/>
                <w:sz w:val="13"/>
                <w:szCs w:val="13"/>
                <w:b w:val="1"/>
                <w:bCs w:val="1"/>
                <w:color w:val="auto"/>
              </w:rPr>
              <w:t>2023</w:t>
            </w:r>
          </w:p>
        </w:tc>
      </w:tr>
      <w:tr>
        <w:trPr>
          <w:trHeight w:val="269"/>
        </w:trPr>
        <w:tc>
          <w:tcPr>
            <w:tcW w:w="36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Net interest income</w:t>
            </w:r>
          </w:p>
        </w:tc>
        <w:tc>
          <w:tcPr>
            <w:tcW w:w="800" w:type="dxa"/>
            <w:vAlign w:val="bottom"/>
            <w:shd w:val="clear" w:color="auto" w:fill="E0E7ED"/>
          </w:tcPr>
          <w:p>
            <w:pPr>
              <w:spacing w:after="0"/>
              <w:rPr>
                <w:sz w:val="23"/>
                <w:szCs w:val="23"/>
                <w:color w:val="auto"/>
              </w:rPr>
            </w:pP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40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82,541</w:t>
            </w:r>
          </w:p>
        </w:tc>
        <w:tc>
          <w:tcPr>
            <w:tcW w:w="100" w:type="dxa"/>
            <w:vAlign w:val="bottom"/>
            <w:shd w:val="clear" w:color="auto" w:fill="E0E7ED"/>
          </w:tcPr>
          <w:p>
            <w:pPr>
              <w:spacing w:after="0"/>
              <w:rPr>
                <w:sz w:val="23"/>
                <w:szCs w:val="23"/>
                <w:color w:val="auto"/>
              </w:rPr>
            </w:pPr>
          </w:p>
        </w:tc>
        <w:tc>
          <w:tcPr>
            <w:tcW w:w="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42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77,791</w:t>
            </w:r>
          </w:p>
        </w:tc>
        <w:tc>
          <w:tcPr>
            <w:tcW w:w="80" w:type="dxa"/>
            <w:vAlign w:val="bottom"/>
            <w:shd w:val="clear" w:color="auto" w:fill="E0E7ED"/>
          </w:tcPr>
          <w:p>
            <w:pPr>
              <w:spacing w:after="0"/>
              <w:rPr>
                <w:sz w:val="23"/>
                <w:szCs w:val="23"/>
                <w:color w:val="auto"/>
              </w:rPr>
            </w:pPr>
          </w:p>
        </w:tc>
        <w:tc>
          <w:tcPr>
            <w:tcW w:w="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40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240,742</w:t>
            </w:r>
          </w:p>
        </w:tc>
        <w:tc>
          <w:tcPr>
            <w:tcW w:w="100" w:type="dxa"/>
            <w:vAlign w:val="bottom"/>
            <w:shd w:val="clear" w:color="auto" w:fill="E0E7ED"/>
          </w:tcPr>
          <w:p>
            <w:pPr>
              <w:spacing w:after="0"/>
              <w:rPr>
                <w:sz w:val="23"/>
                <w:szCs w:val="23"/>
                <w:color w:val="auto"/>
              </w:rPr>
            </w:pPr>
          </w:p>
        </w:tc>
        <w:tc>
          <w:tcPr>
            <w:tcW w:w="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40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242,318</w:t>
            </w:r>
          </w:p>
        </w:tc>
      </w:tr>
      <w:tr>
        <w:trPr>
          <w:trHeight w:val="263"/>
        </w:trPr>
        <w:tc>
          <w:tcPr>
            <w:tcW w:w="3680" w:type="dxa"/>
            <w:vAlign w:val="bottom"/>
          </w:tcPr>
          <w:p>
            <w:pPr>
              <w:ind w:left="20"/>
              <w:spacing w:after="0"/>
              <w:rPr>
                <w:sz w:val="20"/>
                <w:szCs w:val="20"/>
                <w:color w:val="auto"/>
              </w:rPr>
            </w:pPr>
            <w:r>
              <w:rPr>
                <w:rFonts w:ascii="Verdana" w:cs="Verdana" w:eastAsia="Verdana" w:hAnsi="Verdana"/>
                <w:sz w:val="18"/>
                <w:szCs w:val="18"/>
                <w:color w:val="auto"/>
              </w:rPr>
              <w:t>Non-GAAP adjustments:</w:t>
            </w: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0"/>
        </w:trPr>
        <w:tc>
          <w:tcPr>
            <w:tcW w:w="36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Tax-equivalent adjustment</w:t>
            </w:r>
            <w:r>
              <w:rPr>
                <w:rFonts w:ascii="Verdana" w:cs="Verdana" w:eastAsia="Verdana" w:hAnsi="Verdana"/>
                <w:sz w:val="11"/>
                <w:szCs w:val="11"/>
                <w:color w:val="auto"/>
              </w:rPr>
              <w:t>1</w:t>
            </w:r>
          </w:p>
        </w:tc>
        <w:tc>
          <w:tcPr>
            <w:tcW w:w="800" w:type="dxa"/>
            <w:vAlign w:val="bottom"/>
            <w:shd w:val="clear" w:color="auto" w:fill="E0E7ED"/>
          </w:tcPr>
          <w:p>
            <w:pPr>
              <w:spacing w:after="0"/>
              <w:rPr>
                <w:sz w:val="23"/>
                <w:szCs w:val="23"/>
                <w:color w:val="auto"/>
              </w:rPr>
            </w:pPr>
          </w:p>
        </w:tc>
        <w:tc>
          <w:tcPr>
            <w:tcW w:w="220" w:type="dxa"/>
            <w:vAlign w:val="bottom"/>
            <w:tcBorders>
              <w:bottom w:val="single" w:sz="8" w:color="auto"/>
            </w:tcBorders>
            <w:shd w:val="clear" w:color="auto" w:fill="E0E7ED"/>
          </w:tcPr>
          <w:p>
            <w:pPr>
              <w:spacing w:after="0"/>
              <w:rPr>
                <w:sz w:val="23"/>
                <w:szCs w:val="23"/>
                <w:color w:val="auto"/>
              </w:rPr>
            </w:pPr>
          </w:p>
        </w:tc>
        <w:tc>
          <w:tcPr>
            <w:tcW w:w="1400" w:type="dxa"/>
            <w:vAlign w:val="bottom"/>
            <w:tcBorders>
              <w:bottom w:val="single" w:sz="8" w:color="auto"/>
            </w:tcBorders>
            <w:shd w:val="clear" w:color="auto" w:fill="E0E7ED"/>
          </w:tcPr>
          <w:p>
            <w:pPr>
              <w:jc w:val="right"/>
              <w:ind w:right="195"/>
              <w:spacing w:after="0"/>
              <w:rPr>
                <w:sz w:val="20"/>
                <w:szCs w:val="20"/>
                <w:color w:val="auto"/>
              </w:rPr>
            </w:pPr>
            <w:r>
              <w:rPr>
                <w:rFonts w:ascii="Verdana" w:cs="Verdana" w:eastAsia="Verdana" w:hAnsi="Verdana"/>
                <w:sz w:val="18"/>
                <w:szCs w:val="18"/>
                <w:color w:val="auto"/>
              </w:rPr>
              <w:t>396</w:t>
            </w:r>
          </w:p>
        </w:tc>
        <w:tc>
          <w:tcPr>
            <w:tcW w:w="100" w:type="dxa"/>
            <w:vAlign w:val="bottom"/>
            <w:shd w:val="clear" w:color="auto" w:fill="E0E7ED"/>
          </w:tcPr>
          <w:p>
            <w:pPr>
              <w:spacing w:after="0"/>
              <w:rPr>
                <w:sz w:val="23"/>
                <w:szCs w:val="23"/>
                <w:color w:val="auto"/>
              </w:rPr>
            </w:pPr>
          </w:p>
        </w:tc>
        <w:tc>
          <w:tcPr>
            <w:tcW w:w="200" w:type="dxa"/>
            <w:vAlign w:val="bottom"/>
            <w:tcBorders>
              <w:bottom w:val="single" w:sz="8" w:color="auto"/>
            </w:tcBorders>
            <w:shd w:val="clear" w:color="auto" w:fill="E0E7ED"/>
          </w:tcPr>
          <w:p>
            <w:pPr>
              <w:spacing w:after="0"/>
              <w:rPr>
                <w:sz w:val="23"/>
                <w:szCs w:val="23"/>
                <w:color w:val="auto"/>
              </w:rPr>
            </w:pPr>
          </w:p>
        </w:tc>
        <w:tc>
          <w:tcPr>
            <w:tcW w:w="1420" w:type="dxa"/>
            <w:vAlign w:val="bottom"/>
            <w:tcBorders>
              <w:bottom w:val="single" w:sz="8" w:color="auto"/>
            </w:tcBorders>
            <w:shd w:val="clear" w:color="auto" w:fill="E0E7ED"/>
          </w:tcPr>
          <w:p>
            <w:pPr>
              <w:jc w:val="right"/>
              <w:ind w:right="193"/>
              <w:spacing w:after="0"/>
              <w:rPr>
                <w:sz w:val="20"/>
                <w:szCs w:val="20"/>
                <w:color w:val="auto"/>
              </w:rPr>
            </w:pPr>
            <w:r>
              <w:rPr>
                <w:rFonts w:ascii="Verdana" w:cs="Verdana" w:eastAsia="Verdana" w:hAnsi="Verdana"/>
                <w:sz w:val="18"/>
                <w:szCs w:val="18"/>
                <w:color w:val="auto"/>
              </w:rPr>
              <w:t>553</w:t>
            </w:r>
          </w:p>
        </w:tc>
        <w:tc>
          <w:tcPr>
            <w:tcW w:w="80" w:type="dxa"/>
            <w:vAlign w:val="bottom"/>
            <w:shd w:val="clear" w:color="auto" w:fill="E0E7ED"/>
          </w:tcPr>
          <w:p>
            <w:pPr>
              <w:spacing w:after="0"/>
              <w:rPr>
                <w:sz w:val="23"/>
                <w:szCs w:val="23"/>
                <w:color w:val="auto"/>
              </w:rPr>
            </w:pPr>
          </w:p>
        </w:tc>
        <w:tc>
          <w:tcPr>
            <w:tcW w:w="220" w:type="dxa"/>
            <w:vAlign w:val="bottom"/>
            <w:tcBorders>
              <w:bottom w:val="single" w:sz="8" w:color="auto"/>
            </w:tcBorders>
            <w:shd w:val="clear" w:color="auto" w:fill="E0E7ED"/>
          </w:tcPr>
          <w:p>
            <w:pPr>
              <w:spacing w:after="0"/>
              <w:rPr>
                <w:sz w:val="23"/>
                <w:szCs w:val="23"/>
                <w:color w:val="auto"/>
              </w:rPr>
            </w:pPr>
          </w:p>
        </w:tc>
        <w:tc>
          <w:tcPr>
            <w:tcW w:w="1400" w:type="dxa"/>
            <w:vAlign w:val="bottom"/>
            <w:tcBorders>
              <w:bottom w:val="single" w:sz="8" w:color="auto"/>
            </w:tcBorders>
            <w:shd w:val="clear" w:color="auto" w:fill="E0E7ED"/>
          </w:tcPr>
          <w:p>
            <w:pPr>
              <w:jc w:val="right"/>
              <w:ind w:right="195"/>
              <w:spacing w:after="0"/>
              <w:rPr>
                <w:sz w:val="20"/>
                <w:szCs w:val="20"/>
                <w:color w:val="auto"/>
              </w:rPr>
            </w:pPr>
            <w:r>
              <w:rPr>
                <w:rFonts w:ascii="Verdana" w:cs="Verdana" w:eastAsia="Verdana" w:hAnsi="Verdana"/>
                <w:sz w:val="18"/>
                <w:szCs w:val="18"/>
                <w:color w:val="auto"/>
              </w:rPr>
              <w:t>1,247</w:t>
            </w:r>
          </w:p>
        </w:tc>
        <w:tc>
          <w:tcPr>
            <w:tcW w:w="100" w:type="dxa"/>
            <w:vAlign w:val="bottom"/>
            <w:shd w:val="clear" w:color="auto" w:fill="E0E7ED"/>
          </w:tcPr>
          <w:p>
            <w:pPr>
              <w:spacing w:after="0"/>
              <w:rPr>
                <w:sz w:val="23"/>
                <w:szCs w:val="23"/>
                <w:color w:val="auto"/>
              </w:rPr>
            </w:pPr>
          </w:p>
        </w:tc>
        <w:tc>
          <w:tcPr>
            <w:tcW w:w="220" w:type="dxa"/>
            <w:vAlign w:val="bottom"/>
            <w:tcBorders>
              <w:bottom w:val="single" w:sz="8" w:color="auto"/>
            </w:tcBorders>
            <w:shd w:val="clear" w:color="auto" w:fill="E0E7ED"/>
          </w:tcPr>
          <w:p>
            <w:pPr>
              <w:spacing w:after="0"/>
              <w:rPr>
                <w:sz w:val="23"/>
                <w:szCs w:val="23"/>
                <w:color w:val="auto"/>
              </w:rPr>
            </w:pPr>
          </w:p>
        </w:tc>
        <w:tc>
          <w:tcPr>
            <w:tcW w:w="1400" w:type="dxa"/>
            <w:vAlign w:val="bottom"/>
            <w:tcBorders>
              <w:bottom w:val="single" w:sz="8" w:color="auto"/>
            </w:tcBorders>
            <w:shd w:val="clear" w:color="auto" w:fill="E0E7ED"/>
          </w:tcPr>
          <w:p>
            <w:pPr>
              <w:jc w:val="right"/>
              <w:ind w:right="193"/>
              <w:spacing w:after="0"/>
              <w:rPr>
                <w:sz w:val="20"/>
                <w:szCs w:val="20"/>
                <w:color w:val="auto"/>
              </w:rPr>
            </w:pPr>
            <w:r>
              <w:rPr>
                <w:rFonts w:ascii="Verdana" w:cs="Verdana" w:eastAsia="Verdana" w:hAnsi="Verdana"/>
                <w:sz w:val="18"/>
                <w:szCs w:val="18"/>
                <w:color w:val="auto"/>
              </w:rPr>
              <w:t>1,672</w:t>
            </w:r>
          </w:p>
        </w:tc>
      </w:tr>
      <w:tr>
        <w:trPr>
          <w:trHeight w:val="263"/>
        </w:trPr>
        <w:tc>
          <w:tcPr>
            <w:tcW w:w="3680" w:type="dxa"/>
            <w:vAlign w:val="bottom"/>
          </w:tcPr>
          <w:p>
            <w:pPr>
              <w:ind w:left="180"/>
              <w:spacing w:after="0"/>
              <w:rPr>
                <w:sz w:val="20"/>
                <w:szCs w:val="20"/>
                <w:color w:val="auto"/>
              </w:rPr>
            </w:pPr>
            <w:r>
              <w:rPr>
                <w:rFonts w:ascii="Verdana" w:cs="Verdana" w:eastAsia="Verdana" w:hAnsi="Verdana"/>
                <w:sz w:val="18"/>
                <w:szCs w:val="18"/>
                <w:color w:val="auto"/>
              </w:rPr>
              <w:t>Tax-equivalent net interest income</w:t>
            </w: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ind w:right="195"/>
              <w:spacing w:after="0"/>
              <w:rPr>
                <w:sz w:val="20"/>
                <w:szCs w:val="20"/>
                <w:color w:val="auto"/>
              </w:rPr>
            </w:pPr>
            <w:r>
              <w:rPr>
                <w:rFonts w:ascii="Verdana" w:cs="Verdana" w:eastAsia="Verdana" w:hAnsi="Verdana"/>
                <w:sz w:val="18"/>
                <w:szCs w:val="18"/>
                <w:color w:val="auto"/>
              </w:rPr>
              <w:t>82,937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jc w:val="right"/>
              <w:ind w:right="193"/>
              <w:spacing w:after="0"/>
              <w:rPr>
                <w:sz w:val="20"/>
                <w:szCs w:val="20"/>
                <w:color w:val="auto"/>
              </w:rPr>
            </w:pPr>
            <w:r>
              <w:rPr>
                <w:rFonts w:ascii="Verdana" w:cs="Verdana" w:eastAsia="Verdana" w:hAnsi="Verdana"/>
                <w:sz w:val="18"/>
                <w:szCs w:val="18"/>
                <w:color w:val="auto"/>
              </w:rPr>
              <w:t>78,344</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ind w:right="195"/>
              <w:spacing w:after="0"/>
              <w:rPr>
                <w:sz w:val="20"/>
                <w:szCs w:val="20"/>
                <w:color w:val="auto"/>
              </w:rPr>
            </w:pPr>
            <w:r>
              <w:rPr>
                <w:rFonts w:ascii="Verdana" w:cs="Verdana" w:eastAsia="Verdana" w:hAnsi="Verdana"/>
                <w:sz w:val="18"/>
                <w:szCs w:val="18"/>
                <w:color w:val="auto"/>
              </w:rPr>
              <w:t>241,989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ind w:right="193"/>
              <w:spacing w:after="0"/>
              <w:rPr>
                <w:sz w:val="20"/>
                <w:szCs w:val="20"/>
                <w:color w:val="auto"/>
              </w:rPr>
            </w:pPr>
            <w:r>
              <w:rPr>
                <w:rFonts w:ascii="Verdana" w:cs="Verdana" w:eastAsia="Verdana" w:hAnsi="Verdana"/>
                <w:sz w:val="18"/>
                <w:szCs w:val="18"/>
                <w:color w:val="auto"/>
              </w:rPr>
              <w:t>243,990</w:t>
            </w:r>
          </w:p>
        </w:tc>
      </w:tr>
      <w:tr>
        <w:trPr>
          <w:trHeight w:val="244"/>
        </w:trPr>
        <w:tc>
          <w:tcPr>
            <w:tcW w:w="36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Purchase accounting accretion related</w:t>
            </w:r>
          </w:p>
        </w:tc>
        <w:tc>
          <w:tcPr>
            <w:tcW w:w="8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r>
      <w:tr>
        <w:trPr>
          <w:trHeight w:val="242"/>
        </w:trPr>
        <w:tc>
          <w:tcPr>
            <w:tcW w:w="36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to business combinations</w:t>
            </w:r>
          </w:p>
        </w:tc>
        <w:tc>
          <w:tcPr>
            <w:tcW w:w="800" w:type="dxa"/>
            <w:vAlign w:val="bottom"/>
            <w:shd w:val="clear" w:color="auto" w:fill="E0E7ED"/>
          </w:tcPr>
          <w:p>
            <w:pPr>
              <w:spacing w:after="0"/>
              <w:rPr>
                <w:sz w:val="21"/>
                <w:szCs w:val="21"/>
                <w:color w:val="auto"/>
              </w:rPr>
            </w:pPr>
          </w:p>
        </w:tc>
        <w:tc>
          <w:tcPr>
            <w:tcW w:w="220" w:type="dxa"/>
            <w:vAlign w:val="bottom"/>
            <w:tcBorders>
              <w:bottom w:val="single" w:sz="8" w:color="auto"/>
            </w:tcBorders>
            <w:shd w:val="clear" w:color="auto" w:fill="E0E7ED"/>
          </w:tcPr>
          <w:p>
            <w:pPr>
              <w:spacing w:after="0"/>
              <w:rPr>
                <w:sz w:val="21"/>
                <w:szCs w:val="21"/>
                <w:color w:val="auto"/>
              </w:rPr>
            </w:pPr>
          </w:p>
        </w:tc>
        <w:tc>
          <w:tcPr>
            <w:tcW w:w="1400" w:type="dxa"/>
            <w:vAlign w:val="bottom"/>
            <w:tcBorders>
              <w:bottom w:val="single" w:sz="8" w:color="auto"/>
            </w:tcBorders>
            <w:shd w:val="clear" w:color="auto" w:fill="E0E7ED"/>
          </w:tcPr>
          <w:p>
            <w:pPr>
              <w:jc w:val="right"/>
              <w:ind w:right="135"/>
              <w:spacing w:after="0"/>
              <w:rPr>
                <w:sz w:val="20"/>
                <w:szCs w:val="20"/>
                <w:color w:val="auto"/>
              </w:rPr>
            </w:pPr>
            <w:r>
              <w:rPr>
                <w:rFonts w:ascii="Verdana" w:cs="Verdana" w:eastAsia="Verdana" w:hAnsi="Verdana"/>
                <w:sz w:val="18"/>
                <w:szCs w:val="18"/>
                <w:color w:val="auto"/>
              </w:rPr>
              <w:t>(1,338)</w:t>
            </w:r>
          </w:p>
        </w:tc>
        <w:tc>
          <w:tcPr>
            <w:tcW w:w="100" w:type="dxa"/>
            <w:vAlign w:val="bottom"/>
            <w:shd w:val="clear" w:color="auto" w:fill="E0E7ED"/>
          </w:tcPr>
          <w:p>
            <w:pPr>
              <w:spacing w:after="0"/>
              <w:rPr>
                <w:sz w:val="21"/>
                <w:szCs w:val="21"/>
                <w:color w:val="auto"/>
              </w:rPr>
            </w:pPr>
          </w:p>
        </w:tc>
        <w:tc>
          <w:tcPr>
            <w:tcW w:w="200" w:type="dxa"/>
            <w:vAlign w:val="bottom"/>
            <w:tcBorders>
              <w:bottom w:val="single" w:sz="8" w:color="auto"/>
            </w:tcBorders>
            <w:shd w:val="clear" w:color="auto" w:fill="E0E7ED"/>
          </w:tcPr>
          <w:p>
            <w:pPr>
              <w:spacing w:after="0"/>
              <w:rPr>
                <w:sz w:val="21"/>
                <w:szCs w:val="21"/>
                <w:color w:val="auto"/>
              </w:rPr>
            </w:pPr>
          </w:p>
        </w:tc>
        <w:tc>
          <w:tcPr>
            <w:tcW w:w="1420" w:type="dxa"/>
            <w:vAlign w:val="bottom"/>
            <w:tcBorders>
              <w:bottom w:val="single" w:sz="8" w:color="auto"/>
            </w:tcBorders>
            <w:shd w:val="clear" w:color="auto" w:fill="E0E7ED"/>
          </w:tcPr>
          <w:p>
            <w:pPr>
              <w:jc w:val="right"/>
              <w:ind w:right="133"/>
              <w:spacing w:after="0"/>
              <w:rPr>
                <w:sz w:val="20"/>
                <w:szCs w:val="20"/>
                <w:color w:val="auto"/>
              </w:rPr>
            </w:pPr>
            <w:r>
              <w:rPr>
                <w:rFonts w:ascii="Verdana" w:cs="Verdana" w:eastAsia="Verdana" w:hAnsi="Verdana"/>
                <w:sz w:val="18"/>
                <w:szCs w:val="18"/>
                <w:color w:val="auto"/>
              </w:rPr>
              <w:t>(277)</w:t>
            </w:r>
          </w:p>
        </w:tc>
        <w:tc>
          <w:tcPr>
            <w:tcW w:w="80" w:type="dxa"/>
            <w:vAlign w:val="bottom"/>
            <w:shd w:val="clear" w:color="auto" w:fill="E0E7ED"/>
          </w:tcPr>
          <w:p>
            <w:pPr>
              <w:spacing w:after="0"/>
              <w:rPr>
                <w:sz w:val="21"/>
                <w:szCs w:val="21"/>
                <w:color w:val="auto"/>
              </w:rPr>
            </w:pPr>
          </w:p>
        </w:tc>
        <w:tc>
          <w:tcPr>
            <w:tcW w:w="220" w:type="dxa"/>
            <w:vAlign w:val="bottom"/>
            <w:tcBorders>
              <w:bottom w:val="single" w:sz="8" w:color="auto"/>
            </w:tcBorders>
            <w:shd w:val="clear" w:color="auto" w:fill="E0E7ED"/>
          </w:tcPr>
          <w:p>
            <w:pPr>
              <w:spacing w:after="0"/>
              <w:rPr>
                <w:sz w:val="21"/>
                <w:szCs w:val="21"/>
                <w:color w:val="auto"/>
              </w:rPr>
            </w:pPr>
          </w:p>
        </w:tc>
        <w:tc>
          <w:tcPr>
            <w:tcW w:w="1400" w:type="dxa"/>
            <w:vAlign w:val="bottom"/>
            <w:tcBorders>
              <w:bottom w:val="single" w:sz="8" w:color="auto"/>
            </w:tcBorders>
            <w:shd w:val="clear" w:color="auto" w:fill="E0E7ED"/>
          </w:tcPr>
          <w:p>
            <w:pPr>
              <w:jc w:val="right"/>
              <w:ind w:right="135"/>
              <w:spacing w:after="0"/>
              <w:rPr>
                <w:sz w:val="20"/>
                <w:szCs w:val="20"/>
                <w:color w:val="auto"/>
              </w:rPr>
            </w:pPr>
            <w:r>
              <w:rPr>
                <w:rFonts w:ascii="Verdana" w:cs="Verdana" w:eastAsia="Verdana" w:hAnsi="Verdana"/>
                <w:sz w:val="18"/>
                <w:szCs w:val="18"/>
                <w:color w:val="auto"/>
              </w:rPr>
              <w:t>(2,354)</w:t>
            </w:r>
          </w:p>
        </w:tc>
        <w:tc>
          <w:tcPr>
            <w:tcW w:w="100" w:type="dxa"/>
            <w:vAlign w:val="bottom"/>
            <w:shd w:val="clear" w:color="auto" w:fill="E0E7ED"/>
          </w:tcPr>
          <w:p>
            <w:pPr>
              <w:spacing w:after="0"/>
              <w:rPr>
                <w:sz w:val="21"/>
                <w:szCs w:val="21"/>
                <w:color w:val="auto"/>
              </w:rPr>
            </w:pPr>
          </w:p>
        </w:tc>
        <w:tc>
          <w:tcPr>
            <w:tcW w:w="220" w:type="dxa"/>
            <w:vAlign w:val="bottom"/>
            <w:tcBorders>
              <w:bottom w:val="single" w:sz="8" w:color="auto"/>
            </w:tcBorders>
            <w:shd w:val="clear" w:color="auto" w:fill="E0E7ED"/>
          </w:tcPr>
          <w:p>
            <w:pPr>
              <w:spacing w:after="0"/>
              <w:rPr>
                <w:sz w:val="21"/>
                <w:szCs w:val="21"/>
                <w:color w:val="auto"/>
              </w:rPr>
            </w:pPr>
          </w:p>
        </w:tc>
        <w:tc>
          <w:tcPr>
            <w:tcW w:w="1400" w:type="dxa"/>
            <w:vAlign w:val="bottom"/>
            <w:tcBorders>
              <w:bottom w:val="single" w:sz="8" w:color="auto"/>
            </w:tcBorders>
            <w:shd w:val="clear" w:color="auto" w:fill="E0E7ED"/>
          </w:tcPr>
          <w:p>
            <w:pPr>
              <w:jc w:val="right"/>
              <w:ind w:right="133"/>
              <w:spacing w:after="0"/>
              <w:rPr>
                <w:sz w:val="20"/>
                <w:szCs w:val="20"/>
                <w:color w:val="auto"/>
              </w:rPr>
            </w:pPr>
            <w:r>
              <w:rPr>
                <w:rFonts w:ascii="Verdana" w:cs="Verdana" w:eastAsia="Verdana" w:hAnsi="Verdana"/>
                <w:sz w:val="18"/>
                <w:szCs w:val="18"/>
                <w:color w:val="auto"/>
              </w:rPr>
              <w:t>(1,093)</w:t>
            </w:r>
          </w:p>
        </w:tc>
      </w:tr>
      <w:tr>
        <w:trPr>
          <w:trHeight w:val="270"/>
        </w:trPr>
        <w:tc>
          <w:tcPr>
            <w:tcW w:w="3680" w:type="dxa"/>
            <w:vAlign w:val="bottom"/>
          </w:tcPr>
          <w:p>
            <w:pPr>
              <w:ind w:left="20"/>
              <w:spacing w:after="0"/>
              <w:rPr>
                <w:sz w:val="20"/>
                <w:szCs w:val="20"/>
                <w:color w:val="auto"/>
              </w:rPr>
            </w:pPr>
            <w:r>
              <w:rPr>
                <w:rFonts w:ascii="Verdana" w:cs="Verdana" w:eastAsia="Verdana" w:hAnsi="Verdana"/>
                <w:sz w:val="18"/>
                <w:szCs w:val="18"/>
                <w:color w:val="auto"/>
              </w:rPr>
              <w:t>Adjusted net interest income</w:t>
            </w:r>
          </w:p>
        </w:tc>
        <w:tc>
          <w:tcPr>
            <w:tcW w:w="800" w:type="dxa"/>
            <w:vAlign w:val="bottom"/>
          </w:tcPr>
          <w:p>
            <w:pPr>
              <w:spacing w:after="0"/>
              <w:rPr>
                <w:sz w:val="23"/>
                <w:szCs w:val="23"/>
                <w:color w:val="auto"/>
              </w:rPr>
            </w:pPr>
          </w:p>
        </w:tc>
        <w:tc>
          <w:tcPr>
            <w:tcW w:w="22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8"/>
                <w:szCs w:val="18"/>
                <w:color w:val="auto"/>
                <w:w w:val="86"/>
              </w:rPr>
              <w:t>$</w:t>
            </w:r>
          </w:p>
        </w:tc>
        <w:tc>
          <w:tcPr>
            <w:tcW w:w="1400" w:type="dxa"/>
            <w:vAlign w:val="bottom"/>
            <w:tcBorders>
              <w:bottom w:val="single" w:sz="8" w:color="auto"/>
            </w:tcBorders>
          </w:tcPr>
          <w:p>
            <w:pPr>
              <w:jc w:val="right"/>
              <w:ind w:right="195"/>
              <w:spacing w:after="0"/>
              <w:rPr>
                <w:sz w:val="20"/>
                <w:szCs w:val="20"/>
                <w:color w:val="auto"/>
              </w:rPr>
            </w:pPr>
            <w:r>
              <w:rPr>
                <w:rFonts w:ascii="Verdana" w:cs="Verdana" w:eastAsia="Verdana" w:hAnsi="Verdana"/>
                <w:sz w:val="18"/>
                <w:szCs w:val="18"/>
                <w:color w:val="auto"/>
              </w:rPr>
              <w:t>81,599</w:t>
            </w: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86"/>
              </w:rPr>
              <w:t>$</w:t>
            </w:r>
          </w:p>
        </w:tc>
        <w:tc>
          <w:tcPr>
            <w:tcW w:w="1420" w:type="dxa"/>
            <w:vAlign w:val="bottom"/>
            <w:tcBorders>
              <w:bottom w:val="single" w:sz="8" w:color="auto"/>
            </w:tcBorders>
          </w:tcPr>
          <w:p>
            <w:pPr>
              <w:jc w:val="right"/>
              <w:ind w:right="193"/>
              <w:spacing w:after="0"/>
              <w:rPr>
                <w:sz w:val="20"/>
                <w:szCs w:val="20"/>
                <w:color w:val="auto"/>
              </w:rPr>
            </w:pPr>
            <w:r>
              <w:rPr>
                <w:rFonts w:ascii="Verdana" w:cs="Verdana" w:eastAsia="Verdana" w:hAnsi="Verdana"/>
                <w:sz w:val="18"/>
                <w:szCs w:val="18"/>
                <w:color w:val="auto"/>
              </w:rPr>
              <w:t>78,067</w:t>
            </w:r>
          </w:p>
        </w:tc>
        <w:tc>
          <w:tcPr>
            <w:tcW w:w="8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400" w:type="dxa"/>
            <w:vAlign w:val="bottom"/>
            <w:tcBorders>
              <w:bottom w:val="single" w:sz="8" w:color="auto"/>
            </w:tcBorders>
          </w:tcPr>
          <w:p>
            <w:pPr>
              <w:jc w:val="right"/>
              <w:ind w:right="195"/>
              <w:spacing w:after="0"/>
              <w:rPr>
                <w:sz w:val="20"/>
                <w:szCs w:val="20"/>
                <w:color w:val="auto"/>
              </w:rPr>
            </w:pPr>
            <w:r>
              <w:rPr>
                <w:rFonts w:ascii="Verdana" w:cs="Verdana" w:eastAsia="Verdana" w:hAnsi="Verdana"/>
                <w:sz w:val="18"/>
                <w:szCs w:val="18"/>
                <w:color w:val="auto"/>
              </w:rPr>
              <w:t>239,635</w:t>
            </w:r>
          </w:p>
        </w:tc>
        <w:tc>
          <w:tcPr>
            <w:tcW w:w="10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400" w:type="dxa"/>
            <w:vAlign w:val="bottom"/>
            <w:tcBorders>
              <w:bottom w:val="single" w:sz="8" w:color="auto"/>
            </w:tcBorders>
          </w:tcPr>
          <w:p>
            <w:pPr>
              <w:jc w:val="right"/>
              <w:ind w:right="193"/>
              <w:spacing w:after="0"/>
              <w:rPr>
                <w:sz w:val="20"/>
                <w:szCs w:val="20"/>
                <w:color w:val="auto"/>
              </w:rPr>
            </w:pPr>
            <w:r>
              <w:rPr>
                <w:rFonts w:ascii="Verdana" w:cs="Verdana" w:eastAsia="Verdana" w:hAnsi="Verdana"/>
                <w:sz w:val="18"/>
                <w:szCs w:val="18"/>
                <w:color w:val="auto"/>
              </w:rPr>
              <w:t>242,897</w:t>
            </w:r>
          </w:p>
        </w:tc>
      </w:tr>
      <w:tr>
        <w:trPr>
          <w:trHeight w:val="20"/>
        </w:trPr>
        <w:tc>
          <w:tcPr>
            <w:tcW w:w="3680" w:type="dxa"/>
            <w:vAlign w:val="bottom"/>
            <w:tcBorders>
              <w:bottom w:val="single" w:sz="8" w:color="E0E7ED"/>
            </w:tcBorders>
          </w:tcPr>
          <w:p>
            <w:pPr>
              <w:spacing w:after="0" w:line="20" w:lineRule="exact"/>
              <w:rPr>
                <w:sz w:val="1"/>
                <w:szCs w:val="1"/>
                <w:color w:val="auto"/>
              </w:rPr>
            </w:pPr>
          </w:p>
        </w:tc>
        <w:tc>
          <w:tcPr>
            <w:tcW w:w="800" w:type="dxa"/>
            <w:vAlign w:val="bottom"/>
            <w:tcBorders>
              <w:bottom w:val="single" w:sz="8" w:color="E0E7E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7"/>
        </w:trPr>
        <w:tc>
          <w:tcPr>
            <w:tcW w:w="3680" w:type="dxa"/>
            <w:vAlign w:val="bottom"/>
            <w:shd w:val="clear" w:color="auto" w:fill="E0E7ED"/>
          </w:tcPr>
          <w:p>
            <w:pPr>
              <w:spacing w:after="0"/>
              <w:rPr>
                <w:sz w:val="20"/>
                <w:szCs w:val="20"/>
                <w:color w:val="auto"/>
              </w:rPr>
            </w:pPr>
          </w:p>
        </w:tc>
        <w:tc>
          <w:tcPr>
            <w:tcW w:w="80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14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00" w:type="dxa"/>
            <w:vAlign w:val="bottom"/>
            <w:shd w:val="clear" w:color="auto" w:fill="E0E7ED"/>
          </w:tcPr>
          <w:p>
            <w:pPr>
              <w:spacing w:after="0"/>
              <w:rPr>
                <w:sz w:val="20"/>
                <w:szCs w:val="20"/>
                <w:color w:val="auto"/>
              </w:rPr>
            </w:pPr>
          </w:p>
        </w:tc>
        <w:tc>
          <w:tcPr>
            <w:tcW w:w="142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14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1400" w:type="dxa"/>
            <w:vAlign w:val="bottom"/>
            <w:shd w:val="clear" w:color="auto" w:fill="E0E7ED"/>
          </w:tcPr>
          <w:p>
            <w:pPr>
              <w:spacing w:after="0"/>
              <w:rPr>
                <w:sz w:val="20"/>
                <w:szCs w:val="20"/>
                <w:color w:val="auto"/>
              </w:rPr>
            </w:pPr>
          </w:p>
        </w:tc>
      </w:tr>
      <w:tr>
        <w:trPr>
          <w:trHeight w:val="238"/>
        </w:trPr>
        <w:tc>
          <w:tcPr>
            <w:tcW w:w="3680" w:type="dxa"/>
            <w:vAlign w:val="bottom"/>
          </w:tcPr>
          <w:p>
            <w:pPr>
              <w:ind w:left="20"/>
              <w:spacing w:after="0"/>
              <w:rPr>
                <w:sz w:val="20"/>
                <w:szCs w:val="20"/>
                <w:color w:val="auto"/>
              </w:rPr>
            </w:pPr>
            <w:r>
              <w:rPr>
                <w:rFonts w:ascii="Verdana" w:cs="Verdana" w:eastAsia="Verdana" w:hAnsi="Verdana"/>
                <w:sz w:val="18"/>
                <w:szCs w:val="18"/>
                <w:color w:val="auto"/>
              </w:rPr>
              <w:t>Tax-equivalent net interest income,</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42"/>
        </w:trPr>
        <w:tc>
          <w:tcPr>
            <w:tcW w:w="3680" w:type="dxa"/>
            <w:vAlign w:val="bottom"/>
          </w:tcPr>
          <w:p>
            <w:pPr>
              <w:ind w:left="20"/>
              <w:spacing w:after="0"/>
              <w:rPr>
                <w:sz w:val="20"/>
                <w:szCs w:val="20"/>
                <w:color w:val="auto"/>
              </w:rPr>
            </w:pPr>
            <w:r>
              <w:rPr>
                <w:rFonts w:ascii="Verdana" w:cs="Verdana" w:eastAsia="Verdana" w:hAnsi="Verdana"/>
                <w:sz w:val="18"/>
                <w:szCs w:val="18"/>
                <w:color w:val="auto"/>
              </w:rPr>
              <w:t>annualized</w:t>
            </w:r>
          </w:p>
        </w:tc>
        <w:tc>
          <w:tcPr>
            <w:tcW w:w="800" w:type="dxa"/>
            <w:vAlign w:val="bottom"/>
          </w:tcPr>
          <w:p>
            <w:pPr>
              <w:ind w:left="60"/>
              <w:spacing w:after="0"/>
              <w:rPr>
                <w:sz w:val="20"/>
                <w:szCs w:val="20"/>
                <w:color w:val="auto"/>
              </w:rPr>
            </w:pPr>
            <w:r>
              <w:rPr>
                <w:rFonts w:ascii="Verdana" w:cs="Verdana" w:eastAsia="Verdana" w:hAnsi="Verdana"/>
                <w:sz w:val="18"/>
                <w:szCs w:val="18"/>
                <w:color w:val="auto"/>
              </w:rPr>
              <w:t>[a]</w:t>
            </w: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400" w:type="dxa"/>
            <w:vAlign w:val="bottom"/>
          </w:tcPr>
          <w:p>
            <w:pPr>
              <w:jc w:val="right"/>
              <w:ind w:right="195"/>
              <w:spacing w:after="0"/>
              <w:rPr>
                <w:sz w:val="20"/>
                <w:szCs w:val="20"/>
                <w:color w:val="auto"/>
              </w:rPr>
            </w:pPr>
            <w:r>
              <w:rPr>
                <w:rFonts w:ascii="Verdana" w:cs="Verdana" w:eastAsia="Verdana" w:hAnsi="Verdana"/>
                <w:sz w:val="18"/>
                <w:szCs w:val="18"/>
                <w:color w:val="auto"/>
              </w:rPr>
              <w:t>329,945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420" w:type="dxa"/>
            <w:vAlign w:val="bottom"/>
          </w:tcPr>
          <w:p>
            <w:pPr>
              <w:jc w:val="right"/>
              <w:ind w:right="193"/>
              <w:spacing w:after="0"/>
              <w:rPr>
                <w:sz w:val="20"/>
                <w:szCs w:val="20"/>
                <w:color w:val="auto"/>
              </w:rPr>
            </w:pPr>
            <w:r>
              <w:rPr>
                <w:rFonts w:ascii="Verdana" w:cs="Verdana" w:eastAsia="Verdana" w:hAnsi="Verdana"/>
                <w:sz w:val="18"/>
                <w:szCs w:val="18"/>
                <w:color w:val="auto"/>
              </w:rPr>
              <w:t>310,821</w:t>
            </w:r>
          </w:p>
        </w:tc>
        <w:tc>
          <w:tcPr>
            <w:tcW w:w="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400" w:type="dxa"/>
            <w:vAlign w:val="bottom"/>
          </w:tcPr>
          <w:p>
            <w:pPr>
              <w:jc w:val="right"/>
              <w:ind w:right="195"/>
              <w:spacing w:after="0"/>
              <w:rPr>
                <w:sz w:val="20"/>
                <w:szCs w:val="20"/>
                <w:color w:val="auto"/>
              </w:rPr>
            </w:pPr>
            <w:r>
              <w:rPr>
                <w:rFonts w:ascii="Verdana" w:cs="Verdana" w:eastAsia="Verdana" w:hAnsi="Verdana"/>
                <w:sz w:val="18"/>
                <w:szCs w:val="18"/>
                <w:color w:val="auto"/>
              </w:rPr>
              <w:t>323,241</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400" w:type="dxa"/>
            <w:vAlign w:val="bottom"/>
          </w:tcPr>
          <w:p>
            <w:pPr>
              <w:jc w:val="right"/>
              <w:ind w:right="193"/>
              <w:spacing w:after="0"/>
              <w:rPr>
                <w:sz w:val="20"/>
                <w:szCs w:val="20"/>
                <w:color w:val="auto"/>
              </w:rPr>
            </w:pPr>
            <w:r>
              <w:rPr>
                <w:rFonts w:ascii="Verdana" w:cs="Verdana" w:eastAsia="Verdana" w:hAnsi="Verdana"/>
                <w:sz w:val="18"/>
                <w:szCs w:val="18"/>
                <w:color w:val="auto"/>
              </w:rPr>
              <w:t>326,214</w:t>
            </w:r>
          </w:p>
        </w:tc>
      </w:tr>
      <w:tr>
        <w:trPr>
          <w:trHeight w:val="244"/>
        </w:trPr>
        <w:tc>
          <w:tcPr>
            <w:tcW w:w="36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Adjusted net interest income,</w:t>
            </w:r>
          </w:p>
        </w:tc>
        <w:tc>
          <w:tcPr>
            <w:tcW w:w="8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r>
      <w:tr>
        <w:trPr>
          <w:trHeight w:val="248"/>
        </w:trPr>
        <w:tc>
          <w:tcPr>
            <w:tcW w:w="36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annualized</w:t>
            </w:r>
          </w:p>
        </w:tc>
        <w:tc>
          <w:tcPr>
            <w:tcW w:w="800" w:type="dxa"/>
            <w:vAlign w:val="bottom"/>
            <w:shd w:val="clear" w:color="auto" w:fill="E0E7ED"/>
          </w:tcPr>
          <w:p>
            <w:pPr>
              <w:ind w:left="60"/>
              <w:spacing w:after="0"/>
              <w:rPr>
                <w:sz w:val="20"/>
                <w:szCs w:val="20"/>
                <w:color w:val="auto"/>
              </w:rPr>
            </w:pPr>
            <w:r>
              <w:rPr>
                <w:rFonts w:ascii="Verdana" w:cs="Verdana" w:eastAsia="Verdana" w:hAnsi="Verdana"/>
                <w:sz w:val="18"/>
                <w:szCs w:val="18"/>
                <w:color w:val="auto"/>
              </w:rPr>
              <w:t>[b]</w:t>
            </w:r>
          </w:p>
        </w:tc>
        <w:tc>
          <w:tcPr>
            <w:tcW w:w="220" w:type="dxa"/>
            <w:vAlign w:val="bottom"/>
            <w:shd w:val="clear" w:color="auto" w:fill="E0E7ED"/>
          </w:tcPr>
          <w:p>
            <w:pPr>
              <w:spacing w:after="0"/>
              <w:rPr>
                <w:sz w:val="21"/>
                <w:szCs w:val="21"/>
                <w:color w:val="auto"/>
              </w:rPr>
            </w:pPr>
          </w:p>
        </w:tc>
        <w:tc>
          <w:tcPr>
            <w:tcW w:w="140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324,622</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2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309,722</w:t>
            </w: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0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320,096</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0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324,752</w:t>
            </w:r>
          </w:p>
        </w:tc>
      </w:tr>
      <w:tr>
        <w:trPr>
          <w:trHeight w:val="263"/>
        </w:trPr>
        <w:tc>
          <w:tcPr>
            <w:tcW w:w="3680" w:type="dxa"/>
            <w:vAlign w:val="bottom"/>
          </w:tcPr>
          <w:p>
            <w:pPr>
              <w:ind w:left="20"/>
              <w:spacing w:after="0"/>
              <w:rPr>
                <w:sz w:val="20"/>
                <w:szCs w:val="20"/>
                <w:color w:val="auto"/>
              </w:rPr>
            </w:pPr>
            <w:r>
              <w:rPr>
                <w:rFonts w:ascii="Verdana" w:cs="Verdana" w:eastAsia="Verdana" w:hAnsi="Verdana"/>
                <w:sz w:val="18"/>
                <w:szCs w:val="18"/>
                <w:color w:val="auto"/>
              </w:rPr>
              <w:t>Average interest-earning assets</w:t>
            </w:r>
          </w:p>
        </w:tc>
        <w:tc>
          <w:tcPr>
            <w:tcW w:w="800" w:type="dxa"/>
            <w:vAlign w:val="bottom"/>
          </w:tcPr>
          <w:p>
            <w:pPr>
              <w:ind w:left="60"/>
              <w:spacing w:after="0"/>
              <w:rPr>
                <w:sz w:val="20"/>
                <w:szCs w:val="20"/>
                <w:color w:val="auto"/>
              </w:rPr>
            </w:pPr>
            <w:r>
              <w:rPr>
                <w:rFonts w:ascii="Verdana" w:cs="Verdana" w:eastAsia="Verdana" w:hAnsi="Verdana"/>
                <w:sz w:val="18"/>
                <w:szCs w:val="18"/>
                <w:color w:val="auto"/>
              </w:rPr>
              <w:t>[c]</w:t>
            </w:r>
          </w:p>
        </w:tc>
        <w:tc>
          <w:tcPr>
            <w:tcW w:w="220" w:type="dxa"/>
            <w:vAlign w:val="bottom"/>
          </w:tcPr>
          <w:p>
            <w:pPr>
              <w:spacing w:after="0"/>
              <w:rPr>
                <w:sz w:val="22"/>
                <w:szCs w:val="22"/>
                <w:color w:val="auto"/>
              </w:rPr>
            </w:pPr>
          </w:p>
        </w:tc>
        <w:tc>
          <w:tcPr>
            <w:tcW w:w="1400" w:type="dxa"/>
            <w:vAlign w:val="bottom"/>
          </w:tcPr>
          <w:p>
            <w:pPr>
              <w:jc w:val="right"/>
              <w:ind w:right="195"/>
              <w:spacing w:after="0"/>
              <w:rPr>
                <w:sz w:val="20"/>
                <w:szCs w:val="20"/>
                <w:color w:val="auto"/>
              </w:rPr>
            </w:pPr>
            <w:r>
              <w:rPr>
                <w:rFonts w:ascii="Verdana" w:cs="Verdana" w:eastAsia="Verdana" w:hAnsi="Verdana"/>
                <w:sz w:val="18"/>
                <w:szCs w:val="18"/>
                <w:color w:val="auto"/>
              </w:rPr>
              <w:t>10,936,611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jc w:val="right"/>
              <w:ind w:right="193"/>
              <w:spacing w:after="0"/>
              <w:rPr>
                <w:sz w:val="20"/>
                <w:szCs w:val="20"/>
                <w:color w:val="auto"/>
              </w:rPr>
            </w:pPr>
            <w:r>
              <w:rPr>
                <w:rFonts w:ascii="Verdana" w:cs="Verdana" w:eastAsia="Verdana" w:hAnsi="Verdana"/>
                <w:sz w:val="18"/>
                <w:szCs w:val="18"/>
                <w:color w:val="auto"/>
              </w:rPr>
              <w:t>11,118,167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ind w:right="195"/>
              <w:spacing w:after="0"/>
              <w:rPr>
                <w:sz w:val="20"/>
                <w:szCs w:val="20"/>
                <w:color w:val="auto"/>
              </w:rPr>
            </w:pPr>
            <w:r>
              <w:rPr>
                <w:rFonts w:ascii="Verdana" w:cs="Verdana" w:eastAsia="Verdana" w:hAnsi="Verdana"/>
                <w:sz w:val="18"/>
                <w:szCs w:val="18"/>
                <w:color w:val="auto"/>
              </w:rPr>
              <w:t>10,976,660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ind w:right="193"/>
              <w:spacing w:after="0"/>
              <w:rPr>
                <w:sz w:val="20"/>
                <w:szCs w:val="20"/>
                <w:color w:val="auto"/>
              </w:rPr>
            </w:pPr>
            <w:r>
              <w:rPr>
                <w:rFonts w:ascii="Verdana" w:cs="Verdana" w:eastAsia="Verdana" w:hAnsi="Verdana"/>
                <w:sz w:val="18"/>
                <w:szCs w:val="18"/>
                <w:color w:val="auto"/>
              </w:rPr>
              <w:t>11,142,780</w:t>
            </w:r>
          </w:p>
        </w:tc>
      </w:tr>
      <w:tr>
        <w:trPr>
          <w:trHeight w:val="277"/>
        </w:trPr>
        <w:tc>
          <w:tcPr>
            <w:tcW w:w="3680" w:type="dxa"/>
            <w:vAlign w:val="bottom"/>
            <w:shd w:val="clear" w:color="auto" w:fill="E0E7ED"/>
          </w:tcPr>
          <w:p>
            <w:pPr>
              <w:spacing w:after="0"/>
              <w:rPr>
                <w:sz w:val="24"/>
                <w:szCs w:val="24"/>
                <w:color w:val="auto"/>
              </w:rPr>
            </w:pPr>
          </w:p>
        </w:tc>
        <w:tc>
          <w:tcPr>
            <w:tcW w:w="8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00" w:type="dxa"/>
            <w:vAlign w:val="bottom"/>
            <w:shd w:val="clear" w:color="auto" w:fill="E0E7ED"/>
          </w:tcPr>
          <w:p>
            <w:pPr>
              <w:spacing w:after="0"/>
              <w:rPr>
                <w:sz w:val="24"/>
                <w:szCs w:val="24"/>
                <w:color w:val="auto"/>
              </w:rPr>
            </w:pPr>
          </w:p>
        </w:tc>
      </w:tr>
    </w:tbl>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340" w:type="dxa"/>
            <w:vAlign w:val="bottom"/>
          </w:tcPr>
          <w:p>
            <w:pPr>
              <w:ind w:left="20"/>
              <w:spacing w:after="0"/>
              <w:rPr>
                <w:sz w:val="20"/>
                <w:szCs w:val="20"/>
                <w:color w:val="auto"/>
              </w:rPr>
            </w:pPr>
            <w:r>
              <w:rPr>
                <w:rFonts w:ascii="Verdana" w:cs="Verdana" w:eastAsia="Verdana" w:hAnsi="Verdana"/>
                <w:sz w:val="18"/>
                <w:szCs w:val="18"/>
                <w:b w:val="1"/>
                <w:bCs w:val="1"/>
                <w:color w:val="auto"/>
              </w:rPr>
              <w:t xml:space="preserve">Reported: </w:t>
            </w:r>
            <w:r>
              <w:rPr>
                <w:rFonts w:ascii="Verdana" w:cs="Verdana" w:eastAsia="Verdana" w:hAnsi="Verdana"/>
                <w:sz w:val="18"/>
                <w:szCs w:val="18"/>
                <w:color w:val="auto"/>
              </w:rPr>
              <w:t>Net interest margin</w:t>
            </w:r>
            <w:r>
              <w:rPr>
                <w:rFonts w:ascii="Verdana" w:cs="Verdana" w:eastAsia="Verdana" w:hAnsi="Verdana"/>
                <w:sz w:val="11"/>
                <w:szCs w:val="11"/>
                <w:color w:val="auto"/>
              </w:rPr>
              <w:t>2</w:t>
            </w:r>
          </w:p>
        </w:tc>
        <w:tc>
          <w:tcPr>
            <w:tcW w:w="1500" w:type="dxa"/>
            <w:vAlign w:val="bottom"/>
          </w:tcPr>
          <w:p>
            <w:pPr>
              <w:ind w:left="400"/>
              <w:spacing w:after="0"/>
              <w:rPr>
                <w:sz w:val="20"/>
                <w:szCs w:val="20"/>
                <w:color w:val="auto"/>
              </w:rPr>
            </w:pPr>
            <w:r>
              <w:rPr>
                <w:rFonts w:ascii="Verdana" w:cs="Verdana" w:eastAsia="Verdana" w:hAnsi="Verdana"/>
                <w:sz w:val="18"/>
                <w:szCs w:val="18"/>
                <w:color w:val="auto"/>
              </w:rPr>
              <w:t>[a÷c]</w:t>
            </w:r>
          </w:p>
        </w:tc>
        <w:tc>
          <w:tcPr>
            <w:tcW w:w="1760" w:type="dxa"/>
            <w:vAlign w:val="bottom"/>
          </w:tcPr>
          <w:p>
            <w:pPr>
              <w:jc w:val="right"/>
              <w:ind w:right="430"/>
              <w:spacing w:after="0"/>
              <w:rPr>
                <w:sz w:val="20"/>
                <w:szCs w:val="20"/>
                <w:color w:val="auto"/>
              </w:rPr>
            </w:pPr>
            <w:r>
              <w:rPr>
                <w:rFonts w:ascii="Verdana" w:cs="Verdana" w:eastAsia="Verdana" w:hAnsi="Verdana"/>
                <w:sz w:val="18"/>
                <w:szCs w:val="18"/>
                <w:color w:val="auto"/>
              </w:rPr>
              <w:t>3.02 %</w:t>
            </w:r>
          </w:p>
        </w:tc>
        <w:tc>
          <w:tcPr>
            <w:tcW w:w="1720" w:type="dxa"/>
            <w:vAlign w:val="bottom"/>
          </w:tcPr>
          <w:p>
            <w:pPr>
              <w:jc w:val="right"/>
              <w:ind w:right="430"/>
              <w:spacing w:after="0"/>
              <w:rPr>
                <w:sz w:val="20"/>
                <w:szCs w:val="20"/>
                <w:color w:val="auto"/>
              </w:rPr>
            </w:pPr>
            <w:r>
              <w:rPr>
                <w:rFonts w:ascii="Verdana" w:cs="Verdana" w:eastAsia="Verdana" w:hAnsi="Verdana"/>
                <w:sz w:val="18"/>
                <w:szCs w:val="18"/>
                <w:color w:val="auto"/>
              </w:rPr>
              <w:t>2.80 %</w:t>
            </w:r>
          </w:p>
        </w:tc>
        <w:tc>
          <w:tcPr>
            <w:tcW w:w="1720" w:type="dxa"/>
            <w:vAlign w:val="bottom"/>
          </w:tcPr>
          <w:p>
            <w:pPr>
              <w:jc w:val="right"/>
              <w:ind w:right="450"/>
              <w:spacing w:after="0"/>
              <w:rPr>
                <w:sz w:val="20"/>
                <w:szCs w:val="20"/>
                <w:color w:val="auto"/>
              </w:rPr>
            </w:pPr>
            <w:r>
              <w:rPr>
                <w:rFonts w:ascii="Verdana" w:cs="Verdana" w:eastAsia="Verdana" w:hAnsi="Verdana"/>
                <w:sz w:val="18"/>
                <w:szCs w:val="18"/>
                <w:color w:val="auto"/>
              </w:rPr>
              <w:t>2.94 %</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2.93 %</w:t>
            </w:r>
          </w:p>
        </w:tc>
      </w:tr>
      <w:tr>
        <w:trPr>
          <w:trHeight w:val="277"/>
        </w:trPr>
        <w:tc>
          <w:tcPr>
            <w:tcW w:w="33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 xml:space="preserve">Adjusted: </w:t>
            </w:r>
            <w:r>
              <w:rPr>
                <w:rFonts w:ascii="Verdana" w:cs="Verdana" w:eastAsia="Verdana" w:hAnsi="Verdana"/>
                <w:sz w:val="18"/>
                <w:szCs w:val="18"/>
                <w:color w:val="auto"/>
              </w:rPr>
              <w:t>Net interest margin</w:t>
            </w:r>
            <w:r>
              <w:rPr>
                <w:rFonts w:ascii="Verdana" w:cs="Verdana" w:eastAsia="Verdana" w:hAnsi="Verdana"/>
                <w:sz w:val="11"/>
                <w:szCs w:val="11"/>
                <w:color w:val="auto"/>
              </w:rPr>
              <w:t>2</w:t>
            </w:r>
          </w:p>
        </w:tc>
        <w:tc>
          <w:tcPr>
            <w:tcW w:w="1500" w:type="dxa"/>
            <w:vAlign w:val="bottom"/>
            <w:shd w:val="clear" w:color="auto" w:fill="E0E7ED"/>
          </w:tcPr>
          <w:p>
            <w:pPr>
              <w:ind w:left="400"/>
              <w:spacing w:after="0"/>
              <w:rPr>
                <w:sz w:val="20"/>
                <w:szCs w:val="20"/>
                <w:color w:val="auto"/>
              </w:rPr>
            </w:pPr>
            <w:r>
              <w:rPr>
                <w:rFonts w:ascii="Verdana" w:cs="Verdana" w:eastAsia="Verdana" w:hAnsi="Verdana"/>
                <w:sz w:val="18"/>
                <w:szCs w:val="18"/>
                <w:color w:val="auto"/>
              </w:rPr>
              <w:t>[b÷c]</w:t>
            </w:r>
          </w:p>
        </w:tc>
        <w:tc>
          <w:tcPr>
            <w:tcW w:w="1760" w:type="dxa"/>
            <w:vAlign w:val="bottom"/>
            <w:shd w:val="clear" w:color="auto" w:fill="E0E7ED"/>
          </w:tcPr>
          <w:p>
            <w:pPr>
              <w:jc w:val="right"/>
              <w:ind w:right="430"/>
              <w:spacing w:after="0"/>
              <w:rPr>
                <w:sz w:val="20"/>
                <w:szCs w:val="20"/>
                <w:color w:val="auto"/>
              </w:rPr>
            </w:pPr>
            <w:r>
              <w:rPr>
                <w:rFonts w:ascii="Verdana" w:cs="Verdana" w:eastAsia="Verdana" w:hAnsi="Verdana"/>
                <w:sz w:val="18"/>
                <w:szCs w:val="18"/>
                <w:color w:val="auto"/>
              </w:rPr>
              <w:t>2.97 %</w:t>
            </w:r>
          </w:p>
        </w:tc>
        <w:tc>
          <w:tcPr>
            <w:tcW w:w="1720" w:type="dxa"/>
            <w:vAlign w:val="bottom"/>
            <w:shd w:val="clear" w:color="auto" w:fill="E0E7ED"/>
          </w:tcPr>
          <w:p>
            <w:pPr>
              <w:jc w:val="right"/>
              <w:ind w:right="430"/>
              <w:spacing w:after="0"/>
              <w:rPr>
                <w:sz w:val="20"/>
                <w:szCs w:val="20"/>
                <w:color w:val="auto"/>
              </w:rPr>
            </w:pPr>
            <w:r>
              <w:rPr>
                <w:rFonts w:ascii="Verdana" w:cs="Verdana" w:eastAsia="Verdana" w:hAnsi="Verdana"/>
                <w:sz w:val="18"/>
                <w:szCs w:val="18"/>
                <w:color w:val="auto"/>
              </w:rPr>
              <w:t>2.79 %</w:t>
            </w:r>
          </w:p>
        </w:tc>
        <w:tc>
          <w:tcPr>
            <w:tcW w:w="1720" w:type="dxa"/>
            <w:vAlign w:val="bottom"/>
            <w:shd w:val="clear" w:color="auto" w:fill="E0E7ED"/>
          </w:tcPr>
          <w:p>
            <w:pPr>
              <w:jc w:val="right"/>
              <w:ind w:right="450"/>
              <w:spacing w:after="0"/>
              <w:rPr>
                <w:sz w:val="20"/>
                <w:szCs w:val="20"/>
                <w:color w:val="auto"/>
              </w:rPr>
            </w:pPr>
            <w:r>
              <w:rPr>
                <w:rFonts w:ascii="Verdana" w:cs="Verdana" w:eastAsia="Verdana" w:hAnsi="Verdana"/>
                <w:sz w:val="18"/>
                <w:szCs w:val="18"/>
                <w:color w:val="auto"/>
              </w:rPr>
              <w:t>2.92 %</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2.91 %</w:t>
            </w:r>
          </w:p>
        </w:tc>
      </w:tr>
    </w:tbl>
    <w:p>
      <w:pPr>
        <w:spacing w:after="0" w:line="80"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tabs>
          <w:tab w:leader="none" w:pos="480" w:val="left"/>
        </w:tabs>
        <w:numPr>
          <w:ilvl w:val="0"/>
          <w:numId w:val="31"/>
        </w:numPr>
        <w:rPr>
          <w:rFonts w:ascii="Verdana" w:cs="Verdana" w:eastAsia="Verdana" w:hAnsi="Verdana"/>
          <w:sz w:val="12"/>
          <w:szCs w:val="12"/>
          <w:color w:val="auto"/>
        </w:rPr>
      </w:pPr>
      <w:r>
        <w:rPr>
          <w:rFonts w:ascii="Verdana" w:cs="Verdana" w:eastAsia="Verdana" w:hAnsi="Verdana"/>
          <w:sz w:val="12"/>
          <w:szCs w:val="12"/>
          <w:color w:val="auto"/>
        </w:rPr>
        <w:t>Tax-equivalent adjustments were calculated using an estimated federal income tax rate of 21.0%, applied to non-taxable interest income on investments and loans.</w:t>
      </w:r>
    </w:p>
    <w:p>
      <w:pPr>
        <w:spacing w:after="0" w:line="2" w:lineRule="exact"/>
        <w:rPr>
          <w:rFonts w:ascii="Verdana" w:cs="Verdana" w:eastAsia="Verdana" w:hAnsi="Verdana"/>
          <w:sz w:val="12"/>
          <w:szCs w:val="12"/>
          <w:color w:val="auto"/>
        </w:rPr>
      </w:pPr>
    </w:p>
    <w:p>
      <w:pPr>
        <w:ind w:left="480" w:hanging="310"/>
        <w:spacing w:after="0"/>
        <w:tabs>
          <w:tab w:leader="none" w:pos="480" w:val="left"/>
        </w:tabs>
        <w:numPr>
          <w:ilvl w:val="0"/>
          <w:numId w:val="31"/>
        </w:numPr>
        <w:rPr>
          <w:rFonts w:ascii="Verdana" w:cs="Verdana" w:eastAsia="Verdana" w:hAnsi="Verdana"/>
          <w:sz w:val="13"/>
          <w:szCs w:val="13"/>
          <w:color w:val="auto"/>
        </w:rPr>
      </w:pPr>
      <w:r>
        <w:rPr>
          <w:rFonts w:ascii="Verdana" w:cs="Verdana" w:eastAsia="Verdana" w:hAnsi="Verdana"/>
          <w:sz w:val="13"/>
          <w:szCs w:val="13"/>
          <w:color w:val="auto"/>
        </w:rPr>
        <w:t>Annualized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99" w:name="page100"/>
    <w:bookmarkEnd w:id="99"/>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2. MD&amp;A</w:t>
      </w:r>
    </w:p>
    <w:p>
      <w:pPr>
        <w:spacing w:after="0" w:line="186"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RECONCILIATION OF NON-GAAP FINANCIAL MEASURES (Unaudited)</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Adjusted Noninterest Income, Operating Revenue, Adjusted Noninterest Income to Operating Revenue,</w:t>
      </w:r>
    </w:p>
    <w:p>
      <w:pPr>
        <w:jc w:val="center"/>
        <w:ind w:left="340" w:right="680"/>
        <w:spacing w:after="0" w:line="236" w:lineRule="auto"/>
        <w:rPr>
          <w:sz w:val="20"/>
          <w:szCs w:val="20"/>
          <w:color w:val="auto"/>
        </w:rPr>
      </w:pPr>
      <w:r>
        <w:rPr>
          <w:rFonts w:ascii="Verdana" w:cs="Verdana" w:eastAsia="Verdana" w:hAnsi="Verdana"/>
          <w:sz w:val="18"/>
          <w:szCs w:val="18"/>
          <w:b w:val="1"/>
          <w:bCs w:val="1"/>
          <w:color w:val="auto"/>
        </w:rPr>
        <w:t>Noninterest Expense Excluding Amortization of Intangible Assets, Adjusted Noninterest Expense, Adjusted Core Expense, Noninterest Expense Excluding Non-Operating Adjustments,</w:t>
      </w:r>
    </w:p>
    <w:p>
      <w:pPr>
        <w:spacing w:after="0" w:line="2"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Efficiency Ratio, Adjusted Efficiency Ratio, and Adjusted Core Efficiency Ratio</w:t>
      </w:r>
    </w:p>
    <w:p>
      <w:pPr>
        <w:spacing w:after="0" w:line="5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40" w:type="dxa"/>
            <w:vAlign w:val="bottom"/>
            <w:gridSpan w:val="5"/>
          </w:tcPr>
          <w:p>
            <w:pPr>
              <w:ind w:left="120"/>
              <w:spacing w:after="0"/>
              <w:rPr>
                <w:sz w:val="20"/>
                <w:szCs w:val="20"/>
                <w:color w:val="auto"/>
              </w:rPr>
            </w:pPr>
            <w:r>
              <w:rPr>
                <w:rFonts w:ascii="Verdana" w:cs="Verdana" w:eastAsia="Verdana" w:hAnsi="Verdana"/>
                <w:sz w:val="13"/>
                <w:szCs w:val="13"/>
                <w:b w:val="1"/>
                <w:bCs w:val="1"/>
                <w:color w:val="auto"/>
              </w:rPr>
              <w:t>Three Months Ended September 30,</w:t>
            </w:r>
          </w:p>
        </w:tc>
        <w:tc>
          <w:tcPr>
            <w:tcW w:w="280" w:type="dxa"/>
            <w:vAlign w:val="bottom"/>
          </w:tcPr>
          <w:p>
            <w:pPr>
              <w:spacing w:after="0"/>
              <w:rPr>
                <w:sz w:val="15"/>
                <w:szCs w:val="15"/>
                <w:color w:val="auto"/>
              </w:rPr>
            </w:pPr>
          </w:p>
        </w:tc>
        <w:tc>
          <w:tcPr>
            <w:tcW w:w="3020" w:type="dxa"/>
            <w:vAlign w:val="bottom"/>
            <w:gridSpan w:val="4"/>
          </w:tcPr>
          <w:p>
            <w:pPr>
              <w:jc w:val="right"/>
              <w:ind w:right="352"/>
              <w:spacing w:after="0"/>
              <w:rPr>
                <w:sz w:val="20"/>
                <w:szCs w:val="20"/>
                <w:color w:val="auto"/>
              </w:rPr>
            </w:pPr>
            <w:r>
              <w:rPr>
                <w:rFonts w:ascii="Verdana" w:cs="Verdana" w:eastAsia="Verdana" w:hAnsi="Verdana"/>
                <w:sz w:val="13"/>
                <w:szCs w:val="13"/>
                <w:b w:val="1"/>
                <w:bCs w:val="1"/>
                <w:color w:val="auto"/>
              </w:rPr>
              <w:t>Nine Months Ended September 30,</w:t>
            </w:r>
          </w:p>
        </w:tc>
      </w:tr>
      <w:tr>
        <w:trPr>
          <w:trHeight w:val="170"/>
        </w:trPr>
        <w:tc>
          <w:tcPr>
            <w:tcW w:w="3300" w:type="dxa"/>
            <w:vAlign w:val="bottom"/>
            <w:tcBorders>
              <w:bottom w:val="single" w:sz="8" w:color="E0E7ED"/>
            </w:tcBorders>
          </w:tcPr>
          <w:p>
            <w:pPr>
              <w:spacing w:after="0"/>
              <w:rPr>
                <w:sz w:val="14"/>
                <w:szCs w:val="14"/>
                <w:color w:val="auto"/>
              </w:rPr>
            </w:pPr>
          </w:p>
        </w:tc>
        <w:tc>
          <w:tcPr>
            <w:tcW w:w="1240" w:type="dxa"/>
            <w:vAlign w:val="bottom"/>
            <w:tcBorders>
              <w:bottom w:val="single" w:sz="8" w:color="E0E7ED"/>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534"/>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32"/>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534"/>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32"/>
              <w:spacing w:after="0"/>
              <w:rPr>
                <w:sz w:val="20"/>
                <w:szCs w:val="20"/>
                <w:color w:val="auto"/>
              </w:rPr>
            </w:pPr>
            <w:r>
              <w:rPr>
                <w:rFonts w:ascii="Verdana" w:cs="Verdana" w:eastAsia="Verdana" w:hAnsi="Verdana"/>
                <w:sz w:val="13"/>
                <w:szCs w:val="13"/>
                <w:b w:val="1"/>
                <w:bCs w:val="1"/>
                <w:color w:val="auto"/>
              </w:rPr>
              <w:t>2023</w:t>
            </w:r>
          </w:p>
        </w:tc>
      </w:tr>
      <w:tr>
        <w:trPr>
          <w:trHeight w:val="269"/>
        </w:trPr>
        <w:tc>
          <w:tcPr>
            <w:tcW w:w="33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Net interest income</w:t>
            </w:r>
          </w:p>
        </w:tc>
        <w:tc>
          <w:tcPr>
            <w:tcW w:w="1240" w:type="dxa"/>
            <w:vAlign w:val="bottom"/>
            <w:shd w:val="clear" w:color="auto" w:fill="E0E7ED"/>
          </w:tcPr>
          <w:p>
            <w:pPr>
              <w:ind w:left="80"/>
              <w:spacing w:after="0"/>
              <w:rPr>
                <w:sz w:val="20"/>
                <w:szCs w:val="20"/>
                <w:color w:val="auto"/>
              </w:rPr>
            </w:pPr>
            <w:r>
              <w:rPr>
                <w:rFonts w:ascii="Verdana" w:cs="Verdana" w:eastAsia="Verdana" w:hAnsi="Verdana"/>
                <w:sz w:val="18"/>
                <w:szCs w:val="18"/>
                <w:color w:val="auto"/>
              </w:rPr>
              <w:t>[a]</w:t>
            </w: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34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82,541</w:t>
            </w: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26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77,791</w:t>
            </w:r>
          </w:p>
        </w:tc>
        <w:tc>
          <w:tcPr>
            <w:tcW w:w="100" w:type="dxa"/>
            <w:vAlign w:val="bottom"/>
            <w:shd w:val="clear" w:color="auto" w:fill="E0E7ED"/>
          </w:tcPr>
          <w:p>
            <w:pPr>
              <w:spacing w:after="0"/>
              <w:rPr>
                <w:sz w:val="23"/>
                <w:szCs w:val="23"/>
                <w:color w:val="auto"/>
              </w:rPr>
            </w:pPr>
          </w:p>
        </w:tc>
        <w:tc>
          <w:tcPr>
            <w:tcW w:w="28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w w:val="86"/>
              </w:rPr>
              <w:t>$</w:t>
            </w:r>
          </w:p>
        </w:tc>
        <w:tc>
          <w:tcPr>
            <w:tcW w:w="132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240,742</w:t>
            </w: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26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242,318</w:t>
            </w:r>
          </w:p>
        </w:tc>
      </w:tr>
      <w:tr>
        <w:trPr>
          <w:trHeight w:val="263"/>
        </w:trPr>
        <w:tc>
          <w:tcPr>
            <w:tcW w:w="3300" w:type="dxa"/>
            <w:vAlign w:val="bottom"/>
          </w:tcPr>
          <w:p>
            <w:pPr>
              <w:ind w:left="20"/>
              <w:spacing w:after="0"/>
              <w:rPr>
                <w:sz w:val="20"/>
                <w:szCs w:val="20"/>
                <w:color w:val="auto"/>
              </w:rPr>
            </w:pPr>
            <w:r>
              <w:rPr>
                <w:rFonts w:ascii="Verdana" w:cs="Verdana" w:eastAsia="Verdana" w:hAnsi="Verdana"/>
                <w:sz w:val="18"/>
                <w:szCs w:val="18"/>
                <w:color w:val="auto"/>
              </w:rPr>
              <w:t>Non-GAAP adjustments:</w:t>
            </w:r>
          </w:p>
        </w:tc>
        <w:tc>
          <w:tcPr>
            <w:tcW w:w="1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33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Tax-equivalent adjustment</w:t>
            </w:r>
            <w:r>
              <w:rPr>
                <w:rFonts w:ascii="Verdana" w:cs="Verdana" w:eastAsia="Verdana" w:hAnsi="Verdana"/>
                <w:sz w:val="11"/>
                <w:szCs w:val="11"/>
                <w:color w:val="auto"/>
              </w:rPr>
              <w:t>1</w:t>
            </w:r>
          </w:p>
        </w:tc>
        <w:tc>
          <w:tcPr>
            <w:tcW w:w="1240" w:type="dxa"/>
            <w:vAlign w:val="bottom"/>
            <w:shd w:val="clear" w:color="auto" w:fill="E0E7ED"/>
          </w:tcPr>
          <w:p>
            <w:pPr>
              <w:spacing w:after="0"/>
              <w:rPr>
                <w:sz w:val="23"/>
                <w:szCs w:val="23"/>
                <w:color w:val="auto"/>
              </w:rPr>
            </w:pPr>
          </w:p>
        </w:tc>
        <w:tc>
          <w:tcPr>
            <w:tcW w:w="260" w:type="dxa"/>
            <w:vAlign w:val="bottom"/>
            <w:tcBorders>
              <w:bottom w:val="single" w:sz="8" w:color="auto"/>
            </w:tcBorders>
            <w:shd w:val="clear" w:color="auto" w:fill="E0E7ED"/>
          </w:tcPr>
          <w:p>
            <w:pPr>
              <w:spacing w:after="0"/>
              <w:rPr>
                <w:sz w:val="23"/>
                <w:szCs w:val="23"/>
                <w:color w:val="auto"/>
              </w:rPr>
            </w:pPr>
          </w:p>
        </w:tc>
        <w:tc>
          <w:tcPr>
            <w:tcW w:w="1340" w:type="dxa"/>
            <w:vAlign w:val="bottom"/>
            <w:tcBorders>
              <w:bottom w:val="single" w:sz="8" w:color="auto"/>
            </w:tcBorders>
            <w:shd w:val="clear" w:color="auto" w:fill="E0E7ED"/>
          </w:tcPr>
          <w:p>
            <w:pPr>
              <w:jc w:val="right"/>
              <w:ind w:right="194"/>
              <w:spacing w:after="0"/>
              <w:rPr>
                <w:sz w:val="20"/>
                <w:szCs w:val="20"/>
                <w:color w:val="auto"/>
              </w:rPr>
            </w:pPr>
            <w:r>
              <w:rPr>
                <w:rFonts w:ascii="Verdana" w:cs="Verdana" w:eastAsia="Verdana" w:hAnsi="Verdana"/>
                <w:sz w:val="18"/>
                <w:szCs w:val="18"/>
                <w:color w:val="auto"/>
              </w:rPr>
              <w:t>396</w:t>
            </w:r>
          </w:p>
        </w:tc>
        <w:tc>
          <w:tcPr>
            <w:tcW w:w="100" w:type="dxa"/>
            <w:vAlign w:val="bottom"/>
            <w:shd w:val="clear" w:color="auto" w:fill="E0E7ED"/>
          </w:tcPr>
          <w:p>
            <w:pPr>
              <w:spacing w:after="0"/>
              <w:rPr>
                <w:sz w:val="23"/>
                <w:szCs w:val="23"/>
                <w:color w:val="auto"/>
              </w:rPr>
            </w:pPr>
          </w:p>
        </w:tc>
        <w:tc>
          <w:tcPr>
            <w:tcW w:w="34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ind w:right="192"/>
              <w:spacing w:after="0"/>
              <w:rPr>
                <w:sz w:val="20"/>
                <w:szCs w:val="20"/>
                <w:color w:val="auto"/>
              </w:rPr>
            </w:pPr>
            <w:r>
              <w:rPr>
                <w:rFonts w:ascii="Verdana" w:cs="Verdana" w:eastAsia="Verdana" w:hAnsi="Verdana"/>
                <w:sz w:val="18"/>
                <w:szCs w:val="18"/>
                <w:color w:val="auto"/>
              </w:rPr>
              <w:t>553</w:t>
            </w:r>
          </w:p>
        </w:tc>
        <w:tc>
          <w:tcPr>
            <w:tcW w:w="100" w:type="dxa"/>
            <w:vAlign w:val="bottom"/>
            <w:shd w:val="clear" w:color="auto" w:fill="E0E7ED"/>
          </w:tcPr>
          <w:p>
            <w:pPr>
              <w:spacing w:after="0"/>
              <w:rPr>
                <w:sz w:val="23"/>
                <w:szCs w:val="23"/>
                <w:color w:val="auto"/>
              </w:rPr>
            </w:pPr>
          </w:p>
        </w:tc>
        <w:tc>
          <w:tcPr>
            <w:tcW w:w="280" w:type="dxa"/>
            <w:vAlign w:val="bottom"/>
            <w:tcBorders>
              <w:bottom w:val="single" w:sz="8" w:color="auto"/>
            </w:tcBorders>
            <w:shd w:val="clear" w:color="auto" w:fill="E0E7ED"/>
          </w:tcPr>
          <w:p>
            <w:pPr>
              <w:spacing w:after="0"/>
              <w:rPr>
                <w:sz w:val="23"/>
                <w:szCs w:val="23"/>
                <w:color w:val="auto"/>
              </w:rPr>
            </w:pPr>
          </w:p>
        </w:tc>
        <w:tc>
          <w:tcPr>
            <w:tcW w:w="1320" w:type="dxa"/>
            <w:vAlign w:val="bottom"/>
            <w:tcBorders>
              <w:bottom w:val="single" w:sz="8" w:color="auto"/>
            </w:tcBorders>
            <w:shd w:val="clear" w:color="auto" w:fill="E0E7ED"/>
          </w:tcPr>
          <w:p>
            <w:pPr>
              <w:jc w:val="right"/>
              <w:ind w:right="194"/>
              <w:spacing w:after="0"/>
              <w:rPr>
                <w:sz w:val="20"/>
                <w:szCs w:val="20"/>
                <w:color w:val="auto"/>
              </w:rPr>
            </w:pPr>
            <w:r>
              <w:rPr>
                <w:rFonts w:ascii="Verdana" w:cs="Verdana" w:eastAsia="Verdana" w:hAnsi="Verdana"/>
                <w:sz w:val="18"/>
                <w:szCs w:val="18"/>
                <w:color w:val="auto"/>
              </w:rPr>
              <w:t>1,247</w:t>
            </w:r>
          </w:p>
        </w:tc>
        <w:tc>
          <w:tcPr>
            <w:tcW w:w="100" w:type="dxa"/>
            <w:vAlign w:val="bottom"/>
            <w:shd w:val="clear" w:color="auto" w:fill="E0E7ED"/>
          </w:tcPr>
          <w:p>
            <w:pPr>
              <w:spacing w:after="0"/>
              <w:rPr>
                <w:sz w:val="23"/>
                <w:szCs w:val="23"/>
                <w:color w:val="auto"/>
              </w:rPr>
            </w:pPr>
          </w:p>
        </w:tc>
        <w:tc>
          <w:tcPr>
            <w:tcW w:w="34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ind w:right="192"/>
              <w:spacing w:after="0"/>
              <w:rPr>
                <w:sz w:val="20"/>
                <w:szCs w:val="20"/>
                <w:color w:val="auto"/>
              </w:rPr>
            </w:pPr>
            <w:r>
              <w:rPr>
                <w:rFonts w:ascii="Verdana" w:cs="Verdana" w:eastAsia="Verdana" w:hAnsi="Verdana"/>
                <w:sz w:val="18"/>
                <w:szCs w:val="18"/>
                <w:color w:val="auto"/>
              </w:rPr>
              <w:t>1,672</w:t>
            </w:r>
          </w:p>
        </w:tc>
      </w:tr>
      <w:tr>
        <w:trPr>
          <w:trHeight w:val="270"/>
        </w:trPr>
        <w:tc>
          <w:tcPr>
            <w:tcW w:w="3300" w:type="dxa"/>
            <w:vAlign w:val="bottom"/>
          </w:tcPr>
          <w:p>
            <w:pPr>
              <w:ind w:left="20"/>
              <w:spacing w:after="0"/>
              <w:rPr>
                <w:sz w:val="20"/>
                <w:szCs w:val="20"/>
                <w:color w:val="auto"/>
              </w:rPr>
            </w:pPr>
            <w:r>
              <w:rPr>
                <w:rFonts w:ascii="Verdana" w:cs="Verdana" w:eastAsia="Verdana" w:hAnsi="Verdana"/>
                <w:sz w:val="18"/>
                <w:szCs w:val="18"/>
                <w:color w:val="auto"/>
              </w:rPr>
              <w:t>Tax-equivalent net interest income</w:t>
            </w:r>
          </w:p>
        </w:tc>
        <w:tc>
          <w:tcPr>
            <w:tcW w:w="1240" w:type="dxa"/>
            <w:vAlign w:val="bottom"/>
          </w:tcPr>
          <w:p>
            <w:pPr>
              <w:ind w:left="80"/>
              <w:spacing w:after="0"/>
              <w:rPr>
                <w:sz w:val="20"/>
                <w:szCs w:val="20"/>
                <w:color w:val="auto"/>
              </w:rPr>
            </w:pPr>
            <w:r>
              <w:rPr>
                <w:rFonts w:ascii="Verdana" w:cs="Verdana" w:eastAsia="Verdana" w:hAnsi="Verdana"/>
                <w:sz w:val="18"/>
                <w:szCs w:val="18"/>
                <w:color w:val="auto"/>
              </w:rPr>
              <w:t>[b]</w:t>
            </w:r>
          </w:p>
        </w:tc>
        <w:tc>
          <w:tcPr>
            <w:tcW w:w="260" w:type="dxa"/>
            <w:vAlign w:val="bottom"/>
            <w:tcBorders>
              <w:bottom w:val="single" w:sz="8" w:color="auto"/>
            </w:tcBorders>
          </w:tcPr>
          <w:p>
            <w:pPr>
              <w:jc w:val="right"/>
              <w:ind w:right="30"/>
              <w:spacing w:after="0"/>
              <w:rPr>
                <w:sz w:val="20"/>
                <w:szCs w:val="20"/>
                <w:color w:val="auto"/>
              </w:rPr>
            </w:pPr>
            <w:r>
              <w:rPr>
                <w:rFonts w:ascii="Verdana" w:cs="Verdana" w:eastAsia="Verdana" w:hAnsi="Verdana"/>
                <w:sz w:val="18"/>
                <w:szCs w:val="18"/>
                <w:color w:val="auto"/>
              </w:rPr>
              <w:t>$</w:t>
            </w:r>
          </w:p>
        </w:tc>
        <w:tc>
          <w:tcPr>
            <w:tcW w:w="1340" w:type="dxa"/>
            <w:vAlign w:val="bottom"/>
            <w:tcBorders>
              <w:bottom w:val="single" w:sz="8" w:color="auto"/>
            </w:tcBorders>
          </w:tcPr>
          <w:p>
            <w:pPr>
              <w:jc w:val="right"/>
              <w:ind w:right="194"/>
              <w:spacing w:after="0"/>
              <w:rPr>
                <w:sz w:val="20"/>
                <w:szCs w:val="20"/>
                <w:color w:val="auto"/>
              </w:rPr>
            </w:pPr>
            <w:r>
              <w:rPr>
                <w:rFonts w:ascii="Verdana" w:cs="Verdana" w:eastAsia="Verdana" w:hAnsi="Verdana"/>
                <w:sz w:val="18"/>
                <w:szCs w:val="18"/>
                <w:color w:val="auto"/>
              </w:rPr>
              <w:t>82,937</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w w:val="86"/>
              </w:rPr>
              <w:t>$</w:t>
            </w:r>
          </w:p>
        </w:tc>
        <w:tc>
          <w:tcPr>
            <w:tcW w:w="1260" w:type="dxa"/>
            <w:vAlign w:val="bottom"/>
            <w:tcBorders>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78,344</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w w:val="86"/>
              </w:rPr>
              <w:t>$</w:t>
            </w:r>
          </w:p>
        </w:tc>
        <w:tc>
          <w:tcPr>
            <w:tcW w:w="1320" w:type="dxa"/>
            <w:vAlign w:val="bottom"/>
            <w:tcBorders>
              <w:bottom w:val="single" w:sz="8" w:color="auto"/>
            </w:tcBorders>
          </w:tcPr>
          <w:p>
            <w:pPr>
              <w:jc w:val="right"/>
              <w:ind w:right="194"/>
              <w:spacing w:after="0"/>
              <w:rPr>
                <w:sz w:val="20"/>
                <w:szCs w:val="20"/>
                <w:color w:val="auto"/>
              </w:rPr>
            </w:pPr>
            <w:r>
              <w:rPr>
                <w:rFonts w:ascii="Verdana" w:cs="Verdana" w:eastAsia="Verdana" w:hAnsi="Verdana"/>
                <w:sz w:val="18"/>
                <w:szCs w:val="18"/>
                <w:color w:val="auto"/>
              </w:rPr>
              <w:t>241,989</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w w:val="86"/>
              </w:rPr>
              <w:t>$</w:t>
            </w:r>
          </w:p>
        </w:tc>
        <w:tc>
          <w:tcPr>
            <w:tcW w:w="1260" w:type="dxa"/>
            <w:vAlign w:val="bottom"/>
            <w:tcBorders>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243,990</w:t>
            </w:r>
          </w:p>
        </w:tc>
      </w:tr>
      <w:tr>
        <w:trPr>
          <w:trHeight w:val="20"/>
        </w:trPr>
        <w:tc>
          <w:tcPr>
            <w:tcW w:w="3300" w:type="dxa"/>
            <w:vAlign w:val="bottom"/>
            <w:tcBorders>
              <w:bottom w:val="single" w:sz="8" w:color="E0E7ED"/>
            </w:tcBorders>
          </w:tcPr>
          <w:p>
            <w:pPr>
              <w:spacing w:after="0" w:line="20" w:lineRule="exact"/>
              <w:rPr>
                <w:sz w:val="1"/>
                <w:szCs w:val="1"/>
                <w:color w:val="auto"/>
              </w:rPr>
            </w:pPr>
          </w:p>
        </w:tc>
        <w:tc>
          <w:tcPr>
            <w:tcW w:w="1240" w:type="dxa"/>
            <w:vAlign w:val="bottom"/>
            <w:tcBorders>
              <w:bottom w:val="single" w:sz="8" w:color="E0E7E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3300" w:type="dxa"/>
            <w:vAlign w:val="bottom"/>
            <w:shd w:val="clear" w:color="auto" w:fill="E0E7ED"/>
          </w:tcPr>
          <w:p>
            <w:pPr>
              <w:spacing w:after="0"/>
              <w:rPr>
                <w:sz w:val="20"/>
                <w:szCs w:val="20"/>
                <w:color w:val="auto"/>
              </w:rPr>
            </w:pPr>
          </w:p>
        </w:tc>
        <w:tc>
          <w:tcPr>
            <w:tcW w:w="124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34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40" w:type="dxa"/>
            <w:vAlign w:val="bottom"/>
            <w:shd w:val="clear" w:color="auto" w:fill="E0E7ED"/>
          </w:tcPr>
          <w:p>
            <w:pPr>
              <w:spacing w:after="0"/>
              <w:rPr>
                <w:sz w:val="20"/>
                <w:szCs w:val="20"/>
                <w:color w:val="auto"/>
              </w:rPr>
            </w:pPr>
          </w:p>
        </w:tc>
        <w:tc>
          <w:tcPr>
            <w:tcW w:w="126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80" w:type="dxa"/>
            <w:vAlign w:val="bottom"/>
            <w:shd w:val="clear" w:color="auto" w:fill="E0E7ED"/>
          </w:tcPr>
          <w:p>
            <w:pPr>
              <w:spacing w:after="0"/>
              <w:rPr>
                <w:sz w:val="20"/>
                <w:szCs w:val="20"/>
                <w:color w:val="auto"/>
              </w:rPr>
            </w:pPr>
          </w:p>
        </w:tc>
        <w:tc>
          <w:tcPr>
            <w:tcW w:w="13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40" w:type="dxa"/>
            <w:vAlign w:val="bottom"/>
            <w:shd w:val="clear" w:color="auto" w:fill="E0E7ED"/>
          </w:tcPr>
          <w:p>
            <w:pPr>
              <w:spacing w:after="0"/>
              <w:rPr>
                <w:sz w:val="20"/>
                <w:szCs w:val="20"/>
                <w:color w:val="auto"/>
              </w:rPr>
            </w:pPr>
          </w:p>
        </w:tc>
        <w:tc>
          <w:tcPr>
            <w:tcW w:w="1260" w:type="dxa"/>
            <w:vAlign w:val="bottom"/>
            <w:shd w:val="clear" w:color="auto" w:fill="E0E7ED"/>
          </w:tcPr>
          <w:p>
            <w:pPr>
              <w:spacing w:after="0"/>
              <w:rPr>
                <w:sz w:val="20"/>
                <w:szCs w:val="20"/>
                <w:color w:val="auto"/>
              </w:rPr>
            </w:pPr>
          </w:p>
        </w:tc>
      </w:tr>
      <w:tr>
        <w:trPr>
          <w:trHeight w:val="263"/>
        </w:trPr>
        <w:tc>
          <w:tcPr>
            <w:tcW w:w="3300" w:type="dxa"/>
            <w:vAlign w:val="bottom"/>
          </w:tcPr>
          <w:p>
            <w:pPr>
              <w:ind w:left="20"/>
              <w:spacing w:after="0"/>
              <w:rPr>
                <w:sz w:val="20"/>
                <w:szCs w:val="20"/>
                <w:color w:val="auto"/>
              </w:rPr>
            </w:pPr>
            <w:r>
              <w:rPr>
                <w:rFonts w:ascii="Verdana" w:cs="Verdana" w:eastAsia="Verdana" w:hAnsi="Verdana"/>
                <w:sz w:val="18"/>
                <w:szCs w:val="18"/>
                <w:b w:val="1"/>
                <w:bCs w:val="1"/>
                <w:color w:val="auto"/>
              </w:rPr>
              <w:t>Total noninterest income</w:t>
            </w:r>
          </w:p>
        </w:tc>
        <w:tc>
          <w:tcPr>
            <w:tcW w:w="124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340" w:type="dxa"/>
            <w:vAlign w:val="bottom"/>
          </w:tcPr>
          <w:p>
            <w:pPr>
              <w:jc w:val="right"/>
              <w:ind w:right="194"/>
              <w:spacing w:after="0"/>
              <w:rPr>
                <w:sz w:val="20"/>
                <w:szCs w:val="20"/>
                <w:color w:val="auto"/>
              </w:rPr>
            </w:pPr>
            <w:r>
              <w:rPr>
                <w:rFonts w:ascii="Verdana" w:cs="Verdana" w:eastAsia="Verdana" w:hAnsi="Verdana"/>
                <w:sz w:val="18"/>
                <w:szCs w:val="18"/>
                <w:color w:val="auto"/>
              </w:rPr>
              <w:t>35,951</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260" w:type="dxa"/>
            <w:vAlign w:val="bottom"/>
          </w:tcPr>
          <w:p>
            <w:pPr>
              <w:jc w:val="right"/>
              <w:ind w:right="192"/>
              <w:spacing w:after="0"/>
              <w:rPr>
                <w:sz w:val="20"/>
                <w:szCs w:val="20"/>
                <w:color w:val="auto"/>
              </w:rPr>
            </w:pPr>
            <w:r>
              <w:rPr>
                <w:rFonts w:ascii="Verdana" w:cs="Verdana" w:eastAsia="Verdana" w:hAnsi="Verdana"/>
                <w:sz w:val="18"/>
                <w:szCs w:val="18"/>
                <w:color w:val="auto"/>
              </w:rPr>
              <w:t>31,008</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Verdana" w:cs="Verdana" w:eastAsia="Verdana" w:hAnsi="Verdana"/>
                <w:sz w:val="18"/>
                <w:szCs w:val="18"/>
                <w:color w:val="auto"/>
                <w:w w:val="86"/>
              </w:rPr>
              <w:t>$</w:t>
            </w:r>
          </w:p>
        </w:tc>
        <w:tc>
          <w:tcPr>
            <w:tcW w:w="1320" w:type="dxa"/>
            <w:vAlign w:val="bottom"/>
          </w:tcPr>
          <w:p>
            <w:pPr>
              <w:jc w:val="right"/>
              <w:ind w:right="194"/>
              <w:spacing w:after="0"/>
              <w:rPr>
                <w:sz w:val="20"/>
                <w:szCs w:val="20"/>
                <w:color w:val="auto"/>
              </w:rPr>
            </w:pPr>
            <w:r>
              <w:rPr>
                <w:rFonts w:ascii="Verdana" w:cs="Verdana" w:eastAsia="Verdana" w:hAnsi="Verdana"/>
                <w:sz w:val="18"/>
                <w:szCs w:val="18"/>
                <w:color w:val="auto"/>
              </w:rPr>
              <w:t>104,752</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260" w:type="dxa"/>
            <w:vAlign w:val="bottom"/>
          </w:tcPr>
          <w:p>
            <w:pPr>
              <w:jc w:val="right"/>
              <w:ind w:right="192"/>
              <w:spacing w:after="0"/>
              <w:rPr>
                <w:sz w:val="20"/>
                <w:szCs w:val="20"/>
                <w:color w:val="auto"/>
              </w:rPr>
            </w:pPr>
            <w:r>
              <w:rPr>
                <w:rFonts w:ascii="Verdana" w:cs="Verdana" w:eastAsia="Verdana" w:hAnsi="Verdana"/>
                <w:sz w:val="18"/>
                <w:szCs w:val="18"/>
                <w:color w:val="auto"/>
              </w:rPr>
              <w:t>90,868</w:t>
            </w:r>
          </w:p>
        </w:tc>
      </w:tr>
      <w:tr>
        <w:trPr>
          <w:trHeight w:val="277"/>
        </w:trPr>
        <w:tc>
          <w:tcPr>
            <w:tcW w:w="33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Non-GAAP adjustments:</w:t>
            </w:r>
          </w:p>
        </w:tc>
        <w:tc>
          <w:tcPr>
            <w:tcW w:w="124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34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32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spacing w:after="0"/>
              <w:rPr>
                <w:sz w:val="24"/>
                <w:szCs w:val="24"/>
                <w:color w:val="auto"/>
              </w:rPr>
            </w:pPr>
          </w:p>
        </w:tc>
      </w:tr>
      <w:tr>
        <w:trPr>
          <w:trHeight w:val="263"/>
        </w:trPr>
        <w:tc>
          <w:tcPr>
            <w:tcW w:w="330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Net security (gains) losses</w:t>
            </w:r>
          </w:p>
        </w:tc>
        <w:tc>
          <w:tcPr>
            <w:tcW w:w="1240" w:type="dxa"/>
            <w:vAlign w:val="bottom"/>
            <w:tcBorders>
              <w:bottom w:val="single" w:sz="8" w:color="E0E7ED"/>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34"/>
              <w:spacing w:after="0"/>
              <w:rPr>
                <w:sz w:val="20"/>
                <w:szCs w:val="20"/>
                <w:color w:val="auto"/>
              </w:rPr>
            </w:pPr>
            <w:r>
              <w:rPr>
                <w:rFonts w:ascii="Verdana" w:cs="Verdana" w:eastAsia="Verdana" w:hAnsi="Verdana"/>
                <w:sz w:val="18"/>
                <w:szCs w:val="18"/>
                <w:color w:val="auto"/>
              </w:rPr>
              <w:t>(822)</w:t>
            </w:r>
          </w:p>
        </w:tc>
        <w:tc>
          <w:tcPr>
            <w:tcW w:w="10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285</w:t>
            </w:r>
          </w:p>
        </w:tc>
        <w:tc>
          <w:tcPr>
            <w:tcW w:w="100" w:type="dxa"/>
            <w:vAlign w:val="bottom"/>
            <w:tcBorders>
              <w:bottom w:val="single" w:sz="8" w:color="E0E7ED"/>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4"/>
              <w:spacing w:after="0"/>
              <w:rPr>
                <w:sz w:val="20"/>
                <w:szCs w:val="20"/>
                <w:color w:val="auto"/>
              </w:rPr>
            </w:pPr>
            <w:r>
              <w:rPr>
                <w:rFonts w:ascii="Verdana" w:cs="Verdana" w:eastAsia="Verdana" w:hAnsi="Verdana"/>
                <w:sz w:val="18"/>
                <w:szCs w:val="18"/>
                <w:color w:val="auto"/>
              </w:rPr>
              <w:t>5,906</w:t>
            </w:r>
          </w:p>
        </w:tc>
        <w:tc>
          <w:tcPr>
            <w:tcW w:w="10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2,960</w:t>
            </w:r>
          </w:p>
        </w:tc>
      </w:tr>
      <w:tr>
        <w:trPr>
          <w:trHeight w:val="224"/>
        </w:trPr>
        <w:tc>
          <w:tcPr>
            <w:tcW w:w="33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Noninterest income excluding net</w:t>
            </w:r>
          </w:p>
        </w:tc>
        <w:tc>
          <w:tcPr>
            <w:tcW w:w="1240" w:type="dxa"/>
            <w:vAlign w:val="bottom"/>
            <w:shd w:val="clear" w:color="auto" w:fill="E0E7ED"/>
          </w:tcPr>
          <w:p>
            <w:pPr>
              <w:spacing w:after="0"/>
              <w:rPr>
                <w:sz w:val="19"/>
                <w:szCs w:val="19"/>
                <w:color w:val="auto"/>
              </w:rPr>
            </w:pPr>
          </w:p>
        </w:tc>
        <w:tc>
          <w:tcPr>
            <w:tcW w:w="260" w:type="dxa"/>
            <w:vAlign w:val="bottom"/>
            <w:shd w:val="clear" w:color="auto" w:fill="E0E7ED"/>
          </w:tcPr>
          <w:p>
            <w:pPr>
              <w:spacing w:after="0"/>
              <w:rPr>
                <w:sz w:val="19"/>
                <w:szCs w:val="19"/>
                <w:color w:val="auto"/>
              </w:rPr>
            </w:pPr>
          </w:p>
        </w:tc>
        <w:tc>
          <w:tcPr>
            <w:tcW w:w="134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40" w:type="dxa"/>
            <w:vAlign w:val="bottom"/>
            <w:shd w:val="clear" w:color="auto" w:fill="E0E7ED"/>
          </w:tcPr>
          <w:p>
            <w:pPr>
              <w:spacing w:after="0"/>
              <w:rPr>
                <w:sz w:val="19"/>
                <w:szCs w:val="19"/>
                <w:color w:val="auto"/>
              </w:rPr>
            </w:pPr>
          </w:p>
        </w:tc>
        <w:tc>
          <w:tcPr>
            <w:tcW w:w="126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32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40" w:type="dxa"/>
            <w:vAlign w:val="bottom"/>
            <w:shd w:val="clear" w:color="auto" w:fill="E0E7ED"/>
          </w:tcPr>
          <w:p>
            <w:pPr>
              <w:spacing w:after="0"/>
              <w:rPr>
                <w:sz w:val="19"/>
                <w:szCs w:val="19"/>
                <w:color w:val="auto"/>
              </w:rPr>
            </w:pPr>
          </w:p>
        </w:tc>
        <w:tc>
          <w:tcPr>
            <w:tcW w:w="1260" w:type="dxa"/>
            <w:vAlign w:val="bottom"/>
            <w:shd w:val="clear" w:color="auto" w:fill="E0E7ED"/>
          </w:tcPr>
          <w:p>
            <w:pPr>
              <w:spacing w:after="0"/>
              <w:rPr>
                <w:sz w:val="19"/>
                <w:szCs w:val="19"/>
                <w:color w:val="auto"/>
              </w:rPr>
            </w:pPr>
          </w:p>
        </w:tc>
      </w:tr>
      <w:tr>
        <w:trPr>
          <w:trHeight w:val="248"/>
        </w:trPr>
        <w:tc>
          <w:tcPr>
            <w:tcW w:w="33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securities gains and losses</w:t>
            </w:r>
          </w:p>
        </w:tc>
        <w:tc>
          <w:tcPr>
            <w:tcW w:w="1240" w:type="dxa"/>
            <w:vAlign w:val="bottom"/>
            <w:shd w:val="clear" w:color="auto" w:fill="E0E7ED"/>
          </w:tcPr>
          <w:p>
            <w:pPr>
              <w:ind w:left="80"/>
              <w:spacing w:after="0"/>
              <w:rPr>
                <w:sz w:val="20"/>
                <w:szCs w:val="20"/>
                <w:color w:val="auto"/>
              </w:rPr>
            </w:pPr>
            <w:r>
              <w:rPr>
                <w:rFonts w:ascii="Verdana" w:cs="Verdana" w:eastAsia="Verdana" w:hAnsi="Verdana"/>
                <w:sz w:val="18"/>
                <w:szCs w:val="18"/>
                <w:color w:val="auto"/>
              </w:rPr>
              <w:t>[c]</w:t>
            </w:r>
          </w:p>
        </w:tc>
        <w:tc>
          <w:tcPr>
            <w:tcW w:w="260" w:type="dxa"/>
            <w:vAlign w:val="bottom"/>
            <w:shd w:val="clear" w:color="auto" w:fill="E0E7ED"/>
          </w:tcPr>
          <w:p>
            <w:pPr>
              <w:spacing w:after="0"/>
              <w:rPr>
                <w:sz w:val="21"/>
                <w:szCs w:val="21"/>
                <w:color w:val="auto"/>
              </w:rPr>
            </w:pPr>
          </w:p>
        </w:tc>
        <w:tc>
          <w:tcPr>
            <w:tcW w:w="134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35,129</w:t>
            </w: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26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31,293</w:t>
            </w: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32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110,658</w:t>
            </w: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26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93,828</w:t>
            </w:r>
          </w:p>
        </w:tc>
      </w:tr>
      <w:tr>
        <w:trPr>
          <w:trHeight w:val="263"/>
        </w:trPr>
        <w:tc>
          <w:tcPr>
            <w:tcW w:w="3300" w:type="dxa"/>
            <w:vAlign w:val="bottom"/>
          </w:tcPr>
          <w:p>
            <w:pPr>
              <w:ind w:left="180"/>
              <w:spacing w:after="0"/>
              <w:rPr>
                <w:sz w:val="20"/>
                <w:szCs w:val="20"/>
                <w:color w:val="auto"/>
              </w:rPr>
            </w:pPr>
            <w:r>
              <w:rPr>
                <w:rFonts w:ascii="Verdana" w:cs="Verdana" w:eastAsia="Verdana" w:hAnsi="Verdana"/>
                <w:sz w:val="18"/>
                <w:szCs w:val="18"/>
                <w:color w:val="auto"/>
              </w:rPr>
              <w:t>Further adjustments:</w:t>
            </w:r>
          </w:p>
        </w:tc>
        <w:tc>
          <w:tcPr>
            <w:tcW w:w="1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44"/>
        </w:trPr>
        <w:tc>
          <w:tcPr>
            <w:tcW w:w="33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Realized net (gains) losses on</w:t>
            </w:r>
          </w:p>
        </w:tc>
        <w:tc>
          <w:tcPr>
            <w:tcW w:w="124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3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3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r>
      <w:tr>
        <w:trPr>
          <w:trHeight w:val="216"/>
        </w:trPr>
        <w:tc>
          <w:tcPr>
            <w:tcW w:w="3300" w:type="dxa"/>
            <w:vAlign w:val="bottom"/>
            <w:shd w:val="clear" w:color="auto" w:fill="E0E7ED"/>
          </w:tcPr>
          <w:p>
            <w:pPr>
              <w:ind w:left="360"/>
              <w:spacing w:after="0" w:line="216" w:lineRule="exact"/>
              <w:rPr>
                <w:sz w:val="20"/>
                <w:szCs w:val="20"/>
                <w:color w:val="auto"/>
              </w:rPr>
            </w:pPr>
            <w:r>
              <w:rPr>
                <w:rFonts w:ascii="Verdana" w:cs="Verdana" w:eastAsia="Verdana" w:hAnsi="Verdana"/>
                <w:sz w:val="18"/>
                <w:szCs w:val="18"/>
                <w:color w:val="auto"/>
              </w:rPr>
              <w:t>the sale of mortgage servicing</w:t>
            </w:r>
          </w:p>
        </w:tc>
        <w:tc>
          <w:tcPr>
            <w:tcW w:w="124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134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26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80" w:type="dxa"/>
            <w:vAlign w:val="bottom"/>
            <w:shd w:val="clear" w:color="auto" w:fill="E0E7ED"/>
          </w:tcPr>
          <w:p>
            <w:pPr>
              <w:spacing w:after="0"/>
              <w:rPr>
                <w:sz w:val="18"/>
                <w:szCs w:val="18"/>
                <w:color w:val="auto"/>
              </w:rPr>
            </w:pPr>
          </w:p>
        </w:tc>
        <w:tc>
          <w:tcPr>
            <w:tcW w:w="132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260" w:type="dxa"/>
            <w:vAlign w:val="bottom"/>
            <w:shd w:val="clear" w:color="auto" w:fill="E0E7ED"/>
          </w:tcPr>
          <w:p>
            <w:pPr>
              <w:spacing w:after="0"/>
              <w:rPr>
                <w:sz w:val="18"/>
                <w:szCs w:val="18"/>
                <w:color w:val="auto"/>
              </w:rPr>
            </w:pPr>
          </w:p>
        </w:tc>
      </w:tr>
      <w:tr>
        <w:trPr>
          <w:trHeight w:val="242"/>
        </w:trPr>
        <w:tc>
          <w:tcPr>
            <w:tcW w:w="33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rights</w:t>
            </w:r>
          </w:p>
        </w:tc>
        <w:tc>
          <w:tcPr>
            <w:tcW w:w="124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34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18</w:t>
            </w: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360" w:type="dxa"/>
            <w:vAlign w:val="bottom"/>
            <w:gridSpan w:val="2"/>
            <w:shd w:val="clear" w:color="auto" w:fill="E0E7ED"/>
          </w:tcPr>
          <w:p>
            <w:pPr>
              <w:jc w:val="right"/>
              <w:ind w:right="380"/>
              <w:spacing w:after="0"/>
              <w:rPr>
                <w:sz w:val="20"/>
                <w:szCs w:val="20"/>
                <w:color w:val="auto"/>
              </w:rPr>
            </w:pPr>
            <w:r>
              <w:rPr>
                <w:rFonts w:ascii="Verdana" w:cs="Verdana" w:eastAsia="Verdana" w:hAnsi="Verdana"/>
                <w:sz w:val="18"/>
                <w:szCs w:val="18"/>
                <w:color w:val="auto"/>
              </w:rPr>
              <w:t>—</w:t>
            </w:r>
          </w:p>
        </w:tc>
        <w:tc>
          <w:tcPr>
            <w:tcW w:w="280" w:type="dxa"/>
            <w:vAlign w:val="bottom"/>
            <w:shd w:val="clear" w:color="auto" w:fill="E0E7ED"/>
          </w:tcPr>
          <w:p>
            <w:pPr>
              <w:spacing w:after="0"/>
              <w:rPr>
                <w:sz w:val="21"/>
                <w:szCs w:val="21"/>
                <w:color w:val="auto"/>
              </w:rPr>
            </w:pPr>
          </w:p>
        </w:tc>
        <w:tc>
          <w:tcPr>
            <w:tcW w:w="1320" w:type="dxa"/>
            <w:vAlign w:val="bottom"/>
            <w:shd w:val="clear" w:color="auto" w:fill="E0E7ED"/>
          </w:tcPr>
          <w:p>
            <w:pPr>
              <w:jc w:val="right"/>
              <w:ind w:right="134"/>
              <w:spacing w:after="0"/>
              <w:rPr>
                <w:sz w:val="20"/>
                <w:szCs w:val="20"/>
                <w:color w:val="auto"/>
              </w:rPr>
            </w:pPr>
            <w:r>
              <w:rPr>
                <w:rFonts w:ascii="Verdana" w:cs="Verdana" w:eastAsia="Verdana" w:hAnsi="Verdana"/>
                <w:sz w:val="18"/>
                <w:szCs w:val="18"/>
                <w:color w:val="auto"/>
              </w:rPr>
              <w:t>(7,724)</w:t>
            </w: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26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w:t>
            </w:r>
          </w:p>
        </w:tc>
      </w:tr>
      <w:tr>
        <w:trPr>
          <w:trHeight w:val="270"/>
        </w:trPr>
        <w:tc>
          <w:tcPr>
            <w:tcW w:w="3300" w:type="dxa"/>
            <w:vAlign w:val="bottom"/>
          </w:tcPr>
          <w:p>
            <w:pPr>
              <w:ind w:left="180"/>
              <w:spacing w:after="0"/>
              <w:rPr>
                <w:sz w:val="20"/>
                <w:szCs w:val="20"/>
                <w:color w:val="auto"/>
              </w:rPr>
            </w:pPr>
            <w:r>
              <w:rPr>
                <w:rFonts w:ascii="Verdana" w:cs="Verdana" w:eastAsia="Verdana" w:hAnsi="Verdana"/>
                <w:sz w:val="18"/>
                <w:szCs w:val="18"/>
                <w:color w:val="auto"/>
              </w:rPr>
              <w:t>Adjusted noninterest income</w:t>
            </w:r>
          </w:p>
        </w:tc>
        <w:tc>
          <w:tcPr>
            <w:tcW w:w="1240" w:type="dxa"/>
            <w:vAlign w:val="bottom"/>
          </w:tcPr>
          <w:p>
            <w:pPr>
              <w:ind w:left="80"/>
              <w:spacing w:after="0"/>
              <w:rPr>
                <w:sz w:val="20"/>
                <w:szCs w:val="20"/>
                <w:color w:val="auto"/>
              </w:rPr>
            </w:pPr>
            <w:r>
              <w:rPr>
                <w:rFonts w:ascii="Verdana" w:cs="Verdana" w:eastAsia="Verdana" w:hAnsi="Verdana"/>
                <w:sz w:val="18"/>
                <w:szCs w:val="18"/>
                <w:color w:val="auto"/>
              </w:rPr>
              <w:t>[d]</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Verdana" w:cs="Verdana" w:eastAsia="Verdana" w:hAnsi="Verdana"/>
                <w:sz w:val="18"/>
                <w:szCs w:val="18"/>
                <w:color w:val="auto"/>
              </w:rPr>
              <w:t>$</w:t>
            </w:r>
          </w:p>
        </w:tc>
        <w:tc>
          <w:tcPr>
            <w:tcW w:w="1340" w:type="dxa"/>
            <w:vAlign w:val="bottom"/>
            <w:tcBorders>
              <w:top w:val="single" w:sz="8" w:color="auto"/>
              <w:bottom w:val="single" w:sz="8" w:color="auto"/>
            </w:tcBorders>
          </w:tcPr>
          <w:p>
            <w:pPr>
              <w:jc w:val="right"/>
              <w:ind w:right="194"/>
              <w:spacing w:after="0"/>
              <w:rPr>
                <w:sz w:val="20"/>
                <w:szCs w:val="20"/>
                <w:color w:val="auto"/>
              </w:rPr>
            </w:pPr>
            <w:r>
              <w:rPr>
                <w:rFonts w:ascii="Verdana" w:cs="Verdana" w:eastAsia="Verdana" w:hAnsi="Verdana"/>
                <w:sz w:val="18"/>
                <w:szCs w:val="18"/>
                <w:color w:val="auto"/>
              </w:rPr>
              <w:t>35,147</w:t>
            </w:r>
          </w:p>
        </w:tc>
        <w:tc>
          <w:tcPr>
            <w:tcW w:w="100" w:type="dxa"/>
            <w:vAlign w:val="bottom"/>
          </w:tcPr>
          <w:p>
            <w:pPr>
              <w:spacing w:after="0"/>
              <w:rPr>
                <w:sz w:val="23"/>
                <w:szCs w:val="23"/>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Verdana" w:cs="Verdana" w:eastAsia="Verdana" w:hAnsi="Verdana"/>
                <w:sz w:val="18"/>
                <w:szCs w:val="18"/>
                <w:color w:val="auto"/>
                <w:w w:val="86"/>
              </w:rPr>
              <w:t>$</w:t>
            </w:r>
          </w:p>
        </w:tc>
        <w:tc>
          <w:tcPr>
            <w:tcW w:w="1260" w:type="dxa"/>
            <w:vAlign w:val="bottom"/>
            <w:tcBorders>
              <w:top w:val="single" w:sz="8" w:color="auto"/>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31,293</w:t>
            </w:r>
          </w:p>
        </w:tc>
        <w:tc>
          <w:tcPr>
            <w:tcW w:w="100" w:type="dxa"/>
            <w:vAlign w:val="bottom"/>
          </w:tcPr>
          <w:p>
            <w:pPr>
              <w:spacing w:after="0"/>
              <w:rPr>
                <w:sz w:val="23"/>
                <w:szCs w:val="23"/>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Verdana" w:cs="Verdana" w:eastAsia="Verdana" w:hAnsi="Verdana"/>
                <w:sz w:val="18"/>
                <w:szCs w:val="18"/>
                <w:color w:val="auto"/>
                <w:w w:val="86"/>
              </w:rPr>
              <w:t>$</w:t>
            </w:r>
          </w:p>
        </w:tc>
        <w:tc>
          <w:tcPr>
            <w:tcW w:w="1320" w:type="dxa"/>
            <w:vAlign w:val="bottom"/>
            <w:tcBorders>
              <w:top w:val="single" w:sz="8" w:color="auto"/>
              <w:bottom w:val="single" w:sz="8" w:color="auto"/>
            </w:tcBorders>
          </w:tcPr>
          <w:p>
            <w:pPr>
              <w:jc w:val="right"/>
              <w:ind w:right="194"/>
              <w:spacing w:after="0"/>
              <w:rPr>
                <w:sz w:val="20"/>
                <w:szCs w:val="20"/>
                <w:color w:val="auto"/>
              </w:rPr>
            </w:pPr>
            <w:r>
              <w:rPr>
                <w:rFonts w:ascii="Verdana" w:cs="Verdana" w:eastAsia="Verdana" w:hAnsi="Verdana"/>
                <w:sz w:val="18"/>
                <w:szCs w:val="18"/>
                <w:color w:val="auto"/>
              </w:rPr>
              <w:t>102,934</w:t>
            </w:r>
          </w:p>
        </w:tc>
        <w:tc>
          <w:tcPr>
            <w:tcW w:w="100" w:type="dxa"/>
            <w:vAlign w:val="bottom"/>
          </w:tcPr>
          <w:p>
            <w:pPr>
              <w:spacing w:after="0"/>
              <w:rPr>
                <w:sz w:val="23"/>
                <w:szCs w:val="23"/>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Verdana" w:cs="Verdana" w:eastAsia="Verdana" w:hAnsi="Verdana"/>
                <w:sz w:val="18"/>
                <w:szCs w:val="18"/>
                <w:color w:val="auto"/>
                <w:w w:val="86"/>
              </w:rPr>
              <w:t>$</w:t>
            </w:r>
          </w:p>
        </w:tc>
        <w:tc>
          <w:tcPr>
            <w:tcW w:w="1260" w:type="dxa"/>
            <w:vAlign w:val="bottom"/>
            <w:tcBorders>
              <w:top w:val="single" w:sz="8" w:color="auto"/>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93,828</w:t>
            </w:r>
          </w:p>
        </w:tc>
      </w:tr>
      <w:tr>
        <w:trPr>
          <w:trHeight w:val="20"/>
        </w:trPr>
        <w:tc>
          <w:tcPr>
            <w:tcW w:w="3300" w:type="dxa"/>
            <w:vAlign w:val="bottom"/>
            <w:tcBorders>
              <w:bottom w:val="single" w:sz="8" w:color="E0E7ED"/>
            </w:tcBorders>
          </w:tcPr>
          <w:p>
            <w:pPr>
              <w:spacing w:after="0" w:line="20" w:lineRule="exact"/>
              <w:rPr>
                <w:sz w:val="1"/>
                <w:szCs w:val="1"/>
                <w:color w:val="auto"/>
              </w:rPr>
            </w:pPr>
          </w:p>
        </w:tc>
        <w:tc>
          <w:tcPr>
            <w:tcW w:w="1240" w:type="dxa"/>
            <w:vAlign w:val="bottom"/>
            <w:tcBorders>
              <w:bottom w:val="single" w:sz="8" w:color="E0E7E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3300" w:type="dxa"/>
            <w:vAlign w:val="bottom"/>
            <w:shd w:val="clear" w:color="auto" w:fill="E0E7ED"/>
          </w:tcPr>
          <w:p>
            <w:pPr>
              <w:spacing w:after="0"/>
              <w:rPr>
                <w:sz w:val="20"/>
                <w:szCs w:val="20"/>
                <w:color w:val="auto"/>
              </w:rPr>
            </w:pPr>
          </w:p>
        </w:tc>
        <w:tc>
          <w:tcPr>
            <w:tcW w:w="124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34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40" w:type="dxa"/>
            <w:vAlign w:val="bottom"/>
            <w:shd w:val="clear" w:color="auto" w:fill="E0E7ED"/>
          </w:tcPr>
          <w:p>
            <w:pPr>
              <w:spacing w:after="0"/>
              <w:rPr>
                <w:sz w:val="20"/>
                <w:szCs w:val="20"/>
                <w:color w:val="auto"/>
              </w:rPr>
            </w:pPr>
          </w:p>
        </w:tc>
        <w:tc>
          <w:tcPr>
            <w:tcW w:w="126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80" w:type="dxa"/>
            <w:vAlign w:val="bottom"/>
            <w:shd w:val="clear" w:color="auto" w:fill="E0E7ED"/>
          </w:tcPr>
          <w:p>
            <w:pPr>
              <w:spacing w:after="0"/>
              <w:rPr>
                <w:sz w:val="20"/>
                <w:szCs w:val="20"/>
                <w:color w:val="auto"/>
              </w:rPr>
            </w:pPr>
          </w:p>
        </w:tc>
        <w:tc>
          <w:tcPr>
            <w:tcW w:w="13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40" w:type="dxa"/>
            <w:vAlign w:val="bottom"/>
            <w:shd w:val="clear" w:color="auto" w:fill="E0E7ED"/>
          </w:tcPr>
          <w:p>
            <w:pPr>
              <w:spacing w:after="0"/>
              <w:rPr>
                <w:sz w:val="20"/>
                <w:szCs w:val="20"/>
                <w:color w:val="auto"/>
              </w:rPr>
            </w:pPr>
          </w:p>
        </w:tc>
        <w:tc>
          <w:tcPr>
            <w:tcW w:w="1260" w:type="dxa"/>
            <w:vAlign w:val="bottom"/>
            <w:shd w:val="clear" w:color="auto" w:fill="E0E7ED"/>
          </w:tcPr>
          <w:p>
            <w:pPr>
              <w:spacing w:after="0"/>
              <w:rPr>
                <w:sz w:val="20"/>
                <w:szCs w:val="20"/>
                <w:color w:val="auto"/>
              </w:rPr>
            </w:pPr>
          </w:p>
        </w:tc>
      </w:tr>
      <w:tr>
        <w:trPr>
          <w:trHeight w:val="263"/>
        </w:trPr>
        <w:tc>
          <w:tcPr>
            <w:tcW w:w="3300" w:type="dxa"/>
            <w:vAlign w:val="bottom"/>
          </w:tcPr>
          <w:p>
            <w:pPr>
              <w:ind w:left="20"/>
              <w:spacing w:after="0"/>
              <w:rPr>
                <w:sz w:val="20"/>
                <w:szCs w:val="20"/>
                <w:color w:val="auto"/>
              </w:rPr>
            </w:pPr>
            <w:r>
              <w:rPr>
                <w:rFonts w:ascii="Verdana" w:cs="Verdana" w:eastAsia="Verdana" w:hAnsi="Verdana"/>
                <w:sz w:val="18"/>
                <w:szCs w:val="18"/>
                <w:color w:val="auto"/>
              </w:rPr>
              <w:t>Tax-equivalent revenue</w:t>
            </w:r>
          </w:p>
        </w:tc>
        <w:tc>
          <w:tcPr>
            <w:tcW w:w="1240" w:type="dxa"/>
            <w:vAlign w:val="bottom"/>
          </w:tcPr>
          <w:p>
            <w:pPr>
              <w:ind w:left="80"/>
              <w:spacing w:after="0"/>
              <w:rPr>
                <w:sz w:val="20"/>
                <w:szCs w:val="20"/>
                <w:color w:val="auto"/>
              </w:rPr>
            </w:pPr>
            <w:r>
              <w:rPr>
                <w:rFonts w:ascii="Verdana" w:cs="Verdana" w:eastAsia="Verdana" w:hAnsi="Verdana"/>
                <w:sz w:val="18"/>
                <w:szCs w:val="18"/>
                <w:color w:val="auto"/>
              </w:rPr>
              <w:t>[e = b+c]</w:t>
            </w: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340" w:type="dxa"/>
            <w:vAlign w:val="bottom"/>
          </w:tcPr>
          <w:p>
            <w:pPr>
              <w:jc w:val="right"/>
              <w:ind w:right="194"/>
              <w:spacing w:after="0"/>
              <w:rPr>
                <w:sz w:val="20"/>
                <w:szCs w:val="20"/>
                <w:color w:val="auto"/>
              </w:rPr>
            </w:pPr>
            <w:r>
              <w:rPr>
                <w:rFonts w:ascii="Verdana" w:cs="Verdana" w:eastAsia="Verdana" w:hAnsi="Verdana"/>
                <w:sz w:val="18"/>
                <w:szCs w:val="18"/>
                <w:color w:val="auto"/>
              </w:rPr>
              <w:t>118,066</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260" w:type="dxa"/>
            <w:vAlign w:val="bottom"/>
          </w:tcPr>
          <w:p>
            <w:pPr>
              <w:jc w:val="right"/>
              <w:ind w:right="192"/>
              <w:spacing w:after="0"/>
              <w:rPr>
                <w:sz w:val="20"/>
                <w:szCs w:val="20"/>
                <w:color w:val="auto"/>
              </w:rPr>
            </w:pPr>
            <w:r>
              <w:rPr>
                <w:rFonts w:ascii="Verdana" w:cs="Verdana" w:eastAsia="Verdana" w:hAnsi="Verdana"/>
                <w:sz w:val="18"/>
                <w:szCs w:val="18"/>
                <w:color w:val="auto"/>
              </w:rPr>
              <w:t>109,637</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Verdana" w:cs="Verdana" w:eastAsia="Verdana" w:hAnsi="Verdana"/>
                <w:sz w:val="18"/>
                <w:szCs w:val="18"/>
                <w:color w:val="auto"/>
                <w:w w:val="86"/>
              </w:rPr>
              <w:t>$</w:t>
            </w:r>
          </w:p>
        </w:tc>
        <w:tc>
          <w:tcPr>
            <w:tcW w:w="1320" w:type="dxa"/>
            <w:vAlign w:val="bottom"/>
          </w:tcPr>
          <w:p>
            <w:pPr>
              <w:jc w:val="right"/>
              <w:ind w:right="194"/>
              <w:spacing w:after="0"/>
              <w:rPr>
                <w:sz w:val="20"/>
                <w:szCs w:val="20"/>
                <w:color w:val="auto"/>
              </w:rPr>
            </w:pPr>
            <w:r>
              <w:rPr>
                <w:rFonts w:ascii="Verdana" w:cs="Verdana" w:eastAsia="Verdana" w:hAnsi="Verdana"/>
                <w:sz w:val="18"/>
                <w:szCs w:val="18"/>
                <w:color w:val="auto"/>
              </w:rPr>
              <w:t>352,647</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260" w:type="dxa"/>
            <w:vAlign w:val="bottom"/>
          </w:tcPr>
          <w:p>
            <w:pPr>
              <w:jc w:val="right"/>
              <w:ind w:right="192"/>
              <w:spacing w:after="0"/>
              <w:rPr>
                <w:sz w:val="20"/>
                <w:szCs w:val="20"/>
                <w:color w:val="auto"/>
              </w:rPr>
            </w:pPr>
            <w:r>
              <w:rPr>
                <w:rFonts w:ascii="Verdana" w:cs="Verdana" w:eastAsia="Verdana" w:hAnsi="Verdana"/>
                <w:sz w:val="18"/>
                <w:szCs w:val="18"/>
                <w:color w:val="auto"/>
              </w:rPr>
              <w:t>337,818</w:t>
            </w:r>
          </w:p>
        </w:tc>
      </w:tr>
      <w:tr>
        <w:trPr>
          <w:trHeight w:val="277"/>
        </w:trPr>
        <w:tc>
          <w:tcPr>
            <w:tcW w:w="33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Adjusted tax-equivalent revenue</w:t>
            </w:r>
          </w:p>
        </w:tc>
        <w:tc>
          <w:tcPr>
            <w:tcW w:w="1240" w:type="dxa"/>
            <w:vAlign w:val="bottom"/>
            <w:shd w:val="clear" w:color="auto" w:fill="E0E7ED"/>
          </w:tcPr>
          <w:p>
            <w:pPr>
              <w:ind w:left="80"/>
              <w:spacing w:after="0"/>
              <w:rPr>
                <w:sz w:val="20"/>
                <w:szCs w:val="20"/>
                <w:color w:val="auto"/>
              </w:rPr>
            </w:pPr>
            <w:r>
              <w:rPr>
                <w:rFonts w:ascii="Verdana" w:cs="Verdana" w:eastAsia="Verdana" w:hAnsi="Verdana"/>
                <w:sz w:val="18"/>
                <w:szCs w:val="18"/>
                <w:color w:val="auto"/>
              </w:rPr>
              <w:t>[f = b+d]</w:t>
            </w:r>
          </w:p>
        </w:tc>
        <w:tc>
          <w:tcPr>
            <w:tcW w:w="260" w:type="dxa"/>
            <w:vAlign w:val="bottom"/>
            <w:shd w:val="clear" w:color="auto" w:fill="E0E7ED"/>
          </w:tcPr>
          <w:p>
            <w:pPr>
              <w:spacing w:after="0"/>
              <w:rPr>
                <w:sz w:val="24"/>
                <w:szCs w:val="24"/>
                <w:color w:val="auto"/>
              </w:rPr>
            </w:pPr>
          </w:p>
        </w:tc>
        <w:tc>
          <w:tcPr>
            <w:tcW w:w="134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118,084</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109,637</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344,923</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337,818</w:t>
            </w:r>
          </w:p>
        </w:tc>
      </w:tr>
      <w:tr>
        <w:trPr>
          <w:trHeight w:val="263"/>
        </w:trPr>
        <w:tc>
          <w:tcPr>
            <w:tcW w:w="3300" w:type="dxa"/>
            <w:vAlign w:val="bottom"/>
          </w:tcPr>
          <w:p>
            <w:pPr>
              <w:ind w:left="20"/>
              <w:spacing w:after="0"/>
              <w:rPr>
                <w:sz w:val="20"/>
                <w:szCs w:val="20"/>
                <w:color w:val="auto"/>
              </w:rPr>
            </w:pPr>
            <w:r>
              <w:rPr>
                <w:rFonts w:ascii="Verdana" w:cs="Verdana" w:eastAsia="Verdana" w:hAnsi="Verdana"/>
                <w:sz w:val="18"/>
                <w:szCs w:val="18"/>
                <w:color w:val="auto"/>
              </w:rPr>
              <w:t>Operating revenue</w:t>
            </w:r>
          </w:p>
        </w:tc>
        <w:tc>
          <w:tcPr>
            <w:tcW w:w="1240" w:type="dxa"/>
            <w:vAlign w:val="bottom"/>
          </w:tcPr>
          <w:p>
            <w:pPr>
              <w:ind w:left="80"/>
              <w:spacing w:after="0"/>
              <w:rPr>
                <w:sz w:val="20"/>
                <w:szCs w:val="20"/>
                <w:color w:val="auto"/>
              </w:rPr>
            </w:pPr>
            <w:r>
              <w:rPr>
                <w:rFonts w:ascii="Verdana" w:cs="Verdana" w:eastAsia="Verdana" w:hAnsi="Verdana"/>
                <w:sz w:val="18"/>
                <w:szCs w:val="18"/>
                <w:color w:val="auto"/>
              </w:rPr>
              <w:t>[g = a+d]</w:t>
            </w:r>
          </w:p>
        </w:tc>
        <w:tc>
          <w:tcPr>
            <w:tcW w:w="260" w:type="dxa"/>
            <w:vAlign w:val="bottom"/>
          </w:tcPr>
          <w:p>
            <w:pPr>
              <w:spacing w:after="0"/>
              <w:rPr>
                <w:sz w:val="22"/>
                <w:szCs w:val="22"/>
                <w:color w:val="auto"/>
              </w:rPr>
            </w:pPr>
          </w:p>
        </w:tc>
        <w:tc>
          <w:tcPr>
            <w:tcW w:w="1340" w:type="dxa"/>
            <w:vAlign w:val="bottom"/>
          </w:tcPr>
          <w:p>
            <w:pPr>
              <w:jc w:val="right"/>
              <w:ind w:right="194"/>
              <w:spacing w:after="0"/>
              <w:rPr>
                <w:sz w:val="20"/>
                <w:szCs w:val="20"/>
                <w:color w:val="auto"/>
              </w:rPr>
            </w:pPr>
            <w:r>
              <w:rPr>
                <w:rFonts w:ascii="Verdana" w:cs="Verdana" w:eastAsia="Verdana" w:hAnsi="Verdana"/>
                <w:sz w:val="18"/>
                <w:szCs w:val="18"/>
                <w:color w:val="auto"/>
              </w:rPr>
              <w:t>117,688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jc w:val="right"/>
              <w:ind w:right="192"/>
              <w:spacing w:after="0"/>
              <w:rPr>
                <w:sz w:val="20"/>
                <w:szCs w:val="20"/>
                <w:color w:val="auto"/>
              </w:rPr>
            </w:pPr>
            <w:r>
              <w:rPr>
                <w:rFonts w:ascii="Verdana" w:cs="Verdana" w:eastAsia="Verdana" w:hAnsi="Verdana"/>
                <w:sz w:val="18"/>
                <w:szCs w:val="18"/>
                <w:color w:val="auto"/>
              </w:rPr>
              <w:t>109,084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94"/>
              <w:spacing w:after="0"/>
              <w:rPr>
                <w:sz w:val="20"/>
                <w:szCs w:val="20"/>
                <w:color w:val="auto"/>
              </w:rPr>
            </w:pPr>
            <w:r>
              <w:rPr>
                <w:rFonts w:ascii="Verdana" w:cs="Verdana" w:eastAsia="Verdana" w:hAnsi="Verdana"/>
                <w:sz w:val="18"/>
                <w:szCs w:val="18"/>
                <w:color w:val="auto"/>
              </w:rPr>
              <w:t>343,676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jc w:val="right"/>
              <w:ind w:right="192"/>
              <w:spacing w:after="0"/>
              <w:rPr>
                <w:sz w:val="20"/>
                <w:szCs w:val="20"/>
                <w:color w:val="auto"/>
              </w:rPr>
            </w:pPr>
            <w:r>
              <w:rPr>
                <w:rFonts w:ascii="Verdana" w:cs="Verdana" w:eastAsia="Verdana" w:hAnsi="Verdana"/>
                <w:sz w:val="18"/>
                <w:szCs w:val="18"/>
                <w:color w:val="auto"/>
              </w:rPr>
              <w:t>336,146</w:t>
            </w:r>
          </w:p>
        </w:tc>
      </w:tr>
      <w:tr>
        <w:trPr>
          <w:trHeight w:val="277"/>
        </w:trPr>
        <w:tc>
          <w:tcPr>
            <w:tcW w:w="3300" w:type="dxa"/>
            <w:vAlign w:val="bottom"/>
            <w:shd w:val="clear" w:color="auto" w:fill="E0E7ED"/>
          </w:tcPr>
          <w:p>
            <w:pPr>
              <w:spacing w:after="0"/>
              <w:rPr>
                <w:sz w:val="24"/>
                <w:szCs w:val="24"/>
                <w:color w:val="auto"/>
              </w:rPr>
            </w:pPr>
          </w:p>
        </w:tc>
        <w:tc>
          <w:tcPr>
            <w:tcW w:w="124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34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32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spacing w:after="0"/>
              <w:rPr>
                <w:sz w:val="24"/>
                <w:szCs w:val="24"/>
                <w:color w:val="auto"/>
              </w:rPr>
            </w:pPr>
          </w:p>
        </w:tc>
      </w:tr>
      <w:tr>
        <w:trPr>
          <w:trHeight w:val="238"/>
        </w:trPr>
        <w:tc>
          <w:tcPr>
            <w:tcW w:w="3300" w:type="dxa"/>
            <w:vAlign w:val="bottom"/>
          </w:tcPr>
          <w:p>
            <w:pPr>
              <w:ind w:left="20"/>
              <w:spacing w:after="0"/>
              <w:rPr>
                <w:sz w:val="20"/>
                <w:szCs w:val="20"/>
                <w:color w:val="auto"/>
              </w:rPr>
            </w:pPr>
            <w:r>
              <w:rPr>
                <w:rFonts w:ascii="Verdana" w:cs="Verdana" w:eastAsia="Verdana" w:hAnsi="Verdana"/>
                <w:sz w:val="18"/>
                <w:szCs w:val="18"/>
                <w:color w:val="auto"/>
              </w:rPr>
              <w:t>Adjusted noninterest income to</w:t>
            </w: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5"/>
        </w:trPr>
        <w:tc>
          <w:tcPr>
            <w:tcW w:w="3300" w:type="dxa"/>
            <w:vAlign w:val="bottom"/>
          </w:tcPr>
          <w:p>
            <w:pPr>
              <w:ind w:left="20"/>
              <w:spacing w:after="0"/>
              <w:rPr>
                <w:sz w:val="20"/>
                <w:szCs w:val="20"/>
                <w:color w:val="auto"/>
              </w:rPr>
            </w:pPr>
            <w:r>
              <w:rPr>
                <w:rFonts w:ascii="Verdana" w:cs="Verdana" w:eastAsia="Verdana" w:hAnsi="Verdana"/>
                <w:sz w:val="18"/>
                <w:szCs w:val="18"/>
                <w:color w:val="auto"/>
              </w:rPr>
              <w:t>operating revenue</w:t>
            </w:r>
          </w:p>
        </w:tc>
        <w:tc>
          <w:tcPr>
            <w:tcW w:w="1240" w:type="dxa"/>
            <w:vAlign w:val="bottom"/>
          </w:tcPr>
          <w:p>
            <w:pPr>
              <w:ind w:left="80"/>
              <w:spacing w:after="0"/>
              <w:rPr>
                <w:sz w:val="20"/>
                <w:szCs w:val="20"/>
                <w:color w:val="auto"/>
              </w:rPr>
            </w:pPr>
            <w:r>
              <w:rPr>
                <w:rFonts w:ascii="Verdana" w:cs="Verdana" w:eastAsia="Verdana" w:hAnsi="Verdana"/>
                <w:sz w:val="18"/>
                <w:szCs w:val="18"/>
                <w:color w:val="auto"/>
              </w:rPr>
              <w:t>[d÷g]</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Verdana" w:cs="Verdana" w:eastAsia="Verdana" w:hAnsi="Verdana"/>
                <w:sz w:val="18"/>
                <w:szCs w:val="18"/>
                <w:color w:val="auto"/>
              </w:rPr>
              <w:t>29.86 %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28.69 %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29.95 %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27.91 %</w:t>
            </w:r>
          </w:p>
        </w:tc>
      </w:tr>
    </w:tbl>
    <w:p>
      <w:pPr>
        <w:spacing w:after="0" w:line="197"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(continued)</w:t>
      </w:r>
    </w:p>
    <w:p>
      <w:pPr>
        <w:spacing w:after="0" w:line="186"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00" w:name="page101"/>
    <w:bookmarkEnd w:id="100"/>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2. MD&amp;A</w:t>
      </w:r>
    </w:p>
    <w:p>
      <w:pPr>
        <w:spacing w:after="0" w:line="186"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RECONCILIATION OF NON-GAAP FINANCIAL MEASURES (Unaudited)</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Adjusted Noninterest Income, Operating Revenue, Adjusted Noninterest Income to Operating Revenue,</w:t>
      </w:r>
    </w:p>
    <w:p>
      <w:pPr>
        <w:jc w:val="center"/>
        <w:ind w:left="340" w:right="680"/>
        <w:spacing w:after="0" w:line="236" w:lineRule="auto"/>
        <w:rPr>
          <w:sz w:val="20"/>
          <w:szCs w:val="20"/>
          <w:color w:val="auto"/>
        </w:rPr>
      </w:pPr>
      <w:r>
        <w:rPr>
          <w:rFonts w:ascii="Verdana" w:cs="Verdana" w:eastAsia="Verdana" w:hAnsi="Verdana"/>
          <w:sz w:val="18"/>
          <w:szCs w:val="18"/>
          <w:b w:val="1"/>
          <w:bCs w:val="1"/>
          <w:color w:val="auto"/>
        </w:rPr>
        <w:t>Noninterest Expense Excluding Amortization of Intangible Assets, Adjusted Noninterest Expense, Adjusted Core Expense, Noninterest Expense Excluding Non-Operating Adjustments,</w:t>
      </w:r>
    </w:p>
    <w:p>
      <w:pPr>
        <w:spacing w:after="0" w:line="2"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Efficiency Ratio, Adjusted Efficiency Ratio, and Adjusted Core Efficiency Ratio (Continued)</w:t>
      </w:r>
    </w:p>
    <w:p>
      <w:pPr>
        <w:spacing w:after="0" w:line="5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00" w:type="dxa"/>
            <w:vAlign w:val="bottom"/>
            <w:gridSpan w:val="5"/>
          </w:tcPr>
          <w:p>
            <w:pPr>
              <w:ind w:left="120"/>
              <w:spacing w:after="0"/>
              <w:rPr>
                <w:sz w:val="20"/>
                <w:szCs w:val="20"/>
                <w:color w:val="auto"/>
              </w:rPr>
            </w:pPr>
            <w:r>
              <w:rPr>
                <w:rFonts w:ascii="Verdana" w:cs="Verdana" w:eastAsia="Verdana" w:hAnsi="Verdana"/>
                <w:sz w:val="13"/>
                <w:szCs w:val="13"/>
                <w:b w:val="1"/>
                <w:bCs w:val="1"/>
                <w:color w:val="auto"/>
              </w:rPr>
              <w:t>Three Months Ended September 30,</w:t>
            </w:r>
          </w:p>
        </w:tc>
        <w:tc>
          <w:tcPr>
            <w:tcW w:w="260" w:type="dxa"/>
            <w:vAlign w:val="bottom"/>
          </w:tcPr>
          <w:p>
            <w:pPr>
              <w:spacing w:after="0"/>
              <w:rPr>
                <w:sz w:val="15"/>
                <w:szCs w:val="15"/>
                <w:color w:val="auto"/>
              </w:rPr>
            </w:pPr>
          </w:p>
        </w:tc>
        <w:tc>
          <w:tcPr>
            <w:tcW w:w="3000" w:type="dxa"/>
            <w:vAlign w:val="bottom"/>
            <w:gridSpan w:val="4"/>
          </w:tcPr>
          <w:p>
            <w:pPr>
              <w:jc w:val="right"/>
              <w:ind w:right="332"/>
              <w:spacing w:after="0"/>
              <w:rPr>
                <w:sz w:val="20"/>
                <w:szCs w:val="20"/>
                <w:color w:val="auto"/>
              </w:rPr>
            </w:pPr>
            <w:r>
              <w:rPr>
                <w:rFonts w:ascii="Verdana" w:cs="Verdana" w:eastAsia="Verdana" w:hAnsi="Verdana"/>
                <w:sz w:val="13"/>
                <w:szCs w:val="13"/>
                <w:b w:val="1"/>
                <w:bCs w:val="1"/>
                <w:color w:val="auto"/>
              </w:rPr>
              <w:t>Nine Months Ended September 30,</w:t>
            </w:r>
          </w:p>
        </w:tc>
      </w:tr>
      <w:tr>
        <w:trPr>
          <w:trHeight w:val="170"/>
        </w:trPr>
        <w:tc>
          <w:tcPr>
            <w:tcW w:w="3400" w:type="dxa"/>
            <w:vAlign w:val="bottom"/>
            <w:tcBorders>
              <w:bottom w:val="single" w:sz="8" w:color="E0E7ED"/>
            </w:tcBorders>
          </w:tcPr>
          <w:p>
            <w:pPr>
              <w:spacing w:after="0"/>
              <w:rPr>
                <w:sz w:val="14"/>
                <w:szCs w:val="14"/>
                <w:color w:val="auto"/>
              </w:rPr>
            </w:pPr>
          </w:p>
        </w:tc>
        <w:tc>
          <w:tcPr>
            <w:tcW w:w="1240" w:type="dxa"/>
            <w:vAlign w:val="bottom"/>
            <w:tcBorders>
              <w:bottom w:val="single" w:sz="8" w:color="E0E7ED"/>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513"/>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533"/>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top w:val="single" w:sz="8" w:color="auto"/>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32"/>
              <w:spacing w:after="0"/>
              <w:rPr>
                <w:sz w:val="20"/>
                <w:szCs w:val="20"/>
                <w:color w:val="auto"/>
              </w:rPr>
            </w:pPr>
            <w:r>
              <w:rPr>
                <w:rFonts w:ascii="Verdana" w:cs="Verdana" w:eastAsia="Verdana" w:hAnsi="Verdana"/>
                <w:sz w:val="13"/>
                <w:szCs w:val="13"/>
                <w:b w:val="1"/>
                <w:bCs w:val="1"/>
                <w:color w:val="auto"/>
              </w:rPr>
              <w:t>2023</w:t>
            </w:r>
          </w:p>
        </w:tc>
      </w:tr>
      <w:tr>
        <w:trPr>
          <w:trHeight w:val="269"/>
        </w:trPr>
        <w:tc>
          <w:tcPr>
            <w:tcW w:w="34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Total noninterest expense</w:t>
            </w:r>
          </w:p>
        </w:tc>
        <w:tc>
          <w:tcPr>
            <w:tcW w:w="1240" w:type="dxa"/>
            <w:vAlign w:val="bottom"/>
            <w:shd w:val="clear" w:color="auto" w:fill="E0E7ED"/>
          </w:tcPr>
          <w:p>
            <w:pPr>
              <w:spacing w:after="0"/>
              <w:rPr>
                <w:sz w:val="23"/>
                <w:szCs w:val="23"/>
                <w:color w:val="auto"/>
              </w:rPr>
            </w:pPr>
          </w:p>
        </w:tc>
        <w:tc>
          <w:tcPr>
            <w:tcW w:w="24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32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75,926</w:t>
            </w:r>
          </w:p>
        </w:tc>
        <w:tc>
          <w:tcPr>
            <w:tcW w:w="100" w:type="dxa"/>
            <w:vAlign w:val="bottom"/>
            <w:shd w:val="clear" w:color="auto" w:fill="E0E7ED"/>
          </w:tcPr>
          <w:p>
            <w:pPr>
              <w:spacing w:after="0"/>
              <w:rPr>
                <w:sz w:val="23"/>
                <w:szCs w:val="23"/>
                <w:color w:val="auto"/>
              </w:rPr>
            </w:pPr>
          </w:p>
        </w:tc>
        <w:tc>
          <w:tcPr>
            <w:tcW w:w="380" w:type="dxa"/>
            <w:vAlign w:val="bottom"/>
            <w:shd w:val="clear" w:color="auto" w:fill="E0E7ED"/>
          </w:tcPr>
          <w:p>
            <w:pPr>
              <w:jc w:val="right"/>
              <w:ind w:right="150"/>
              <w:spacing w:after="0"/>
              <w:rPr>
                <w:sz w:val="20"/>
                <w:szCs w:val="20"/>
                <w:color w:val="auto"/>
              </w:rPr>
            </w:pPr>
            <w:r>
              <w:rPr>
                <w:rFonts w:ascii="Verdana" w:cs="Verdana" w:eastAsia="Verdana" w:hAnsi="Verdana"/>
                <w:sz w:val="18"/>
                <w:szCs w:val="18"/>
                <w:color w:val="auto"/>
              </w:rPr>
              <w:t>$</w:t>
            </w:r>
          </w:p>
        </w:tc>
        <w:tc>
          <w:tcPr>
            <w:tcW w:w="12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70,945</w:t>
            </w:r>
          </w:p>
        </w:tc>
        <w:tc>
          <w:tcPr>
            <w:tcW w:w="100" w:type="dxa"/>
            <w:vAlign w:val="bottom"/>
            <w:shd w:val="clear" w:color="auto" w:fill="E0E7ED"/>
          </w:tcPr>
          <w:p>
            <w:pPr>
              <w:spacing w:after="0"/>
              <w:rPr>
                <w:sz w:val="23"/>
                <w:szCs w:val="23"/>
                <w:color w:val="auto"/>
              </w:rPr>
            </w:pPr>
          </w:p>
        </w:tc>
        <w:tc>
          <w:tcPr>
            <w:tcW w:w="260" w:type="dxa"/>
            <w:vAlign w:val="bottom"/>
            <w:shd w:val="clear" w:color="auto" w:fill="E0E7ED"/>
          </w:tcPr>
          <w:p>
            <w:pPr>
              <w:jc w:val="right"/>
              <w:ind w:right="50"/>
              <w:spacing w:after="0"/>
              <w:rPr>
                <w:sz w:val="20"/>
                <w:szCs w:val="20"/>
                <w:color w:val="auto"/>
              </w:rPr>
            </w:pPr>
            <w:r>
              <w:rPr>
                <w:rFonts w:ascii="Verdana" w:cs="Verdana" w:eastAsia="Verdana" w:hAnsi="Verdana"/>
                <w:sz w:val="18"/>
                <w:szCs w:val="18"/>
                <w:color w:val="auto"/>
                <w:w w:val="86"/>
              </w:rPr>
              <w:t>$</w:t>
            </w:r>
          </w:p>
        </w:tc>
        <w:tc>
          <w:tcPr>
            <w:tcW w:w="132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222,232</w:t>
            </w:r>
          </w:p>
        </w:tc>
        <w:tc>
          <w:tcPr>
            <w:tcW w:w="80" w:type="dxa"/>
            <w:vAlign w:val="bottom"/>
            <w:shd w:val="clear" w:color="auto" w:fill="E0E7ED"/>
          </w:tcPr>
          <w:p>
            <w:pPr>
              <w:spacing w:after="0"/>
              <w:rPr>
                <w:sz w:val="23"/>
                <w:szCs w:val="23"/>
                <w:color w:val="auto"/>
              </w:rPr>
            </w:pP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210,553</w:t>
            </w:r>
          </w:p>
        </w:tc>
      </w:tr>
      <w:tr>
        <w:trPr>
          <w:trHeight w:val="263"/>
        </w:trPr>
        <w:tc>
          <w:tcPr>
            <w:tcW w:w="3400" w:type="dxa"/>
            <w:vAlign w:val="bottom"/>
          </w:tcPr>
          <w:p>
            <w:pPr>
              <w:ind w:left="20"/>
              <w:spacing w:after="0"/>
              <w:rPr>
                <w:sz w:val="20"/>
                <w:szCs w:val="20"/>
                <w:color w:val="auto"/>
              </w:rPr>
            </w:pPr>
            <w:r>
              <w:rPr>
                <w:rFonts w:ascii="Verdana" w:cs="Verdana" w:eastAsia="Verdana" w:hAnsi="Verdana"/>
                <w:sz w:val="18"/>
                <w:szCs w:val="18"/>
                <w:color w:val="auto"/>
              </w:rPr>
              <w:t>Non-GAAP adjustments:</w:t>
            </w: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34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Amortization of intangible assets</w:t>
            </w:r>
          </w:p>
        </w:tc>
        <w:tc>
          <w:tcPr>
            <w:tcW w:w="1240" w:type="dxa"/>
            <w:vAlign w:val="bottom"/>
            <w:shd w:val="clear" w:color="auto" w:fill="E0E7ED"/>
          </w:tcPr>
          <w:p>
            <w:pPr>
              <w:ind w:left="60"/>
              <w:spacing w:after="0"/>
              <w:rPr>
                <w:sz w:val="20"/>
                <w:szCs w:val="20"/>
                <w:color w:val="auto"/>
              </w:rPr>
            </w:pPr>
            <w:r>
              <w:rPr>
                <w:rFonts w:ascii="Verdana" w:cs="Verdana" w:eastAsia="Verdana" w:hAnsi="Verdana"/>
                <w:sz w:val="18"/>
                <w:szCs w:val="18"/>
                <w:color w:val="auto"/>
              </w:rPr>
              <w:t>[h]</w:t>
            </w:r>
          </w:p>
        </w:tc>
        <w:tc>
          <w:tcPr>
            <w:tcW w:w="240" w:type="dxa"/>
            <w:vAlign w:val="bottom"/>
            <w:tcBorders>
              <w:bottom w:val="single" w:sz="8" w:color="auto"/>
            </w:tcBorders>
            <w:shd w:val="clear" w:color="auto" w:fill="E0E7ED"/>
          </w:tcPr>
          <w:p>
            <w:pPr>
              <w:spacing w:after="0"/>
              <w:rPr>
                <w:sz w:val="24"/>
                <w:szCs w:val="24"/>
                <w:color w:val="auto"/>
              </w:rPr>
            </w:pPr>
          </w:p>
        </w:tc>
        <w:tc>
          <w:tcPr>
            <w:tcW w:w="1320" w:type="dxa"/>
            <w:vAlign w:val="bottom"/>
            <w:tcBorders>
              <w:bottom w:val="single" w:sz="8" w:color="auto"/>
            </w:tcBorders>
            <w:shd w:val="clear" w:color="auto" w:fill="E0E7ED"/>
          </w:tcPr>
          <w:p>
            <w:pPr>
              <w:jc w:val="right"/>
              <w:ind w:right="133"/>
              <w:spacing w:after="0"/>
              <w:rPr>
                <w:sz w:val="20"/>
                <w:szCs w:val="20"/>
                <w:color w:val="auto"/>
              </w:rPr>
            </w:pPr>
            <w:r>
              <w:rPr>
                <w:rFonts w:ascii="Verdana" w:cs="Verdana" w:eastAsia="Verdana" w:hAnsi="Verdana"/>
                <w:sz w:val="18"/>
                <w:szCs w:val="18"/>
                <w:color w:val="auto"/>
              </w:rPr>
              <w:t>(2,548)</w:t>
            </w:r>
          </w:p>
        </w:tc>
        <w:tc>
          <w:tcPr>
            <w:tcW w:w="100" w:type="dxa"/>
            <w:vAlign w:val="bottom"/>
            <w:shd w:val="clear" w:color="auto" w:fill="E0E7ED"/>
          </w:tcPr>
          <w:p>
            <w:pPr>
              <w:spacing w:after="0"/>
              <w:rPr>
                <w:sz w:val="24"/>
                <w:szCs w:val="24"/>
                <w:color w:val="auto"/>
              </w:rPr>
            </w:pPr>
          </w:p>
        </w:tc>
        <w:tc>
          <w:tcPr>
            <w:tcW w:w="380" w:type="dxa"/>
            <w:vAlign w:val="bottom"/>
            <w:tcBorders>
              <w:bottom w:val="single" w:sz="8" w:color="auto"/>
            </w:tcBorders>
            <w:shd w:val="clear" w:color="auto" w:fill="E0E7ED"/>
          </w:tcPr>
          <w:p>
            <w:pPr>
              <w:spacing w:after="0"/>
              <w:rPr>
                <w:sz w:val="24"/>
                <w:szCs w:val="24"/>
                <w:color w:val="auto"/>
              </w:rPr>
            </w:pPr>
          </w:p>
        </w:tc>
        <w:tc>
          <w:tcPr>
            <w:tcW w:w="1200" w:type="dxa"/>
            <w:vAlign w:val="bottom"/>
            <w:tcBorders>
              <w:bottom w:val="single" w:sz="8" w:color="auto"/>
            </w:tcBorders>
            <w:shd w:val="clear" w:color="auto" w:fill="E0E7ED"/>
          </w:tcPr>
          <w:p>
            <w:pPr>
              <w:jc w:val="right"/>
              <w:ind w:right="132"/>
              <w:spacing w:after="0"/>
              <w:rPr>
                <w:sz w:val="20"/>
                <w:szCs w:val="20"/>
                <w:color w:val="auto"/>
              </w:rPr>
            </w:pPr>
            <w:r>
              <w:rPr>
                <w:rFonts w:ascii="Verdana" w:cs="Verdana" w:eastAsia="Verdana" w:hAnsi="Verdana"/>
                <w:sz w:val="18"/>
                <w:szCs w:val="18"/>
                <w:color w:val="auto"/>
              </w:rPr>
              <w:t>(2,555)</w:t>
            </w:r>
          </w:p>
        </w:tc>
        <w:tc>
          <w:tcPr>
            <w:tcW w:w="100" w:type="dxa"/>
            <w:vAlign w:val="bottom"/>
            <w:shd w:val="clear" w:color="auto" w:fill="E0E7ED"/>
          </w:tcPr>
          <w:p>
            <w:pPr>
              <w:spacing w:after="0"/>
              <w:rPr>
                <w:sz w:val="24"/>
                <w:szCs w:val="24"/>
                <w:color w:val="auto"/>
              </w:rPr>
            </w:pPr>
          </w:p>
        </w:tc>
        <w:tc>
          <w:tcPr>
            <w:tcW w:w="260" w:type="dxa"/>
            <w:vAlign w:val="bottom"/>
            <w:tcBorders>
              <w:bottom w:val="single" w:sz="8" w:color="auto"/>
            </w:tcBorders>
            <w:shd w:val="clear" w:color="auto" w:fill="E0E7ED"/>
          </w:tcPr>
          <w:p>
            <w:pPr>
              <w:spacing w:after="0"/>
              <w:rPr>
                <w:sz w:val="24"/>
                <w:szCs w:val="24"/>
                <w:color w:val="auto"/>
              </w:rPr>
            </w:pPr>
          </w:p>
        </w:tc>
        <w:tc>
          <w:tcPr>
            <w:tcW w:w="1320" w:type="dxa"/>
            <w:vAlign w:val="bottom"/>
            <w:tcBorders>
              <w:bottom w:val="single" w:sz="8" w:color="auto"/>
            </w:tcBorders>
            <w:shd w:val="clear" w:color="auto" w:fill="E0E7ED"/>
          </w:tcPr>
          <w:p>
            <w:pPr>
              <w:jc w:val="right"/>
              <w:ind w:right="133"/>
              <w:spacing w:after="0"/>
              <w:rPr>
                <w:sz w:val="20"/>
                <w:szCs w:val="20"/>
                <w:color w:val="auto"/>
              </w:rPr>
            </w:pPr>
            <w:r>
              <w:rPr>
                <w:rFonts w:ascii="Verdana" w:cs="Verdana" w:eastAsia="Verdana" w:hAnsi="Verdana"/>
                <w:sz w:val="18"/>
                <w:szCs w:val="18"/>
                <w:color w:val="auto"/>
              </w:rPr>
              <w:t>(7,586)</w:t>
            </w:r>
          </w:p>
        </w:tc>
        <w:tc>
          <w:tcPr>
            <w:tcW w:w="80" w:type="dxa"/>
            <w:vAlign w:val="bottom"/>
            <w:shd w:val="clear" w:color="auto" w:fill="E0E7ED"/>
          </w:tcPr>
          <w:p>
            <w:pPr>
              <w:spacing w:after="0"/>
              <w:rPr>
                <w:sz w:val="24"/>
                <w:szCs w:val="24"/>
                <w:color w:val="auto"/>
              </w:rPr>
            </w:pPr>
          </w:p>
        </w:tc>
        <w:tc>
          <w:tcPr>
            <w:tcW w:w="360" w:type="dxa"/>
            <w:vAlign w:val="bottom"/>
            <w:tcBorders>
              <w:bottom w:val="single" w:sz="8" w:color="auto"/>
            </w:tcBorders>
            <w:shd w:val="clear" w:color="auto" w:fill="E0E7ED"/>
          </w:tcPr>
          <w:p>
            <w:pPr>
              <w:spacing w:after="0"/>
              <w:rPr>
                <w:sz w:val="24"/>
                <w:szCs w:val="24"/>
                <w:color w:val="auto"/>
              </w:rPr>
            </w:pPr>
          </w:p>
        </w:tc>
        <w:tc>
          <w:tcPr>
            <w:tcW w:w="1240" w:type="dxa"/>
            <w:vAlign w:val="bottom"/>
            <w:tcBorders>
              <w:bottom w:val="single" w:sz="8" w:color="auto"/>
            </w:tcBorders>
            <w:shd w:val="clear" w:color="auto" w:fill="E0E7ED"/>
          </w:tcPr>
          <w:p>
            <w:pPr>
              <w:jc w:val="right"/>
              <w:ind w:right="132"/>
              <w:spacing w:after="0"/>
              <w:rPr>
                <w:sz w:val="20"/>
                <w:szCs w:val="20"/>
                <w:color w:val="auto"/>
              </w:rPr>
            </w:pPr>
            <w:r>
              <w:rPr>
                <w:rFonts w:ascii="Verdana" w:cs="Verdana" w:eastAsia="Verdana" w:hAnsi="Verdana"/>
                <w:sz w:val="18"/>
                <w:szCs w:val="18"/>
                <w:color w:val="auto"/>
              </w:rPr>
              <w:t>(7,953)</w:t>
            </w:r>
          </w:p>
        </w:tc>
      </w:tr>
      <w:tr>
        <w:trPr>
          <w:trHeight w:val="218"/>
        </w:trPr>
        <w:tc>
          <w:tcPr>
            <w:tcW w:w="3400" w:type="dxa"/>
            <w:vAlign w:val="bottom"/>
          </w:tcPr>
          <w:p>
            <w:pPr>
              <w:ind w:left="180"/>
              <w:spacing w:after="0" w:line="217" w:lineRule="exact"/>
              <w:rPr>
                <w:sz w:val="20"/>
                <w:szCs w:val="20"/>
                <w:color w:val="auto"/>
              </w:rPr>
            </w:pPr>
            <w:r>
              <w:rPr>
                <w:rFonts w:ascii="Verdana" w:cs="Verdana" w:eastAsia="Verdana" w:hAnsi="Verdana"/>
                <w:sz w:val="18"/>
                <w:szCs w:val="18"/>
                <w:color w:val="auto"/>
              </w:rPr>
              <w:t>Noninterest expense excluding</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2"/>
        </w:trPr>
        <w:tc>
          <w:tcPr>
            <w:tcW w:w="3400" w:type="dxa"/>
            <w:vAlign w:val="bottom"/>
          </w:tcPr>
          <w:p>
            <w:pPr>
              <w:ind w:left="180"/>
              <w:spacing w:after="0"/>
              <w:rPr>
                <w:sz w:val="20"/>
                <w:szCs w:val="20"/>
                <w:color w:val="auto"/>
              </w:rPr>
            </w:pPr>
            <w:r>
              <w:rPr>
                <w:rFonts w:ascii="Verdana" w:cs="Verdana" w:eastAsia="Verdana" w:hAnsi="Verdana"/>
                <w:sz w:val="18"/>
                <w:szCs w:val="18"/>
                <w:color w:val="auto"/>
              </w:rPr>
              <w:t>amortization of intangible assets</w:t>
            </w:r>
          </w:p>
        </w:tc>
        <w:tc>
          <w:tcPr>
            <w:tcW w:w="1240" w:type="dxa"/>
            <w:vAlign w:val="bottom"/>
          </w:tcPr>
          <w:p>
            <w:pPr>
              <w:ind w:left="60"/>
              <w:spacing w:after="0"/>
              <w:rPr>
                <w:sz w:val="20"/>
                <w:szCs w:val="20"/>
                <w:color w:val="auto"/>
              </w:rPr>
            </w:pPr>
            <w:r>
              <w:rPr>
                <w:rFonts w:ascii="Verdana" w:cs="Verdana" w:eastAsia="Verdana" w:hAnsi="Verdana"/>
                <w:sz w:val="18"/>
                <w:szCs w:val="18"/>
                <w:color w:val="auto"/>
              </w:rPr>
              <w:t>[i]</w:t>
            </w:r>
          </w:p>
        </w:tc>
        <w:tc>
          <w:tcPr>
            <w:tcW w:w="240" w:type="dxa"/>
            <w:vAlign w:val="bottom"/>
          </w:tcPr>
          <w:p>
            <w:pPr>
              <w:spacing w:after="0"/>
              <w:rPr>
                <w:sz w:val="21"/>
                <w:szCs w:val="21"/>
                <w:color w:val="auto"/>
              </w:rPr>
            </w:pPr>
          </w:p>
        </w:tc>
        <w:tc>
          <w:tcPr>
            <w:tcW w:w="1320" w:type="dxa"/>
            <w:vAlign w:val="bottom"/>
          </w:tcPr>
          <w:p>
            <w:pPr>
              <w:jc w:val="right"/>
              <w:ind w:right="193"/>
              <w:spacing w:after="0"/>
              <w:rPr>
                <w:sz w:val="20"/>
                <w:szCs w:val="20"/>
                <w:color w:val="auto"/>
              </w:rPr>
            </w:pPr>
            <w:r>
              <w:rPr>
                <w:rFonts w:ascii="Verdana" w:cs="Verdana" w:eastAsia="Verdana" w:hAnsi="Verdana"/>
                <w:sz w:val="18"/>
                <w:szCs w:val="18"/>
                <w:color w:val="auto"/>
              </w:rPr>
              <w:t>73,378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92"/>
              <w:spacing w:after="0"/>
              <w:rPr>
                <w:sz w:val="20"/>
                <w:szCs w:val="20"/>
                <w:color w:val="auto"/>
              </w:rPr>
            </w:pPr>
            <w:r>
              <w:rPr>
                <w:rFonts w:ascii="Verdana" w:cs="Verdana" w:eastAsia="Verdana" w:hAnsi="Verdana"/>
                <w:sz w:val="18"/>
                <w:szCs w:val="18"/>
                <w:color w:val="auto"/>
              </w:rPr>
              <w:t>68,390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93"/>
              <w:spacing w:after="0"/>
              <w:rPr>
                <w:sz w:val="20"/>
                <w:szCs w:val="20"/>
                <w:color w:val="auto"/>
              </w:rPr>
            </w:pPr>
            <w:r>
              <w:rPr>
                <w:rFonts w:ascii="Verdana" w:cs="Verdana" w:eastAsia="Verdana" w:hAnsi="Verdana"/>
                <w:sz w:val="18"/>
                <w:szCs w:val="18"/>
                <w:color w:val="auto"/>
              </w:rPr>
              <w:t>214,646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92"/>
              <w:spacing w:after="0"/>
              <w:rPr>
                <w:sz w:val="20"/>
                <w:szCs w:val="20"/>
                <w:color w:val="auto"/>
              </w:rPr>
            </w:pPr>
            <w:r>
              <w:rPr>
                <w:rFonts w:ascii="Verdana" w:cs="Verdana" w:eastAsia="Verdana" w:hAnsi="Verdana"/>
                <w:sz w:val="18"/>
                <w:szCs w:val="18"/>
                <w:color w:val="auto"/>
              </w:rPr>
              <w:t>202,600</w:t>
            </w:r>
          </w:p>
        </w:tc>
      </w:tr>
      <w:tr>
        <w:trPr>
          <w:trHeight w:val="277"/>
        </w:trPr>
        <w:tc>
          <w:tcPr>
            <w:tcW w:w="34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Non-operating adjustments:</w:t>
            </w:r>
          </w:p>
        </w:tc>
        <w:tc>
          <w:tcPr>
            <w:tcW w:w="124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32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3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spacing w:after="0"/>
              <w:rPr>
                <w:sz w:val="24"/>
                <w:szCs w:val="24"/>
                <w:color w:val="auto"/>
              </w:rPr>
            </w:pPr>
          </w:p>
        </w:tc>
      </w:tr>
      <w:tr>
        <w:trPr>
          <w:trHeight w:val="238"/>
        </w:trPr>
        <w:tc>
          <w:tcPr>
            <w:tcW w:w="3400" w:type="dxa"/>
            <w:vAlign w:val="bottom"/>
          </w:tcPr>
          <w:p>
            <w:pPr>
              <w:ind w:left="360"/>
              <w:spacing w:after="0"/>
              <w:rPr>
                <w:sz w:val="20"/>
                <w:szCs w:val="20"/>
                <w:color w:val="auto"/>
              </w:rPr>
            </w:pPr>
            <w:r>
              <w:rPr>
                <w:rFonts w:ascii="Verdana" w:cs="Verdana" w:eastAsia="Verdana" w:hAnsi="Verdana"/>
                <w:sz w:val="18"/>
                <w:szCs w:val="18"/>
                <w:color w:val="auto"/>
              </w:rPr>
              <w:t>Salaries, wages, and employee</w:t>
            </w: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2"/>
        </w:trPr>
        <w:tc>
          <w:tcPr>
            <w:tcW w:w="3400" w:type="dxa"/>
            <w:vAlign w:val="bottom"/>
          </w:tcPr>
          <w:p>
            <w:pPr>
              <w:ind w:left="360"/>
              <w:spacing w:after="0"/>
              <w:rPr>
                <w:sz w:val="20"/>
                <w:szCs w:val="20"/>
                <w:color w:val="auto"/>
              </w:rPr>
            </w:pPr>
            <w:r>
              <w:rPr>
                <w:rFonts w:ascii="Verdana" w:cs="Verdana" w:eastAsia="Verdana" w:hAnsi="Verdana"/>
                <w:sz w:val="18"/>
                <w:szCs w:val="18"/>
                <w:color w:val="auto"/>
              </w:rPr>
              <w:t>benefits</w:t>
            </w: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33"/>
              <w:spacing w:after="0"/>
              <w:rPr>
                <w:sz w:val="20"/>
                <w:szCs w:val="20"/>
                <w:color w:val="auto"/>
              </w:rPr>
            </w:pPr>
            <w:r>
              <w:rPr>
                <w:rFonts w:ascii="Verdana" w:cs="Verdana" w:eastAsia="Verdana" w:hAnsi="Verdana"/>
                <w:sz w:val="18"/>
                <w:szCs w:val="18"/>
                <w:color w:val="auto"/>
              </w:rPr>
              <w:t>(73)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2"/>
          </w:tcPr>
          <w:p>
            <w:pPr>
              <w:jc w:val="right"/>
              <w:ind w:right="380"/>
              <w:spacing w:after="0"/>
              <w:rPr>
                <w:sz w:val="20"/>
                <w:szCs w:val="20"/>
                <w:color w:val="auto"/>
              </w:rPr>
            </w:pPr>
            <w:r>
              <w:rPr>
                <w:rFonts w:ascii="Verdana" w:cs="Verdana" w:eastAsia="Verdana" w:hAnsi="Verdana"/>
                <w:sz w:val="18"/>
                <w:szCs w:val="18"/>
                <w:color w:val="auto"/>
              </w:rPr>
              <w:t>—</w:t>
            </w:r>
          </w:p>
        </w:tc>
        <w:tc>
          <w:tcPr>
            <w:tcW w:w="260" w:type="dxa"/>
            <w:vAlign w:val="bottom"/>
          </w:tcPr>
          <w:p>
            <w:pPr>
              <w:spacing w:after="0"/>
              <w:rPr>
                <w:sz w:val="21"/>
                <w:szCs w:val="21"/>
                <w:color w:val="auto"/>
              </w:rPr>
            </w:pPr>
          </w:p>
        </w:tc>
        <w:tc>
          <w:tcPr>
            <w:tcW w:w="1320" w:type="dxa"/>
            <w:vAlign w:val="bottom"/>
          </w:tcPr>
          <w:p>
            <w:pPr>
              <w:jc w:val="right"/>
              <w:ind w:right="133"/>
              <w:spacing w:after="0"/>
              <w:rPr>
                <w:sz w:val="20"/>
                <w:szCs w:val="20"/>
                <w:color w:val="auto"/>
              </w:rPr>
            </w:pPr>
            <w:r>
              <w:rPr>
                <w:rFonts w:ascii="Verdana" w:cs="Verdana" w:eastAsia="Verdana" w:hAnsi="Verdana"/>
                <w:sz w:val="18"/>
                <w:szCs w:val="18"/>
                <w:color w:val="auto"/>
              </w:rPr>
              <w:t>(1,333)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92"/>
              <w:spacing w:after="0"/>
              <w:rPr>
                <w:sz w:val="20"/>
                <w:szCs w:val="20"/>
                <w:color w:val="auto"/>
              </w:rPr>
            </w:pPr>
            <w:r>
              <w:rPr>
                <w:rFonts w:ascii="Verdana" w:cs="Verdana" w:eastAsia="Verdana" w:hAnsi="Verdana"/>
                <w:sz w:val="18"/>
                <w:szCs w:val="18"/>
                <w:color w:val="auto"/>
              </w:rPr>
              <w:t>—</w:t>
            </w:r>
          </w:p>
        </w:tc>
      </w:tr>
      <w:tr>
        <w:trPr>
          <w:trHeight w:val="277"/>
        </w:trPr>
        <w:tc>
          <w:tcPr>
            <w:tcW w:w="34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Data processing</w:t>
            </w:r>
          </w:p>
        </w:tc>
        <w:tc>
          <w:tcPr>
            <w:tcW w:w="124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33"/>
              <w:spacing w:after="0"/>
              <w:rPr>
                <w:sz w:val="20"/>
                <w:szCs w:val="20"/>
                <w:color w:val="auto"/>
              </w:rPr>
            </w:pPr>
            <w:r>
              <w:rPr>
                <w:rFonts w:ascii="Verdana" w:cs="Verdana" w:eastAsia="Verdana" w:hAnsi="Verdana"/>
                <w:sz w:val="18"/>
                <w:szCs w:val="18"/>
                <w:color w:val="auto"/>
              </w:rPr>
              <w:t>(90)</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300" w:type="dxa"/>
            <w:vAlign w:val="bottom"/>
            <w:gridSpan w:val="2"/>
            <w:shd w:val="clear" w:color="auto" w:fill="E0E7ED"/>
          </w:tcPr>
          <w:p>
            <w:pPr>
              <w:jc w:val="right"/>
              <w:ind w:right="380"/>
              <w:spacing w:after="0"/>
              <w:rPr>
                <w:sz w:val="20"/>
                <w:szCs w:val="20"/>
                <w:color w:val="auto"/>
              </w:rPr>
            </w:pPr>
            <w:r>
              <w:rPr>
                <w:rFonts w:ascii="Verdana" w:cs="Verdana" w:eastAsia="Verdana" w:hAnsi="Verdana"/>
                <w:sz w:val="18"/>
                <w:szCs w:val="18"/>
                <w:color w:val="auto"/>
              </w:rPr>
              <w:t>—</w:t>
            </w:r>
          </w:p>
        </w:tc>
        <w:tc>
          <w:tcPr>
            <w:tcW w:w="26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33"/>
              <w:spacing w:after="0"/>
              <w:rPr>
                <w:sz w:val="20"/>
                <w:szCs w:val="20"/>
                <w:color w:val="auto"/>
              </w:rPr>
            </w:pPr>
            <w:r>
              <w:rPr>
                <w:rFonts w:ascii="Verdana" w:cs="Verdana" w:eastAsia="Verdana" w:hAnsi="Verdana"/>
                <w:sz w:val="18"/>
                <w:szCs w:val="18"/>
                <w:color w:val="auto"/>
              </w:rPr>
              <w:t>(534)</w:t>
            </w:r>
          </w:p>
        </w:tc>
        <w:tc>
          <w:tcPr>
            <w:tcW w:w="8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w:t>
            </w:r>
          </w:p>
        </w:tc>
      </w:tr>
      <w:tr>
        <w:trPr>
          <w:trHeight w:val="238"/>
        </w:trPr>
        <w:tc>
          <w:tcPr>
            <w:tcW w:w="3400" w:type="dxa"/>
            <w:vAlign w:val="bottom"/>
          </w:tcPr>
          <w:p>
            <w:pPr>
              <w:ind w:left="360"/>
              <w:spacing w:after="0"/>
              <w:rPr>
                <w:sz w:val="20"/>
                <w:szCs w:val="20"/>
                <w:color w:val="auto"/>
              </w:rPr>
            </w:pPr>
            <w:r>
              <w:rPr>
                <w:rFonts w:ascii="Verdana" w:cs="Verdana" w:eastAsia="Verdana" w:hAnsi="Verdana"/>
                <w:sz w:val="18"/>
                <w:szCs w:val="18"/>
                <w:color w:val="auto"/>
              </w:rPr>
              <w:t>Professional fees, occupancy,</w:t>
            </w: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2"/>
        </w:trPr>
        <w:tc>
          <w:tcPr>
            <w:tcW w:w="3400" w:type="dxa"/>
            <w:vAlign w:val="bottom"/>
            <w:tcBorders>
              <w:bottom w:val="single" w:sz="8" w:color="E0E7ED"/>
            </w:tcBorders>
          </w:tcPr>
          <w:p>
            <w:pPr>
              <w:ind w:left="360"/>
              <w:spacing w:after="0"/>
              <w:rPr>
                <w:sz w:val="20"/>
                <w:szCs w:val="20"/>
                <w:color w:val="auto"/>
              </w:rPr>
            </w:pPr>
            <w:r>
              <w:rPr>
                <w:rFonts w:ascii="Verdana" w:cs="Verdana" w:eastAsia="Verdana" w:hAnsi="Verdana"/>
                <w:sz w:val="18"/>
                <w:szCs w:val="18"/>
                <w:color w:val="auto"/>
              </w:rPr>
              <w:t>furniture and fixtures, and other</w:t>
            </w:r>
          </w:p>
        </w:tc>
        <w:tc>
          <w:tcPr>
            <w:tcW w:w="1240" w:type="dxa"/>
            <w:vAlign w:val="bottom"/>
            <w:tcBorders>
              <w:bottom w:val="single" w:sz="8" w:color="E0E7ED"/>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33"/>
              <w:spacing w:after="0"/>
              <w:rPr>
                <w:sz w:val="20"/>
                <w:szCs w:val="20"/>
                <w:color w:val="auto"/>
              </w:rPr>
            </w:pPr>
            <w:r>
              <w:rPr>
                <w:rFonts w:ascii="Verdana" w:cs="Verdana" w:eastAsia="Verdana" w:hAnsi="Verdana"/>
                <w:sz w:val="18"/>
                <w:szCs w:val="18"/>
                <w:color w:val="auto"/>
              </w:rPr>
              <w:t>(1,772)</w:t>
            </w:r>
          </w:p>
        </w:tc>
        <w:tc>
          <w:tcPr>
            <w:tcW w:w="100" w:type="dxa"/>
            <w:vAlign w:val="bottom"/>
            <w:tcBorders>
              <w:bottom w:val="single" w:sz="8" w:color="E0E7ED"/>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32"/>
              <w:spacing w:after="0"/>
              <w:rPr>
                <w:sz w:val="20"/>
                <w:szCs w:val="20"/>
                <w:color w:val="auto"/>
              </w:rPr>
            </w:pPr>
            <w:r>
              <w:rPr>
                <w:rFonts w:ascii="Verdana" w:cs="Verdana" w:eastAsia="Verdana" w:hAnsi="Verdana"/>
                <w:sz w:val="18"/>
                <w:szCs w:val="18"/>
                <w:color w:val="auto"/>
              </w:rPr>
              <w:t>(79)</w:t>
            </w:r>
          </w:p>
        </w:tc>
        <w:tc>
          <w:tcPr>
            <w:tcW w:w="100" w:type="dxa"/>
            <w:vAlign w:val="bottom"/>
            <w:tcBorders>
              <w:bottom w:val="single" w:sz="8" w:color="E0E7ED"/>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33"/>
              <w:spacing w:after="0"/>
              <w:rPr>
                <w:sz w:val="20"/>
                <w:szCs w:val="20"/>
                <w:color w:val="auto"/>
              </w:rPr>
            </w:pPr>
            <w:r>
              <w:rPr>
                <w:rFonts w:ascii="Verdana" w:cs="Verdana" w:eastAsia="Verdana" w:hAnsi="Verdana"/>
                <w:sz w:val="18"/>
                <w:szCs w:val="18"/>
                <w:color w:val="auto"/>
              </w:rPr>
              <w:t>(2,688)</w:t>
            </w:r>
          </w:p>
        </w:tc>
        <w:tc>
          <w:tcPr>
            <w:tcW w:w="80" w:type="dxa"/>
            <w:vAlign w:val="bottom"/>
            <w:tcBorders>
              <w:bottom w:val="single" w:sz="8" w:color="E0E7ED"/>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32"/>
              <w:spacing w:after="0"/>
              <w:rPr>
                <w:sz w:val="20"/>
                <w:szCs w:val="20"/>
                <w:color w:val="auto"/>
              </w:rPr>
            </w:pPr>
            <w:r>
              <w:rPr>
                <w:rFonts w:ascii="Verdana" w:cs="Verdana" w:eastAsia="Verdana" w:hAnsi="Verdana"/>
                <w:sz w:val="18"/>
                <w:szCs w:val="18"/>
                <w:color w:val="auto"/>
              </w:rPr>
              <w:t>(91)</w:t>
            </w:r>
          </w:p>
        </w:tc>
      </w:tr>
      <w:tr>
        <w:trPr>
          <w:trHeight w:val="270"/>
        </w:trPr>
        <w:tc>
          <w:tcPr>
            <w:tcW w:w="34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Adjusted noninterest expense</w:t>
            </w:r>
          </w:p>
        </w:tc>
        <w:tc>
          <w:tcPr>
            <w:tcW w:w="1240" w:type="dxa"/>
            <w:vAlign w:val="bottom"/>
            <w:shd w:val="clear" w:color="auto" w:fill="E0E7ED"/>
          </w:tcPr>
          <w:p>
            <w:pPr>
              <w:ind w:left="60"/>
              <w:spacing w:after="0"/>
              <w:rPr>
                <w:sz w:val="20"/>
                <w:szCs w:val="20"/>
                <w:color w:val="auto"/>
              </w:rPr>
            </w:pPr>
            <w:r>
              <w:rPr>
                <w:rFonts w:ascii="Verdana" w:cs="Verdana" w:eastAsia="Verdana" w:hAnsi="Verdana"/>
                <w:sz w:val="18"/>
                <w:szCs w:val="18"/>
                <w:color w:val="auto"/>
              </w:rPr>
              <w:t>[j]</w:t>
            </w:r>
          </w:p>
        </w:tc>
        <w:tc>
          <w:tcPr>
            <w:tcW w:w="240" w:type="dxa"/>
            <w:vAlign w:val="bottom"/>
            <w:shd w:val="clear" w:color="auto" w:fill="E0E7ED"/>
          </w:tcPr>
          <w:p>
            <w:pPr>
              <w:spacing w:after="0"/>
              <w:rPr>
                <w:sz w:val="23"/>
                <w:szCs w:val="23"/>
                <w:color w:val="auto"/>
              </w:rPr>
            </w:pPr>
          </w:p>
        </w:tc>
        <w:tc>
          <w:tcPr>
            <w:tcW w:w="132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71,443</w:t>
            </w:r>
          </w:p>
        </w:tc>
        <w:tc>
          <w:tcPr>
            <w:tcW w:w="100" w:type="dxa"/>
            <w:vAlign w:val="bottom"/>
            <w:shd w:val="clear" w:color="auto" w:fill="E0E7ED"/>
          </w:tcPr>
          <w:p>
            <w:pPr>
              <w:spacing w:after="0"/>
              <w:rPr>
                <w:sz w:val="23"/>
                <w:szCs w:val="23"/>
                <w:color w:val="auto"/>
              </w:rPr>
            </w:pPr>
          </w:p>
        </w:tc>
        <w:tc>
          <w:tcPr>
            <w:tcW w:w="380" w:type="dxa"/>
            <w:vAlign w:val="bottom"/>
            <w:shd w:val="clear" w:color="auto" w:fill="E0E7ED"/>
          </w:tcPr>
          <w:p>
            <w:pPr>
              <w:spacing w:after="0"/>
              <w:rPr>
                <w:sz w:val="23"/>
                <w:szCs w:val="23"/>
                <w:color w:val="auto"/>
              </w:rPr>
            </w:pPr>
          </w:p>
        </w:tc>
        <w:tc>
          <w:tcPr>
            <w:tcW w:w="12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68,311</w:t>
            </w:r>
          </w:p>
        </w:tc>
        <w:tc>
          <w:tcPr>
            <w:tcW w:w="10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132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210,091</w:t>
            </w:r>
          </w:p>
        </w:tc>
        <w:tc>
          <w:tcPr>
            <w:tcW w:w="80" w:type="dxa"/>
            <w:vAlign w:val="bottom"/>
            <w:shd w:val="clear" w:color="auto" w:fill="E0E7ED"/>
          </w:tcPr>
          <w:p>
            <w:pPr>
              <w:spacing w:after="0"/>
              <w:rPr>
                <w:sz w:val="23"/>
                <w:szCs w:val="23"/>
                <w:color w:val="auto"/>
              </w:rPr>
            </w:pPr>
          </w:p>
        </w:tc>
        <w:tc>
          <w:tcPr>
            <w:tcW w:w="360" w:type="dxa"/>
            <w:vAlign w:val="bottom"/>
            <w:shd w:val="clear" w:color="auto" w:fill="E0E7ED"/>
          </w:tcPr>
          <w:p>
            <w:pPr>
              <w:spacing w:after="0"/>
              <w:rPr>
                <w:sz w:val="23"/>
                <w:szCs w:val="23"/>
                <w:color w:val="auto"/>
              </w:rPr>
            </w:pPr>
          </w:p>
        </w:tc>
        <w:tc>
          <w:tcPr>
            <w:tcW w:w="12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202,509</w:t>
            </w:r>
          </w:p>
        </w:tc>
      </w:tr>
      <w:tr>
        <w:trPr>
          <w:trHeight w:val="238"/>
        </w:trPr>
        <w:tc>
          <w:tcPr>
            <w:tcW w:w="3400" w:type="dxa"/>
            <w:vAlign w:val="bottom"/>
          </w:tcPr>
          <w:p>
            <w:pPr>
              <w:ind w:left="180"/>
              <w:spacing w:after="0"/>
              <w:rPr>
                <w:sz w:val="20"/>
                <w:szCs w:val="20"/>
                <w:color w:val="auto"/>
              </w:rPr>
            </w:pPr>
            <w:r>
              <w:rPr>
                <w:rFonts w:ascii="Verdana" w:cs="Verdana" w:eastAsia="Verdana" w:hAnsi="Verdana"/>
                <w:sz w:val="18"/>
                <w:szCs w:val="18"/>
                <w:color w:val="auto"/>
              </w:rPr>
              <w:t>Provision for unfunded</w:t>
            </w: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2"/>
        </w:trPr>
        <w:tc>
          <w:tcPr>
            <w:tcW w:w="3400" w:type="dxa"/>
            <w:vAlign w:val="bottom"/>
          </w:tcPr>
          <w:p>
            <w:pPr>
              <w:ind w:left="180"/>
              <w:spacing w:after="0"/>
              <w:rPr>
                <w:sz w:val="20"/>
                <w:szCs w:val="20"/>
                <w:color w:val="auto"/>
              </w:rPr>
            </w:pPr>
            <w:r>
              <w:rPr>
                <w:rFonts w:ascii="Verdana" w:cs="Verdana" w:eastAsia="Verdana" w:hAnsi="Verdana"/>
                <w:sz w:val="18"/>
                <w:szCs w:val="18"/>
                <w:color w:val="auto"/>
              </w:rPr>
              <w:t>commitments</w:t>
            </w: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33"/>
              <w:spacing w:after="0"/>
              <w:rPr>
                <w:sz w:val="20"/>
                <w:szCs w:val="20"/>
                <w:color w:val="auto"/>
              </w:rPr>
            </w:pPr>
            <w:r>
              <w:rPr>
                <w:rFonts w:ascii="Verdana" w:cs="Verdana" w:eastAsia="Verdana" w:hAnsi="Verdana"/>
                <w:sz w:val="18"/>
                <w:szCs w:val="18"/>
                <w:color w:val="auto"/>
              </w:rPr>
              <w:t>(407)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Verdana" w:cs="Verdana" w:eastAsia="Verdana" w:hAnsi="Verdana"/>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93"/>
              <w:spacing w:after="0"/>
              <w:rPr>
                <w:sz w:val="20"/>
                <w:szCs w:val="20"/>
                <w:color w:val="auto"/>
              </w:rPr>
            </w:pPr>
            <w:r>
              <w:rPr>
                <w:rFonts w:ascii="Verdana" w:cs="Verdana" w:eastAsia="Verdana" w:hAnsi="Verdana"/>
                <w:sz w:val="18"/>
                <w:szCs w:val="18"/>
                <w:color w:val="auto"/>
              </w:rPr>
              <w:t>640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92"/>
              <w:spacing w:after="0"/>
              <w:rPr>
                <w:sz w:val="20"/>
                <w:szCs w:val="20"/>
                <w:color w:val="auto"/>
              </w:rPr>
            </w:pPr>
            <w:r>
              <w:rPr>
                <w:rFonts w:ascii="Verdana" w:cs="Verdana" w:eastAsia="Verdana" w:hAnsi="Verdana"/>
                <w:sz w:val="18"/>
                <w:szCs w:val="18"/>
                <w:color w:val="auto"/>
              </w:rPr>
              <w:t>357</w:t>
            </w:r>
          </w:p>
        </w:tc>
      </w:tr>
      <w:tr>
        <w:trPr>
          <w:trHeight w:val="270"/>
        </w:trPr>
        <w:tc>
          <w:tcPr>
            <w:tcW w:w="34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Amortization of NMTC</w:t>
            </w:r>
          </w:p>
        </w:tc>
        <w:tc>
          <w:tcPr>
            <w:tcW w:w="124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420" w:type="dxa"/>
            <w:vAlign w:val="bottom"/>
            <w:gridSpan w:val="2"/>
            <w:shd w:val="clear" w:color="auto" w:fill="E0E7ED"/>
          </w:tcPr>
          <w:p>
            <w:pPr>
              <w:jc w:val="right"/>
              <w:ind w:right="380"/>
              <w:spacing w:after="0"/>
              <w:rPr>
                <w:sz w:val="20"/>
                <w:szCs w:val="20"/>
                <w:color w:val="auto"/>
              </w:rPr>
            </w:pPr>
            <w:r>
              <w:rPr>
                <w:rFonts w:ascii="Verdana" w:cs="Verdana" w:eastAsia="Verdana" w:hAnsi="Verdana"/>
                <w:sz w:val="18"/>
                <w:szCs w:val="18"/>
                <w:color w:val="auto"/>
              </w:rPr>
              <w:t>—</w:t>
            </w:r>
          </w:p>
        </w:tc>
        <w:tc>
          <w:tcPr>
            <w:tcW w:w="380" w:type="dxa"/>
            <w:vAlign w:val="bottom"/>
            <w:shd w:val="clear" w:color="auto" w:fill="E0E7ED"/>
          </w:tcPr>
          <w:p>
            <w:pPr>
              <w:spacing w:after="0"/>
              <w:rPr>
                <w:sz w:val="23"/>
                <w:szCs w:val="23"/>
                <w:color w:val="auto"/>
              </w:rPr>
            </w:pPr>
          </w:p>
        </w:tc>
        <w:tc>
          <w:tcPr>
            <w:tcW w:w="1200" w:type="dxa"/>
            <w:vAlign w:val="bottom"/>
            <w:shd w:val="clear" w:color="auto" w:fill="E0E7ED"/>
          </w:tcPr>
          <w:p>
            <w:pPr>
              <w:jc w:val="right"/>
              <w:ind w:right="132"/>
              <w:spacing w:after="0"/>
              <w:rPr>
                <w:sz w:val="20"/>
                <w:szCs w:val="20"/>
                <w:color w:val="auto"/>
              </w:rPr>
            </w:pPr>
            <w:r>
              <w:rPr>
                <w:rFonts w:ascii="Verdana" w:cs="Verdana" w:eastAsia="Verdana" w:hAnsi="Verdana"/>
                <w:sz w:val="18"/>
                <w:szCs w:val="18"/>
                <w:color w:val="auto"/>
              </w:rPr>
              <w:t>(2,260)</w:t>
            </w:r>
          </w:p>
        </w:tc>
        <w:tc>
          <w:tcPr>
            <w:tcW w:w="10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1400" w:type="dxa"/>
            <w:vAlign w:val="bottom"/>
            <w:gridSpan w:val="2"/>
            <w:shd w:val="clear" w:color="auto" w:fill="E0E7ED"/>
          </w:tcPr>
          <w:p>
            <w:pPr>
              <w:jc w:val="right"/>
              <w:ind w:right="360"/>
              <w:spacing w:after="0"/>
              <w:rPr>
                <w:sz w:val="20"/>
                <w:szCs w:val="20"/>
                <w:color w:val="auto"/>
              </w:rPr>
            </w:pPr>
            <w:r>
              <w:rPr>
                <w:rFonts w:ascii="Verdana" w:cs="Verdana" w:eastAsia="Verdana" w:hAnsi="Verdana"/>
                <w:sz w:val="18"/>
                <w:szCs w:val="18"/>
                <w:color w:val="auto"/>
              </w:rPr>
              <w:t>—</w:t>
            </w:r>
          </w:p>
        </w:tc>
        <w:tc>
          <w:tcPr>
            <w:tcW w:w="360" w:type="dxa"/>
            <w:vAlign w:val="bottom"/>
            <w:shd w:val="clear" w:color="auto" w:fill="E0E7ED"/>
          </w:tcPr>
          <w:p>
            <w:pPr>
              <w:spacing w:after="0"/>
              <w:rPr>
                <w:sz w:val="23"/>
                <w:szCs w:val="23"/>
                <w:color w:val="auto"/>
              </w:rPr>
            </w:pPr>
          </w:p>
        </w:tc>
        <w:tc>
          <w:tcPr>
            <w:tcW w:w="1240" w:type="dxa"/>
            <w:vAlign w:val="bottom"/>
            <w:shd w:val="clear" w:color="auto" w:fill="E0E7ED"/>
          </w:tcPr>
          <w:p>
            <w:pPr>
              <w:jc w:val="right"/>
              <w:ind w:right="132"/>
              <w:spacing w:after="0"/>
              <w:rPr>
                <w:sz w:val="20"/>
                <w:szCs w:val="20"/>
                <w:color w:val="auto"/>
              </w:rPr>
            </w:pPr>
            <w:r>
              <w:rPr>
                <w:rFonts w:ascii="Verdana" w:cs="Verdana" w:eastAsia="Verdana" w:hAnsi="Verdana"/>
                <w:sz w:val="18"/>
                <w:szCs w:val="18"/>
                <w:color w:val="auto"/>
              </w:rPr>
              <w:t>(6,740)</w:t>
            </w:r>
          </w:p>
        </w:tc>
      </w:tr>
      <w:tr>
        <w:trPr>
          <w:trHeight w:val="270"/>
        </w:trPr>
        <w:tc>
          <w:tcPr>
            <w:tcW w:w="3400" w:type="dxa"/>
            <w:vAlign w:val="bottom"/>
          </w:tcPr>
          <w:p>
            <w:pPr>
              <w:ind w:left="20"/>
              <w:spacing w:after="0"/>
              <w:rPr>
                <w:sz w:val="20"/>
                <w:szCs w:val="20"/>
                <w:color w:val="auto"/>
              </w:rPr>
            </w:pPr>
            <w:r>
              <w:rPr>
                <w:rFonts w:ascii="Verdana" w:cs="Verdana" w:eastAsia="Verdana" w:hAnsi="Verdana"/>
                <w:sz w:val="18"/>
                <w:szCs w:val="18"/>
                <w:color w:val="auto"/>
              </w:rPr>
              <w:t>Adjusted core expense</w:t>
            </w:r>
          </w:p>
        </w:tc>
        <w:tc>
          <w:tcPr>
            <w:tcW w:w="1240" w:type="dxa"/>
            <w:vAlign w:val="bottom"/>
          </w:tcPr>
          <w:p>
            <w:pPr>
              <w:ind w:left="60"/>
              <w:spacing w:after="0"/>
              <w:rPr>
                <w:sz w:val="20"/>
                <w:szCs w:val="20"/>
                <w:color w:val="auto"/>
              </w:rPr>
            </w:pPr>
            <w:r>
              <w:rPr>
                <w:rFonts w:ascii="Verdana" w:cs="Verdana" w:eastAsia="Verdana" w:hAnsi="Verdana"/>
                <w:sz w:val="18"/>
                <w:szCs w:val="18"/>
                <w:color w:val="auto"/>
              </w:rPr>
              <w:t>[k]</w:t>
            </w: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Verdana" w:cs="Verdana" w:eastAsia="Verdana" w:hAnsi="Verdana"/>
                <w:sz w:val="18"/>
                <w:szCs w:val="18"/>
                <w:color w:val="auto"/>
              </w:rPr>
              <w:t>$</w:t>
            </w:r>
          </w:p>
        </w:tc>
        <w:tc>
          <w:tcPr>
            <w:tcW w:w="1320" w:type="dxa"/>
            <w:vAlign w:val="bottom"/>
            <w:tcBorders>
              <w:top w:val="single" w:sz="8" w:color="auto"/>
              <w:bottom w:val="single" w:sz="8" w:color="auto"/>
            </w:tcBorders>
          </w:tcPr>
          <w:p>
            <w:pPr>
              <w:jc w:val="right"/>
              <w:ind w:right="193"/>
              <w:spacing w:after="0"/>
              <w:rPr>
                <w:sz w:val="20"/>
                <w:szCs w:val="20"/>
                <w:color w:val="auto"/>
              </w:rPr>
            </w:pPr>
            <w:r>
              <w:rPr>
                <w:rFonts w:ascii="Verdana" w:cs="Verdana" w:eastAsia="Verdana" w:hAnsi="Verdana"/>
                <w:sz w:val="18"/>
                <w:szCs w:val="18"/>
                <w:color w:val="auto"/>
              </w:rPr>
              <w:t>71,036</w:t>
            </w:r>
          </w:p>
        </w:tc>
        <w:tc>
          <w:tcPr>
            <w:tcW w:w="100" w:type="dxa"/>
            <w:vAlign w:val="bottom"/>
          </w:tcPr>
          <w:p>
            <w:pPr>
              <w:spacing w:after="0"/>
              <w:rPr>
                <w:sz w:val="23"/>
                <w:szCs w:val="23"/>
                <w:color w:val="auto"/>
              </w:rPr>
            </w:pPr>
          </w:p>
        </w:tc>
        <w:tc>
          <w:tcPr>
            <w:tcW w:w="380" w:type="dxa"/>
            <w:vAlign w:val="bottom"/>
            <w:tcBorders>
              <w:top w:val="single" w:sz="8" w:color="auto"/>
              <w:bottom w:val="single" w:sz="8" w:color="auto"/>
            </w:tcBorders>
          </w:tcPr>
          <w:p>
            <w:pPr>
              <w:jc w:val="right"/>
              <w:ind w:right="150"/>
              <w:spacing w:after="0"/>
              <w:rPr>
                <w:sz w:val="20"/>
                <w:szCs w:val="20"/>
                <w:color w:val="auto"/>
              </w:rPr>
            </w:pPr>
            <w:r>
              <w:rPr>
                <w:rFonts w:ascii="Verdana" w:cs="Verdana" w:eastAsia="Verdana" w:hAnsi="Verdana"/>
                <w:sz w:val="18"/>
                <w:szCs w:val="18"/>
                <w:color w:val="auto"/>
              </w:rPr>
              <w:t>$</w:t>
            </w:r>
          </w:p>
        </w:tc>
        <w:tc>
          <w:tcPr>
            <w:tcW w:w="1200" w:type="dxa"/>
            <w:vAlign w:val="bottom"/>
            <w:tcBorders>
              <w:top w:val="single" w:sz="8" w:color="auto"/>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66,038</w:t>
            </w:r>
          </w:p>
        </w:tc>
        <w:tc>
          <w:tcPr>
            <w:tcW w:w="100" w:type="dxa"/>
            <w:vAlign w:val="bottom"/>
          </w:tcPr>
          <w:p>
            <w:pPr>
              <w:spacing w:after="0"/>
              <w:rPr>
                <w:sz w:val="23"/>
                <w:szCs w:val="23"/>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Verdana" w:cs="Verdana" w:eastAsia="Verdana" w:hAnsi="Verdana"/>
                <w:sz w:val="18"/>
                <w:szCs w:val="18"/>
                <w:color w:val="auto"/>
                <w:w w:val="86"/>
              </w:rPr>
              <w:t>$</w:t>
            </w:r>
          </w:p>
        </w:tc>
        <w:tc>
          <w:tcPr>
            <w:tcW w:w="1320" w:type="dxa"/>
            <w:vAlign w:val="bottom"/>
            <w:tcBorders>
              <w:top w:val="single" w:sz="8" w:color="auto"/>
              <w:bottom w:val="single" w:sz="8" w:color="auto"/>
            </w:tcBorders>
          </w:tcPr>
          <w:p>
            <w:pPr>
              <w:jc w:val="right"/>
              <w:ind w:right="193"/>
              <w:spacing w:after="0"/>
              <w:rPr>
                <w:sz w:val="20"/>
                <w:szCs w:val="20"/>
                <w:color w:val="auto"/>
              </w:rPr>
            </w:pPr>
            <w:r>
              <w:rPr>
                <w:rFonts w:ascii="Verdana" w:cs="Verdana" w:eastAsia="Verdana" w:hAnsi="Verdana"/>
                <w:sz w:val="18"/>
                <w:szCs w:val="18"/>
                <w:color w:val="auto"/>
              </w:rPr>
              <w:t>210,731</w:t>
            </w:r>
          </w:p>
        </w:tc>
        <w:tc>
          <w:tcPr>
            <w:tcW w:w="80" w:type="dxa"/>
            <w:vAlign w:val="bottom"/>
          </w:tcPr>
          <w:p>
            <w:pPr>
              <w:spacing w:after="0"/>
              <w:rPr>
                <w:sz w:val="23"/>
                <w:szCs w:val="23"/>
                <w:color w:val="auto"/>
              </w:rPr>
            </w:pPr>
          </w:p>
        </w:tc>
        <w:tc>
          <w:tcPr>
            <w:tcW w:w="360" w:type="dxa"/>
            <w:vAlign w:val="bottom"/>
            <w:tcBorders>
              <w:top w:val="single" w:sz="8" w:color="auto"/>
              <w:bottom w:val="single" w:sz="8" w:color="auto"/>
            </w:tcBorders>
          </w:tcPr>
          <w:p>
            <w:pPr>
              <w:jc w:val="right"/>
              <w:ind w:right="130"/>
              <w:spacing w:after="0"/>
              <w:rPr>
                <w:sz w:val="20"/>
                <w:szCs w:val="20"/>
                <w:color w:val="auto"/>
              </w:rPr>
            </w:pPr>
            <w:r>
              <w:rPr>
                <w:rFonts w:ascii="Verdana" w:cs="Verdana" w:eastAsia="Verdana" w:hAnsi="Verdana"/>
                <w:sz w:val="18"/>
                <w:szCs w:val="18"/>
                <w:color w:val="auto"/>
              </w:rPr>
              <w:t>$</w:t>
            </w:r>
          </w:p>
        </w:tc>
        <w:tc>
          <w:tcPr>
            <w:tcW w:w="1240" w:type="dxa"/>
            <w:vAlign w:val="bottom"/>
            <w:tcBorders>
              <w:top w:val="single" w:sz="8" w:color="auto"/>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196,126</w:t>
            </w:r>
          </w:p>
        </w:tc>
      </w:tr>
      <w:tr>
        <w:trPr>
          <w:trHeight w:val="20"/>
        </w:trPr>
        <w:tc>
          <w:tcPr>
            <w:tcW w:w="3400" w:type="dxa"/>
            <w:vAlign w:val="bottom"/>
            <w:tcBorders>
              <w:bottom w:val="single" w:sz="8" w:color="E0E7ED"/>
            </w:tcBorders>
          </w:tcPr>
          <w:p>
            <w:pPr>
              <w:spacing w:after="0" w:line="20" w:lineRule="exact"/>
              <w:rPr>
                <w:sz w:val="1"/>
                <w:szCs w:val="1"/>
                <w:color w:val="auto"/>
              </w:rPr>
            </w:pPr>
          </w:p>
        </w:tc>
        <w:tc>
          <w:tcPr>
            <w:tcW w:w="1240" w:type="dxa"/>
            <w:vAlign w:val="bottom"/>
            <w:tcBorders>
              <w:bottom w:val="single" w:sz="8" w:color="E0E7ED"/>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3400" w:type="dxa"/>
            <w:vAlign w:val="bottom"/>
            <w:shd w:val="clear" w:color="auto" w:fill="E0E7ED"/>
          </w:tcPr>
          <w:p>
            <w:pPr>
              <w:spacing w:after="0"/>
              <w:rPr>
                <w:sz w:val="20"/>
                <w:szCs w:val="20"/>
                <w:color w:val="auto"/>
              </w:rPr>
            </w:pPr>
          </w:p>
        </w:tc>
        <w:tc>
          <w:tcPr>
            <w:tcW w:w="124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13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80" w:type="dxa"/>
            <w:vAlign w:val="bottom"/>
            <w:shd w:val="clear" w:color="auto" w:fill="E0E7ED"/>
          </w:tcPr>
          <w:p>
            <w:pPr>
              <w:spacing w:after="0"/>
              <w:rPr>
                <w:sz w:val="20"/>
                <w:szCs w:val="20"/>
                <w:color w:val="auto"/>
              </w:rPr>
            </w:pPr>
          </w:p>
        </w:tc>
        <w:tc>
          <w:tcPr>
            <w:tcW w:w="12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32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60" w:type="dxa"/>
            <w:vAlign w:val="bottom"/>
            <w:shd w:val="clear" w:color="auto" w:fill="E0E7ED"/>
          </w:tcPr>
          <w:p>
            <w:pPr>
              <w:spacing w:after="0"/>
              <w:rPr>
                <w:sz w:val="20"/>
                <w:szCs w:val="20"/>
                <w:color w:val="auto"/>
              </w:rPr>
            </w:pPr>
          </w:p>
        </w:tc>
        <w:tc>
          <w:tcPr>
            <w:tcW w:w="1240" w:type="dxa"/>
            <w:vAlign w:val="bottom"/>
            <w:shd w:val="clear" w:color="auto" w:fill="E0E7ED"/>
          </w:tcPr>
          <w:p>
            <w:pPr>
              <w:spacing w:after="0"/>
              <w:rPr>
                <w:sz w:val="20"/>
                <w:szCs w:val="20"/>
                <w:color w:val="auto"/>
              </w:rPr>
            </w:pPr>
          </w:p>
        </w:tc>
      </w:tr>
      <w:tr>
        <w:trPr>
          <w:trHeight w:val="238"/>
        </w:trPr>
        <w:tc>
          <w:tcPr>
            <w:tcW w:w="3400" w:type="dxa"/>
            <w:vAlign w:val="bottom"/>
          </w:tcPr>
          <w:p>
            <w:pPr>
              <w:ind w:left="20"/>
              <w:spacing w:after="0"/>
              <w:rPr>
                <w:sz w:val="20"/>
                <w:szCs w:val="20"/>
                <w:color w:val="auto"/>
              </w:rPr>
            </w:pPr>
            <w:r>
              <w:rPr>
                <w:rFonts w:ascii="Verdana" w:cs="Verdana" w:eastAsia="Verdana" w:hAnsi="Verdana"/>
                <w:sz w:val="18"/>
                <w:szCs w:val="18"/>
                <w:color w:val="auto"/>
              </w:rPr>
              <w:t>Noninterest expense, excluding non-</w:t>
            </w: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2"/>
        </w:trPr>
        <w:tc>
          <w:tcPr>
            <w:tcW w:w="3400" w:type="dxa"/>
            <w:vAlign w:val="bottom"/>
          </w:tcPr>
          <w:p>
            <w:pPr>
              <w:ind w:left="20"/>
              <w:spacing w:after="0"/>
              <w:rPr>
                <w:sz w:val="20"/>
                <w:szCs w:val="20"/>
                <w:color w:val="auto"/>
              </w:rPr>
            </w:pPr>
            <w:r>
              <w:rPr>
                <w:rFonts w:ascii="Verdana" w:cs="Verdana" w:eastAsia="Verdana" w:hAnsi="Verdana"/>
                <w:sz w:val="18"/>
                <w:szCs w:val="18"/>
                <w:color w:val="auto"/>
              </w:rPr>
              <w:t>operating adjustments</w:t>
            </w:r>
          </w:p>
        </w:tc>
        <w:tc>
          <w:tcPr>
            <w:tcW w:w="1240" w:type="dxa"/>
            <w:vAlign w:val="bottom"/>
          </w:tcPr>
          <w:p>
            <w:pPr>
              <w:ind w:left="60"/>
              <w:spacing w:after="0"/>
              <w:rPr>
                <w:sz w:val="20"/>
                <w:szCs w:val="20"/>
                <w:color w:val="auto"/>
              </w:rPr>
            </w:pPr>
            <w:r>
              <w:rPr>
                <w:rFonts w:ascii="Verdana" w:cs="Verdana" w:eastAsia="Verdana" w:hAnsi="Verdana"/>
                <w:sz w:val="18"/>
                <w:szCs w:val="18"/>
                <w:color w:val="auto"/>
              </w:rPr>
              <w:t>[j-h]</w:t>
            </w: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ind w:right="193"/>
              <w:spacing w:after="0"/>
              <w:rPr>
                <w:sz w:val="20"/>
                <w:szCs w:val="20"/>
                <w:color w:val="auto"/>
              </w:rPr>
            </w:pPr>
            <w:r>
              <w:rPr>
                <w:rFonts w:ascii="Verdana" w:cs="Verdana" w:eastAsia="Verdana" w:hAnsi="Verdana"/>
                <w:sz w:val="18"/>
                <w:szCs w:val="18"/>
                <w:color w:val="auto"/>
              </w:rPr>
              <w:t>73,991</w:t>
            </w:r>
          </w:p>
        </w:tc>
        <w:tc>
          <w:tcPr>
            <w:tcW w:w="100" w:type="dxa"/>
            <w:vAlign w:val="bottom"/>
          </w:tcPr>
          <w:p>
            <w:pPr>
              <w:spacing w:after="0"/>
              <w:rPr>
                <w:sz w:val="21"/>
                <w:szCs w:val="21"/>
                <w:color w:val="auto"/>
              </w:rPr>
            </w:pPr>
          </w:p>
        </w:tc>
        <w:tc>
          <w:tcPr>
            <w:tcW w:w="380" w:type="dxa"/>
            <w:vAlign w:val="bottom"/>
          </w:tcPr>
          <w:p>
            <w:pPr>
              <w:jc w:val="right"/>
              <w:ind w:right="15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ind w:right="192"/>
              <w:spacing w:after="0"/>
              <w:rPr>
                <w:sz w:val="20"/>
                <w:szCs w:val="20"/>
                <w:color w:val="auto"/>
              </w:rPr>
            </w:pPr>
            <w:r>
              <w:rPr>
                <w:rFonts w:ascii="Verdana" w:cs="Verdana" w:eastAsia="Verdana" w:hAnsi="Verdana"/>
                <w:sz w:val="18"/>
                <w:szCs w:val="18"/>
                <w:color w:val="auto"/>
              </w:rPr>
              <w:t>70,866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Verdana" w:cs="Verdana" w:eastAsia="Verdana" w:hAnsi="Verdana"/>
                <w:sz w:val="18"/>
                <w:szCs w:val="18"/>
                <w:color w:val="auto"/>
                <w:w w:val="86"/>
              </w:rPr>
              <w:t>$</w:t>
            </w:r>
          </w:p>
        </w:tc>
        <w:tc>
          <w:tcPr>
            <w:tcW w:w="1320" w:type="dxa"/>
            <w:vAlign w:val="bottom"/>
          </w:tcPr>
          <w:p>
            <w:pPr>
              <w:jc w:val="right"/>
              <w:ind w:right="193"/>
              <w:spacing w:after="0"/>
              <w:rPr>
                <w:sz w:val="20"/>
                <w:szCs w:val="20"/>
                <w:color w:val="auto"/>
              </w:rPr>
            </w:pPr>
            <w:r>
              <w:rPr>
                <w:rFonts w:ascii="Verdana" w:cs="Verdana" w:eastAsia="Verdana" w:hAnsi="Verdana"/>
                <w:sz w:val="18"/>
                <w:szCs w:val="18"/>
                <w:color w:val="auto"/>
              </w:rPr>
              <w:t>217,677</w:t>
            </w:r>
          </w:p>
        </w:tc>
        <w:tc>
          <w:tcPr>
            <w:tcW w:w="80" w:type="dxa"/>
            <w:vAlign w:val="bottom"/>
          </w:tcPr>
          <w:p>
            <w:pPr>
              <w:spacing w:after="0"/>
              <w:rPr>
                <w:sz w:val="21"/>
                <w:szCs w:val="21"/>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ind w:right="192"/>
              <w:spacing w:after="0"/>
              <w:rPr>
                <w:sz w:val="20"/>
                <w:szCs w:val="20"/>
                <w:color w:val="auto"/>
              </w:rPr>
            </w:pPr>
            <w:r>
              <w:rPr>
                <w:rFonts w:ascii="Verdana" w:cs="Verdana" w:eastAsia="Verdana" w:hAnsi="Verdana"/>
                <w:sz w:val="18"/>
                <w:szCs w:val="18"/>
                <w:color w:val="auto"/>
              </w:rPr>
              <w:t>210,462</w:t>
            </w:r>
          </w:p>
        </w:tc>
      </w:tr>
      <w:tr>
        <w:trPr>
          <w:trHeight w:val="277"/>
        </w:trPr>
        <w:tc>
          <w:tcPr>
            <w:tcW w:w="3400" w:type="dxa"/>
            <w:vAlign w:val="bottom"/>
            <w:shd w:val="clear" w:color="auto" w:fill="E0E7ED"/>
          </w:tcPr>
          <w:p>
            <w:pPr>
              <w:spacing w:after="0"/>
              <w:rPr>
                <w:sz w:val="24"/>
                <w:szCs w:val="24"/>
                <w:color w:val="auto"/>
              </w:rPr>
            </w:pPr>
          </w:p>
        </w:tc>
        <w:tc>
          <w:tcPr>
            <w:tcW w:w="124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32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3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spacing w:after="0"/>
              <w:rPr>
                <w:sz w:val="24"/>
                <w:szCs w:val="24"/>
                <w:color w:val="auto"/>
              </w:rPr>
            </w:pPr>
          </w:p>
        </w:tc>
      </w:tr>
      <w:tr>
        <w:trPr>
          <w:trHeight w:val="263"/>
        </w:trPr>
        <w:tc>
          <w:tcPr>
            <w:tcW w:w="3400" w:type="dxa"/>
            <w:vAlign w:val="bottom"/>
          </w:tcPr>
          <w:p>
            <w:pPr>
              <w:ind w:left="20"/>
              <w:spacing w:after="0"/>
              <w:rPr>
                <w:sz w:val="20"/>
                <w:szCs w:val="20"/>
                <w:color w:val="auto"/>
              </w:rPr>
            </w:pPr>
            <w:r>
              <w:rPr>
                <w:rFonts w:ascii="Verdana" w:cs="Verdana" w:eastAsia="Verdana" w:hAnsi="Verdana"/>
                <w:sz w:val="18"/>
                <w:szCs w:val="18"/>
                <w:b w:val="1"/>
                <w:bCs w:val="1"/>
                <w:color w:val="auto"/>
              </w:rPr>
              <w:t xml:space="preserve">Reported: </w:t>
            </w:r>
            <w:r>
              <w:rPr>
                <w:rFonts w:ascii="Verdana" w:cs="Verdana" w:eastAsia="Verdana" w:hAnsi="Verdana"/>
                <w:sz w:val="18"/>
                <w:szCs w:val="18"/>
                <w:color w:val="auto"/>
              </w:rPr>
              <w:t>Efficiency ratio</w:t>
            </w:r>
          </w:p>
        </w:tc>
        <w:tc>
          <w:tcPr>
            <w:tcW w:w="1240" w:type="dxa"/>
            <w:vAlign w:val="bottom"/>
          </w:tcPr>
          <w:p>
            <w:pPr>
              <w:ind w:left="60"/>
              <w:spacing w:after="0"/>
              <w:rPr>
                <w:sz w:val="20"/>
                <w:szCs w:val="20"/>
                <w:color w:val="auto"/>
              </w:rPr>
            </w:pPr>
            <w:r>
              <w:rPr>
                <w:rFonts w:ascii="Verdana" w:cs="Verdana" w:eastAsia="Verdana" w:hAnsi="Verdana"/>
                <w:sz w:val="18"/>
                <w:szCs w:val="18"/>
                <w:color w:val="auto"/>
              </w:rPr>
              <w:t>[i÷e]</w:t>
            </w:r>
          </w:p>
        </w:tc>
        <w:tc>
          <w:tcPr>
            <w:tcW w:w="2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62.15 %</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62.38 %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60.87 %</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59.97 %</w:t>
            </w:r>
          </w:p>
        </w:tc>
      </w:tr>
      <w:tr>
        <w:trPr>
          <w:trHeight w:val="277"/>
        </w:trPr>
        <w:tc>
          <w:tcPr>
            <w:tcW w:w="34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 xml:space="preserve">Adjusted: </w:t>
            </w:r>
            <w:r>
              <w:rPr>
                <w:rFonts w:ascii="Verdana" w:cs="Verdana" w:eastAsia="Verdana" w:hAnsi="Verdana"/>
                <w:sz w:val="18"/>
                <w:szCs w:val="18"/>
                <w:color w:val="auto"/>
              </w:rPr>
              <w:t>Efficiency ratio</w:t>
            </w:r>
          </w:p>
        </w:tc>
        <w:tc>
          <w:tcPr>
            <w:tcW w:w="1240" w:type="dxa"/>
            <w:vAlign w:val="bottom"/>
            <w:shd w:val="clear" w:color="auto" w:fill="E0E7ED"/>
          </w:tcPr>
          <w:p>
            <w:pPr>
              <w:ind w:left="60"/>
              <w:spacing w:after="0"/>
              <w:rPr>
                <w:sz w:val="20"/>
                <w:szCs w:val="20"/>
                <w:color w:val="auto"/>
              </w:rPr>
            </w:pPr>
            <w:r>
              <w:rPr>
                <w:rFonts w:ascii="Verdana" w:cs="Verdana" w:eastAsia="Verdana" w:hAnsi="Verdana"/>
                <w:sz w:val="18"/>
                <w:szCs w:val="18"/>
                <w:color w:val="auto"/>
              </w:rPr>
              <w:t>[j÷f]</w:t>
            </w:r>
          </w:p>
        </w:tc>
        <w:tc>
          <w:tcPr>
            <w:tcW w:w="24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60.50 %</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62.31 %</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60.91 %</w:t>
            </w:r>
          </w:p>
        </w:tc>
        <w:tc>
          <w:tcPr>
            <w:tcW w:w="8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59.95 %</w:t>
            </w:r>
          </w:p>
        </w:tc>
      </w:tr>
      <w:tr>
        <w:trPr>
          <w:trHeight w:val="257"/>
        </w:trPr>
        <w:tc>
          <w:tcPr>
            <w:tcW w:w="3400" w:type="dxa"/>
            <w:vAlign w:val="bottom"/>
          </w:tcPr>
          <w:p>
            <w:pPr>
              <w:ind w:left="20"/>
              <w:spacing w:after="0"/>
              <w:rPr>
                <w:sz w:val="20"/>
                <w:szCs w:val="20"/>
                <w:color w:val="auto"/>
              </w:rPr>
            </w:pPr>
            <w:r>
              <w:rPr>
                <w:rFonts w:ascii="Verdana" w:cs="Verdana" w:eastAsia="Verdana" w:hAnsi="Verdana"/>
                <w:sz w:val="18"/>
                <w:szCs w:val="18"/>
                <w:b w:val="1"/>
                <w:bCs w:val="1"/>
                <w:color w:val="auto"/>
              </w:rPr>
              <w:t xml:space="preserve">Adjusted: </w:t>
            </w:r>
            <w:r>
              <w:rPr>
                <w:rFonts w:ascii="Verdana" w:cs="Verdana" w:eastAsia="Verdana" w:hAnsi="Verdana"/>
                <w:sz w:val="18"/>
                <w:szCs w:val="18"/>
                <w:color w:val="auto"/>
              </w:rPr>
              <w:t>Core efficiency ratio</w:t>
            </w:r>
          </w:p>
        </w:tc>
        <w:tc>
          <w:tcPr>
            <w:tcW w:w="1240" w:type="dxa"/>
            <w:vAlign w:val="bottom"/>
          </w:tcPr>
          <w:p>
            <w:pPr>
              <w:ind w:left="60"/>
              <w:spacing w:after="0"/>
              <w:rPr>
                <w:sz w:val="20"/>
                <w:szCs w:val="20"/>
                <w:color w:val="auto"/>
              </w:rPr>
            </w:pPr>
            <w:r>
              <w:rPr>
                <w:rFonts w:ascii="Verdana" w:cs="Verdana" w:eastAsia="Verdana" w:hAnsi="Verdana"/>
                <w:sz w:val="18"/>
                <w:szCs w:val="18"/>
                <w:color w:val="auto"/>
              </w:rPr>
              <w:t>[k÷f]</w:t>
            </w:r>
          </w:p>
        </w:tc>
        <w:tc>
          <w:tcPr>
            <w:tcW w:w="2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60.16 %</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60.23 %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61.10 %</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58.06 %</w:t>
            </w:r>
          </w:p>
        </w:tc>
      </w:tr>
    </w:tbl>
    <w:p>
      <w:pPr>
        <w:spacing w:after="0" w:line="93"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tabs>
          <w:tab w:leader="none" w:pos="480" w:val="left"/>
        </w:tabs>
        <w:numPr>
          <w:ilvl w:val="0"/>
          <w:numId w:val="32"/>
        </w:numPr>
        <w:rPr>
          <w:rFonts w:ascii="Verdana" w:cs="Verdana" w:eastAsia="Verdana" w:hAnsi="Verdana"/>
          <w:sz w:val="12"/>
          <w:szCs w:val="12"/>
          <w:color w:val="auto"/>
        </w:rPr>
      </w:pPr>
      <w:r>
        <w:rPr>
          <w:rFonts w:ascii="Verdana" w:cs="Verdana" w:eastAsia="Verdana" w:hAnsi="Verdana"/>
          <w:sz w:val="12"/>
          <w:szCs w:val="12"/>
          <w:color w:val="auto"/>
        </w:rPr>
        <w:t>The tax-equivalent adjustments were calculated using an estimated federal income tax rate of 21.0%, applied to non-taxable interest income on investments and loans.</w:t>
      </w: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01" w:name="page102"/>
    <w:bookmarkEnd w:id="101"/>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2. MD&amp;A</w:t>
      </w:r>
    </w:p>
    <w:p>
      <w:pPr>
        <w:spacing w:after="0" w:line="186"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RECONCILIATION OF NON-GAAP FINANCIAL MEASURES (Unaudited)</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Tangible Book Value and Tangible Book Value Per Common Share</w:t>
      </w:r>
    </w:p>
    <w:p>
      <w:pPr>
        <w:spacing w:after="0" w:line="5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 except per share amounts)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gridSpan w:val="4"/>
          </w:tcPr>
          <w:p>
            <w:pPr>
              <w:jc w:val="right"/>
              <w:ind w:right="20"/>
              <w:spacing w:after="0"/>
              <w:rPr>
                <w:sz w:val="20"/>
                <w:szCs w:val="20"/>
                <w:color w:val="auto"/>
              </w:rPr>
            </w:pPr>
            <w:r>
              <w:rPr>
                <w:rFonts w:ascii="Verdana" w:cs="Verdana" w:eastAsia="Verdana" w:hAnsi="Verdana"/>
                <w:sz w:val="13"/>
                <w:szCs w:val="13"/>
                <w:b w:val="1"/>
                <w:bCs w:val="1"/>
                <w:color w:val="auto"/>
              </w:rPr>
              <w:t>As of</w:t>
            </w:r>
          </w:p>
        </w:tc>
        <w:tc>
          <w:tcPr>
            <w:tcW w:w="1360" w:type="dxa"/>
            <w:vAlign w:val="bottom"/>
            <w:tcBorders>
              <w:bottom w:val="single" w:sz="8" w:color="auto"/>
            </w:tcBorders>
          </w:tcPr>
          <w:p>
            <w:pPr>
              <w:spacing w:after="0"/>
              <w:rPr>
                <w:sz w:val="15"/>
                <w:szCs w:val="15"/>
                <w:color w:val="auto"/>
              </w:rPr>
            </w:pPr>
          </w:p>
        </w:tc>
      </w:tr>
      <w:tr>
        <w:trPr>
          <w:trHeight w:val="122"/>
        </w:trPr>
        <w:tc>
          <w:tcPr>
            <w:tcW w:w="444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tcPr>
          <w:p>
            <w:pPr>
              <w:jc w:val="right"/>
              <w:ind w:right="117"/>
              <w:spacing w:after="0" w:line="122" w:lineRule="exact"/>
              <w:rPr>
                <w:sz w:val="20"/>
                <w:szCs w:val="20"/>
                <w:color w:val="auto"/>
              </w:rPr>
            </w:pPr>
            <w:r>
              <w:rPr>
                <w:rFonts w:ascii="Verdana" w:cs="Verdana" w:eastAsia="Verdana" w:hAnsi="Verdana"/>
                <w:sz w:val="13"/>
                <w:szCs w:val="13"/>
                <w:b w:val="1"/>
                <w:bCs w:val="1"/>
                <w:color w:val="auto"/>
              </w:rPr>
              <w:t>September 30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tcPr>
          <w:p>
            <w:pPr>
              <w:jc w:val="right"/>
              <w:ind w:right="196"/>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4440" w:type="dxa"/>
            <w:vAlign w:val="bottom"/>
            <w:tcBorders>
              <w:bottom w:val="single" w:sz="8" w:color="E0E7ED"/>
            </w:tcBorders>
          </w:tcPr>
          <w:p>
            <w:pPr>
              <w:spacing w:after="0"/>
              <w:rPr>
                <w:sz w:val="14"/>
                <w:szCs w:val="14"/>
                <w:color w:val="auto"/>
              </w:rPr>
            </w:pPr>
          </w:p>
        </w:tc>
        <w:tc>
          <w:tcPr>
            <w:tcW w:w="2860" w:type="dxa"/>
            <w:vAlign w:val="bottom"/>
            <w:tcBorders>
              <w:bottom w:val="single" w:sz="8" w:color="E0E7ED"/>
            </w:tcBorders>
          </w:tcPr>
          <w:p>
            <w:pPr>
              <w:spacing w:after="0"/>
              <w:rPr>
                <w:sz w:val="14"/>
                <w:szCs w:val="14"/>
                <w:color w:val="auto"/>
              </w:rPr>
            </w:pPr>
          </w:p>
        </w:tc>
        <w:tc>
          <w:tcPr>
            <w:tcW w:w="480" w:type="dxa"/>
            <w:vAlign w:val="bottom"/>
            <w:tcBorders>
              <w:bottom w:val="single" w:sz="8" w:color="E0E7ED"/>
            </w:tcBorders>
          </w:tcPr>
          <w:p>
            <w:pPr>
              <w:spacing w:after="0"/>
              <w:rPr>
                <w:sz w:val="14"/>
                <w:szCs w:val="14"/>
                <w:color w:val="auto"/>
              </w:rPr>
            </w:pPr>
          </w:p>
        </w:tc>
        <w:tc>
          <w:tcPr>
            <w:tcW w:w="220" w:type="dxa"/>
            <w:vAlign w:val="bottom"/>
            <w:tcBorders>
              <w:bottom w:val="single" w:sz="8" w:color="E0E7ED"/>
            </w:tcBorders>
          </w:tcPr>
          <w:p>
            <w:pPr>
              <w:spacing w:after="0"/>
              <w:rPr>
                <w:sz w:val="14"/>
                <w:szCs w:val="14"/>
                <w:color w:val="auto"/>
              </w:rPr>
            </w:pPr>
          </w:p>
        </w:tc>
        <w:tc>
          <w:tcPr>
            <w:tcW w:w="12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18"/>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ind w:left="420"/>
              <w:spacing w:after="0"/>
              <w:rPr>
                <w:sz w:val="20"/>
                <w:szCs w:val="20"/>
                <w:color w:val="auto"/>
              </w:rPr>
            </w:pPr>
            <w:r>
              <w:rPr>
                <w:rFonts w:ascii="Verdana" w:cs="Verdana" w:eastAsia="Verdana" w:hAnsi="Verdana"/>
                <w:sz w:val="13"/>
                <w:szCs w:val="13"/>
                <w:b w:val="1"/>
                <w:bCs w:val="1"/>
                <w:color w:val="auto"/>
              </w:rPr>
              <w:t>2023</w:t>
            </w:r>
          </w:p>
        </w:tc>
      </w:tr>
      <w:tr>
        <w:trPr>
          <w:trHeight w:val="269"/>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Total stockholders' equity</w:t>
            </w:r>
          </w:p>
        </w:tc>
        <w:tc>
          <w:tcPr>
            <w:tcW w:w="2860" w:type="dxa"/>
            <w:vAlign w:val="bottom"/>
            <w:shd w:val="clear" w:color="auto" w:fill="E0E7ED"/>
          </w:tcPr>
          <w:p>
            <w:pPr>
              <w:spacing w:after="0"/>
              <w:rPr>
                <w:sz w:val="23"/>
                <w:szCs w:val="23"/>
                <w:color w:val="auto"/>
              </w:rPr>
            </w:pPr>
          </w:p>
        </w:tc>
        <w:tc>
          <w:tcPr>
            <w:tcW w:w="480" w:type="dxa"/>
            <w:vAlign w:val="bottom"/>
            <w:shd w:val="clear" w:color="auto" w:fill="E0E7ED"/>
          </w:tcPr>
          <w:p>
            <w:pPr>
              <w:spacing w:after="0"/>
              <w:rPr>
                <w:sz w:val="23"/>
                <w:szCs w:val="23"/>
                <w:color w:val="auto"/>
              </w:rPr>
            </w:pPr>
          </w:p>
        </w:tc>
        <w:tc>
          <w:tcPr>
            <w:tcW w:w="220" w:type="dxa"/>
            <w:vAlign w:val="bottom"/>
            <w:shd w:val="clear" w:color="auto" w:fill="E0E7ED"/>
          </w:tcPr>
          <w:p>
            <w:pPr>
              <w:spacing w:after="0"/>
              <w:rPr>
                <w:sz w:val="23"/>
                <w:szCs w:val="23"/>
                <w:color w:val="auto"/>
              </w:rPr>
            </w:pPr>
          </w:p>
        </w:tc>
        <w:tc>
          <w:tcPr>
            <w:tcW w:w="300" w:type="dxa"/>
            <w:vAlign w:val="bottom"/>
            <w:gridSpan w:val="2"/>
            <w:shd w:val="clear" w:color="auto" w:fill="E0E7ED"/>
          </w:tcPr>
          <w:p>
            <w:pPr>
              <w:jc w:val="right"/>
              <w:ind w:right="40"/>
              <w:spacing w:after="0"/>
              <w:rPr>
                <w:sz w:val="20"/>
                <w:szCs w:val="20"/>
                <w:color w:val="auto"/>
              </w:rPr>
            </w:pPr>
            <w:r>
              <w:rPr>
                <w:rFonts w:ascii="Verdana" w:cs="Verdana" w:eastAsia="Verdana" w:hAnsi="Verdana"/>
                <w:sz w:val="18"/>
                <w:szCs w:val="18"/>
                <w:color w:val="auto"/>
              </w:rPr>
              <w:t>$</w:t>
            </w:r>
          </w:p>
        </w:tc>
        <w:tc>
          <w:tcPr>
            <w:tcW w:w="126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1,402,884</w:t>
            </w:r>
          </w:p>
        </w:tc>
        <w:tc>
          <w:tcPr>
            <w:tcW w:w="320" w:type="dxa"/>
            <w:vAlign w:val="bottom"/>
            <w:gridSpan w:val="3"/>
            <w:shd w:val="clear" w:color="auto" w:fill="E0E7ED"/>
          </w:tcPr>
          <w:p>
            <w:pPr>
              <w:jc w:val="right"/>
              <w:ind w:right="20"/>
              <w:spacing w:after="0"/>
              <w:rPr>
                <w:sz w:val="20"/>
                <w:szCs w:val="20"/>
                <w:color w:val="auto"/>
              </w:rPr>
            </w:pPr>
            <w:r>
              <w:rPr>
                <w:rFonts w:ascii="Verdana" w:cs="Verdana" w:eastAsia="Verdana" w:hAnsi="Verdana"/>
                <w:sz w:val="18"/>
                <w:szCs w:val="18"/>
                <w:color w:val="auto"/>
              </w:rPr>
              <w:t>$</w:t>
            </w:r>
          </w:p>
        </w:tc>
        <w:tc>
          <w:tcPr>
            <w:tcW w:w="13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1,271,981</w:t>
            </w:r>
          </w:p>
        </w:tc>
      </w:tr>
      <w:tr>
        <w:trPr>
          <w:trHeight w:val="263"/>
        </w:trPr>
        <w:tc>
          <w:tcPr>
            <w:tcW w:w="444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Goodwill and other intangible assets, net</w:t>
            </w:r>
          </w:p>
        </w:tc>
        <w:tc>
          <w:tcPr>
            <w:tcW w:w="2860" w:type="dxa"/>
            <w:vAlign w:val="bottom"/>
            <w:tcBorders>
              <w:bottom w:val="single" w:sz="8" w:color="E0E7ED"/>
            </w:tcBorders>
          </w:tcPr>
          <w:p>
            <w:pPr>
              <w:spacing w:after="0"/>
              <w:rPr>
                <w:sz w:val="22"/>
                <w:szCs w:val="22"/>
                <w:color w:val="auto"/>
              </w:rPr>
            </w:pPr>
          </w:p>
        </w:tc>
        <w:tc>
          <w:tcPr>
            <w:tcW w:w="480" w:type="dxa"/>
            <w:vAlign w:val="bottom"/>
            <w:tcBorders>
              <w:bottom w:val="single" w:sz="8" w:color="E0E7ED"/>
            </w:tcBorders>
          </w:tcPr>
          <w:p>
            <w:pPr>
              <w:spacing w:after="0"/>
              <w:rPr>
                <w:sz w:val="22"/>
                <w:szCs w:val="22"/>
                <w:color w:val="auto"/>
              </w:rPr>
            </w:pPr>
          </w:p>
        </w:tc>
        <w:tc>
          <w:tcPr>
            <w:tcW w:w="220" w:type="dxa"/>
            <w:vAlign w:val="bottom"/>
            <w:tcBorders>
              <w:bottom w:val="single" w:sz="8" w:color="E0E7ED"/>
            </w:tcBorders>
          </w:tcPr>
          <w:p>
            <w:pPr>
              <w:spacing w:after="0"/>
              <w:rPr>
                <w:sz w:val="22"/>
                <w:szCs w:val="22"/>
                <w:color w:val="auto"/>
              </w:rPr>
            </w:pPr>
          </w:p>
        </w:tc>
        <w:tc>
          <w:tcPr>
            <w:tcW w:w="120" w:type="dxa"/>
            <w:vAlign w:val="bottom"/>
            <w:tcBorders>
              <w:bottom w:val="single" w:sz="8" w:color="E0E7ED"/>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8"/>
                <w:szCs w:val="18"/>
                <w:color w:val="auto"/>
              </w:rPr>
              <w:t>(368,249)</w:t>
            </w:r>
          </w:p>
        </w:tc>
        <w:tc>
          <w:tcPr>
            <w:tcW w:w="8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ind w:left="420"/>
              <w:spacing w:after="0"/>
              <w:rPr>
                <w:sz w:val="20"/>
                <w:szCs w:val="20"/>
                <w:color w:val="auto"/>
              </w:rPr>
            </w:pPr>
            <w:r>
              <w:rPr>
                <w:rFonts w:ascii="Verdana" w:cs="Verdana" w:eastAsia="Verdana" w:hAnsi="Verdana"/>
                <w:sz w:val="18"/>
                <w:szCs w:val="18"/>
                <w:color w:val="auto"/>
              </w:rPr>
              <w:t>(353,864)</w:t>
            </w:r>
          </w:p>
        </w:tc>
      </w:tr>
      <w:tr>
        <w:trPr>
          <w:trHeight w:val="290"/>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Tangible book value</w:t>
            </w:r>
          </w:p>
        </w:tc>
        <w:tc>
          <w:tcPr>
            <w:tcW w:w="2860" w:type="dxa"/>
            <w:vAlign w:val="bottom"/>
            <w:shd w:val="clear" w:color="auto" w:fill="E0E7ED"/>
          </w:tcPr>
          <w:p>
            <w:pPr>
              <w:spacing w:after="0"/>
              <w:rPr>
                <w:sz w:val="24"/>
                <w:szCs w:val="24"/>
                <w:color w:val="auto"/>
              </w:rPr>
            </w:pPr>
          </w:p>
        </w:tc>
        <w:tc>
          <w:tcPr>
            <w:tcW w:w="70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[a]</w:t>
            </w:r>
          </w:p>
        </w:tc>
        <w:tc>
          <w:tcPr>
            <w:tcW w:w="300" w:type="dxa"/>
            <w:vAlign w:val="bottom"/>
            <w:gridSpan w:val="2"/>
            <w:shd w:val="clear" w:color="auto" w:fill="E0E7ED"/>
          </w:tcPr>
          <w:p>
            <w:pPr>
              <w:jc w:val="right"/>
              <w:ind w:right="40"/>
              <w:spacing w:after="0"/>
              <w:rPr>
                <w:sz w:val="20"/>
                <w:szCs w:val="20"/>
                <w:color w:val="auto"/>
              </w:rPr>
            </w:pPr>
            <w:r>
              <w:rPr>
                <w:rFonts w:ascii="Verdana" w:cs="Verdana" w:eastAsia="Verdana" w:hAnsi="Verdana"/>
                <w:sz w:val="18"/>
                <w:szCs w:val="18"/>
                <w:color w:val="auto"/>
              </w:rPr>
              <w:t>$</w:t>
            </w:r>
          </w:p>
        </w:tc>
        <w:tc>
          <w:tcPr>
            <w:tcW w:w="126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1,034,635</w:t>
            </w:r>
          </w:p>
        </w:tc>
        <w:tc>
          <w:tcPr>
            <w:tcW w:w="320" w:type="dxa"/>
            <w:vAlign w:val="bottom"/>
            <w:gridSpan w:val="3"/>
            <w:shd w:val="clear" w:color="auto" w:fill="E0E7ED"/>
          </w:tcPr>
          <w:p>
            <w:pPr>
              <w:jc w:val="right"/>
              <w:ind w:right="20"/>
              <w:spacing w:after="0"/>
              <w:rPr>
                <w:sz w:val="20"/>
                <w:szCs w:val="20"/>
                <w:color w:val="auto"/>
              </w:rPr>
            </w:pPr>
            <w:r>
              <w:rPr>
                <w:rFonts w:ascii="Verdana" w:cs="Verdana" w:eastAsia="Verdana" w:hAnsi="Verdana"/>
                <w:sz w:val="18"/>
                <w:szCs w:val="18"/>
                <w:color w:val="auto"/>
              </w:rPr>
              <w:t>$</w:t>
            </w:r>
          </w:p>
        </w:tc>
        <w:tc>
          <w:tcPr>
            <w:tcW w:w="13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918,117</w:t>
            </w:r>
          </w:p>
        </w:tc>
      </w:tr>
      <w:tr>
        <w:trPr>
          <w:trHeight w:val="20"/>
        </w:trPr>
        <w:tc>
          <w:tcPr>
            <w:tcW w:w="4440" w:type="dxa"/>
            <w:vAlign w:val="bottom"/>
            <w:tcBorders>
              <w:top w:val="single" w:sz="8" w:color="E0E7ED"/>
            </w:tcBorders>
          </w:tcPr>
          <w:p>
            <w:pPr>
              <w:spacing w:after="0" w:line="20" w:lineRule="exact"/>
              <w:rPr>
                <w:sz w:val="1"/>
                <w:szCs w:val="1"/>
                <w:color w:val="auto"/>
              </w:rPr>
            </w:pPr>
          </w:p>
        </w:tc>
        <w:tc>
          <w:tcPr>
            <w:tcW w:w="2860" w:type="dxa"/>
            <w:vAlign w:val="bottom"/>
            <w:tcBorders>
              <w:top w:val="single" w:sz="8" w:color="E0E7ED"/>
            </w:tcBorders>
          </w:tcPr>
          <w:p>
            <w:pPr>
              <w:spacing w:after="0" w:line="20" w:lineRule="exact"/>
              <w:rPr>
                <w:sz w:val="1"/>
                <w:szCs w:val="1"/>
                <w:color w:val="auto"/>
              </w:rPr>
            </w:pPr>
          </w:p>
        </w:tc>
        <w:tc>
          <w:tcPr>
            <w:tcW w:w="48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4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70"/>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Ending number of common shares outstanding</w:t>
            </w:r>
          </w:p>
        </w:tc>
        <w:tc>
          <w:tcPr>
            <w:tcW w:w="2860" w:type="dxa"/>
            <w:vAlign w:val="bottom"/>
            <w:shd w:val="clear" w:color="auto" w:fill="E0E7ED"/>
          </w:tcPr>
          <w:p>
            <w:pPr>
              <w:spacing w:after="0"/>
              <w:rPr>
                <w:sz w:val="23"/>
                <w:szCs w:val="23"/>
                <w:color w:val="auto"/>
              </w:rPr>
            </w:pPr>
          </w:p>
        </w:tc>
        <w:tc>
          <w:tcPr>
            <w:tcW w:w="70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[b]</w:t>
            </w:r>
          </w:p>
        </w:tc>
        <w:tc>
          <w:tcPr>
            <w:tcW w:w="120" w:type="dxa"/>
            <w:vAlign w:val="bottom"/>
            <w:shd w:val="clear" w:color="auto" w:fill="E0E7ED"/>
          </w:tcPr>
          <w:p>
            <w:pPr>
              <w:spacing w:after="0"/>
              <w:rPr>
                <w:sz w:val="23"/>
                <w:szCs w:val="23"/>
                <w:color w:val="auto"/>
              </w:rPr>
            </w:pPr>
          </w:p>
        </w:tc>
        <w:tc>
          <w:tcPr>
            <w:tcW w:w="180" w:type="dxa"/>
            <w:vAlign w:val="bottom"/>
            <w:shd w:val="clear" w:color="auto" w:fill="E0E7ED"/>
          </w:tcPr>
          <w:p>
            <w:pPr>
              <w:spacing w:after="0"/>
              <w:rPr>
                <w:sz w:val="23"/>
                <w:szCs w:val="23"/>
                <w:color w:val="auto"/>
              </w:rPr>
            </w:pPr>
          </w:p>
        </w:tc>
        <w:tc>
          <w:tcPr>
            <w:tcW w:w="1340" w:type="dxa"/>
            <w:vAlign w:val="bottom"/>
            <w:gridSpan w:val="3"/>
            <w:shd w:val="clear" w:color="auto" w:fill="E0E7ED"/>
          </w:tcPr>
          <w:p>
            <w:pPr>
              <w:jc w:val="right"/>
              <w:spacing w:after="0"/>
              <w:rPr>
                <w:sz w:val="20"/>
                <w:szCs w:val="20"/>
                <w:color w:val="auto"/>
              </w:rPr>
            </w:pPr>
            <w:r>
              <w:rPr>
                <w:rFonts w:ascii="Verdana" w:cs="Verdana" w:eastAsia="Verdana" w:hAnsi="Verdana"/>
                <w:sz w:val="18"/>
                <w:szCs w:val="18"/>
                <w:color w:val="auto"/>
              </w:rPr>
              <w:t>56,872,241</w:t>
            </w:r>
          </w:p>
        </w:tc>
        <w:tc>
          <w:tcPr>
            <w:tcW w:w="80" w:type="dxa"/>
            <w:vAlign w:val="bottom"/>
            <w:shd w:val="clear" w:color="auto" w:fill="E0E7ED"/>
          </w:tcPr>
          <w:p>
            <w:pPr>
              <w:spacing w:after="0"/>
              <w:rPr>
                <w:sz w:val="23"/>
                <w:szCs w:val="23"/>
                <w:color w:val="auto"/>
              </w:rPr>
            </w:pPr>
          </w:p>
        </w:tc>
        <w:tc>
          <w:tcPr>
            <w:tcW w:w="160" w:type="dxa"/>
            <w:vAlign w:val="bottom"/>
            <w:shd w:val="clear" w:color="auto" w:fill="E0E7ED"/>
          </w:tcPr>
          <w:p>
            <w:pPr>
              <w:spacing w:after="0"/>
              <w:rPr>
                <w:sz w:val="23"/>
                <w:szCs w:val="23"/>
                <w:color w:val="auto"/>
              </w:rPr>
            </w:pPr>
          </w:p>
        </w:tc>
        <w:tc>
          <w:tcPr>
            <w:tcW w:w="13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55,244,119</w:t>
            </w:r>
          </w:p>
        </w:tc>
      </w:tr>
      <w:tr>
        <w:trPr>
          <w:trHeight w:val="270"/>
        </w:trPr>
        <w:tc>
          <w:tcPr>
            <w:tcW w:w="444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Tangible book value per common share</w:t>
            </w:r>
          </w:p>
        </w:tc>
        <w:tc>
          <w:tcPr>
            <w:tcW w:w="2860" w:type="dxa"/>
            <w:vAlign w:val="bottom"/>
            <w:shd w:val="clear" w:color="auto" w:fill="E0E7ED"/>
          </w:tcPr>
          <w:p>
            <w:pPr>
              <w:spacing w:after="0"/>
              <w:rPr>
                <w:sz w:val="23"/>
                <w:szCs w:val="23"/>
                <w:color w:val="auto"/>
              </w:rPr>
            </w:pPr>
          </w:p>
        </w:tc>
        <w:tc>
          <w:tcPr>
            <w:tcW w:w="70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[a÷b]</w:t>
            </w:r>
          </w:p>
        </w:tc>
        <w:tc>
          <w:tcPr>
            <w:tcW w:w="300" w:type="dxa"/>
            <w:vAlign w:val="bottom"/>
            <w:gridSpan w:val="2"/>
            <w:shd w:val="clear" w:color="auto" w:fill="E0E7ED"/>
          </w:tcPr>
          <w:p>
            <w:pPr>
              <w:jc w:val="right"/>
              <w:ind w:right="40"/>
              <w:spacing w:after="0"/>
              <w:rPr>
                <w:sz w:val="20"/>
                <w:szCs w:val="20"/>
                <w:color w:val="auto"/>
              </w:rPr>
            </w:pPr>
            <w:r>
              <w:rPr>
                <w:rFonts w:ascii="Verdana" w:cs="Verdana" w:eastAsia="Verdana" w:hAnsi="Verdana"/>
                <w:sz w:val="18"/>
                <w:szCs w:val="18"/>
                <w:color w:val="auto"/>
              </w:rPr>
              <w:t>$</w:t>
            </w:r>
          </w:p>
        </w:tc>
        <w:tc>
          <w:tcPr>
            <w:tcW w:w="126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18.19</w:t>
            </w:r>
          </w:p>
        </w:tc>
        <w:tc>
          <w:tcPr>
            <w:tcW w:w="320" w:type="dxa"/>
            <w:vAlign w:val="bottom"/>
            <w:gridSpan w:val="3"/>
            <w:shd w:val="clear" w:color="auto" w:fill="E0E7ED"/>
          </w:tcPr>
          <w:p>
            <w:pPr>
              <w:jc w:val="right"/>
              <w:ind w:right="20"/>
              <w:spacing w:after="0"/>
              <w:rPr>
                <w:sz w:val="20"/>
                <w:szCs w:val="20"/>
                <w:color w:val="auto"/>
              </w:rPr>
            </w:pPr>
            <w:r>
              <w:rPr>
                <w:rFonts w:ascii="Verdana" w:cs="Verdana" w:eastAsia="Verdana" w:hAnsi="Verdana"/>
                <w:sz w:val="18"/>
                <w:szCs w:val="18"/>
                <w:color w:val="auto"/>
              </w:rPr>
              <w:t>$</w:t>
            </w:r>
          </w:p>
        </w:tc>
        <w:tc>
          <w:tcPr>
            <w:tcW w:w="136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16.62</w:t>
            </w:r>
          </w:p>
        </w:tc>
      </w:tr>
      <w:tr>
        <w:trPr>
          <w:trHeight w:val="554"/>
        </w:trPr>
        <w:tc>
          <w:tcPr>
            <w:tcW w:w="11240" w:type="dxa"/>
            <w:vAlign w:val="bottom"/>
            <w:gridSpan w:val="12"/>
          </w:tcPr>
          <w:p>
            <w:pPr>
              <w:jc w:val="center"/>
              <w:spacing w:after="0"/>
              <w:rPr>
                <w:sz w:val="20"/>
                <w:szCs w:val="20"/>
                <w:color w:val="auto"/>
              </w:rPr>
            </w:pPr>
            <w:r>
              <w:rPr>
                <w:rFonts w:ascii="Verdana" w:cs="Verdana" w:eastAsia="Verdana" w:hAnsi="Verdana"/>
                <w:sz w:val="18"/>
                <w:szCs w:val="18"/>
                <w:b w:val="1"/>
                <w:bCs w:val="1"/>
                <w:color w:val="auto"/>
                <w:w w:val="99"/>
              </w:rPr>
              <w:t>Tangible Assets, Tangible Common Equity, and Tangible Common Equity to Tangible Assets</w:t>
            </w:r>
          </w:p>
        </w:tc>
      </w:tr>
      <w:tr>
        <w:trPr>
          <w:trHeight w:val="270"/>
        </w:trPr>
        <w:tc>
          <w:tcPr>
            <w:tcW w:w="4440" w:type="dxa"/>
            <w:vAlign w:val="bottom"/>
          </w:tcPr>
          <w:p>
            <w:pPr>
              <w:spacing w:after="0"/>
              <w:rPr>
                <w:sz w:val="23"/>
                <w:szCs w:val="23"/>
                <w:color w:val="auto"/>
              </w:rPr>
            </w:pPr>
          </w:p>
        </w:tc>
        <w:tc>
          <w:tcPr>
            <w:tcW w:w="2860" w:type="dxa"/>
            <w:vAlign w:val="bottom"/>
          </w:tcPr>
          <w:p>
            <w:pPr>
              <w:jc w:val="center"/>
              <w:ind w:right="390"/>
              <w:spacing w:after="0"/>
              <w:rPr>
                <w:sz w:val="20"/>
                <w:szCs w:val="20"/>
                <w:color w:val="auto"/>
              </w:rPr>
            </w:pPr>
            <w:r>
              <w:rPr>
                <w:rFonts w:ascii="Verdana" w:cs="Verdana" w:eastAsia="Verdana" w:hAnsi="Verdana"/>
                <w:sz w:val="18"/>
                <w:szCs w:val="18"/>
                <w:i w:val="1"/>
                <w:iCs w:val="1"/>
                <w:color w:val="auto"/>
                <w:w w:val="99"/>
              </w:rPr>
              <w:t>(dollars in thousands)</w:t>
            </w: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453"/>
        </w:trPr>
        <w:tc>
          <w:tcPr>
            <w:tcW w:w="44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right"/>
              <w:ind w:right="200"/>
              <w:spacing w:after="0"/>
              <w:rPr>
                <w:sz w:val="20"/>
                <w:szCs w:val="20"/>
                <w:color w:val="auto"/>
              </w:rPr>
            </w:pPr>
            <w:r>
              <w:rPr>
                <w:rFonts w:ascii="Verdana" w:cs="Verdana" w:eastAsia="Verdana" w:hAnsi="Verdana"/>
                <w:sz w:val="13"/>
                <w:szCs w:val="13"/>
                <w:b w:val="1"/>
                <w:bCs w:val="1"/>
                <w:color w:val="auto"/>
              </w:rPr>
              <w:t>As of</w:t>
            </w:r>
          </w:p>
        </w:tc>
        <w:tc>
          <w:tcPr>
            <w:tcW w:w="1360" w:type="dxa"/>
            <w:vAlign w:val="bottom"/>
            <w:tcBorders>
              <w:bottom w:val="single" w:sz="8" w:color="auto"/>
            </w:tcBorders>
          </w:tcPr>
          <w:p>
            <w:pPr>
              <w:spacing w:after="0"/>
              <w:rPr>
                <w:sz w:val="24"/>
                <w:szCs w:val="24"/>
                <w:color w:val="auto"/>
              </w:rPr>
            </w:pPr>
          </w:p>
        </w:tc>
      </w:tr>
      <w:tr>
        <w:trPr>
          <w:trHeight w:val="121"/>
        </w:trPr>
        <w:tc>
          <w:tcPr>
            <w:tcW w:w="444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gridSpan w:val="4"/>
          </w:tcPr>
          <w:p>
            <w:pPr>
              <w:jc w:val="right"/>
              <w:ind w:right="357"/>
              <w:spacing w:after="0" w:line="122" w:lineRule="exact"/>
              <w:rPr>
                <w:sz w:val="20"/>
                <w:szCs w:val="20"/>
                <w:color w:val="auto"/>
              </w:rPr>
            </w:pPr>
            <w:r>
              <w:rPr>
                <w:rFonts w:ascii="Verdana" w:cs="Verdana" w:eastAsia="Verdana" w:hAnsi="Verdana"/>
                <w:sz w:val="13"/>
                <w:szCs w:val="13"/>
                <w:b w:val="1"/>
                <w:bCs w:val="1"/>
                <w:color w:val="auto"/>
              </w:rPr>
              <w:t>September 30,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tcPr>
          <w:p>
            <w:pPr>
              <w:jc w:val="right"/>
              <w:ind w:right="276"/>
              <w:spacing w:after="0" w:line="122" w:lineRule="exact"/>
              <w:rPr>
                <w:sz w:val="20"/>
                <w:szCs w:val="20"/>
                <w:color w:val="auto"/>
              </w:rPr>
            </w:pPr>
            <w:r>
              <w:rPr>
                <w:rFonts w:ascii="Verdana" w:cs="Verdana" w:eastAsia="Verdana" w:hAnsi="Verdana"/>
                <w:sz w:val="13"/>
                <w:szCs w:val="13"/>
                <w:b w:val="1"/>
                <w:bCs w:val="1"/>
                <w:color w:val="auto"/>
                <w:w w:val="96"/>
              </w:rPr>
              <w:t>December 31,</w:t>
            </w:r>
          </w:p>
        </w:tc>
      </w:tr>
      <w:tr>
        <w:trPr>
          <w:trHeight w:val="170"/>
        </w:trPr>
        <w:tc>
          <w:tcPr>
            <w:tcW w:w="4440" w:type="dxa"/>
            <w:vAlign w:val="bottom"/>
            <w:tcBorders>
              <w:bottom w:val="single" w:sz="8" w:color="E0E7ED"/>
            </w:tcBorders>
          </w:tcPr>
          <w:p>
            <w:pPr>
              <w:spacing w:after="0"/>
              <w:rPr>
                <w:sz w:val="14"/>
                <w:szCs w:val="14"/>
                <w:color w:val="auto"/>
              </w:rPr>
            </w:pPr>
          </w:p>
        </w:tc>
        <w:tc>
          <w:tcPr>
            <w:tcW w:w="2860" w:type="dxa"/>
            <w:vAlign w:val="bottom"/>
            <w:tcBorders>
              <w:bottom w:val="single" w:sz="8" w:color="E0E7ED"/>
            </w:tcBorders>
          </w:tcPr>
          <w:p>
            <w:pPr>
              <w:spacing w:after="0"/>
              <w:rPr>
                <w:sz w:val="14"/>
                <w:szCs w:val="14"/>
                <w:color w:val="auto"/>
              </w:rPr>
            </w:pPr>
          </w:p>
        </w:tc>
        <w:tc>
          <w:tcPr>
            <w:tcW w:w="480" w:type="dxa"/>
            <w:vAlign w:val="bottom"/>
            <w:tcBorders>
              <w:bottom w:val="single" w:sz="8" w:color="E0E7ED"/>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8"/>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bottom w:val="single" w:sz="8" w:color="E0E7ED"/>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6"/>
              <w:spacing w:after="0"/>
              <w:rPr>
                <w:sz w:val="20"/>
                <w:szCs w:val="20"/>
                <w:color w:val="auto"/>
              </w:rPr>
            </w:pPr>
            <w:r>
              <w:rPr>
                <w:rFonts w:ascii="Verdana" w:cs="Verdana" w:eastAsia="Verdana" w:hAnsi="Verdana"/>
                <w:sz w:val="13"/>
                <w:szCs w:val="13"/>
                <w:b w:val="1"/>
                <w:bCs w:val="1"/>
                <w:color w:val="auto"/>
              </w:rPr>
              <w:t>2023</w:t>
            </w:r>
          </w:p>
        </w:tc>
      </w:tr>
      <w:tr>
        <w:trPr>
          <w:trHeight w:val="269"/>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Total assets</w:t>
            </w:r>
          </w:p>
        </w:tc>
        <w:tc>
          <w:tcPr>
            <w:tcW w:w="2860" w:type="dxa"/>
            <w:vAlign w:val="bottom"/>
            <w:shd w:val="clear" w:color="auto" w:fill="E0E7ED"/>
          </w:tcPr>
          <w:p>
            <w:pPr>
              <w:spacing w:after="0"/>
              <w:rPr>
                <w:sz w:val="23"/>
                <w:szCs w:val="23"/>
                <w:color w:val="auto"/>
              </w:rPr>
            </w:pPr>
          </w:p>
        </w:tc>
        <w:tc>
          <w:tcPr>
            <w:tcW w:w="700" w:type="dxa"/>
            <w:vAlign w:val="bottom"/>
            <w:gridSpan w:val="2"/>
            <w:shd w:val="clear" w:color="auto" w:fill="E0E7ED"/>
          </w:tcPr>
          <w:p>
            <w:pPr>
              <w:jc w:val="right"/>
              <w:ind w:right="100"/>
              <w:spacing w:after="0"/>
              <w:rPr>
                <w:sz w:val="20"/>
                <w:szCs w:val="20"/>
                <w:color w:val="auto"/>
              </w:rPr>
            </w:pPr>
            <w:r>
              <w:rPr>
                <w:rFonts w:ascii="Verdana" w:cs="Verdana" w:eastAsia="Verdana" w:hAnsi="Verdana"/>
                <w:sz w:val="18"/>
                <w:szCs w:val="18"/>
                <w:color w:val="auto"/>
              </w:rPr>
              <w:t>$</w:t>
            </w:r>
          </w:p>
        </w:tc>
        <w:tc>
          <w:tcPr>
            <w:tcW w:w="1460" w:type="dxa"/>
            <w:vAlign w:val="bottom"/>
            <w:gridSpan w:val="3"/>
            <w:shd w:val="clear" w:color="auto" w:fill="E0E7ED"/>
          </w:tcPr>
          <w:p>
            <w:pPr>
              <w:jc w:val="right"/>
              <w:ind w:right="198"/>
              <w:spacing w:after="0"/>
              <w:rPr>
                <w:sz w:val="20"/>
                <w:szCs w:val="20"/>
                <w:color w:val="auto"/>
              </w:rPr>
            </w:pPr>
            <w:r>
              <w:rPr>
                <w:rFonts w:ascii="Verdana" w:cs="Verdana" w:eastAsia="Verdana" w:hAnsi="Verdana"/>
                <w:sz w:val="18"/>
                <w:szCs w:val="18"/>
                <w:color w:val="auto"/>
              </w:rPr>
              <w:t>11,986,839</w:t>
            </w:r>
          </w:p>
        </w:tc>
        <w:tc>
          <w:tcPr>
            <w:tcW w:w="100" w:type="dxa"/>
            <w:vAlign w:val="bottom"/>
            <w:shd w:val="clear" w:color="auto" w:fill="E0E7ED"/>
          </w:tcPr>
          <w:p>
            <w:pPr>
              <w:spacing w:after="0"/>
              <w:rPr>
                <w:sz w:val="23"/>
                <w:szCs w:val="23"/>
                <w:color w:val="auto"/>
              </w:rPr>
            </w:pPr>
          </w:p>
        </w:tc>
        <w:tc>
          <w:tcPr>
            <w:tcW w:w="160" w:type="dxa"/>
            <w:vAlign w:val="bottom"/>
            <w:gridSpan w:val="2"/>
            <w:shd w:val="clear" w:color="auto" w:fill="E0E7ED"/>
          </w:tcPr>
          <w:p>
            <w:pPr>
              <w:jc w:val="right"/>
              <w:ind w:right="40"/>
              <w:spacing w:after="0"/>
              <w:rPr>
                <w:sz w:val="20"/>
                <w:szCs w:val="20"/>
                <w:color w:val="auto"/>
              </w:rPr>
            </w:pPr>
            <w:r>
              <w:rPr>
                <w:rFonts w:ascii="Verdana" w:cs="Verdana" w:eastAsia="Verdana" w:hAnsi="Verdana"/>
                <w:sz w:val="18"/>
                <w:szCs w:val="18"/>
                <w:color w:val="auto"/>
                <w:w w:val="86"/>
              </w:rPr>
              <w:t>$</w:t>
            </w:r>
          </w:p>
        </w:tc>
        <w:tc>
          <w:tcPr>
            <w:tcW w:w="160" w:type="dxa"/>
            <w:vAlign w:val="bottom"/>
            <w:shd w:val="clear" w:color="auto" w:fill="E0E7ED"/>
          </w:tcPr>
          <w:p>
            <w:pPr>
              <w:spacing w:after="0"/>
              <w:rPr>
                <w:sz w:val="23"/>
                <w:szCs w:val="23"/>
                <w:color w:val="auto"/>
              </w:rPr>
            </w:pPr>
          </w:p>
        </w:tc>
        <w:tc>
          <w:tcPr>
            <w:tcW w:w="1360" w:type="dxa"/>
            <w:vAlign w:val="bottom"/>
            <w:shd w:val="clear" w:color="auto" w:fill="E0E7ED"/>
          </w:tcPr>
          <w:p>
            <w:pPr>
              <w:jc w:val="right"/>
              <w:ind w:right="196"/>
              <w:spacing w:after="0"/>
              <w:rPr>
                <w:sz w:val="20"/>
                <w:szCs w:val="20"/>
                <w:color w:val="auto"/>
              </w:rPr>
            </w:pPr>
            <w:r>
              <w:rPr>
                <w:rFonts w:ascii="Verdana" w:cs="Verdana" w:eastAsia="Verdana" w:hAnsi="Verdana"/>
                <w:sz w:val="18"/>
                <w:szCs w:val="18"/>
                <w:color w:val="auto"/>
              </w:rPr>
              <w:t>12,283,415</w:t>
            </w:r>
          </w:p>
        </w:tc>
      </w:tr>
      <w:tr>
        <w:trPr>
          <w:trHeight w:val="263"/>
        </w:trPr>
        <w:tc>
          <w:tcPr>
            <w:tcW w:w="4440" w:type="dxa"/>
            <w:vAlign w:val="bottom"/>
          </w:tcPr>
          <w:p>
            <w:pPr>
              <w:ind w:left="20"/>
              <w:spacing w:after="0"/>
              <w:rPr>
                <w:sz w:val="20"/>
                <w:szCs w:val="20"/>
                <w:color w:val="auto"/>
              </w:rPr>
            </w:pPr>
            <w:r>
              <w:rPr>
                <w:rFonts w:ascii="Verdana" w:cs="Verdana" w:eastAsia="Verdana" w:hAnsi="Verdana"/>
                <w:sz w:val="18"/>
                <w:szCs w:val="18"/>
                <w:color w:val="auto"/>
              </w:rPr>
              <w:t>Non-GAAP adjustments:</w:t>
            </w:r>
          </w:p>
        </w:tc>
        <w:tc>
          <w:tcPr>
            <w:tcW w:w="2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7"/>
        </w:trPr>
        <w:tc>
          <w:tcPr>
            <w:tcW w:w="44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Goodwill and other intangible assets, net</w:t>
            </w:r>
          </w:p>
        </w:tc>
        <w:tc>
          <w:tcPr>
            <w:tcW w:w="2860" w:type="dxa"/>
            <w:vAlign w:val="bottom"/>
            <w:shd w:val="clear" w:color="auto" w:fill="E0E7ED"/>
          </w:tcPr>
          <w:p>
            <w:pPr>
              <w:spacing w:after="0"/>
              <w:rPr>
                <w:sz w:val="24"/>
                <w:szCs w:val="24"/>
                <w:color w:val="auto"/>
              </w:rPr>
            </w:pPr>
          </w:p>
        </w:tc>
        <w:tc>
          <w:tcPr>
            <w:tcW w:w="4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2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1160" w:type="dxa"/>
            <w:vAlign w:val="bottom"/>
            <w:shd w:val="clear" w:color="auto" w:fill="E0E7ED"/>
          </w:tcPr>
          <w:p>
            <w:pPr>
              <w:jc w:val="right"/>
              <w:ind w:right="138"/>
              <w:spacing w:after="0"/>
              <w:rPr>
                <w:sz w:val="20"/>
                <w:szCs w:val="20"/>
                <w:color w:val="auto"/>
              </w:rPr>
            </w:pPr>
            <w:r>
              <w:rPr>
                <w:rFonts w:ascii="Verdana" w:cs="Verdana" w:eastAsia="Verdana" w:hAnsi="Verdana"/>
                <w:sz w:val="18"/>
                <w:szCs w:val="18"/>
                <w:color w:val="auto"/>
              </w:rPr>
              <w:t>(368,249)</w:t>
            </w:r>
          </w:p>
        </w:tc>
        <w:tc>
          <w:tcPr>
            <w:tcW w:w="10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1360" w:type="dxa"/>
            <w:vAlign w:val="bottom"/>
            <w:shd w:val="clear" w:color="auto" w:fill="E0E7ED"/>
          </w:tcPr>
          <w:p>
            <w:pPr>
              <w:jc w:val="right"/>
              <w:ind w:right="136"/>
              <w:spacing w:after="0"/>
              <w:rPr>
                <w:sz w:val="20"/>
                <w:szCs w:val="20"/>
                <w:color w:val="auto"/>
              </w:rPr>
            </w:pPr>
            <w:r>
              <w:rPr>
                <w:rFonts w:ascii="Verdana" w:cs="Verdana" w:eastAsia="Verdana" w:hAnsi="Verdana"/>
                <w:sz w:val="18"/>
                <w:szCs w:val="18"/>
                <w:color w:val="auto"/>
              </w:rPr>
              <w:t>(353,864)</w:t>
            </w:r>
          </w:p>
        </w:tc>
      </w:tr>
      <w:tr>
        <w:trPr>
          <w:trHeight w:val="263"/>
        </w:trPr>
        <w:tc>
          <w:tcPr>
            <w:tcW w:w="444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Tax effect of other intangible assets</w:t>
            </w:r>
            <w:r>
              <w:rPr>
                <w:rFonts w:ascii="Verdana" w:cs="Verdana" w:eastAsia="Verdana" w:hAnsi="Verdana"/>
                <w:sz w:val="11"/>
                <w:szCs w:val="11"/>
                <w:color w:val="auto"/>
              </w:rPr>
              <w:t>1</w:t>
            </w:r>
          </w:p>
        </w:tc>
        <w:tc>
          <w:tcPr>
            <w:tcW w:w="2860" w:type="dxa"/>
            <w:vAlign w:val="bottom"/>
            <w:tcBorders>
              <w:bottom w:val="single" w:sz="8" w:color="E0E7ED"/>
            </w:tcBorders>
          </w:tcPr>
          <w:p>
            <w:pPr>
              <w:spacing w:after="0"/>
              <w:rPr>
                <w:sz w:val="22"/>
                <w:szCs w:val="22"/>
                <w:color w:val="auto"/>
              </w:rPr>
            </w:pPr>
          </w:p>
        </w:tc>
        <w:tc>
          <w:tcPr>
            <w:tcW w:w="480" w:type="dxa"/>
            <w:vAlign w:val="bottom"/>
            <w:tcBorders>
              <w:bottom w:val="single" w:sz="8" w:color="E0E7E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8"/>
              <w:spacing w:after="0"/>
              <w:rPr>
                <w:sz w:val="20"/>
                <w:szCs w:val="20"/>
                <w:color w:val="auto"/>
              </w:rPr>
            </w:pPr>
            <w:r>
              <w:rPr>
                <w:rFonts w:ascii="Verdana" w:cs="Verdana" w:eastAsia="Verdana" w:hAnsi="Verdana"/>
                <w:sz w:val="18"/>
                <w:szCs w:val="18"/>
                <w:color w:val="auto"/>
              </w:rPr>
              <w:t>7,178</w:t>
            </w:r>
          </w:p>
        </w:tc>
        <w:tc>
          <w:tcPr>
            <w:tcW w:w="100" w:type="dxa"/>
            <w:vAlign w:val="bottom"/>
            <w:tcBorders>
              <w:bottom w:val="single" w:sz="8" w:color="E0E7ED"/>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6"/>
              <w:spacing w:after="0"/>
              <w:rPr>
                <w:sz w:val="20"/>
                <w:szCs w:val="20"/>
                <w:color w:val="auto"/>
              </w:rPr>
            </w:pPr>
            <w:r>
              <w:rPr>
                <w:rFonts w:ascii="Verdana" w:cs="Verdana" w:eastAsia="Verdana" w:hAnsi="Verdana"/>
                <w:sz w:val="18"/>
                <w:szCs w:val="18"/>
                <w:color w:val="auto"/>
              </w:rPr>
              <w:t>6,888</w:t>
            </w:r>
          </w:p>
        </w:tc>
      </w:tr>
      <w:tr>
        <w:trPr>
          <w:trHeight w:val="290"/>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Tangible assets</w:t>
            </w:r>
            <w:r>
              <w:rPr>
                <w:rFonts w:ascii="Verdana" w:cs="Verdana" w:eastAsia="Verdana" w:hAnsi="Verdana"/>
                <w:sz w:val="11"/>
                <w:szCs w:val="11"/>
                <w:color w:val="auto"/>
              </w:rPr>
              <w:t>2</w:t>
            </w:r>
          </w:p>
        </w:tc>
        <w:tc>
          <w:tcPr>
            <w:tcW w:w="2860" w:type="dxa"/>
            <w:vAlign w:val="bottom"/>
            <w:shd w:val="clear" w:color="auto" w:fill="E0E7ED"/>
          </w:tcPr>
          <w:p>
            <w:pPr>
              <w:ind w:left="2560"/>
              <w:spacing w:after="0"/>
              <w:rPr>
                <w:sz w:val="20"/>
                <w:szCs w:val="20"/>
                <w:color w:val="auto"/>
              </w:rPr>
            </w:pPr>
            <w:r>
              <w:rPr>
                <w:rFonts w:ascii="Verdana" w:cs="Verdana" w:eastAsia="Verdana" w:hAnsi="Verdana"/>
                <w:sz w:val="18"/>
                <w:szCs w:val="18"/>
                <w:color w:val="auto"/>
              </w:rPr>
              <w:t>[a]</w:t>
            </w:r>
          </w:p>
        </w:tc>
        <w:tc>
          <w:tcPr>
            <w:tcW w:w="700" w:type="dxa"/>
            <w:vAlign w:val="bottom"/>
            <w:gridSpan w:val="2"/>
            <w:shd w:val="clear" w:color="auto" w:fill="E0E7ED"/>
          </w:tcPr>
          <w:p>
            <w:pPr>
              <w:jc w:val="right"/>
              <w:ind w:right="100"/>
              <w:spacing w:after="0"/>
              <w:rPr>
                <w:sz w:val="20"/>
                <w:szCs w:val="20"/>
                <w:color w:val="auto"/>
              </w:rPr>
            </w:pPr>
            <w:r>
              <w:rPr>
                <w:rFonts w:ascii="Verdana" w:cs="Verdana" w:eastAsia="Verdana" w:hAnsi="Verdana"/>
                <w:sz w:val="18"/>
                <w:szCs w:val="18"/>
                <w:color w:val="auto"/>
              </w:rPr>
              <w:t>$</w:t>
            </w:r>
          </w:p>
        </w:tc>
        <w:tc>
          <w:tcPr>
            <w:tcW w:w="1460" w:type="dxa"/>
            <w:vAlign w:val="bottom"/>
            <w:gridSpan w:val="3"/>
            <w:shd w:val="clear" w:color="auto" w:fill="E0E7ED"/>
          </w:tcPr>
          <w:p>
            <w:pPr>
              <w:jc w:val="right"/>
              <w:ind w:right="198"/>
              <w:spacing w:after="0"/>
              <w:rPr>
                <w:sz w:val="20"/>
                <w:szCs w:val="20"/>
                <w:color w:val="auto"/>
              </w:rPr>
            </w:pPr>
            <w:r>
              <w:rPr>
                <w:rFonts w:ascii="Verdana" w:cs="Verdana" w:eastAsia="Verdana" w:hAnsi="Verdana"/>
                <w:sz w:val="18"/>
                <w:szCs w:val="18"/>
                <w:color w:val="auto"/>
              </w:rPr>
              <w:t>11,625,768</w:t>
            </w:r>
          </w:p>
        </w:tc>
        <w:tc>
          <w:tcPr>
            <w:tcW w:w="100" w:type="dxa"/>
            <w:vAlign w:val="bottom"/>
            <w:shd w:val="clear" w:color="auto" w:fill="E0E7ED"/>
          </w:tcPr>
          <w:p>
            <w:pPr>
              <w:spacing w:after="0"/>
              <w:rPr>
                <w:sz w:val="24"/>
                <w:szCs w:val="24"/>
                <w:color w:val="auto"/>
              </w:rPr>
            </w:pPr>
          </w:p>
        </w:tc>
        <w:tc>
          <w:tcPr>
            <w:tcW w:w="160" w:type="dxa"/>
            <w:vAlign w:val="bottom"/>
            <w:gridSpan w:val="2"/>
            <w:shd w:val="clear" w:color="auto" w:fill="E0E7ED"/>
          </w:tcPr>
          <w:p>
            <w:pPr>
              <w:jc w:val="right"/>
              <w:ind w:right="40"/>
              <w:spacing w:after="0"/>
              <w:rPr>
                <w:sz w:val="20"/>
                <w:szCs w:val="20"/>
                <w:color w:val="auto"/>
              </w:rPr>
            </w:pPr>
            <w:r>
              <w:rPr>
                <w:rFonts w:ascii="Verdana" w:cs="Verdana" w:eastAsia="Verdana" w:hAnsi="Verdana"/>
                <w:sz w:val="18"/>
                <w:szCs w:val="18"/>
                <w:color w:val="auto"/>
                <w:w w:val="86"/>
              </w:rPr>
              <w:t>$</w:t>
            </w:r>
          </w:p>
        </w:tc>
        <w:tc>
          <w:tcPr>
            <w:tcW w:w="160" w:type="dxa"/>
            <w:vAlign w:val="bottom"/>
            <w:shd w:val="clear" w:color="auto" w:fill="E0E7ED"/>
          </w:tcPr>
          <w:p>
            <w:pPr>
              <w:spacing w:after="0"/>
              <w:rPr>
                <w:sz w:val="24"/>
                <w:szCs w:val="24"/>
                <w:color w:val="auto"/>
              </w:rPr>
            </w:pPr>
          </w:p>
        </w:tc>
        <w:tc>
          <w:tcPr>
            <w:tcW w:w="1360" w:type="dxa"/>
            <w:vAlign w:val="bottom"/>
            <w:shd w:val="clear" w:color="auto" w:fill="E0E7ED"/>
          </w:tcPr>
          <w:p>
            <w:pPr>
              <w:jc w:val="right"/>
              <w:ind w:right="196"/>
              <w:spacing w:after="0"/>
              <w:rPr>
                <w:sz w:val="20"/>
                <w:szCs w:val="20"/>
                <w:color w:val="auto"/>
              </w:rPr>
            </w:pPr>
            <w:r>
              <w:rPr>
                <w:rFonts w:ascii="Verdana" w:cs="Verdana" w:eastAsia="Verdana" w:hAnsi="Verdana"/>
                <w:sz w:val="18"/>
                <w:szCs w:val="18"/>
                <w:color w:val="auto"/>
              </w:rPr>
              <w:t>11,936,439</w:t>
            </w:r>
          </w:p>
        </w:tc>
      </w:tr>
      <w:tr>
        <w:trPr>
          <w:trHeight w:val="20"/>
        </w:trPr>
        <w:tc>
          <w:tcPr>
            <w:tcW w:w="4440" w:type="dxa"/>
            <w:vAlign w:val="bottom"/>
            <w:tcBorders>
              <w:top w:val="single" w:sz="8" w:color="E0E7ED"/>
            </w:tcBorders>
          </w:tcPr>
          <w:p>
            <w:pPr>
              <w:spacing w:after="0" w:line="20" w:lineRule="exact"/>
              <w:rPr>
                <w:sz w:val="1"/>
                <w:szCs w:val="1"/>
                <w:color w:val="auto"/>
              </w:rPr>
            </w:pPr>
          </w:p>
        </w:tc>
        <w:tc>
          <w:tcPr>
            <w:tcW w:w="2860" w:type="dxa"/>
            <w:vAlign w:val="bottom"/>
            <w:tcBorders>
              <w:top w:val="single" w:sz="8" w:color="E0E7ED"/>
            </w:tcBorders>
          </w:tcPr>
          <w:p>
            <w:pPr>
              <w:spacing w:after="0" w:line="20" w:lineRule="exact"/>
              <w:rPr>
                <w:sz w:val="1"/>
                <w:szCs w:val="1"/>
                <w:color w:val="auto"/>
              </w:rPr>
            </w:pPr>
          </w:p>
        </w:tc>
        <w:tc>
          <w:tcPr>
            <w:tcW w:w="48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4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70"/>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Total stockholders' equity</w:t>
            </w:r>
          </w:p>
        </w:tc>
        <w:tc>
          <w:tcPr>
            <w:tcW w:w="2860" w:type="dxa"/>
            <w:vAlign w:val="bottom"/>
            <w:shd w:val="clear" w:color="auto" w:fill="E0E7ED"/>
          </w:tcPr>
          <w:p>
            <w:pPr>
              <w:spacing w:after="0"/>
              <w:rPr>
                <w:sz w:val="23"/>
                <w:szCs w:val="23"/>
                <w:color w:val="auto"/>
              </w:rPr>
            </w:pPr>
          </w:p>
        </w:tc>
        <w:tc>
          <w:tcPr>
            <w:tcW w:w="700" w:type="dxa"/>
            <w:vAlign w:val="bottom"/>
            <w:gridSpan w:val="2"/>
            <w:shd w:val="clear" w:color="auto" w:fill="E0E7ED"/>
          </w:tcPr>
          <w:p>
            <w:pPr>
              <w:jc w:val="right"/>
              <w:ind w:right="100"/>
              <w:spacing w:after="0"/>
              <w:rPr>
                <w:sz w:val="20"/>
                <w:szCs w:val="20"/>
                <w:color w:val="auto"/>
              </w:rPr>
            </w:pPr>
            <w:r>
              <w:rPr>
                <w:rFonts w:ascii="Verdana" w:cs="Verdana" w:eastAsia="Verdana" w:hAnsi="Verdana"/>
                <w:sz w:val="18"/>
                <w:szCs w:val="18"/>
                <w:color w:val="auto"/>
              </w:rPr>
              <w:t>$</w:t>
            </w:r>
          </w:p>
        </w:tc>
        <w:tc>
          <w:tcPr>
            <w:tcW w:w="1460" w:type="dxa"/>
            <w:vAlign w:val="bottom"/>
            <w:gridSpan w:val="3"/>
            <w:shd w:val="clear" w:color="auto" w:fill="E0E7ED"/>
          </w:tcPr>
          <w:p>
            <w:pPr>
              <w:jc w:val="right"/>
              <w:ind w:right="198"/>
              <w:spacing w:after="0"/>
              <w:rPr>
                <w:sz w:val="20"/>
                <w:szCs w:val="20"/>
                <w:color w:val="auto"/>
              </w:rPr>
            </w:pPr>
            <w:r>
              <w:rPr>
                <w:rFonts w:ascii="Verdana" w:cs="Verdana" w:eastAsia="Verdana" w:hAnsi="Verdana"/>
                <w:sz w:val="18"/>
                <w:szCs w:val="18"/>
                <w:color w:val="auto"/>
              </w:rPr>
              <w:t>1,402,884</w:t>
            </w:r>
          </w:p>
        </w:tc>
        <w:tc>
          <w:tcPr>
            <w:tcW w:w="100" w:type="dxa"/>
            <w:vAlign w:val="bottom"/>
            <w:shd w:val="clear" w:color="auto" w:fill="E0E7ED"/>
          </w:tcPr>
          <w:p>
            <w:pPr>
              <w:spacing w:after="0"/>
              <w:rPr>
                <w:sz w:val="23"/>
                <w:szCs w:val="23"/>
                <w:color w:val="auto"/>
              </w:rPr>
            </w:pPr>
          </w:p>
        </w:tc>
        <w:tc>
          <w:tcPr>
            <w:tcW w:w="160" w:type="dxa"/>
            <w:vAlign w:val="bottom"/>
            <w:gridSpan w:val="2"/>
            <w:shd w:val="clear" w:color="auto" w:fill="E0E7ED"/>
          </w:tcPr>
          <w:p>
            <w:pPr>
              <w:jc w:val="right"/>
              <w:ind w:right="40"/>
              <w:spacing w:after="0"/>
              <w:rPr>
                <w:sz w:val="20"/>
                <w:szCs w:val="20"/>
                <w:color w:val="auto"/>
              </w:rPr>
            </w:pPr>
            <w:r>
              <w:rPr>
                <w:rFonts w:ascii="Verdana" w:cs="Verdana" w:eastAsia="Verdana" w:hAnsi="Verdana"/>
                <w:sz w:val="18"/>
                <w:szCs w:val="18"/>
                <w:color w:val="auto"/>
                <w:w w:val="86"/>
              </w:rPr>
              <w:t>$</w:t>
            </w:r>
          </w:p>
        </w:tc>
        <w:tc>
          <w:tcPr>
            <w:tcW w:w="160" w:type="dxa"/>
            <w:vAlign w:val="bottom"/>
            <w:shd w:val="clear" w:color="auto" w:fill="E0E7ED"/>
          </w:tcPr>
          <w:p>
            <w:pPr>
              <w:spacing w:after="0"/>
              <w:rPr>
                <w:sz w:val="23"/>
                <w:szCs w:val="23"/>
                <w:color w:val="auto"/>
              </w:rPr>
            </w:pPr>
          </w:p>
        </w:tc>
        <w:tc>
          <w:tcPr>
            <w:tcW w:w="1360" w:type="dxa"/>
            <w:vAlign w:val="bottom"/>
            <w:shd w:val="clear" w:color="auto" w:fill="E0E7ED"/>
          </w:tcPr>
          <w:p>
            <w:pPr>
              <w:jc w:val="right"/>
              <w:ind w:right="196"/>
              <w:spacing w:after="0"/>
              <w:rPr>
                <w:sz w:val="20"/>
                <w:szCs w:val="20"/>
                <w:color w:val="auto"/>
              </w:rPr>
            </w:pPr>
            <w:r>
              <w:rPr>
                <w:rFonts w:ascii="Verdana" w:cs="Verdana" w:eastAsia="Verdana" w:hAnsi="Verdana"/>
                <w:sz w:val="18"/>
                <w:szCs w:val="18"/>
                <w:color w:val="auto"/>
              </w:rPr>
              <w:t>1,271,981</w:t>
            </w:r>
          </w:p>
        </w:tc>
      </w:tr>
      <w:tr>
        <w:trPr>
          <w:trHeight w:val="263"/>
        </w:trPr>
        <w:tc>
          <w:tcPr>
            <w:tcW w:w="4440" w:type="dxa"/>
            <w:vAlign w:val="bottom"/>
          </w:tcPr>
          <w:p>
            <w:pPr>
              <w:ind w:left="20"/>
              <w:spacing w:after="0"/>
              <w:rPr>
                <w:sz w:val="20"/>
                <w:szCs w:val="20"/>
                <w:color w:val="auto"/>
              </w:rPr>
            </w:pPr>
            <w:r>
              <w:rPr>
                <w:rFonts w:ascii="Verdana" w:cs="Verdana" w:eastAsia="Verdana" w:hAnsi="Verdana"/>
                <w:sz w:val="18"/>
                <w:szCs w:val="18"/>
                <w:color w:val="auto"/>
              </w:rPr>
              <w:t>Non-GAAP adjustments:</w:t>
            </w:r>
          </w:p>
        </w:tc>
        <w:tc>
          <w:tcPr>
            <w:tcW w:w="2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7"/>
        </w:trPr>
        <w:tc>
          <w:tcPr>
            <w:tcW w:w="44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Goodwill and other intangible assets, net</w:t>
            </w:r>
          </w:p>
        </w:tc>
        <w:tc>
          <w:tcPr>
            <w:tcW w:w="2860" w:type="dxa"/>
            <w:vAlign w:val="bottom"/>
            <w:shd w:val="clear" w:color="auto" w:fill="E0E7ED"/>
          </w:tcPr>
          <w:p>
            <w:pPr>
              <w:spacing w:after="0"/>
              <w:rPr>
                <w:sz w:val="24"/>
                <w:szCs w:val="24"/>
                <w:color w:val="auto"/>
              </w:rPr>
            </w:pPr>
          </w:p>
        </w:tc>
        <w:tc>
          <w:tcPr>
            <w:tcW w:w="4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2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1160" w:type="dxa"/>
            <w:vAlign w:val="bottom"/>
            <w:shd w:val="clear" w:color="auto" w:fill="E0E7ED"/>
          </w:tcPr>
          <w:p>
            <w:pPr>
              <w:jc w:val="right"/>
              <w:ind w:right="138"/>
              <w:spacing w:after="0"/>
              <w:rPr>
                <w:sz w:val="20"/>
                <w:szCs w:val="20"/>
                <w:color w:val="auto"/>
              </w:rPr>
            </w:pPr>
            <w:r>
              <w:rPr>
                <w:rFonts w:ascii="Verdana" w:cs="Verdana" w:eastAsia="Verdana" w:hAnsi="Verdana"/>
                <w:sz w:val="18"/>
                <w:szCs w:val="18"/>
                <w:color w:val="auto"/>
              </w:rPr>
              <w:t>(368,249)</w:t>
            </w:r>
          </w:p>
        </w:tc>
        <w:tc>
          <w:tcPr>
            <w:tcW w:w="10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1360" w:type="dxa"/>
            <w:vAlign w:val="bottom"/>
            <w:shd w:val="clear" w:color="auto" w:fill="E0E7ED"/>
          </w:tcPr>
          <w:p>
            <w:pPr>
              <w:jc w:val="right"/>
              <w:ind w:right="136"/>
              <w:spacing w:after="0"/>
              <w:rPr>
                <w:sz w:val="20"/>
                <w:szCs w:val="20"/>
                <w:color w:val="auto"/>
              </w:rPr>
            </w:pPr>
            <w:r>
              <w:rPr>
                <w:rFonts w:ascii="Verdana" w:cs="Verdana" w:eastAsia="Verdana" w:hAnsi="Verdana"/>
                <w:sz w:val="18"/>
                <w:szCs w:val="18"/>
                <w:color w:val="auto"/>
              </w:rPr>
              <w:t>(353,864)</w:t>
            </w:r>
          </w:p>
        </w:tc>
      </w:tr>
      <w:tr>
        <w:trPr>
          <w:trHeight w:val="263"/>
        </w:trPr>
        <w:tc>
          <w:tcPr>
            <w:tcW w:w="444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Tax effect of other intangible assets</w:t>
            </w:r>
            <w:r>
              <w:rPr>
                <w:rFonts w:ascii="Verdana" w:cs="Verdana" w:eastAsia="Verdana" w:hAnsi="Verdana"/>
                <w:sz w:val="11"/>
                <w:szCs w:val="11"/>
                <w:color w:val="auto"/>
              </w:rPr>
              <w:t>1</w:t>
            </w:r>
          </w:p>
        </w:tc>
        <w:tc>
          <w:tcPr>
            <w:tcW w:w="2860" w:type="dxa"/>
            <w:vAlign w:val="bottom"/>
            <w:tcBorders>
              <w:bottom w:val="single" w:sz="8" w:color="E0E7ED"/>
            </w:tcBorders>
          </w:tcPr>
          <w:p>
            <w:pPr>
              <w:spacing w:after="0"/>
              <w:rPr>
                <w:sz w:val="22"/>
                <w:szCs w:val="22"/>
                <w:color w:val="auto"/>
              </w:rPr>
            </w:pPr>
          </w:p>
        </w:tc>
        <w:tc>
          <w:tcPr>
            <w:tcW w:w="480" w:type="dxa"/>
            <w:vAlign w:val="bottom"/>
            <w:tcBorders>
              <w:bottom w:val="single" w:sz="8" w:color="E0E7E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8"/>
              <w:spacing w:after="0"/>
              <w:rPr>
                <w:sz w:val="20"/>
                <w:szCs w:val="20"/>
                <w:color w:val="auto"/>
              </w:rPr>
            </w:pPr>
            <w:r>
              <w:rPr>
                <w:rFonts w:ascii="Verdana" w:cs="Verdana" w:eastAsia="Verdana" w:hAnsi="Verdana"/>
                <w:sz w:val="18"/>
                <w:szCs w:val="18"/>
                <w:color w:val="auto"/>
              </w:rPr>
              <w:t>7,178</w:t>
            </w:r>
          </w:p>
        </w:tc>
        <w:tc>
          <w:tcPr>
            <w:tcW w:w="100" w:type="dxa"/>
            <w:vAlign w:val="bottom"/>
            <w:tcBorders>
              <w:bottom w:val="single" w:sz="8" w:color="E0E7ED"/>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6"/>
              <w:spacing w:after="0"/>
              <w:rPr>
                <w:sz w:val="20"/>
                <w:szCs w:val="20"/>
                <w:color w:val="auto"/>
              </w:rPr>
            </w:pPr>
            <w:r>
              <w:rPr>
                <w:rFonts w:ascii="Verdana" w:cs="Verdana" w:eastAsia="Verdana" w:hAnsi="Verdana"/>
                <w:sz w:val="18"/>
                <w:szCs w:val="18"/>
                <w:color w:val="auto"/>
              </w:rPr>
              <w:t>6,888</w:t>
            </w:r>
          </w:p>
        </w:tc>
      </w:tr>
      <w:tr>
        <w:trPr>
          <w:trHeight w:val="290"/>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Tangible common equity</w:t>
            </w:r>
            <w:r>
              <w:rPr>
                <w:rFonts w:ascii="Verdana" w:cs="Verdana" w:eastAsia="Verdana" w:hAnsi="Verdana"/>
                <w:sz w:val="11"/>
                <w:szCs w:val="11"/>
                <w:color w:val="auto"/>
              </w:rPr>
              <w:t>2</w:t>
            </w:r>
          </w:p>
        </w:tc>
        <w:tc>
          <w:tcPr>
            <w:tcW w:w="2860" w:type="dxa"/>
            <w:vAlign w:val="bottom"/>
            <w:shd w:val="clear" w:color="auto" w:fill="E0E7ED"/>
          </w:tcPr>
          <w:p>
            <w:pPr>
              <w:ind w:left="2560"/>
              <w:spacing w:after="0"/>
              <w:rPr>
                <w:sz w:val="20"/>
                <w:szCs w:val="20"/>
                <w:color w:val="auto"/>
              </w:rPr>
            </w:pPr>
            <w:r>
              <w:rPr>
                <w:rFonts w:ascii="Verdana" w:cs="Verdana" w:eastAsia="Verdana" w:hAnsi="Verdana"/>
                <w:sz w:val="18"/>
                <w:szCs w:val="18"/>
                <w:color w:val="auto"/>
              </w:rPr>
              <w:t>[b]</w:t>
            </w:r>
          </w:p>
        </w:tc>
        <w:tc>
          <w:tcPr>
            <w:tcW w:w="700" w:type="dxa"/>
            <w:vAlign w:val="bottom"/>
            <w:gridSpan w:val="2"/>
            <w:shd w:val="clear" w:color="auto" w:fill="E0E7ED"/>
          </w:tcPr>
          <w:p>
            <w:pPr>
              <w:jc w:val="right"/>
              <w:ind w:right="100"/>
              <w:spacing w:after="0"/>
              <w:rPr>
                <w:sz w:val="20"/>
                <w:szCs w:val="20"/>
                <w:color w:val="auto"/>
              </w:rPr>
            </w:pPr>
            <w:r>
              <w:rPr>
                <w:rFonts w:ascii="Verdana" w:cs="Verdana" w:eastAsia="Verdana" w:hAnsi="Verdana"/>
                <w:sz w:val="18"/>
                <w:szCs w:val="18"/>
                <w:color w:val="auto"/>
              </w:rPr>
              <w:t>$</w:t>
            </w:r>
          </w:p>
        </w:tc>
        <w:tc>
          <w:tcPr>
            <w:tcW w:w="1460" w:type="dxa"/>
            <w:vAlign w:val="bottom"/>
            <w:gridSpan w:val="3"/>
            <w:shd w:val="clear" w:color="auto" w:fill="E0E7ED"/>
          </w:tcPr>
          <w:p>
            <w:pPr>
              <w:jc w:val="right"/>
              <w:ind w:right="198"/>
              <w:spacing w:after="0"/>
              <w:rPr>
                <w:sz w:val="20"/>
                <w:szCs w:val="20"/>
                <w:color w:val="auto"/>
              </w:rPr>
            </w:pPr>
            <w:r>
              <w:rPr>
                <w:rFonts w:ascii="Verdana" w:cs="Verdana" w:eastAsia="Verdana" w:hAnsi="Verdana"/>
                <w:sz w:val="18"/>
                <w:szCs w:val="18"/>
                <w:color w:val="auto"/>
              </w:rPr>
              <w:t>1,041,813</w:t>
            </w:r>
          </w:p>
        </w:tc>
        <w:tc>
          <w:tcPr>
            <w:tcW w:w="100" w:type="dxa"/>
            <w:vAlign w:val="bottom"/>
            <w:shd w:val="clear" w:color="auto" w:fill="E0E7ED"/>
          </w:tcPr>
          <w:p>
            <w:pPr>
              <w:spacing w:after="0"/>
              <w:rPr>
                <w:sz w:val="24"/>
                <w:szCs w:val="24"/>
                <w:color w:val="auto"/>
              </w:rPr>
            </w:pPr>
          </w:p>
        </w:tc>
        <w:tc>
          <w:tcPr>
            <w:tcW w:w="160" w:type="dxa"/>
            <w:vAlign w:val="bottom"/>
            <w:gridSpan w:val="2"/>
            <w:shd w:val="clear" w:color="auto" w:fill="E0E7ED"/>
          </w:tcPr>
          <w:p>
            <w:pPr>
              <w:jc w:val="right"/>
              <w:ind w:right="40"/>
              <w:spacing w:after="0"/>
              <w:rPr>
                <w:sz w:val="20"/>
                <w:szCs w:val="20"/>
                <w:color w:val="auto"/>
              </w:rPr>
            </w:pPr>
            <w:r>
              <w:rPr>
                <w:rFonts w:ascii="Verdana" w:cs="Verdana" w:eastAsia="Verdana" w:hAnsi="Verdana"/>
                <w:sz w:val="18"/>
                <w:szCs w:val="18"/>
                <w:color w:val="auto"/>
                <w:w w:val="86"/>
              </w:rPr>
              <w:t>$</w:t>
            </w:r>
          </w:p>
        </w:tc>
        <w:tc>
          <w:tcPr>
            <w:tcW w:w="160" w:type="dxa"/>
            <w:vAlign w:val="bottom"/>
            <w:shd w:val="clear" w:color="auto" w:fill="E0E7ED"/>
          </w:tcPr>
          <w:p>
            <w:pPr>
              <w:spacing w:after="0"/>
              <w:rPr>
                <w:sz w:val="24"/>
                <w:szCs w:val="24"/>
                <w:color w:val="auto"/>
              </w:rPr>
            </w:pPr>
          </w:p>
        </w:tc>
        <w:tc>
          <w:tcPr>
            <w:tcW w:w="1360" w:type="dxa"/>
            <w:vAlign w:val="bottom"/>
            <w:shd w:val="clear" w:color="auto" w:fill="E0E7ED"/>
          </w:tcPr>
          <w:p>
            <w:pPr>
              <w:jc w:val="right"/>
              <w:ind w:right="196"/>
              <w:spacing w:after="0"/>
              <w:rPr>
                <w:sz w:val="20"/>
                <w:szCs w:val="20"/>
                <w:color w:val="auto"/>
              </w:rPr>
            </w:pPr>
            <w:r>
              <w:rPr>
                <w:rFonts w:ascii="Verdana" w:cs="Verdana" w:eastAsia="Verdana" w:hAnsi="Verdana"/>
                <w:sz w:val="18"/>
                <w:szCs w:val="18"/>
                <w:color w:val="auto"/>
              </w:rPr>
              <w:t>925,005</w:t>
            </w:r>
          </w:p>
        </w:tc>
      </w:tr>
      <w:tr>
        <w:trPr>
          <w:trHeight w:val="20"/>
        </w:trPr>
        <w:tc>
          <w:tcPr>
            <w:tcW w:w="4440" w:type="dxa"/>
            <w:vAlign w:val="bottom"/>
            <w:tcBorders>
              <w:top w:val="single" w:sz="8" w:color="E0E7ED"/>
            </w:tcBorders>
          </w:tcPr>
          <w:p>
            <w:pPr>
              <w:spacing w:after="0" w:line="20" w:lineRule="exact"/>
              <w:rPr>
                <w:sz w:val="1"/>
                <w:szCs w:val="1"/>
                <w:color w:val="auto"/>
              </w:rPr>
            </w:pPr>
          </w:p>
        </w:tc>
        <w:tc>
          <w:tcPr>
            <w:tcW w:w="3340" w:type="dxa"/>
            <w:vAlign w:val="bottom"/>
            <w:tcBorders>
              <w:top w:val="single" w:sz="8" w:color="E0E7ED"/>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4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70"/>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Tangible common equity to tangible assets</w:t>
            </w:r>
            <w:r>
              <w:rPr>
                <w:rFonts w:ascii="Verdana" w:cs="Verdana" w:eastAsia="Verdana" w:hAnsi="Verdana"/>
                <w:sz w:val="11"/>
                <w:szCs w:val="11"/>
                <w:color w:val="auto"/>
              </w:rPr>
              <w:t>2</w:t>
            </w:r>
          </w:p>
        </w:tc>
        <w:tc>
          <w:tcPr>
            <w:tcW w:w="3560" w:type="dxa"/>
            <w:vAlign w:val="bottom"/>
            <w:gridSpan w:val="3"/>
            <w:shd w:val="clear" w:color="auto" w:fill="E0E7ED"/>
          </w:tcPr>
          <w:p>
            <w:pPr>
              <w:ind w:left="2560"/>
              <w:spacing w:after="0"/>
              <w:rPr>
                <w:sz w:val="20"/>
                <w:szCs w:val="20"/>
                <w:color w:val="auto"/>
              </w:rPr>
            </w:pPr>
            <w:r>
              <w:rPr>
                <w:rFonts w:ascii="Verdana" w:cs="Verdana" w:eastAsia="Verdana" w:hAnsi="Verdana"/>
                <w:sz w:val="18"/>
                <w:szCs w:val="18"/>
                <w:color w:val="auto"/>
              </w:rPr>
              <w:t>[b÷a]</w:t>
            </w:r>
          </w:p>
        </w:tc>
        <w:tc>
          <w:tcPr>
            <w:tcW w:w="120" w:type="dxa"/>
            <w:vAlign w:val="bottom"/>
            <w:shd w:val="clear" w:color="auto" w:fill="E0E7ED"/>
          </w:tcPr>
          <w:p>
            <w:pPr>
              <w:spacing w:after="0"/>
              <w:rPr>
                <w:sz w:val="23"/>
                <w:szCs w:val="23"/>
                <w:color w:val="auto"/>
              </w:rPr>
            </w:pPr>
          </w:p>
        </w:tc>
        <w:tc>
          <w:tcPr>
            <w:tcW w:w="180" w:type="dxa"/>
            <w:vAlign w:val="bottom"/>
            <w:shd w:val="clear" w:color="auto" w:fill="E0E7ED"/>
          </w:tcPr>
          <w:p>
            <w:pPr>
              <w:spacing w:after="0"/>
              <w:rPr>
                <w:sz w:val="23"/>
                <w:szCs w:val="23"/>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8.96 %</w:t>
            </w:r>
          </w:p>
        </w:tc>
        <w:tc>
          <w:tcPr>
            <w:tcW w:w="10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160" w:type="dxa"/>
            <w:vAlign w:val="bottom"/>
            <w:shd w:val="clear" w:color="auto" w:fill="E0E7ED"/>
          </w:tcPr>
          <w:p>
            <w:pPr>
              <w:spacing w:after="0"/>
              <w:rPr>
                <w:sz w:val="23"/>
                <w:szCs w:val="23"/>
                <w:color w:val="auto"/>
              </w:rPr>
            </w:pPr>
          </w:p>
        </w:tc>
        <w:tc>
          <w:tcPr>
            <w:tcW w:w="13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7.75 %</w:t>
            </w:r>
          </w:p>
        </w:tc>
      </w:tr>
      <w:tr>
        <w:trPr>
          <w:trHeight w:val="238"/>
        </w:trPr>
        <w:tc>
          <w:tcPr>
            <w:tcW w:w="4440" w:type="dxa"/>
            <w:vAlign w:val="bottom"/>
          </w:tcPr>
          <w:p>
            <w:pPr>
              <w:spacing w:after="0"/>
              <w:rPr>
                <w:sz w:val="20"/>
                <w:szCs w:val="20"/>
                <w:color w:val="auto"/>
              </w:rPr>
            </w:pPr>
            <w:r>
              <w:rPr>
                <w:rFonts w:ascii="Verdana" w:cs="Verdana" w:eastAsia="Verdana" w:hAnsi="Verdana"/>
                <w:sz w:val="13"/>
                <w:szCs w:val="13"/>
                <w:color w:val="auto"/>
              </w:rPr>
              <w:t>___________________________________________</w:t>
            </w:r>
          </w:p>
        </w:tc>
        <w:tc>
          <w:tcPr>
            <w:tcW w:w="2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ind w:left="480" w:hanging="310"/>
        <w:spacing w:after="0" w:line="225" w:lineRule="auto"/>
        <w:tabs>
          <w:tab w:leader="none" w:pos="480" w:val="left"/>
        </w:tabs>
        <w:numPr>
          <w:ilvl w:val="0"/>
          <w:numId w:val="33"/>
        </w:numPr>
        <w:rPr>
          <w:rFonts w:ascii="Verdana" w:cs="Verdana" w:eastAsia="Verdana" w:hAnsi="Verdana"/>
          <w:sz w:val="13"/>
          <w:szCs w:val="13"/>
          <w:color w:val="auto"/>
        </w:rPr>
      </w:pPr>
      <w:r>
        <w:rPr>
          <w:rFonts w:ascii="Verdana" w:cs="Verdana" w:eastAsia="Verdana" w:hAnsi="Verdana"/>
          <w:sz w:val="13"/>
          <w:szCs w:val="13"/>
          <w:color w:val="auto"/>
        </w:rPr>
        <w:t>Net of estimated deferred tax liability, calculated using the estimated combined federal and state statutory tax rate of 28.0%.</w:t>
      </w:r>
    </w:p>
    <w:p>
      <w:pPr>
        <w:ind w:left="480" w:hanging="310"/>
        <w:spacing w:after="0"/>
        <w:tabs>
          <w:tab w:leader="none" w:pos="480" w:val="left"/>
        </w:tabs>
        <w:numPr>
          <w:ilvl w:val="0"/>
          <w:numId w:val="33"/>
        </w:numPr>
        <w:rPr>
          <w:rFonts w:ascii="Verdana" w:cs="Verdana" w:eastAsia="Verdana" w:hAnsi="Verdana"/>
          <w:sz w:val="13"/>
          <w:szCs w:val="13"/>
          <w:color w:val="auto"/>
        </w:rPr>
      </w:pPr>
      <w:r>
        <w:rPr>
          <w:rFonts w:ascii="Verdana" w:cs="Verdana" w:eastAsia="Verdana" w:hAnsi="Verdana"/>
          <w:sz w:val="13"/>
          <w:szCs w:val="13"/>
          <w:color w:val="auto"/>
        </w:rPr>
        <w:t>Tax-effected measure.</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02" w:name="page103"/>
    <w:bookmarkEnd w:id="102"/>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2. MD&amp;A</w:t>
      </w:r>
    </w:p>
    <w:p>
      <w:pPr>
        <w:spacing w:after="0" w:line="186"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RECONCILIATION OF NON-GAAP FINANCIAL MEASURES (Unaudited)</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Core Deposits, Core Deposits to Total Deposits, and Portfolio Loans to Core Deposits</w:t>
      </w:r>
    </w:p>
    <w:p>
      <w:pPr>
        <w:spacing w:after="0" w:line="5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30"/>
              <w:spacing w:after="0"/>
              <w:rPr>
                <w:sz w:val="20"/>
                <w:szCs w:val="20"/>
                <w:color w:val="auto"/>
              </w:rPr>
            </w:pPr>
            <w:r>
              <w:rPr>
                <w:rFonts w:ascii="Verdana" w:cs="Verdana" w:eastAsia="Verdana" w:hAnsi="Verdana"/>
                <w:sz w:val="13"/>
                <w:szCs w:val="13"/>
                <w:b w:val="1"/>
                <w:bCs w:val="1"/>
                <w:color w:val="auto"/>
              </w:rPr>
              <w:t>As of</w:t>
            </w:r>
          </w:p>
        </w:tc>
        <w:tc>
          <w:tcPr>
            <w:tcW w:w="1440" w:type="dxa"/>
            <w:vAlign w:val="bottom"/>
            <w:tcBorders>
              <w:bottom w:val="single" w:sz="8" w:color="auto"/>
            </w:tcBorders>
          </w:tcPr>
          <w:p>
            <w:pPr>
              <w:spacing w:after="0"/>
              <w:rPr>
                <w:sz w:val="15"/>
                <w:szCs w:val="15"/>
                <w:color w:val="auto"/>
              </w:rPr>
            </w:pPr>
          </w:p>
        </w:tc>
      </w:tr>
      <w:tr>
        <w:trPr>
          <w:trHeight w:val="122"/>
        </w:trPr>
        <w:tc>
          <w:tcPr>
            <w:tcW w:w="69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gridSpan w:val="2"/>
          </w:tcPr>
          <w:p>
            <w:pPr>
              <w:ind w:left="100"/>
              <w:spacing w:after="0" w:line="122" w:lineRule="exact"/>
              <w:rPr>
                <w:sz w:val="20"/>
                <w:szCs w:val="20"/>
                <w:color w:val="auto"/>
              </w:rPr>
            </w:pPr>
            <w:r>
              <w:rPr>
                <w:rFonts w:ascii="Verdana" w:cs="Verdana" w:eastAsia="Verdana" w:hAnsi="Verdana"/>
                <w:sz w:val="13"/>
                <w:szCs w:val="13"/>
                <w:b w:val="1"/>
                <w:bCs w:val="1"/>
                <w:color w:val="auto"/>
              </w:rPr>
              <w:t>September 30,</w:t>
            </w:r>
          </w:p>
        </w:tc>
        <w:tc>
          <w:tcPr>
            <w:tcW w:w="240" w:type="dxa"/>
            <w:vAlign w:val="bottom"/>
          </w:tcPr>
          <w:p>
            <w:pPr>
              <w:spacing w:after="0"/>
              <w:rPr>
                <w:sz w:val="10"/>
                <w:szCs w:val="10"/>
                <w:color w:val="auto"/>
              </w:rPr>
            </w:pPr>
          </w:p>
        </w:tc>
        <w:tc>
          <w:tcPr>
            <w:tcW w:w="1440" w:type="dxa"/>
            <w:vAlign w:val="bottom"/>
          </w:tcPr>
          <w:p>
            <w:pPr>
              <w:jc w:val="right"/>
              <w:ind w:right="276"/>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6940" w:type="dxa"/>
            <w:vAlign w:val="bottom"/>
            <w:tcBorders>
              <w:bottom w:val="single" w:sz="8" w:color="E0E7ED"/>
            </w:tcBorders>
          </w:tcPr>
          <w:p>
            <w:pPr>
              <w:spacing w:after="0"/>
              <w:rPr>
                <w:sz w:val="14"/>
                <w:szCs w:val="14"/>
                <w:color w:val="auto"/>
              </w:rPr>
            </w:pPr>
          </w:p>
        </w:tc>
        <w:tc>
          <w:tcPr>
            <w:tcW w:w="840" w:type="dxa"/>
            <w:vAlign w:val="bottom"/>
            <w:tcBorders>
              <w:bottom w:val="single" w:sz="8" w:color="E0E7ED"/>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578"/>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bottom w:val="single" w:sz="8" w:color="E0E7ED"/>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576"/>
              <w:spacing w:after="0"/>
              <w:rPr>
                <w:sz w:val="20"/>
                <w:szCs w:val="20"/>
                <w:color w:val="auto"/>
              </w:rPr>
            </w:pPr>
            <w:r>
              <w:rPr>
                <w:rFonts w:ascii="Verdana" w:cs="Verdana" w:eastAsia="Verdana" w:hAnsi="Verdana"/>
                <w:sz w:val="13"/>
                <w:szCs w:val="13"/>
                <w:b w:val="1"/>
                <w:bCs w:val="1"/>
                <w:color w:val="auto"/>
              </w:rPr>
              <w:t>2023</w:t>
            </w:r>
          </w:p>
        </w:tc>
      </w:tr>
      <w:tr>
        <w:trPr>
          <w:trHeight w:val="267"/>
        </w:trPr>
        <w:tc>
          <w:tcPr>
            <w:tcW w:w="694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Portfolio loans</w:t>
            </w:r>
          </w:p>
        </w:tc>
        <w:tc>
          <w:tcPr>
            <w:tcW w:w="840" w:type="dxa"/>
            <w:vAlign w:val="bottom"/>
            <w:tcBorders>
              <w:bottom w:val="single" w:sz="8" w:color="E0E7ED"/>
            </w:tcBorders>
            <w:shd w:val="clear" w:color="auto" w:fill="E0E7ED"/>
          </w:tcPr>
          <w:p>
            <w:pPr>
              <w:ind w:left="60"/>
              <w:spacing w:after="0"/>
              <w:rPr>
                <w:sz w:val="20"/>
                <w:szCs w:val="20"/>
                <w:color w:val="auto"/>
              </w:rPr>
            </w:pPr>
            <w:r>
              <w:rPr>
                <w:rFonts w:ascii="Verdana" w:cs="Verdana" w:eastAsia="Verdana" w:hAnsi="Verdana"/>
                <w:sz w:val="18"/>
                <w:szCs w:val="18"/>
                <w:color w:val="auto"/>
              </w:rPr>
              <w:t>[a]</w:t>
            </w:r>
          </w:p>
        </w:tc>
        <w:tc>
          <w:tcPr>
            <w:tcW w:w="220" w:type="dxa"/>
            <w:vAlign w:val="bottom"/>
            <w:tcBorders>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460" w:type="dxa"/>
            <w:vAlign w:val="bottom"/>
            <w:tcBorders>
              <w:bottom w:val="single" w:sz="8" w:color="auto"/>
            </w:tcBorders>
            <w:shd w:val="clear" w:color="auto" w:fill="E0E7ED"/>
          </w:tcPr>
          <w:p>
            <w:pPr>
              <w:jc w:val="right"/>
              <w:ind w:right="198"/>
              <w:spacing w:after="0"/>
              <w:rPr>
                <w:sz w:val="20"/>
                <w:szCs w:val="20"/>
                <w:color w:val="auto"/>
              </w:rPr>
            </w:pPr>
            <w:r>
              <w:rPr>
                <w:rFonts w:ascii="Verdana" w:cs="Verdana" w:eastAsia="Verdana" w:hAnsi="Verdana"/>
                <w:sz w:val="18"/>
                <w:szCs w:val="18"/>
                <w:color w:val="auto"/>
              </w:rPr>
              <w:t>7,809,097</w:t>
            </w:r>
          </w:p>
        </w:tc>
        <w:tc>
          <w:tcPr>
            <w:tcW w:w="100" w:type="dxa"/>
            <w:vAlign w:val="bottom"/>
            <w:tcBorders>
              <w:bottom w:val="single" w:sz="8" w:color="E0E7ED"/>
            </w:tcBorders>
            <w:shd w:val="clear" w:color="auto" w:fill="E0E7ED"/>
          </w:tcPr>
          <w:p>
            <w:pPr>
              <w:spacing w:after="0"/>
              <w:rPr>
                <w:sz w:val="22"/>
                <w:szCs w:val="22"/>
                <w:color w:val="auto"/>
              </w:rPr>
            </w:pPr>
          </w:p>
        </w:tc>
        <w:tc>
          <w:tcPr>
            <w:tcW w:w="240" w:type="dxa"/>
            <w:vAlign w:val="bottom"/>
            <w:tcBorders>
              <w:bottom w:val="single" w:sz="8" w:color="auto"/>
            </w:tcBorders>
            <w:shd w:val="clear" w:color="auto" w:fill="E0E7ED"/>
          </w:tcPr>
          <w:p>
            <w:pPr>
              <w:jc w:val="right"/>
              <w:ind w:right="30"/>
              <w:spacing w:after="0"/>
              <w:rPr>
                <w:sz w:val="20"/>
                <w:szCs w:val="20"/>
                <w:color w:val="auto"/>
              </w:rPr>
            </w:pPr>
            <w:r>
              <w:rPr>
                <w:rFonts w:ascii="Verdana" w:cs="Verdana" w:eastAsia="Verdana" w:hAnsi="Verdana"/>
                <w:sz w:val="18"/>
                <w:szCs w:val="18"/>
                <w:color w:val="auto"/>
                <w:w w:val="86"/>
              </w:rPr>
              <w:t>$</w:t>
            </w:r>
          </w:p>
        </w:tc>
        <w:tc>
          <w:tcPr>
            <w:tcW w:w="1440" w:type="dxa"/>
            <w:vAlign w:val="bottom"/>
            <w:tcBorders>
              <w:bottom w:val="single" w:sz="8" w:color="auto"/>
            </w:tcBorders>
            <w:shd w:val="clear" w:color="auto" w:fill="E0E7ED"/>
          </w:tcPr>
          <w:p>
            <w:pPr>
              <w:jc w:val="right"/>
              <w:ind w:right="196"/>
              <w:spacing w:after="0"/>
              <w:rPr>
                <w:sz w:val="20"/>
                <w:szCs w:val="20"/>
                <w:color w:val="auto"/>
              </w:rPr>
            </w:pPr>
            <w:r>
              <w:rPr>
                <w:rFonts w:ascii="Verdana" w:cs="Verdana" w:eastAsia="Verdana" w:hAnsi="Verdana"/>
                <w:sz w:val="18"/>
                <w:szCs w:val="18"/>
                <w:color w:val="auto"/>
              </w:rPr>
              <w:t>7,651,034</w:t>
            </w:r>
          </w:p>
        </w:tc>
      </w:tr>
      <w:tr>
        <w:trPr>
          <w:trHeight w:val="20"/>
        </w:trPr>
        <w:tc>
          <w:tcPr>
            <w:tcW w:w="6940" w:type="dxa"/>
            <w:vAlign w:val="bottom"/>
            <w:tcBorders>
              <w:top w:val="single" w:sz="8" w:color="E0E7ED"/>
            </w:tcBorders>
          </w:tcPr>
          <w:p>
            <w:pPr>
              <w:spacing w:after="0" w:line="20" w:lineRule="exact"/>
              <w:rPr>
                <w:sz w:val="1"/>
                <w:szCs w:val="1"/>
                <w:color w:val="auto"/>
              </w:rPr>
            </w:pPr>
          </w:p>
        </w:tc>
        <w:tc>
          <w:tcPr>
            <w:tcW w:w="84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4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440" w:type="dxa"/>
            <w:vAlign w:val="bottom"/>
            <w:tcBorders>
              <w:top w:val="single" w:sz="8" w:color="E0E7ED"/>
              <w:bottom w:val="single" w:sz="8" w:color="auto"/>
            </w:tcBorders>
          </w:tcPr>
          <w:p>
            <w:pPr>
              <w:spacing w:after="0" w:line="20" w:lineRule="exact"/>
              <w:rPr>
                <w:sz w:val="1"/>
                <w:szCs w:val="1"/>
                <w:color w:val="auto"/>
              </w:rPr>
            </w:pPr>
          </w:p>
        </w:tc>
      </w:tr>
      <w:tr>
        <w:trPr>
          <w:trHeight w:val="217"/>
        </w:trPr>
        <w:tc>
          <w:tcPr>
            <w:tcW w:w="6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70"/>
        </w:trPr>
        <w:tc>
          <w:tcPr>
            <w:tcW w:w="69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Total deposits</w:t>
            </w:r>
          </w:p>
        </w:tc>
        <w:tc>
          <w:tcPr>
            <w:tcW w:w="840" w:type="dxa"/>
            <w:vAlign w:val="bottom"/>
            <w:shd w:val="clear" w:color="auto" w:fill="E0E7ED"/>
          </w:tcPr>
          <w:p>
            <w:pPr>
              <w:ind w:left="60"/>
              <w:spacing w:after="0"/>
              <w:rPr>
                <w:sz w:val="20"/>
                <w:szCs w:val="20"/>
                <w:color w:val="auto"/>
              </w:rPr>
            </w:pPr>
            <w:r>
              <w:rPr>
                <w:rFonts w:ascii="Verdana" w:cs="Verdana" w:eastAsia="Verdana" w:hAnsi="Verdana"/>
                <w:sz w:val="18"/>
                <w:szCs w:val="18"/>
                <w:color w:val="auto"/>
              </w:rPr>
              <w:t>[b]</w:t>
            </w: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460" w:type="dxa"/>
            <w:vAlign w:val="bottom"/>
            <w:shd w:val="clear" w:color="auto" w:fill="E0E7ED"/>
          </w:tcPr>
          <w:p>
            <w:pPr>
              <w:jc w:val="right"/>
              <w:ind w:right="198"/>
              <w:spacing w:after="0"/>
              <w:rPr>
                <w:sz w:val="20"/>
                <w:szCs w:val="20"/>
                <w:color w:val="auto"/>
              </w:rPr>
            </w:pPr>
            <w:r>
              <w:rPr>
                <w:rFonts w:ascii="Verdana" w:cs="Verdana" w:eastAsia="Verdana" w:hAnsi="Verdana"/>
                <w:sz w:val="18"/>
                <w:szCs w:val="18"/>
                <w:color w:val="auto"/>
              </w:rPr>
              <w:t>9,943,241</w:t>
            </w:r>
          </w:p>
        </w:tc>
        <w:tc>
          <w:tcPr>
            <w:tcW w:w="100" w:type="dxa"/>
            <w:vAlign w:val="bottom"/>
            <w:shd w:val="clear" w:color="auto" w:fill="E0E7ED"/>
          </w:tcPr>
          <w:p>
            <w:pPr>
              <w:spacing w:after="0"/>
              <w:rPr>
                <w:sz w:val="23"/>
                <w:szCs w:val="23"/>
                <w:color w:val="auto"/>
              </w:rPr>
            </w:pPr>
          </w:p>
        </w:tc>
        <w:tc>
          <w:tcPr>
            <w:tcW w:w="24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w w:val="86"/>
              </w:rPr>
              <w:t>$</w:t>
            </w:r>
          </w:p>
        </w:tc>
        <w:tc>
          <w:tcPr>
            <w:tcW w:w="1440" w:type="dxa"/>
            <w:vAlign w:val="bottom"/>
            <w:shd w:val="clear" w:color="auto" w:fill="E0E7ED"/>
          </w:tcPr>
          <w:p>
            <w:pPr>
              <w:jc w:val="right"/>
              <w:ind w:right="196"/>
              <w:spacing w:after="0"/>
              <w:rPr>
                <w:sz w:val="20"/>
                <w:szCs w:val="20"/>
                <w:color w:val="auto"/>
              </w:rPr>
            </w:pPr>
            <w:r>
              <w:rPr>
                <w:rFonts w:ascii="Verdana" w:cs="Verdana" w:eastAsia="Verdana" w:hAnsi="Verdana"/>
                <w:sz w:val="18"/>
                <w:szCs w:val="18"/>
                <w:color w:val="auto"/>
              </w:rPr>
              <w:t>10,291,156</w:t>
            </w:r>
          </w:p>
        </w:tc>
      </w:tr>
      <w:tr>
        <w:trPr>
          <w:trHeight w:val="263"/>
        </w:trPr>
        <w:tc>
          <w:tcPr>
            <w:tcW w:w="6940" w:type="dxa"/>
            <w:vAlign w:val="bottom"/>
          </w:tcPr>
          <w:p>
            <w:pPr>
              <w:ind w:left="20"/>
              <w:spacing w:after="0"/>
              <w:rPr>
                <w:sz w:val="20"/>
                <w:szCs w:val="20"/>
                <w:color w:val="auto"/>
              </w:rPr>
            </w:pPr>
            <w:r>
              <w:rPr>
                <w:rFonts w:ascii="Verdana" w:cs="Verdana" w:eastAsia="Verdana" w:hAnsi="Verdana"/>
                <w:sz w:val="18"/>
                <w:szCs w:val="18"/>
                <w:color w:val="auto"/>
              </w:rPr>
              <w:t>Non-GAAP adjustments:</w:t>
            </w: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77"/>
        </w:trPr>
        <w:tc>
          <w:tcPr>
            <w:tcW w:w="69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Brokered deposits, excluding brokered time deposits of $250,000 or more</w:t>
            </w:r>
          </w:p>
        </w:tc>
        <w:tc>
          <w:tcPr>
            <w:tcW w:w="84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60" w:type="dxa"/>
            <w:vAlign w:val="bottom"/>
            <w:shd w:val="clear" w:color="auto" w:fill="E0E7ED"/>
          </w:tcPr>
          <w:p>
            <w:pPr>
              <w:jc w:val="right"/>
              <w:ind w:right="138"/>
              <w:spacing w:after="0"/>
              <w:rPr>
                <w:sz w:val="20"/>
                <w:szCs w:val="20"/>
                <w:color w:val="auto"/>
              </w:rPr>
            </w:pPr>
            <w:r>
              <w:rPr>
                <w:rFonts w:ascii="Verdana" w:cs="Verdana" w:eastAsia="Verdana" w:hAnsi="Verdana"/>
                <w:sz w:val="18"/>
                <w:szCs w:val="18"/>
                <w:color w:val="auto"/>
              </w:rPr>
              <w:t>(13,089)</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jc w:val="right"/>
              <w:ind w:right="136"/>
              <w:spacing w:after="0"/>
              <w:rPr>
                <w:sz w:val="20"/>
                <w:szCs w:val="20"/>
                <w:color w:val="auto"/>
              </w:rPr>
            </w:pPr>
            <w:r>
              <w:rPr>
                <w:rFonts w:ascii="Verdana" w:cs="Verdana" w:eastAsia="Verdana" w:hAnsi="Verdana"/>
                <w:sz w:val="18"/>
                <w:szCs w:val="18"/>
                <w:color w:val="auto"/>
              </w:rPr>
              <w:t>(6,001)</w:t>
            </w:r>
          </w:p>
        </w:tc>
      </w:tr>
      <w:tr>
        <w:trPr>
          <w:trHeight w:val="263"/>
        </w:trPr>
        <w:tc>
          <w:tcPr>
            <w:tcW w:w="694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Time deposits of $250,000 or more</w:t>
            </w:r>
          </w:p>
        </w:tc>
        <w:tc>
          <w:tcPr>
            <w:tcW w:w="840" w:type="dxa"/>
            <w:vAlign w:val="bottom"/>
            <w:tcBorders>
              <w:bottom w:val="single" w:sz="8" w:color="E0E7E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38"/>
              <w:spacing w:after="0"/>
              <w:rPr>
                <w:sz w:val="20"/>
                <w:szCs w:val="20"/>
                <w:color w:val="auto"/>
              </w:rPr>
            </w:pPr>
            <w:r>
              <w:rPr>
                <w:rFonts w:ascii="Verdana" w:cs="Verdana" w:eastAsia="Verdana" w:hAnsi="Verdana"/>
                <w:sz w:val="18"/>
                <w:szCs w:val="18"/>
                <w:color w:val="auto"/>
              </w:rPr>
              <w:t>(338,808)</w:t>
            </w:r>
          </w:p>
        </w:tc>
        <w:tc>
          <w:tcPr>
            <w:tcW w:w="100" w:type="dxa"/>
            <w:vAlign w:val="bottom"/>
            <w:tcBorders>
              <w:bottom w:val="single" w:sz="8" w:color="E0E7ED"/>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36"/>
              <w:spacing w:after="0"/>
              <w:rPr>
                <w:sz w:val="20"/>
                <w:szCs w:val="20"/>
                <w:color w:val="auto"/>
              </w:rPr>
            </w:pPr>
            <w:r>
              <w:rPr>
                <w:rFonts w:ascii="Verdana" w:cs="Verdana" w:eastAsia="Verdana" w:hAnsi="Verdana"/>
                <w:sz w:val="18"/>
                <w:szCs w:val="18"/>
                <w:color w:val="auto"/>
              </w:rPr>
              <w:t>(386,286)</w:t>
            </w:r>
          </w:p>
        </w:tc>
      </w:tr>
      <w:tr>
        <w:trPr>
          <w:trHeight w:val="295"/>
        </w:trPr>
        <w:tc>
          <w:tcPr>
            <w:tcW w:w="694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Core deposits</w:t>
            </w:r>
          </w:p>
        </w:tc>
        <w:tc>
          <w:tcPr>
            <w:tcW w:w="840" w:type="dxa"/>
            <w:vAlign w:val="bottom"/>
            <w:tcBorders>
              <w:bottom w:val="single" w:sz="8" w:color="E0E7ED"/>
            </w:tcBorders>
            <w:shd w:val="clear" w:color="auto" w:fill="E0E7ED"/>
          </w:tcPr>
          <w:p>
            <w:pPr>
              <w:ind w:left="60"/>
              <w:spacing w:after="0"/>
              <w:rPr>
                <w:sz w:val="20"/>
                <w:szCs w:val="20"/>
                <w:color w:val="auto"/>
              </w:rPr>
            </w:pPr>
            <w:r>
              <w:rPr>
                <w:rFonts w:ascii="Verdana" w:cs="Verdana" w:eastAsia="Verdana" w:hAnsi="Verdana"/>
                <w:sz w:val="18"/>
                <w:szCs w:val="18"/>
                <w:color w:val="auto"/>
              </w:rPr>
              <w:t>[c]</w:t>
            </w:r>
          </w:p>
        </w:tc>
        <w:tc>
          <w:tcPr>
            <w:tcW w:w="220" w:type="dxa"/>
            <w:vAlign w:val="bottom"/>
            <w:tcBorders>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460" w:type="dxa"/>
            <w:vAlign w:val="bottom"/>
            <w:tcBorders>
              <w:bottom w:val="single" w:sz="8" w:color="auto"/>
            </w:tcBorders>
            <w:shd w:val="clear" w:color="auto" w:fill="E0E7ED"/>
          </w:tcPr>
          <w:p>
            <w:pPr>
              <w:jc w:val="right"/>
              <w:ind w:right="198"/>
              <w:spacing w:after="0"/>
              <w:rPr>
                <w:sz w:val="20"/>
                <w:szCs w:val="20"/>
                <w:color w:val="auto"/>
              </w:rPr>
            </w:pPr>
            <w:r>
              <w:rPr>
                <w:rFonts w:ascii="Verdana" w:cs="Verdana" w:eastAsia="Verdana" w:hAnsi="Verdana"/>
                <w:sz w:val="18"/>
                <w:szCs w:val="18"/>
                <w:color w:val="auto"/>
              </w:rPr>
              <w:t>9,591,344</w:t>
            </w:r>
          </w:p>
        </w:tc>
        <w:tc>
          <w:tcPr>
            <w:tcW w:w="100" w:type="dxa"/>
            <w:vAlign w:val="bottom"/>
            <w:tcBorders>
              <w:bottom w:val="single" w:sz="8" w:color="E0E7ED"/>
            </w:tcBorders>
            <w:shd w:val="clear" w:color="auto" w:fill="E0E7ED"/>
          </w:tcPr>
          <w:p>
            <w:pPr>
              <w:spacing w:after="0"/>
              <w:rPr>
                <w:sz w:val="24"/>
                <w:szCs w:val="24"/>
                <w:color w:val="auto"/>
              </w:rPr>
            </w:pPr>
          </w:p>
        </w:tc>
        <w:tc>
          <w:tcPr>
            <w:tcW w:w="240" w:type="dxa"/>
            <w:vAlign w:val="bottom"/>
            <w:tcBorders>
              <w:bottom w:val="single" w:sz="8" w:color="auto"/>
            </w:tcBorders>
            <w:shd w:val="clear" w:color="auto" w:fill="E0E7ED"/>
          </w:tcPr>
          <w:p>
            <w:pPr>
              <w:jc w:val="right"/>
              <w:ind w:right="30"/>
              <w:spacing w:after="0"/>
              <w:rPr>
                <w:sz w:val="20"/>
                <w:szCs w:val="20"/>
                <w:color w:val="auto"/>
              </w:rPr>
            </w:pPr>
            <w:r>
              <w:rPr>
                <w:rFonts w:ascii="Verdana" w:cs="Verdana" w:eastAsia="Verdana" w:hAnsi="Verdana"/>
                <w:sz w:val="18"/>
                <w:szCs w:val="18"/>
                <w:color w:val="auto"/>
                <w:w w:val="86"/>
              </w:rPr>
              <w:t>$</w:t>
            </w:r>
          </w:p>
        </w:tc>
        <w:tc>
          <w:tcPr>
            <w:tcW w:w="1440" w:type="dxa"/>
            <w:vAlign w:val="bottom"/>
            <w:tcBorders>
              <w:bottom w:val="single" w:sz="8" w:color="auto"/>
            </w:tcBorders>
            <w:shd w:val="clear" w:color="auto" w:fill="E0E7ED"/>
          </w:tcPr>
          <w:p>
            <w:pPr>
              <w:jc w:val="right"/>
              <w:ind w:right="196"/>
              <w:spacing w:after="0"/>
              <w:rPr>
                <w:sz w:val="20"/>
                <w:szCs w:val="20"/>
                <w:color w:val="auto"/>
              </w:rPr>
            </w:pPr>
            <w:r>
              <w:rPr>
                <w:rFonts w:ascii="Verdana" w:cs="Verdana" w:eastAsia="Verdana" w:hAnsi="Verdana"/>
                <w:sz w:val="18"/>
                <w:szCs w:val="18"/>
                <w:color w:val="auto"/>
              </w:rPr>
              <w:t>9,898,869</w:t>
            </w:r>
          </w:p>
        </w:tc>
      </w:tr>
      <w:tr>
        <w:trPr>
          <w:trHeight w:val="20"/>
        </w:trPr>
        <w:tc>
          <w:tcPr>
            <w:tcW w:w="6940" w:type="dxa"/>
            <w:vAlign w:val="bottom"/>
            <w:tcBorders>
              <w:top w:val="single" w:sz="8" w:color="E0E7ED"/>
            </w:tcBorders>
          </w:tcPr>
          <w:p>
            <w:pPr>
              <w:spacing w:after="0" w:line="20" w:lineRule="exact"/>
              <w:rPr>
                <w:sz w:val="1"/>
                <w:szCs w:val="1"/>
                <w:color w:val="auto"/>
              </w:rPr>
            </w:pPr>
          </w:p>
        </w:tc>
        <w:tc>
          <w:tcPr>
            <w:tcW w:w="84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4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440" w:type="dxa"/>
            <w:vAlign w:val="bottom"/>
            <w:tcBorders>
              <w:top w:val="single" w:sz="8" w:color="E0E7ED"/>
              <w:bottom w:val="single" w:sz="8" w:color="auto"/>
            </w:tcBorders>
          </w:tcPr>
          <w:p>
            <w:pPr>
              <w:spacing w:after="0" w:line="20" w:lineRule="exact"/>
              <w:rPr>
                <w:sz w:val="1"/>
                <w:szCs w:val="1"/>
                <w:color w:val="auto"/>
              </w:rPr>
            </w:pPr>
          </w:p>
        </w:tc>
      </w:tr>
      <w:tr>
        <w:trPr>
          <w:trHeight w:val="217"/>
        </w:trPr>
        <w:tc>
          <w:tcPr>
            <w:tcW w:w="6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70"/>
        </w:trPr>
        <w:tc>
          <w:tcPr>
            <w:tcW w:w="69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RATIOS</w:t>
            </w:r>
          </w:p>
        </w:tc>
        <w:tc>
          <w:tcPr>
            <w:tcW w:w="840" w:type="dxa"/>
            <w:vAlign w:val="bottom"/>
            <w:shd w:val="clear" w:color="auto" w:fill="E0E7ED"/>
          </w:tcPr>
          <w:p>
            <w:pPr>
              <w:spacing w:after="0"/>
              <w:rPr>
                <w:sz w:val="23"/>
                <w:szCs w:val="23"/>
                <w:color w:val="auto"/>
              </w:rPr>
            </w:pPr>
          </w:p>
        </w:tc>
        <w:tc>
          <w:tcPr>
            <w:tcW w:w="220" w:type="dxa"/>
            <w:vAlign w:val="bottom"/>
            <w:shd w:val="clear" w:color="auto" w:fill="E0E7ED"/>
          </w:tcPr>
          <w:p>
            <w:pPr>
              <w:spacing w:after="0"/>
              <w:rPr>
                <w:sz w:val="23"/>
                <w:szCs w:val="23"/>
                <w:color w:val="auto"/>
              </w:rPr>
            </w:pPr>
          </w:p>
        </w:tc>
        <w:tc>
          <w:tcPr>
            <w:tcW w:w="146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440" w:type="dxa"/>
            <w:vAlign w:val="bottom"/>
            <w:shd w:val="clear" w:color="auto" w:fill="E0E7ED"/>
          </w:tcPr>
          <w:p>
            <w:pPr>
              <w:spacing w:after="0"/>
              <w:rPr>
                <w:sz w:val="23"/>
                <w:szCs w:val="23"/>
                <w:color w:val="auto"/>
              </w:rPr>
            </w:pPr>
          </w:p>
        </w:tc>
      </w:tr>
      <w:tr>
        <w:trPr>
          <w:trHeight w:val="263"/>
        </w:trPr>
        <w:tc>
          <w:tcPr>
            <w:tcW w:w="6940" w:type="dxa"/>
            <w:vAlign w:val="bottom"/>
          </w:tcPr>
          <w:p>
            <w:pPr>
              <w:ind w:left="20"/>
              <w:spacing w:after="0"/>
              <w:rPr>
                <w:sz w:val="20"/>
                <w:szCs w:val="20"/>
                <w:color w:val="auto"/>
              </w:rPr>
            </w:pPr>
            <w:r>
              <w:rPr>
                <w:rFonts w:ascii="Verdana" w:cs="Verdana" w:eastAsia="Verdana" w:hAnsi="Verdana"/>
                <w:sz w:val="18"/>
                <w:szCs w:val="18"/>
                <w:color w:val="auto"/>
              </w:rPr>
              <w:t>Core deposits to total deposits</w:t>
            </w:r>
          </w:p>
        </w:tc>
        <w:tc>
          <w:tcPr>
            <w:tcW w:w="840" w:type="dxa"/>
            <w:vAlign w:val="bottom"/>
          </w:tcPr>
          <w:p>
            <w:pPr>
              <w:ind w:left="60"/>
              <w:spacing w:after="0"/>
              <w:rPr>
                <w:sz w:val="20"/>
                <w:szCs w:val="20"/>
                <w:color w:val="auto"/>
              </w:rPr>
            </w:pPr>
            <w:r>
              <w:rPr>
                <w:rFonts w:ascii="Verdana" w:cs="Verdana" w:eastAsia="Verdana" w:hAnsi="Verdana"/>
                <w:sz w:val="18"/>
                <w:szCs w:val="18"/>
                <w:color w:val="auto"/>
              </w:rPr>
              <w:t>[c÷b]</w:t>
            </w: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Verdana" w:cs="Verdana" w:eastAsia="Verdana" w:hAnsi="Verdana"/>
                <w:sz w:val="18"/>
                <w:szCs w:val="18"/>
                <w:color w:val="auto"/>
              </w:rPr>
              <w:t>96.46 %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Verdana" w:cs="Verdana" w:eastAsia="Verdana" w:hAnsi="Verdana"/>
                <w:sz w:val="18"/>
                <w:szCs w:val="18"/>
                <w:color w:val="auto"/>
              </w:rPr>
              <w:t>96.19 %</w:t>
            </w:r>
          </w:p>
        </w:tc>
      </w:tr>
      <w:tr>
        <w:trPr>
          <w:trHeight w:val="277"/>
        </w:trPr>
        <w:tc>
          <w:tcPr>
            <w:tcW w:w="69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Portfolio loans to core deposits</w:t>
            </w:r>
          </w:p>
        </w:tc>
        <w:tc>
          <w:tcPr>
            <w:tcW w:w="840" w:type="dxa"/>
            <w:vAlign w:val="bottom"/>
            <w:shd w:val="clear" w:color="auto" w:fill="E0E7ED"/>
          </w:tcPr>
          <w:p>
            <w:pPr>
              <w:ind w:left="60"/>
              <w:spacing w:after="0"/>
              <w:rPr>
                <w:sz w:val="20"/>
                <w:szCs w:val="20"/>
                <w:color w:val="auto"/>
              </w:rPr>
            </w:pPr>
            <w:r>
              <w:rPr>
                <w:rFonts w:ascii="Verdana" w:cs="Verdana" w:eastAsia="Verdana" w:hAnsi="Verdana"/>
                <w:sz w:val="18"/>
                <w:szCs w:val="18"/>
                <w:color w:val="auto"/>
              </w:rPr>
              <w:t>[a÷c]</w:t>
            </w:r>
          </w:p>
        </w:tc>
        <w:tc>
          <w:tcPr>
            <w:tcW w:w="220" w:type="dxa"/>
            <w:vAlign w:val="bottom"/>
            <w:shd w:val="clear" w:color="auto" w:fill="E0E7ED"/>
          </w:tcPr>
          <w:p>
            <w:pPr>
              <w:spacing w:after="0"/>
              <w:rPr>
                <w:sz w:val="24"/>
                <w:szCs w:val="24"/>
                <w:color w:val="auto"/>
              </w:rPr>
            </w:pPr>
          </w:p>
        </w:tc>
        <w:tc>
          <w:tcPr>
            <w:tcW w:w="14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81.42 %</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77.29 %</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03" w:name="page104"/>
    <w:bookmarkEnd w:id="103"/>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FORWARD-LOOKING STATEMENTS</w:t>
      </w:r>
    </w:p>
    <w:p>
      <w:pPr>
        <w:spacing w:after="0" w:line="159" w:lineRule="exact"/>
        <w:rPr>
          <w:sz w:val="20"/>
          <w:szCs w:val="20"/>
          <w:color w:val="auto"/>
        </w:rPr>
      </w:pPr>
    </w:p>
    <w:p>
      <w:pPr>
        <w:jc w:val="both"/>
        <w:spacing w:after="0" w:line="222" w:lineRule="auto"/>
        <w:rPr>
          <w:sz w:val="20"/>
          <w:szCs w:val="20"/>
          <w:color w:val="auto"/>
        </w:rPr>
      </w:pPr>
      <w:r>
        <w:rPr>
          <w:rFonts w:ascii="Verdana" w:cs="Verdana" w:eastAsia="Verdana" w:hAnsi="Verdana"/>
          <w:sz w:val="18"/>
          <w:szCs w:val="18"/>
          <w:color w:val="auto"/>
        </w:rPr>
        <w:t>This Quarterly Report may contain “forward-looking statements” within the meaning of the Private Securities Litigation Reform Act of 1995 with respect to Busey’s financial condition, results of operations, plans, objectives, future performance, and business. Forward-looking statements, which may be based upon beliefs, expectations and assumptions of Busey’s management and on information currently available to management, are generally identifiable by the use of words such as “believe,” “expect,” “anticipate,” “plan,” “intend,” “estimate,” “may,” “will,” “would,” “could,” “should,” “position,” or other similar expressions. Additionally, all statements in this document, including forward-looking statements, speak only as of</w:t>
      </w:r>
    </w:p>
    <w:p>
      <w:pPr>
        <w:spacing w:after="0" w:line="1" w:lineRule="exact"/>
        <w:rPr>
          <w:sz w:val="20"/>
          <w:szCs w:val="20"/>
          <w:color w:val="auto"/>
        </w:rPr>
      </w:pPr>
    </w:p>
    <w:p>
      <w:pPr>
        <w:jc w:val="both"/>
        <w:ind w:right="20"/>
        <w:spacing w:after="0" w:line="232" w:lineRule="auto"/>
        <w:rPr>
          <w:sz w:val="20"/>
          <w:szCs w:val="20"/>
          <w:color w:val="auto"/>
        </w:rPr>
      </w:pPr>
      <w:r>
        <w:rPr>
          <w:rFonts w:ascii="Verdana" w:cs="Verdana" w:eastAsia="Verdana" w:hAnsi="Verdana"/>
          <w:sz w:val="18"/>
          <w:szCs w:val="18"/>
          <w:color w:val="auto"/>
        </w:rPr>
        <w:t>the date they are made, and Busey undertakes no obligation to update any statement in light of new information or future events.</w:t>
      </w:r>
    </w:p>
    <w:p>
      <w:pPr>
        <w:spacing w:after="0" w:line="212" w:lineRule="exact"/>
        <w:rPr>
          <w:sz w:val="20"/>
          <w:szCs w:val="20"/>
          <w:color w:val="auto"/>
        </w:rPr>
      </w:pPr>
    </w:p>
    <w:p>
      <w:pPr>
        <w:jc w:val="both"/>
        <w:spacing w:after="0" w:line="222" w:lineRule="auto"/>
        <w:rPr>
          <w:sz w:val="20"/>
          <w:szCs w:val="20"/>
          <w:color w:val="auto"/>
        </w:rPr>
      </w:pPr>
      <w:r>
        <w:rPr>
          <w:rFonts w:ascii="Verdana" w:cs="Verdana" w:eastAsia="Verdana" w:hAnsi="Verdana"/>
          <w:sz w:val="18"/>
          <w:szCs w:val="18"/>
          <w:color w:val="auto"/>
        </w:rPr>
        <w:t>A number of factors, many of which are beyond Busey’s ability to control or predict, could cause actual results to differ materially from those in any forward-looking statements. These factors include, among others, the following: (1) risks related to the proposed transaction with CrossFirst, including (i) the possibility that the proposed transaction will not close when expected or at all because required regulatory, stockholder, or other approvals are not received or other conditions to the closing are not satisfied on a timely basis or at all, or are obtained subject to conditions that are not anticipated (and the risk that required regulatory approvals may result in the imposition of conditions that could adversely affect the combined company or the expected benefits of the proposed transaction); (ii) the possibility that the anticipated benefits of the proposed transaction will not be realized when expected or at all, including as a result of the impact of, or problems arising from, the integration of the two companies or as a result of the strength of the economy and competitive factors in the areas where Busey and CrossFirst do business; (iii) the possibility that the merger may be more expensive to complete than anticipated, including as a result of unexpected factors or events; (iv) diversion of management's attention from</w:t>
      </w:r>
    </w:p>
    <w:p>
      <w:pPr>
        <w:spacing w:after="0" w:line="2" w:lineRule="exact"/>
        <w:rPr>
          <w:sz w:val="20"/>
          <w:szCs w:val="20"/>
          <w:color w:val="auto"/>
        </w:rPr>
      </w:pPr>
    </w:p>
    <w:p>
      <w:pPr>
        <w:jc w:val="both"/>
        <w:spacing w:after="0" w:line="214" w:lineRule="auto"/>
        <w:rPr>
          <w:sz w:val="20"/>
          <w:szCs w:val="20"/>
          <w:color w:val="auto"/>
        </w:rPr>
      </w:pPr>
      <w:r>
        <w:rPr>
          <w:rFonts w:ascii="Verdana" w:cs="Verdana" w:eastAsia="Verdana" w:hAnsi="Verdana"/>
          <w:sz w:val="18"/>
          <w:szCs w:val="18"/>
          <w:color w:val="auto"/>
        </w:rPr>
        <w:t>ongoing business operations and opportunities; (v) the possibility that Busey may be unable to achieve expected synergies and operating efficiencies in the merger within the expected timeframes or at all, and to successfully integrate CrossFirst's</w:t>
      </w:r>
    </w:p>
    <w:p>
      <w:pPr>
        <w:spacing w:after="0" w:line="223" w:lineRule="auto"/>
        <w:rPr>
          <w:sz w:val="20"/>
          <w:szCs w:val="20"/>
          <w:color w:val="auto"/>
        </w:rPr>
      </w:pPr>
      <w:r>
        <w:rPr>
          <w:rFonts w:ascii="Verdana" w:cs="Verdana" w:eastAsia="Verdana" w:hAnsi="Verdana"/>
          <w:sz w:val="18"/>
          <w:szCs w:val="18"/>
          <w:color w:val="auto"/>
        </w:rPr>
        <w:t>operations with those of Busey or that such integration may be more difficult, time consuming or costly than expected;</w:t>
      </w:r>
    </w:p>
    <w:p>
      <w:pPr>
        <w:spacing w:after="0" w:line="1" w:lineRule="exact"/>
        <w:rPr>
          <w:sz w:val="20"/>
          <w:szCs w:val="20"/>
          <w:color w:val="auto"/>
        </w:rPr>
      </w:pPr>
    </w:p>
    <w:p>
      <w:pPr>
        <w:jc w:val="both"/>
        <w:ind w:firstLine="8"/>
        <w:spacing w:after="0" w:line="222" w:lineRule="auto"/>
        <w:tabs>
          <w:tab w:leader="none" w:pos="404" w:val="left"/>
        </w:tabs>
        <w:numPr>
          <w:ilvl w:val="0"/>
          <w:numId w:val="34"/>
        </w:numPr>
        <w:rPr>
          <w:rFonts w:ascii="Verdana" w:cs="Verdana" w:eastAsia="Verdana" w:hAnsi="Verdana"/>
          <w:sz w:val="18"/>
          <w:szCs w:val="18"/>
          <w:color w:val="auto"/>
        </w:rPr>
      </w:pPr>
      <w:r>
        <w:rPr>
          <w:rFonts w:ascii="Verdana" w:cs="Verdana" w:eastAsia="Verdana" w:hAnsi="Verdana"/>
          <w:sz w:val="18"/>
          <w:szCs w:val="18"/>
          <w:color w:val="auto"/>
        </w:rPr>
        <w:t>revenues following the proposed transaction may be lower than expected; and (vii) shareholder litigation that could prevent or delay the closing of the proposed transaction or otherwise negatively impact our business and operations;</w:t>
      </w:r>
    </w:p>
    <w:p>
      <w:pPr>
        <w:jc w:val="both"/>
        <w:spacing w:after="0" w:line="222" w:lineRule="auto"/>
        <w:rPr>
          <w:rFonts w:ascii="Verdana" w:cs="Verdana" w:eastAsia="Verdana" w:hAnsi="Verdana"/>
          <w:sz w:val="18"/>
          <w:szCs w:val="18"/>
          <w:color w:val="auto"/>
        </w:rPr>
      </w:pPr>
      <w:r>
        <w:rPr>
          <w:rFonts w:ascii="Verdana" w:cs="Verdana" w:eastAsia="Verdana" w:hAnsi="Verdana"/>
          <w:sz w:val="18"/>
          <w:szCs w:val="18"/>
          <w:color w:val="auto"/>
        </w:rPr>
        <w:t>(2) the strength of the local, state, national, and international economy (including effects of inflationary pressures and supply chain constraints); (3) the economic impact of any future terrorist threats or attacks, widespread disease or pandemics, or other adverse external events that could cause economic deterioration or instability in credit markets (including Russia’s invasion of Ukraine and the conflict in the Middle East); (4) changes in state and federal laws, regulations, and governmental policies concerning Busey's general business (including changes in response to the failures of other banks or as a result of the upcoming 2024 presidential election); (5) changes in accounting policies and practices;</w:t>
      </w:r>
    </w:p>
    <w:p>
      <w:pPr>
        <w:jc w:val="both"/>
        <w:spacing w:after="0" w:line="223" w:lineRule="auto"/>
        <w:rPr>
          <w:rFonts w:ascii="Verdana" w:cs="Verdana" w:eastAsia="Verdana" w:hAnsi="Verdana"/>
          <w:sz w:val="18"/>
          <w:szCs w:val="18"/>
          <w:color w:val="auto"/>
        </w:rPr>
      </w:pPr>
      <w:r>
        <w:rPr>
          <w:rFonts w:ascii="Verdana" w:cs="Verdana" w:eastAsia="Verdana" w:hAnsi="Verdana"/>
          <w:sz w:val="18"/>
          <w:szCs w:val="18"/>
          <w:color w:val="auto"/>
        </w:rPr>
        <w:t>(6) changes in interest rates and prepayment rates of Busey’s assets (including the impact of sustained elevated interest rates); (7) increased competition in the financial services sector (including from non-bank competitors such as credit unions and fintech companies) and the inability to attract new customers; (8) changes in technology and the ability to develop and maintain secure and reliable electronic systems; (9) the loss of key executives or associates; (10) changes in consumer spending; (11) unexpected results of other transactions (including the acquisition of M&amp;M); (12) unexpected outcomes of existing or new litigation, investigations, or inquiries involving Busey (including with respect to Busey’s Illinois franchise taxes); (13) fluctuations in the value of securities held in Busey’s securities portfolio; (14) concentrations within Busey’s loan portfolio (including commercial real estate loans), large loans to certain borrowers, and large deposits from certain clients; (15) the concentration of large deposits from certain clients who have balances above current FDIC insurance limits and may withdraw deposits to diversify their exposure; (16) the level of non-performing assets on Busey’s balance sheets; (17) interruptions involving information technology and communications systems or third-party servicers; (18) breaches or failures of information security controls or cybersecurity-related incidents; and (19) the economic impact of exceptional weather occurrences such as tornadoes, hurricanes, floods, blizzards, and droughts. These risks and uncertainties should be considered in evaluating forward-looking statements and undue reliance should not be placed on such statements.</w:t>
      </w:r>
    </w:p>
    <w:p>
      <w:pPr>
        <w:spacing w:after="0" w:line="394"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04" w:name="page105"/>
    <w:bookmarkEnd w:id="104"/>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45" w:lineRule="auto"/>
        <w:rPr>
          <w:rFonts w:ascii="Verdana" w:cs="Verdana" w:eastAsia="Verdana" w:hAnsi="Verdana"/>
          <w:sz w:val="18"/>
          <w:szCs w:val="18"/>
          <w:color w:val="0000FF"/>
        </w:rPr>
      </w:pPr>
      <w:r>
        <w:rPr>
          <w:rFonts w:ascii="Verdana" w:cs="Verdana" w:eastAsia="Verdana" w:hAnsi="Verdana"/>
          <w:sz w:val="18"/>
          <w:szCs w:val="18"/>
          <w:color w:val="auto"/>
        </w:rPr>
        <w:t xml:space="preserve">Additional information concerning Busey and its business, including additional factors that could materially affect Busey’s </w:t>
      </w:r>
      <w:hyperlink r:id="rId25">
        <w:r>
          <w:rPr>
            <w:rFonts w:ascii="Verdana" w:cs="Verdana" w:eastAsia="Verdana" w:hAnsi="Verdana"/>
            <w:sz w:val="18"/>
            <w:szCs w:val="18"/>
            <w:color w:val="auto"/>
          </w:rPr>
          <w:t xml:space="preserve">financial results, is included in Busey’s filings with the Securities and Exchange Commission including </w:t>
        </w:r>
        <w:r>
          <w:rPr>
            <w:rFonts w:ascii="Verdana" w:cs="Verdana" w:eastAsia="Verdana" w:hAnsi="Verdana"/>
            <w:sz w:val="18"/>
            <w:szCs w:val="18"/>
            <w:u w:val="single" w:color="auto"/>
            <w:color w:val="0000FF"/>
          </w:rPr>
          <w:t>Busey’s 2023 Annual</w:t>
        </w:r>
      </w:hyperlink>
      <w:r>
        <w:rPr>
          <w:rFonts w:ascii="Verdana" w:cs="Verdana" w:eastAsia="Verdana" w:hAnsi="Verdana"/>
          <w:sz w:val="18"/>
          <w:szCs w:val="18"/>
          <w:color w:val="auto"/>
        </w:rPr>
        <w:t xml:space="preserve"> </w:t>
      </w:r>
      <w:hyperlink r:id="rId25">
        <w:r>
          <w:rPr>
            <w:rFonts w:ascii="Verdana" w:cs="Verdana" w:eastAsia="Verdana" w:hAnsi="Verdana"/>
            <w:sz w:val="18"/>
            <w:szCs w:val="18"/>
            <w:u w:val="single" w:color="auto"/>
            <w:color w:val="0000FF"/>
          </w:rPr>
          <w:t>Report</w:t>
        </w:r>
        <w:r>
          <w:rPr>
            <w:rFonts w:ascii="Verdana" w:cs="Verdana" w:eastAsia="Verdana" w:hAnsi="Verdana"/>
            <w:sz w:val="18"/>
            <w:szCs w:val="18"/>
            <w:color w:val="000000"/>
          </w:rPr>
          <w:t>.</w:t>
        </w:r>
      </w:hyperlink>
    </w:p>
    <w:p>
      <w:pPr>
        <w:spacing w:after="0" w:line="15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CRITICAL ACCOUNTING ESTIMATES</w:t>
      </w:r>
    </w:p>
    <w:p>
      <w:pPr>
        <w:spacing w:after="0" w:line="173" w:lineRule="exact"/>
        <w:rPr>
          <w:sz w:val="20"/>
          <w:szCs w:val="20"/>
          <w:color w:val="auto"/>
        </w:rPr>
      </w:pPr>
    </w:p>
    <w:p>
      <w:pPr>
        <w:jc w:val="both"/>
        <w:spacing w:after="0" w:line="245" w:lineRule="auto"/>
        <w:rPr>
          <w:rFonts w:ascii="Verdana" w:cs="Verdana" w:eastAsia="Verdana" w:hAnsi="Verdana"/>
          <w:sz w:val="18"/>
          <w:szCs w:val="18"/>
          <w:color w:val="auto"/>
        </w:rPr>
      </w:pPr>
      <w:r>
        <w:rPr>
          <w:rFonts w:ascii="Verdana" w:cs="Verdana" w:eastAsia="Verdana" w:hAnsi="Verdana"/>
          <w:sz w:val="18"/>
          <w:szCs w:val="18"/>
          <w:color w:val="auto"/>
        </w:rPr>
        <w:t xml:space="preserve">Busey has established various accounting policies that govern the application of GAAP in the preparation of its unaudited consolidated financial statements. Significant accounting policies are described in </w:t>
      </w:r>
      <w:r>
        <w:rPr>
          <w:rFonts w:ascii="Verdana" w:cs="Verdana" w:eastAsia="Verdana" w:hAnsi="Verdana"/>
          <w:sz w:val="18"/>
          <w:szCs w:val="18"/>
          <w:i w:val="1"/>
          <w:iCs w:val="1"/>
          <w:color w:val="auto"/>
        </w:rPr>
        <w:t>“</w:t>
      </w:r>
      <w:hyperlink r:id="rId135">
        <w:r>
          <w:rPr>
            <w:rFonts w:ascii="Verdana" w:cs="Verdana" w:eastAsia="Verdana" w:hAnsi="Verdana"/>
            <w:sz w:val="18"/>
            <w:szCs w:val="18"/>
            <w:i w:val="1"/>
            <w:iCs w:val="1"/>
            <w:u w:val="single" w:color="auto"/>
            <w:color w:val="0000FF"/>
          </w:rPr>
          <w:t>Note 1. Significant Accounting Policies</w:t>
        </w:r>
      </w:hyperlink>
      <w:r>
        <w:rPr>
          <w:rFonts w:ascii="Verdana" w:cs="Verdana" w:eastAsia="Verdana" w:hAnsi="Verdana"/>
          <w:sz w:val="18"/>
          <w:szCs w:val="18"/>
          <w:i w:val="1"/>
          <w:iCs w:val="1"/>
          <w:color w:val="auto"/>
        </w:rPr>
        <w:t>”</w:t>
      </w:r>
      <w:r>
        <w:rPr>
          <w:rFonts w:ascii="Verdana" w:cs="Verdana" w:eastAsia="Verdana" w:hAnsi="Verdana"/>
          <w:sz w:val="18"/>
          <w:szCs w:val="18"/>
          <w:color w:val="auto"/>
        </w:rPr>
        <w:t xml:space="preserve"> of </w:t>
      </w:r>
      <w:hyperlink r:id="rId25">
        <w:r>
          <w:rPr>
            <w:rFonts w:ascii="Verdana" w:cs="Verdana" w:eastAsia="Verdana" w:hAnsi="Verdana"/>
            <w:sz w:val="18"/>
            <w:szCs w:val="18"/>
            <w:u w:val="single" w:color="auto"/>
            <w:color w:val="0000FF"/>
          </w:rPr>
          <w:t>Busey’s 2023 Annual Report</w:t>
        </w:r>
      </w:hyperlink>
      <w:r>
        <w:rPr>
          <w:rFonts w:ascii="Verdana" w:cs="Verdana" w:eastAsia="Verdana" w:hAnsi="Verdana"/>
          <w:sz w:val="18"/>
          <w:szCs w:val="18"/>
          <w:color w:val="auto"/>
        </w:rPr>
        <w:t>.</w:t>
      </w:r>
    </w:p>
    <w:p>
      <w:pPr>
        <w:spacing w:after="0" w:line="167"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Critical accounting estimates are those that are critical to the portrayal and understanding of Busey’s financial condition and results of operations and require management to make assumptions that are difficult, subjective, or complex. These estimates involve judgments, assumptions,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 Further, changes in accounting standards could impact our critical accounting estimates. Management has reviewed these critical accounting estimates and related disclosures with our Audit Committee. The following accounting policies could be deemed critical:</w:t>
      </w:r>
    </w:p>
    <w:p>
      <w:pPr>
        <w:spacing w:after="0" w:line="16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Fair Value of Debt Securities Available for Sale</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Fair values of debt securities available for sale are measurements from an independent pricing service and are based on observable data that may include dealer quotes, market spreads, cash flows, the U.S. Treasury yield curve, live trading levels, trade execution data, market consensus prepayment speeds, credit information, and the security’s terms and conditions, among other things. Different fair value estimates could result from the use of different judgments and estimates to determine the fair values of securities.</w:t>
      </w:r>
    </w:p>
    <w:p>
      <w:pPr>
        <w:spacing w:after="0" w:line="171"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Realized securities gains or losses are reported on the </w:t>
      </w:r>
      <w:r>
        <w:rPr>
          <w:rFonts w:ascii="Verdana" w:cs="Verdana" w:eastAsia="Verdana" w:hAnsi="Verdana"/>
          <w:sz w:val="18"/>
          <w:szCs w:val="18"/>
          <w:u w:val="single" w:color="auto"/>
          <w:color w:val="0000FF"/>
        </w:rPr>
        <w:t>Consolidated Statements of Income (Unaudited)</w:t>
      </w:r>
      <w:r>
        <w:rPr>
          <w:rFonts w:ascii="Verdana" w:cs="Verdana" w:eastAsia="Verdana" w:hAnsi="Verdana"/>
          <w:sz w:val="18"/>
          <w:szCs w:val="18"/>
          <w:color w:val="auto"/>
        </w:rPr>
        <w:t>. The cost of securities sold is based on the specific identification method.</w:t>
      </w:r>
    </w:p>
    <w:p>
      <w:pPr>
        <w:spacing w:after="0" w:line="144"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A debt security available for sale is impaired if the fair value of the security declines below its amortized cost basis. To determine the appropriate accounting, we must first determine if we intend to sell the security or if it is more likely than not that we will be required to sell the security before the fair value increases to at least the amortized cost basis. If either of those selling events is expected, we will write down the amortized cost basis of the security to its fair value. This is achieved by writing off any previously recorded allowance related to the debt security, if applicable, and recognizing any incremental impairment through earnings. If we do not intend to sell the security, nor believe it more likely than not that we will be required to sell the security before the fair value recovers to the amortized cost basis, we must determine whether any of the decline in fair value has resulted from a credit loss, or if it is entirely the result of noncredit factors.</w:t>
      </w:r>
    </w:p>
    <w:p>
      <w:pPr>
        <w:spacing w:after="0" w:line="161" w:lineRule="exact"/>
        <w:rPr>
          <w:sz w:val="20"/>
          <w:szCs w:val="20"/>
          <w:color w:val="auto"/>
        </w:rPr>
      </w:pPr>
    </w:p>
    <w:p>
      <w:pPr>
        <w:spacing w:after="0"/>
        <w:rPr>
          <w:sz w:val="20"/>
          <w:szCs w:val="20"/>
          <w:color w:val="auto"/>
        </w:rPr>
      </w:pPr>
      <w:r>
        <w:rPr>
          <w:rFonts w:ascii="Verdana" w:cs="Verdana" w:eastAsia="Verdana" w:hAnsi="Verdana"/>
          <w:sz w:val="18"/>
          <w:szCs w:val="18"/>
          <w:color w:val="auto"/>
        </w:rPr>
        <w:t>We consider the following factors in assessing whether the decline is due to a credit loss:</w:t>
      </w:r>
    </w:p>
    <w:p>
      <w:pPr>
        <w:spacing w:after="0" w:line="186" w:lineRule="exact"/>
        <w:rPr>
          <w:sz w:val="20"/>
          <w:szCs w:val="20"/>
          <w:color w:val="auto"/>
        </w:rPr>
      </w:pPr>
    </w:p>
    <w:p>
      <w:pPr>
        <w:ind w:left="640" w:hanging="308"/>
        <w:spacing w:after="0"/>
        <w:tabs>
          <w:tab w:leader="none" w:pos="640" w:val="left"/>
        </w:tabs>
        <w:numPr>
          <w:ilvl w:val="0"/>
          <w:numId w:val="35"/>
        </w:numPr>
        <w:rPr>
          <w:rFonts w:ascii="Verdana" w:cs="Verdana" w:eastAsia="Verdana" w:hAnsi="Verdana"/>
          <w:sz w:val="18"/>
          <w:szCs w:val="18"/>
          <w:color w:val="auto"/>
        </w:rPr>
      </w:pPr>
      <w:r>
        <w:rPr>
          <w:rFonts w:ascii="Verdana" w:cs="Verdana" w:eastAsia="Verdana" w:hAnsi="Verdana"/>
          <w:sz w:val="18"/>
          <w:szCs w:val="18"/>
          <w:color w:val="auto"/>
        </w:rPr>
        <w:t>Extent to which the fair value is less than the amortized cost basis;</w:t>
      </w:r>
    </w:p>
    <w:p>
      <w:pPr>
        <w:spacing w:after="0" w:line="172" w:lineRule="exact"/>
        <w:rPr>
          <w:rFonts w:ascii="Verdana" w:cs="Verdana" w:eastAsia="Verdana" w:hAnsi="Verdana"/>
          <w:sz w:val="18"/>
          <w:szCs w:val="18"/>
          <w:color w:val="auto"/>
        </w:rPr>
      </w:pPr>
    </w:p>
    <w:p>
      <w:pPr>
        <w:jc w:val="both"/>
        <w:ind w:left="660" w:hanging="328"/>
        <w:spacing w:after="0" w:line="245" w:lineRule="auto"/>
        <w:tabs>
          <w:tab w:leader="none" w:pos="650" w:val="left"/>
        </w:tabs>
        <w:numPr>
          <w:ilvl w:val="0"/>
          <w:numId w:val="35"/>
        </w:numPr>
        <w:rPr>
          <w:rFonts w:ascii="Verdana" w:cs="Verdana" w:eastAsia="Verdana" w:hAnsi="Verdana"/>
          <w:sz w:val="18"/>
          <w:szCs w:val="18"/>
          <w:color w:val="auto"/>
        </w:rPr>
      </w:pPr>
      <w:r>
        <w:rPr>
          <w:rFonts w:ascii="Verdana" w:cs="Verdana" w:eastAsia="Verdana" w:hAnsi="Verdana"/>
          <w:sz w:val="18"/>
          <w:szCs w:val="18"/>
          <w:color w:val="auto"/>
        </w:rPr>
        <w:t>adverse conditions specifically related to the security, an industry, or a geographic area (for example, changes in the financial condition of the issuer of the security, or in the case of an asset-backed debt security, in the financial condition of the underlying loan obligors);</w:t>
      </w:r>
    </w:p>
    <w:p>
      <w:pPr>
        <w:spacing w:after="0" w:line="153" w:lineRule="exact"/>
        <w:rPr>
          <w:rFonts w:ascii="Verdana" w:cs="Verdana" w:eastAsia="Verdana" w:hAnsi="Verdana"/>
          <w:sz w:val="18"/>
          <w:szCs w:val="18"/>
          <w:color w:val="auto"/>
        </w:rPr>
      </w:pPr>
    </w:p>
    <w:p>
      <w:pPr>
        <w:ind w:left="660" w:hanging="328"/>
        <w:spacing w:after="0" w:line="254" w:lineRule="auto"/>
        <w:tabs>
          <w:tab w:leader="none" w:pos="650" w:val="left"/>
        </w:tabs>
        <w:numPr>
          <w:ilvl w:val="0"/>
          <w:numId w:val="35"/>
        </w:numPr>
        <w:rPr>
          <w:rFonts w:ascii="Verdana" w:cs="Verdana" w:eastAsia="Verdana" w:hAnsi="Verdana"/>
          <w:sz w:val="18"/>
          <w:szCs w:val="18"/>
          <w:color w:val="auto"/>
        </w:rPr>
      </w:pPr>
      <w:r>
        <w:rPr>
          <w:rFonts w:ascii="Verdana" w:cs="Verdana" w:eastAsia="Verdana" w:hAnsi="Verdana"/>
          <w:sz w:val="18"/>
          <w:szCs w:val="18"/>
          <w:color w:val="auto"/>
        </w:rPr>
        <w:t>payment structure of the debt security and the likelihood of the issuer being able to make payments that increase in the future;</w:t>
      </w:r>
    </w:p>
    <w:p>
      <w:pPr>
        <w:spacing w:after="0" w:line="157" w:lineRule="exact"/>
        <w:rPr>
          <w:rFonts w:ascii="Verdana" w:cs="Verdana" w:eastAsia="Verdana" w:hAnsi="Verdana"/>
          <w:sz w:val="18"/>
          <w:szCs w:val="18"/>
          <w:color w:val="auto"/>
        </w:rPr>
      </w:pPr>
    </w:p>
    <w:p>
      <w:pPr>
        <w:ind w:left="640" w:hanging="308"/>
        <w:spacing w:after="0"/>
        <w:tabs>
          <w:tab w:leader="none" w:pos="640" w:val="left"/>
        </w:tabs>
        <w:numPr>
          <w:ilvl w:val="0"/>
          <w:numId w:val="35"/>
        </w:numPr>
        <w:rPr>
          <w:rFonts w:ascii="Verdana" w:cs="Verdana" w:eastAsia="Verdana" w:hAnsi="Verdana"/>
          <w:sz w:val="18"/>
          <w:szCs w:val="18"/>
          <w:color w:val="auto"/>
        </w:rPr>
      </w:pPr>
      <w:r>
        <w:rPr>
          <w:rFonts w:ascii="Verdana" w:cs="Verdana" w:eastAsia="Verdana" w:hAnsi="Verdana"/>
          <w:sz w:val="18"/>
          <w:szCs w:val="18"/>
          <w:color w:val="auto"/>
        </w:rPr>
        <w:t>failure of the issuer of the security to make scheduled interest or principal payments; and</w:t>
      </w:r>
    </w:p>
    <w:p>
      <w:pPr>
        <w:spacing w:after="0" w:line="172" w:lineRule="exact"/>
        <w:rPr>
          <w:rFonts w:ascii="Verdana" w:cs="Verdana" w:eastAsia="Verdana" w:hAnsi="Verdana"/>
          <w:sz w:val="18"/>
          <w:szCs w:val="18"/>
          <w:color w:val="auto"/>
        </w:rPr>
      </w:pPr>
    </w:p>
    <w:p>
      <w:pPr>
        <w:ind w:left="640" w:hanging="308"/>
        <w:spacing w:after="0"/>
        <w:tabs>
          <w:tab w:leader="none" w:pos="640" w:val="left"/>
        </w:tabs>
        <w:numPr>
          <w:ilvl w:val="0"/>
          <w:numId w:val="35"/>
        </w:numPr>
        <w:rPr>
          <w:rFonts w:ascii="Verdana" w:cs="Verdana" w:eastAsia="Verdana" w:hAnsi="Verdana"/>
          <w:sz w:val="18"/>
          <w:szCs w:val="18"/>
          <w:color w:val="auto"/>
        </w:rPr>
      </w:pPr>
      <w:r>
        <w:rPr>
          <w:rFonts w:ascii="Verdana" w:cs="Verdana" w:eastAsia="Verdana" w:hAnsi="Verdana"/>
          <w:sz w:val="18"/>
          <w:szCs w:val="18"/>
          <w:color w:val="auto"/>
        </w:rPr>
        <w:t>any changes to the rating of the security by a rating agency.</w:t>
      </w: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05" w:name="page106"/>
    <w:bookmarkEnd w:id="105"/>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Impairment related to a credit loss must be measured using the discounted cash flow method. Credit loss recognition is limited to the fair value of the security. Impairment is recognized by establishing an allowance for the debt security through the provision for credit losses. Impairment related to noncredit factors is recognized in AOCI, net of applicable taxes.</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Fair Value of Assets Acquired and Liabilities Assumed in Business Combinations</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 xml:space="preserve">Business combinations are accounted for using the acquisition method of accounting. Under the acquisition method of accounting, assets acquired and liabilities assumed are recorded at their estimated fair value on the date of acquisition. Fair values are determined based on the definition of “fair value” defined in ASC Topic 820 </w:t>
      </w:r>
      <w:r>
        <w:rPr>
          <w:rFonts w:ascii="Verdana" w:cs="Verdana" w:eastAsia="Verdana" w:hAnsi="Verdana"/>
          <w:sz w:val="18"/>
          <w:szCs w:val="18"/>
          <w:i w:val="1"/>
          <w:iCs w:val="1"/>
          <w:color w:val="auto"/>
        </w:rPr>
        <w:t>“Fair Value Measurement”</w:t>
      </w:r>
      <w:r>
        <w:rPr>
          <w:rFonts w:ascii="Verdana" w:cs="Verdana" w:eastAsia="Verdana" w:hAnsi="Verdana"/>
          <w:sz w:val="18"/>
          <w:szCs w:val="18"/>
          <w:color w:val="auto"/>
        </w:rPr>
        <w:t xml:space="preserve"> as “the price that would be received to sell an asset or paid to transfer a liability in an orderly transaction between market participants at the measurement date.”</w:t>
      </w:r>
    </w:p>
    <w:p>
      <w:pPr>
        <w:spacing w:after="0" w:line="171"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 xml:space="preserve">The fair value of a loan portfolio acquired in a business combination generally requires greater levels of management estimates and judgment than other assets acquired or liabilities assumed. Acquired loans are within the scope of ASC Topic 326 </w:t>
      </w:r>
      <w:r>
        <w:rPr>
          <w:rFonts w:ascii="Verdana" w:cs="Verdana" w:eastAsia="Verdana" w:hAnsi="Verdana"/>
          <w:sz w:val="18"/>
          <w:szCs w:val="18"/>
          <w:i w:val="1"/>
          <w:iCs w:val="1"/>
          <w:color w:val="auto"/>
        </w:rPr>
        <w:t>“Financial Instruments-Credit Losses.”</w:t>
      </w:r>
      <w:r>
        <w:rPr>
          <w:rFonts w:ascii="Verdana" w:cs="Verdana" w:eastAsia="Verdana" w:hAnsi="Verdana"/>
          <w:sz w:val="18"/>
          <w:szCs w:val="18"/>
          <w:color w:val="auto"/>
        </w:rPr>
        <w:t xml:space="preserve"> However, the offset to record the allowance on acquired loans at the date of acquisition depends on whether or not the loan is classified as PCD. The allowance for PCD loans is recorded through a gross-up effect, while the allowance for acquired non-PCD loans is recorded through provision expense, consistent with originated loans. Thus, the determination of which loans are PCD and non-PCD can have a significant effect on the accounting for these loans.</w:t>
      </w:r>
    </w:p>
    <w:p>
      <w:pPr>
        <w:spacing w:after="0" w:line="16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Goodwill</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Goodwill represents the excess of purchase price over the fair value of net assets acquired using the acquisition method of accounting. Determining the fair value often involves estimates based on third-party valuations, such as appraisals, or internal valuations based on discounted cash flow analyses or other valuation techniques. Goodwill is not amortized. Instead, we assess the potential for impairment on an annual basis or more frequently if events and circumstances indicate that goodwill might be impaired.</w:t>
      </w:r>
    </w:p>
    <w:p>
      <w:pPr>
        <w:spacing w:after="0" w:line="171"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Income Taxes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 xml:space="preserve">Busey estimates income tax expense based on amounts expected to be owed to federal and state tax jurisdictions. Estimated income tax expense is reported on the </w:t>
      </w:r>
      <w:r>
        <w:rPr>
          <w:rFonts w:ascii="Verdana" w:cs="Verdana" w:eastAsia="Verdana" w:hAnsi="Verdana"/>
          <w:sz w:val="18"/>
          <w:szCs w:val="18"/>
          <w:u w:val="single" w:color="auto"/>
          <w:color w:val="0000FF"/>
        </w:rPr>
        <w:t>Consolidated Statements of Income (Unaudited)</w:t>
      </w:r>
      <w:r>
        <w:rPr>
          <w:rFonts w:ascii="Verdana" w:cs="Verdana" w:eastAsia="Verdana" w:hAnsi="Verdana"/>
          <w:sz w:val="18"/>
          <w:szCs w:val="18"/>
          <w:color w:val="auto"/>
        </w:rPr>
        <w:t xml:space="preserve">. Accrued and deferred taxes, as reported in other assets or other liabilities on the </w:t>
      </w:r>
      <w:r>
        <w:rPr>
          <w:rFonts w:ascii="Verdana" w:cs="Verdana" w:eastAsia="Verdana" w:hAnsi="Verdana"/>
          <w:sz w:val="18"/>
          <w:szCs w:val="18"/>
          <w:u w:val="single" w:color="auto"/>
          <w:color w:val="0000FF"/>
        </w:rPr>
        <w:t>Consolidated Balance Sheets (Unaudited)</w:t>
      </w:r>
      <w:r>
        <w:rPr>
          <w:rFonts w:ascii="Verdana" w:cs="Verdana" w:eastAsia="Verdana" w:hAnsi="Verdana"/>
          <w:sz w:val="18"/>
          <w:szCs w:val="18"/>
          <w:color w:val="auto"/>
        </w:rPr>
        <w:t>, represent the net estimated amount due to, or to be received from, taxing jurisdictions, either currently or in the future. Management judgment is involved in estimating accrued and deferred taxes, as it may be necessary to evaluate the risks and merits of the tax treatment of transactions, filing positions, and taxable income calculations after considering tax-related statutes, regulations, and other relevant factors. Because of the complexity of tax laws and interpretations, interpretation is subject to judgment.</w:t>
      </w:r>
    </w:p>
    <w:p>
      <w:pPr>
        <w:spacing w:after="0" w:line="161"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Allowance for Credit Losses</w:t>
      </w:r>
    </w:p>
    <w:p>
      <w:pPr>
        <w:spacing w:after="0" w:line="186"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Busey calculates the ACL at each reporting date. We recognize an allowance for the lifetime expected credit losses for the amount we do not expect to collect. Measurement of expected credit losses is based on relevant information about past events, including historical experience, current conditions, and reasonable and supportable forecasts that affect the collectability of the reported book value. The calculation also contemplates that Busey may not be able to make or obtain such forecasts for the entire life of the financial assets and requires a reversion to historical credit loss information.</w:t>
      </w:r>
    </w:p>
    <w:p>
      <w:pPr>
        <w:spacing w:after="0" w:line="157"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In determining the ACL, management relies predominantly on a disciplined credit review and approval process that extends to the full range of Busey’s credit exposure. The ACL must be determined on a collective (pool) basis when similar risk characteristics exist. On a case-by-case basis, we may conclude that a loan should be evaluated on an individual basis based on disparate risk characteristics.</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06" w:name="page107"/>
    <w:bookmarkEnd w:id="106"/>
    <w:p>
      <w:pPr>
        <w:spacing w:after="0"/>
        <w:tabs>
          <w:tab w:leader="none" w:pos="1820" w:val="left"/>
        </w:tabs>
        <w:rPr>
          <w:sz w:val="20"/>
          <w:szCs w:val="20"/>
          <w:color w:val="auto"/>
        </w:rPr>
      </w:pPr>
      <w:r>
        <w:rPr>
          <w:rFonts w:ascii="Verdana" w:cs="Verdana" w:eastAsia="Verdana" w:hAnsi="Verdana"/>
          <w:sz w:val="18"/>
          <w:szCs w:val="18"/>
          <w:u w:val="single" w:color="auto"/>
          <w:color w:val="0000FF"/>
        </w:rPr>
        <w:t>Table of Contents</w:t>
      </w:r>
      <w:r>
        <w:rPr>
          <w:sz w:val="20"/>
          <w:szCs w:val="20"/>
          <w:color w:val="auto"/>
        </w:rPr>
        <w:tab/>
      </w:r>
      <w:r>
        <w:rPr>
          <w:rFonts w:ascii="Verdana" w:cs="Verdana" w:eastAsia="Verdana" w:hAnsi="Verdana"/>
          <w:sz w:val="17"/>
          <w:szCs w:val="17"/>
          <w:u w:val="single" w:color="auto"/>
          <w:color w:val="0000FF"/>
        </w:rPr>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Loans deemed uncollectible are charged against and reduce the ACL. A provision for credit losses is charged to current expense and acts to replenish the ACL in order to maintain the ACL at a level that management deems adequate.</w:t>
      </w:r>
    </w:p>
    <w:p>
      <w:pPr>
        <w:spacing w:after="0" w:line="144"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Determining the ACL involves significant judgments and assumptions by management. Macroeconomic forecasts provided by a third party are significant judgments used in determining the allowance. Significant downturns relating to loan quality and economic conditions could result in a requirement for an additional allowance. Likewise, an upturn in loan quality and improved economic conditions may allow for a reduction in the required allowance. Because of the nature of the judgments and assumptions made by management, actual results may differ from these judgments and assumptions.</w:t>
      </w:r>
    </w:p>
    <w:p>
      <w:pPr>
        <w:spacing w:after="0" w:line="15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ITEM 3. QUANTITATIVE AND QUALITATIVE DISCLOSURES ABOUT MARKET RISK</w:t>
      </w:r>
    </w:p>
    <w:p>
      <w:pPr>
        <w:spacing w:after="0" w:line="186"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Market risk is the risk of changes in asset values due to movements in underlying market rates and prices. Interest rate risk is a type of market risk to earnings and capital arising from movements in interest rates. Interest rate risk is the most significant market risk affecting Busey as other types of market risk, such as foreign currency exchange rate risk and commodity price risk, have minimal impact or do not arise in the normal course of Busey’s business activities.</w:t>
      </w:r>
    </w:p>
    <w:p>
      <w:pPr>
        <w:spacing w:after="0" w:line="157" w:lineRule="exact"/>
        <w:rPr>
          <w:sz w:val="20"/>
          <w:szCs w:val="20"/>
          <w:color w:val="auto"/>
        </w:rPr>
      </w:pPr>
    </w:p>
    <w:p>
      <w:pPr>
        <w:jc w:val="both"/>
        <w:ind w:right="20"/>
        <w:spacing w:after="0" w:line="245" w:lineRule="auto"/>
        <w:rPr>
          <w:sz w:val="20"/>
          <w:szCs w:val="20"/>
          <w:color w:val="auto"/>
        </w:rPr>
      </w:pPr>
      <w:r>
        <w:rPr>
          <w:rFonts w:ascii="Verdana" w:cs="Verdana" w:eastAsia="Verdana" w:hAnsi="Verdana"/>
          <w:sz w:val="18"/>
          <w:szCs w:val="18"/>
          <w:color w:val="auto"/>
        </w:rPr>
        <w:t xml:space="preserve">Busey has an asset-liability committee, whose policy is to meet at least quarterly, to review current market conditions and to structure the </w:t>
      </w:r>
      <w:r>
        <w:rPr>
          <w:rFonts w:ascii="Verdana" w:cs="Verdana" w:eastAsia="Verdana" w:hAnsi="Verdana"/>
          <w:sz w:val="18"/>
          <w:szCs w:val="18"/>
          <w:u w:val="single" w:color="auto"/>
          <w:color w:val="0000FF"/>
        </w:rPr>
        <w:t>Consolidated Balance Sheets (Unaudited)</w:t>
      </w:r>
      <w:r>
        <w:rPr>
          <w:rFonts w:ascii="Verdana" w:cs="Verdana" w:eastAsia="Verdana" w:hAnsi="Verdana"/>
          <w:sz w:val="18"/>
          <w:szCs w:val="18"/>
          <w:color w:val="auto"/>
        </w:rPr>
        <w:t xml:space="preserve"> to optimize stability in net interest income in consideration of projected future changes in interest rates.</w:t>
      </w:r>
    </w:p>
    <w:p>
      <w:pPr>
        <w:spacing w:after="0" w:line="154"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As interest rate changes do not impact all categories of assets and liabilities equally or simultaneously, the asset-liability committee primarily relies on balance sheet and income simulation analysis to determine the potential impact of changes in market interest rates on net interest income. In these standard simulation models, the balance sheet is projected over a one-year and a two-year time horizon and net interest income is calculated under current market rates and assuming permanent instantaneous shifts of +/-100, +/-200, +/-300, and +/-400 basis points. The model assumes immediate and sustained shifts in the federal funds rate and other market rate indices and corresponding shifts in other non-market rate indices based on their historical changes relative to changes in the federal funds rate and other market indices. Assets and liabilities are assumed to remain constant as of the measurement date; variable-rate assets and liabilities are repriced based on repricing frequency; and prepayment speeds on loans are projected for both declining and rising rate environments.</w:t>
      </w:r>
    </w:p>
    <w:p>
      <w:pPr>
        <w:spacing w:after="0" w:line="171"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Busey’s interest rate risk resulting from immediate and sustained changes in interest rates, expressed as a change in net interest income as a percentage of the net interest income calculated in the constant base model, was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80" w:type="dxa"/>
            <w:vAlign w:val="bottom"/>
          </w:tcPr>
          <w:p>
            <w:pPr>
              <w:spacing w:after="0"/>
              <w:rPr>
                <w:sz w:val="15"/>
                <w:szCs w:val="15"/>
                <w:color w:val="auto"/>
              </w:rPr>
            </w:pPr>
          </w:p>
        </w:tc>
        <w:tc>
          <w:tcPr>
            <w:tcW w:w="3560" w:type="dxa"/>
            <w:vAlign w:val="bottom"/>
            <w:gridSpan w:val="4"/>
          </w:tcPr>
          <w:p>
            <w:pPr>
              <w:ind w:left="640"/>
              <w:spacing w:after="0"/>
              <w:rPr>
                <w:sz w:val="20"/>
                <w:szCs w:val="20"/>
                <w:color w:val="auto"/>
              </w:rPr>
            </w:pPr>
            <w:r>
              <w:rPr>
                <w:rFonts w:ascii="Verdana" w:cs="Verdana" w:eastAsia="Verdana" w:hAnsi="Verdana"/>
                <w:sz w:val="13"/>
                <w:szCs w:val="13"/>
                <w:b w:val="1"/>
                <w:bCs w:val="1"/>
                <w:color w:val="auto"/>
              </w:rPr>
              <w:t>Year-One: Basis Point Changes</w:t>
            </w:r>
          </w:p>
        </w:tc>
        <w:tc>
          <w:tcPr>
            <w:tcW w:w="3500" w:type="dxa"/>
            <w:vAlign w:val="bottom"/>
            <w:gridSpan w:val="3"/>
          </w:tcPr>
          <w:p>
            <w:pPr>
              <w:jc w:val="right"/>
              <w:ind w:right="553"/>
              <w:spacing w:after="0"/>
              <w:rPr>
                <w:sz w:val="20"/>
                <w:szCs w:val="20"/>
                <w:color w:val="auto"/>
              </w:rPr>
            </w:pPr>
            <w:r>
              <w:rPr>
                <w:rFonts w:ascii="Verdana" w:cs="Verdana" w:eastAsia="Verdana" w:hAnsi="Verdana"/>
                <w:sz w:val="13"/>
                <w:szCs w:val="13"/>
                <w:b w:val="1"/>
                <w:bCs w:val="1"/>
                <w:color w:val="auto"/>
              </w:rPr>
              <w:t>Year-Two: Basis Point Changes</w:t>
            </w:r>
          </w:p>
        </w:tc>
      </w:tr>
      <w:tr>
        <w:trPr>
          <w:trHeight w:val="170"/>
        </w:trPr>
        <w:tc>
          <w:tcPr>
            <w:tcW w:w="4180" w:type="dxa"/>
            <w:vAlign w:val="bottom"/>
          </w:tcPr>
          <w:p>
            <w:pPr>
              <w:spacing w:after="0"/>
              <w:rPr>
                <w:sz w:val="14"/>
                <w:szCs w:val="14"/>
                <w:color w:val="auto"/>
              </w:rPr>
            </w:pPr>
          </w:p>
        </w:tc>
        <w:tc>
          <w:tcPr>
            <w:tcW w:w="1800" w:type="dxa"/>
            <w:vAlign w:val="bottom"/>
            <w:tcBorders>
              <w:top w:val="single" w:sz="8" w:color="auto"/>
            </w:tcBorders>
            <w:gridSpan w:val="2"/>
          </w:tcPr>
          <w:p>
            <w:pPr>
              <w:ind w:left="140"/>
              <w:spacing w:after="0"/>
              <w:rPr>
                <w:sz w:val="20"/>
                <w:szCs w:val="20"/>
                <w:color w:val="auto"/>
              </w:rPr>
            </w:pPr>
            <w:r>
              <w:rPr>
                <w:rFonts w:ascii="Verdana" w:cs="Verdana" w:eastAsia="Verdana" w:hAnsi="Verdana"/>
                <w:sz w:val="13"/>
                <w:szCs w:val="13"/>
                <w:b w:val="1"/>
                <w:bCs w:val="1"/>
                <w:color w:val="auto"/>
              </w:rPr>
              <w:t>September 30, 2024</w:t>
            </w:r>
          </w:p>
        </w:tc>
        <w:tc>
          <w:tcPr>
            <w:tcW w:w="1660" w:type="dxa"/>
            <w:vAlign w:val="bottom"/>
            <w:tcBorders>
              <w:top w:val="single" w:sz="8" w:color="auto"/>
            </w:tcBorders>
          </w:tcPr>
          <w:p>
            <w:pPr>
              <w:jc w:val="right"/>
              <w:ind w:right="53"/>
              <w:spacing w:after="0"/>
              <w:rPr>
                <w:sz w:val="20"/>
                <w:szCs w:val="20"/>
                <w:color w:val="auto"/>
              </w:rPr>
            </w:pPr>
            <w:r>
              <w:rPr>
                <w:rFonts w:ascii="Verdana" w:cs="Verdana" w:eastAsia="Verdana" w:hAnsi="Verdana"/>
                <w:sz w:val="13"/>
                <w:szCs w:val="13"/>
                <w:b w:val="1"/>
                <w:bCs w:val="1"/>
                <w:color w:val="auto"/>
              </w:rPr>
              <w:t>December 31, 2023</w:t>
            </w:r>
          </w:p>
        </w:tc>
        <w:tc>
          <w:tcPr>
            <w:tcW w:w="100" w:type="dxa"/>
            <w:vAlign w:val="bottom"/>
          </w:tcPr>
          <w:p>
            <w:pPr>
              <w:spacing w:after="0"/>
              <w:rPr>
                <w:sz w:val="14"/>
                <w:szCs w:val="14"/>
                <w:color w:val="auto"/>
              </w:rPr>
            </w:pPr>
          </w:p>
        </w:tc>
        <w:tc>
          <w:tcPr>
            <w:tcW w:w="1800" w:type="dxa"/>
            <w:vAlign w:val="bottom"/>
            <w:tcBorders>
              <w:top w:val="single" w:sz="8" w:color="auto"/>
            </w:tcBorders>
            <w:gridSpan w:val="2"/>
          </w:tcPr>
          <w:p>
            <w:pPr>
              <w:ind w:left="140"/>
              <w:spacing w:after="0"/>
              <w:rPr>
                <w:sz w:val="20"/>
                <w:szCs w:val="20"/>
                <w:color w:val="auto"/>
              </w:rPr>
            </w:pPr>
            <w:r>
              <w:rPr>
                <w:rFonts w:ascii="Verdana" w:cs="Verdana" w:eastAsia="Verdana" w:hAnsi="Verdana"/>
                <w:sz w:val="13"/>
                <w:szCs w:val="13"/>
                <w:b w:val="1"/>
                <w:bCs w:val="1"/>
                <w:color w:val="auto"/>
              </w:rPr>
              <w:t>September 30, 2024</w:t>
            </w:r>
          </w:p>
        </w:tc>
        <w:tc>
          <w:tcPr>
            <w:tcW w:w="1700" w:type="dxa"/>
            <w:vAlign w:val="bottom"/>
            <w:tcBorders>
              <w:top w:val="single" w:sz="8" w:color="auto"/>
            </w:tcBorders>
          </w:tcPr>
          <w:p>
            <w:pPr>
              <w:jc w:val="right"/>
              <w:ind w:right="73"/>
              <w:spacing w:after="0"/>
              <w:rPr>
                <w:sz w:val="20"/>
                <w:szCs w:val="20"/>
                <w:color w:val="auto"/>
              </w:rPr>
            </w:pPr>
            <w:r>
              <w:rPr>
                <w:rFonts w:ascii="Verdana" w:cs="Verdana" w:eastAsia="Verdana" w:hAnsi="Verdana"/>
                <w:sz w:val="13"/>
                <w:szCs w:val="13"/>
                <w:b w:val="1"/>
                <w:bCs w:val="1"/>
                <w:color w:val="auto"/>
              </w:rPr>
              <w:t>December 31, 2023</w:t>
            </w:r>
          </w:p>
        </w:tc>
      </w:tr>
      <w:tr>
        <w:trPr>
          <w:trHeight w:val="269"/>
        </w:trPr>
        <w:tc>
          <w:tcPr>
            <w:tcW w:w="41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+400</w:t>
            </w:r>
          </w:p>
        </w:tc>
        <w:tc>
          <w:tcPr>
            <w:tcW w:w="170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8.50 %</w:t>
            </w:r>
          </w:p>
        </w:tc>
        <w:tc>
          <w:tcPr>
            <w:tcW w:w="100" w:type="dxa"/>
            <w:vAlign w:val="bottom"/>
            <w:tcBorders>
              <w:top w:val="single" w:sz="8" w:color="E0E7ED"/>
            </w:tcBorders>
            <w:shd w:val="clear" w:color="auto" w:fill="E0E7ED"/>
          </w:tcPr>
          <w:p>
            <w:pPr>
              <w:spacing w:after="0"/>
              <w:rPr>
                <w:sz w:val="23"/>
                <w:szCs w:val="23"/>
                <w:color w:val="auto"/>
              </w:rPr>
            </w:pPr>
          </w:p>
        </w:tc>
        <w:tc>
          <w:tcPr>
            <w:tcW w:w="166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7.38 %</w:t>
            </w:r>
          </w:p>
        </w:tc>
        <w:tc>
          <w:tcPr>
            <w:tcW w:w="100" w:type="dxa"/>
            <w:vAlign w:val="bottom"/>
            <w:tcBorders>
              <w:top w:val="single" w:sz="8" w:color="E0E7ED"/>
            </w:tcBorders>
            <w:shd w:val="clear" w:color="auto" w:fill="E0E7ED"/>
          </w:tcPr>
          <w:p>
            <w:pPr>
              <w:spacing w:after="0"/>
              <w:rPr>
                <w:sz w:val="23"/>
                <w:szCs w:val="23"/>
                <w:color w:val="auto"/>
              </w:rPr>
            </w:pPr>
          </w:p>
        </w:tc>
        <w:tc>
          <w:tcPr>
            <w:tcW w:w="170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10.69 %</w:t>
            </w:r>
          </w:p>
        </w:tc>
        <w:tc>
          <w:tcPr>
            <w:tcW w:w="100" w:type="dxa"/>
            <w:vAlign w:val="bottom"/>
            <w:tcBorders>
              <w:top w:val="single" w:sz="8" w:color="E0E7ED"/>
            </w:tcBorders>
            <w:shd w:val="clear" w:color="auto" w:fill="E0E7ED"/>
          </w:tcPr>
          <w:p>
            <w:pPr>
              <w:spacing w:after="0"/>
              <w:rPr>
                <w:sz w:val="23"/>
                <w:szCs w:val="23"/>
                <w:color w:val="auto"/>
              </w:rPr>
            </w:pPr>
          </w:p>
        </w:tc>
        <w:tc>
          <w:tcPr>
            <w:tcW w:w="170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8.55 %</w:t>
            </w:r>
          </w:p>
        </w:tc>
      </w:tr>
      <w:tr>
        <w:trPr>
          <w:trHeight w:val="263"/>
        </w:trPr>
        <w:tc>
          <w:tcPr>
            <w:tcW w:w="4180" w:type="dxa"/>
            <w:vAlign w:val="bottom"/>
          </w:tcPr>
          <w:p>
            <w:pPr>
              <w:ind w:left="20"/>
              <w:spacing w:after="0"/>
              <w:rPr>
                <w:sz w:val="20"/>
                <w:szCs w:val="20"/>
                <w:color w:val="auto"/>
              </w:rPr>
            </w:pPr>
            <w:r>
              <w:rPr>
                <w:rFonts w:ascii="Verdana" w:cs="Verdana" w:eastAsia="Verdana" w:hAnsi="Verdana"/>
                <w:sz w:val="18"/>
                <w:szCs w:val="18"/>
                <w:color w:val="auto"/>
              </w:rPr>
              <w:t>+300</w:t>
            </w:r>
          </w:p>
        </w:tc>
        <w:tc>
          <w:tcPr>
            <w:tcW w:w="1700" w:type="dxa"/>
            <w:vAlign w:val="bottom"/>
          </w:tcPr>
          <w:p>
            <w:pPr>
              <w:jc w:val="right"/>
              <w:spacing w:after="0"/>
              <w:rPr>
                <w:sz w:val="20"/>
                <w:szCs w:val="20"/>
                <w:color w:val="auto"/>
              </w:rPr>
            </w:pPr>
            <w:r>
              <w:rPr>
                <w:rFonts w:ascii="Verdana" w:cs="Verdana" w:eastAsia="Verdana" w:hAnsi="Verdana"/>
                <w:sz w:val="18"/>
                <w:szCs w:val="18"/>
                <w:color w:val="auto"/>
              </w:rPr>
              <w:t>6.35 %</w:t>
            </w:r>
          </w:p>
        </w:tc>
        <w:tc>
          <w:tcPr>
            <w:tcW w:w="1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Verdana" w:cs="Verdana" w:eastAsia="Verdana" w:hAnsi="Verdana"/>
                <w:sz w:val="18"/>
                <w:szCs w:val="18"/>
                <w:color w:val="auto"/>
              </w:rPr>
              <w:t>5.49 %</w:t>
            </w:r>
          </w:p>
        </w:tc>
        <w:tc>
          <w:tcPr>
            <w:tcW w:w="1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Verdana" w:cs="Verdana" w:eastAsia="Verdana" w:hAnsi="Verdana"/>
                <w:sz w:val="18"/>
                <w:szCs w:val="18"/>
                <w:color w:val="auto"/>
              </w:rPr>
              <w:t>8.00 %</w:t>
            </w:r>
          </w:p>
        </w:tc>
        <w:tc>
          <w:tcPr>
            <w:tcW w:w="1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Verdana" w:cs="Verdana" w:eastAsia="Verdana" w:hAnsi="Verdana"/>
                <w:sz w:val="18"/>
                <w:szCs w:val="18"/>
                <w:color w:val="auto"/>
              </w:rPr>
              <w:t>6.34 %</w:t>
            </w:r>
          </w:p>
        </w:tc>
      </w:tr>
      <w:tr>
        <w:trPr>
          <w:trHeight w:val="277"/>
        </w:trPr>
        <w:tc>
          <w:tcPr>
            <w:tcW w:w="41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+200</w:t>
            </w:r>
          </w:p>
        </w:tc>
        <w:tc>
          <w:tcPr>
            <w:tcW w:w="17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4.21 %</w:t>
            </w:r>
          </w:p>
        </w:tc>
        <w:tc>
          <w:tcPr>
            <w:tcW w:w="100" w:type="dxa"/>
            <w:vAlign w:val="bottom"/>
            <w:shd w:val="clear" w:color="auto" w:fill="E0E7ED"/>
          </w:tcPr>
          <w:p>
            <w:pPr>
              <w:spacing w:after="0"/>
              <w:rPr>
                <w:sz w:val="24"/>
                <w:szCs w:val="24"/>
                <w:color w:val="auto"/>
              </w:rPr>
            </w:pPr>
          </w:p>
        </w:tc>
        <w:tc>
          <w:tcPr>
            <w:tcW w:w="16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3.64 %</w:t>
            </w:r>
          </w:p>
        </w:tc>
        <w:tc>
          <w:tcPr>
            <w:tcW w:w="100" w:type="dxa"/>
            <w:vAlign w:val="bottom"/>
            <w:shd w:val="clear" w:color="auto" w:fill="E0E7ED"/>
          </w:tcPr>
          <w:p>
            <w:pPr>
              <w:spacing w:after="0"/>
              <w:rPr>
                <w:sz w:val="24"/>
                <w:szCs w:val="24"/>
                <w:color w:val="auto"/>
              </w:rPr>
            </w:pPr>
          </w:p>
        </w:tc>
        <w:tc>
          <w:tcPr>
            <w:tcW w:w="17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5.33 %</w:t>
            </w:r>
          </w:p>
        </w:tc>
        <w:tc>
          <w:tcPr>
            <w:tcW w:w="100" w:type="dxa"/>
            <w:vAlign w:val="bottom"/>
            <w:shd w:val="clear" w:color="auto" w:fill="E0E7ED"/>
          </w:tcPr>
          <w:p>
            <w:pPr>
              <w:spacing w:after="0"/>
              <w:rPr>
                <w:sz w:val="24"/>
                <w:szCs w:val="24"/>
                <w:color w:val="auto"/>
              </w:rPr>
            </w:pPr>
          </w:p>
        </w:tc>
        <w:tc>
          <w:tcPr>
            <w:tcW w:w="17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4.20 %</w:t>
            </w:r>
          </w:p>
        </w:tc>
      </w:tr>
      <w:tr>
        <w:trPr>
          <w:trHeight w:val="263"/>
        </w:trPr>
        <w:tc>
          <w:tcPr>
            <w:tcW w:w="4180" w:type="dxa"/>
            <w:vAlign w:val="bottom"/>
          </w:tcPr>
          <w:p>
            <w:pPr>
              <w:ind w:left="20"/>
              <w:spacing w:after="0"/>
              <w:rPr>
                <w:sz w:val="20"/>
                <w:szCs w:val="20"/>
                <w:color w:val="auto"/>
              </w:rPr>
            </w:pPr>
            <w:r>
              <w:rPr>
                <w:rFonts w:ascii="Verdana" w:cs="Verdana" w:eastAsia="Verdana" w:hAnsi="Verdana"/>
                <w:sz w:val="18"/>
                <w:szCs w:val="18"/>
                <w:color w:val="auto"/>
              </w:rPr>
              <w:t>+100</w:t>
            </w:r>
          </w:p>
        </w:tc>
        <w:tc>
          <w:tcPr>
            <w:tcW w:w="1700" w:type="dxa"/>
            <w:vAlign w:val="bottom"/>
          </w:tcPr>
          <w:p>
            <w:pPr>
              <w:jc w:val="right"/>
              <w:spacing w:after="0"/>
              <w:rPr>
                <w:sz w:val="20"/>
                <w:szCs w:val="20"/>
                <w:color w:val="auto"/>
              </w:rPr>
            </w:pPr>
            <w:r>
              <w:rPr>
                <w:rFonts w:ascii="Verdana" w:cs="Verdana" w:eastAsia="Verdana" w:hAnsi="Verdana"/>
                <w:sz w:val="18"/>
                <w:szCs w:val="18"/>
                <w:color w:val="auto"/>
              </w:rPr>
              <w:t>2.12 %</w:t>
            </w:r>
          </w:p>
        </w:tc>
        <w:tc>
          <w:tcPr>
            <w:tcW w:w="1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Verdana" w:cs="Verdana" w:eastAsia="Verdana" w:hAnsi="Verdana"/>
                <w:sz w:val="18"/>
                <w:szCs w:val="18"/>
                <w:color w:val="auto"/>
              </w:rPr>
              <w:t>1.81 %</w:t>
            </w:r>
          </w:p>
        </w:tc>
        <w:tc>
          <w:tcPr>
            <w:tcW w:w="1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Verdana" w:cs="Verdana" w:eastAsia="Verdana" w:hAnsi="Verdana"/>
                <w:sz w:val="18"/>
                <w:szCs w:val="18"/>
                <w:color w:val="auto"/>
              </w:rPr>
              <w:t>2.70 %</w:t>
            </w:r>
          </w:p>
        </w:tc>
        <w:tc>
          <w:tcPr>
            <w:tcW w:w="1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Verdana" w:cs="Verdana" w:eastAsia="Verdana" w:hAnsi="Verdana"/>
                <w:sz w:val="18"/>
                <w:szCs w:val="18"/>
                <w:color w:val="auto"/>
              </w:rPr>
              <w:t>2.10 %</w:t>
            </w:r>
          </w:p>
        </w:tc>
      </w:tr>
      <w:tr>
        <w:trPr>
          <w:trHeight w:val="277"/>
        </w:trPr>
        <w:tc>
          <w:tcPr>
            <w:tcW w:w="41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- 100</w:t>
            </w:r>
          </w:p>
        </w:tc>
        <w:tc>
          <w:tcPr>
            <w:tcW w:w="17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(1.99)%</w:t>
            </w:r>
          </w:p>
        </w:tc>
        <w:tc>
          <w:tcPr>
            <w:tcW w:w="100" w:type="dxa"/>
            <w:vAlign w:val="bottom"/>
            <w:shd w:val="clear" w:color="auto" w:fill="E0E7ED"/>
          </w:tcPr>
          <w:p>
            <w:pPr>
              <w:spacing w:after="0"/>
              <w:rPr>
                <w:sz w:val="24"/>
                <w:szCs w:val="24"/>
                <w:color w:val="auto"/>
              </w:rPr>
            </w:pPr>
          </w:p>
        </w:tc>
        <w:tc>
          <w:tcPr>
            <w:tcW w:w="16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(1.91)%</w:t>
            </w:r>
          </w:p>
        </w:tc>
        <w:tc>
          <w:tcPr>
            <w:tcW w:w="100" w:type="dxa"/>
            <w:vAlign w:val="bottom"/>
            <w:shd w:val="clear" w:color="auto" w:fill="E0E7ED"/>
          </w:tcPr>
          <w:p>
            <w:pPr>
              <w:spacing w:after="0"/>
              <w:rPr>
                <w:sz w:val="24"/>
                <w:szCs w:val="24"/>
                <w:color w:val="auto"/>
              </w:rPr>
            </w:pPr>
          </w:p>
        </w:tc>
        <w:tc>
          <w:tcPr>
            <w:tcW w:w="17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(3.50)%</w:t>
            </w:r>
          </w:p>
        </w:tc>
        <w:tc>
          <w:tcPr>
            <w:tcW w:w="100" w:type="dxa"/>
            <w:vAlign w:val="bottom"/>
            <w:shd w:val="clear" w:color="auto" w:fill="E0E7ED"/>
          </w:tcPr>
          <w:p>
            <w:pPr>
              <w:spacing w:after="0"/>
              <w:rPr>
                <w:sz w:val="24"/>
                <w:szCs w:val="24"/>
                <w:color w:val="auto"/>
              </w:rPr>
            </w:pPr>
          </w:p>
        </w:tc>
        <w:tc>
          <w:tcPr>
            <w:tcW w:w="17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(2.98)%</w:t>
            </w:r>
          </w:p>
        </w:tc>
      </w:tr>
      <w:tr>
        <w:trPr>
          <w:trHeight w:val="263"/>
        </w:trPr>
        <w:tc>
          <w:tcPr>
            <w:tcW w:w="4180" w:type="dxa"/>
            <w:vAlign w:val="bottom"/>
          </w:tcPr>
          <w:p>
            <w:pPr>
              <w:ind w:left="20"/>
              <w:spacing w:after="0"/>
              <w:rPr>
                <w:sz w:val="20"/>
                <w:szCs w:val="20"/>
                <w:color w:val="auto"/>
              </w:rPr>
            </w:pPr>
            <w:r>
              <w:rPr>
                <w:rFonts w:ascii="Verdana" w:cs="Verdana" w:eastAsia="Verdana" w:hAnsi="Verdana"/>
                <w:sz w:val="18"/>
                <w:szCs w:val="18"/>
                <w:color w:val="auto"/>
              </w:rPr>
              <w:t>-200</w:t>
            </w:r>
          </w:p>
        </w:tc>
        <w:tc>
          <w:tcPr>
            <w:tcW w:w="1700" w:type="dxa"/>
            <w:vAlign w:val="bottom"/>
          </w:tcPr>
          <w:p>
            <w:pPr>
              <w:jc w:val="right"/>
              <w:spacing w:after="0"/>
              <w:rPr>
                <w:sz w:val="20"/>
                <w:szCs w:val="20"/>
                <w:color w:val="auto"/>
              </w:rPr>
            </w:pPr>
            <w:r>
              <w:rPr>
                <w:rFonts w:ascii="Verdana" w:cs="Verdana" w:eastAsia="Verdana" w:hAnsi="Verdana"/>
                <w:sz w:val="18"/>
                <w:szCs w:val="18"/>
                <w:color w:val="auto"/>
              </w:rPr>
              <w:t>(3.90)%</w:t>
            </w:r>
          </w:p>
        </w:tc>
        <w:tc>
          <w:tcPr>
            <w:tcW w:w="1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Verdana" w:cs="Verdana" w:eastAsia="Verdana" w:hAnsi="Verdana"/>
                <w:sz w:val="18"/>
                <w:szCs w:val="18"/>
                <w:color w:val="auto"/>
              </w:rPr>
              <w:t>(3.86)%</w:t>
            </w:r>
          </w:p>
        </w:tc>
        <w:tc>
          <w:tcPr>
            <w:tcW w:w="1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Verdana" w:cs="Verdana" w:eastAsia="Verdana" w:hAnsi="Verdana"/>
                <w:sz w:val="18"/>
                <w:szCs w:val="18"/>
                <w:color w:val="auto"/>
              </w:rPr>
              <w:t>(7.10)%</w:t>
            </w:r>
          </w:p>
        </w:tc>
        <w:tc>
          <w:tcPr>
            <w:tcW w:w="1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Verdana" w:cs="Verdana" w:eastAsia="Verdana" w:hAnsi="Verdana"/>
                <w:sz w:val="18"/>
                <w:szCs w:val="18"/>
                <w:color w:val="auto"/>
              </w:rPr>
              <w:t>(6.12)%</w:t>
            </w:r>
          </w:p>
        </w:tc>
      </w:tr>
      <w:tr>
        <w:trPr>
          <w:trHeight w:val="277"/>
        </w:trPr>
        <w:tc>
          <w:tcPr>
            <w:tcW w:w="41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-300</w:t>
            </w:r>
          </w:p>
        </w:tc>
        <w:tc>
          <w:tcPr>
            <w:tcW w:w="17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(5.55)%</w:t>
            </w:r>
          </w:p>
        </w:tc>
        <w:tc>
          <w:tcPr>
            <w:tcW w:w="100" w:type="dxa"/>
            <w:vAlign w:val="bottom"/>
            <w:shd w:val="clear" w:color="auto" w:fill="E0E7ED"/>
          </w:tcPr>
          <w:p>
            <w:pPr>
              <w:spacing w:after="0"/>
              <w:rPr>
                <w:sz w:val="24"/>
                <w:szCs w:val="24"/>
                <w:color w:val="auto"/>
              </w:rPr>
            </w:pPr>
          </w:p>
        </w:tc>
        <w:tc>
          <w:tcPr>
            <w:tcW w:w="16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(5.60)%</w:t>
            </w:r>
          </w:p>
        </w:tc>
        <w:tc>
          <w:tcPr>
            <w:tcW w:w="100" w:type="dxa"/>
            <w:vAlign w:val="bottom"/>
            <w:shd w:val="clear" w:color="auto" w:fill="E0E7ED"/>
          </w:tcPr>
          <w:p>
            <w:pPr>
              <w:spacing w:after="0"/>
              <w:rPr>
                <w:sz w:val="24"/>
                <w:szCs w:val="24"/>
                <w:color w:val="auto"/>
              </w:rPr>
            </w:pPr>
          </w:p>
        </w:tc>
        <w:tc>
          <w:tcPr>
            <w:tcW w:w="17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(10.87)%</w:t>
            </w:r>
          </w:p>
        </w:tc>
        <w:tc>
          <w:tcPr>
            <w:tcW w:w="100" w:type="dxa"/>
            <w:vAlign w:val="bottom"/>
            <w:shd w:val="clear" w:color="auto" w:fill="E0E7ED"/>
          </w:tcPr>
          <w:p>
            <w:pPr>
              <w:spacing w:after="0"/>
              <w:rPr>
                <w:sz w:val="24"/>
                <w:szCs w:val="24"/>
                <w:color w:val="auto"/>
              </w:rPr>
            </w:pPr>
          </w:p>
        </w:tc>
        <w:tc>
          <w:tcPr>
            <w:tcW w:w="17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(9.17)%</w:t>
            </w:r>
          </w:p>
        </w:tc>
      </w:tr>
      <w:tr>
        <w:trPr>
          <w:trHeight w:val="257"/>
        </w:trPr>
        <w:tc>
          <w:tcPr>
            <w:tcW w:w="4180" w:type="dxa"/>
            <w:vAlign w:val="bottom"/>
          </w:tcPr>
          <w:p>
            <w:pPr>
              <w:ind w:left="20"/>
              <w:spacing w:after="0"/>
              <w:rPr>
                <w:sz w:val="20"/>
                <w:szCs w:val="20"/>
                <w:color w:val="auto"/>
              </w:rPr>
            </w:pPr>
            <w:r>
              <w:rPr>
                <w:rFonts w:ascii="Verdana" w:cs="Verdana" w:eastAsia="Verdana" w:hAnsi="Verdana"/>
                <w:sz w:val="18"/>
                <w:szCs w:val="18"/>
                <w:color w:val="auto"/>
              </w:rPr>
              <w:t>-400</w:t>
            </w:r>
          </w:p>
        </w:tc>
        <w:tc>
          <w:tcPr>
            <w:tcW w:w="1700" w:type="dxa"/>
            <w:vAlign w:val="bottom"/>
          </w:tcPr>
          <w:p>
            <w:pPr>
              <w:jc w:val="right"/>
              <w:spacing w:after="0"/>
              <w:rPr>
                <w:sz w:val="20"/>
                <w:szCs w:val="20"/>
                <w:color w:val="auto"/>
              </w:rPr>
            </w:pPr>
            <w:r>
              <w:rPr>
                <w:rFonts w:ascii="Verdana" w:cs="Verdana" w:eastAsia="Verdana" w:hAnsi="Verdana"/>
                <w:sz w:val="18"/>
                <w:szCs w:val="18"/>
                <w:color w:val="auto"/>
              </w:rPr>
              <w:t>(5.31)%</w:t>
            </w:r>
          </w:p>
        </w:tc>
        <w:tc>
          <w:tcPr>
            <w:tcW w:w="1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Verdana" w:cs="Verdana" w:eastAsia="Verdana" w:hAnsi="Verdana"/>
                <w:sz w:val="18"/>
                <w:szCs w:val="18"/>
                <w:color w:val="auto"/>
              </w:rPr>
              <w:t>(6.91)%</w:t>
            </w:r>
          </w:p>
        </w:tc>
        <w:tc>
          <w:tcPr>
            <w:tcW w:w="1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Verdana" w:cs="Verdana" w:eastAsia="Verdana" w:hAnsi="Verdana"/>
                <w:sz w:val="18"/>
                <w:szCs w:val="18"/>
                <w:color w:val="auto"/>
              </w:rPr>
              <w:t>(11.24)%</w:t>
            </w:r>
          </w:p>
        </w:tc>
        <w:tc>
          <w:tcPr>
            <w:tcW w:w="1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Verdana" w:cs="Verdana" w:eastAsia="Verdana" w:hAnsi="Verdana"/>
                <w:sz w:val="18"/>
                <w:szCs w:val="18"/>
                <w:color w:val="auto"/>
              </w:rPr>
              <w:t>(11.36)%</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07" w:name="page108"/>
    <w:bookmarkEnd w:id="10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Interest rate risk is monitored and managed within approved policy limits and any temporary exceptions to policy in periods of rapid rate movement are approved and documented. The calculation of potential effects of hypothetical interest rate changes is based on numerous assumptions and should not be relied upon as indicative of actual results. Actual results would likely differ from simulated results due to the timing, magnitude, and frequency of interest rate changes as well as changes in market conditions and management strategies.</w:t>
      </w:r>
    </w:p>
    <w:p>
      <w:pPr>
        <w:spacing w:after="0" w:line="157" w:lineRule="exact"/>
        <w:rPr>
          <w:sz w:val="20"/>
          <w:szCs w:val="20"/>
          <w:color w:val="auto"/>
        </w:rPr>
      </w:pPr>
    </w:p>
    <w:p>
      <w:pPr>
        <w:ind w:right="3680" w:firstLine="3689"/>
        <w:spacing w:after="0" w:line="436" w:lineRule="auto"/>
        <w:rPr>
          <w:sz w:val="20"/>
          <w:szCs w:val="20"/>
          <w:color w:val="auto"/>
        </w:rPr>
      </w:pPr>
      <w:r>
        <w:rPr>
          <w:rFonts w:ascii="Verdana" w:cs="Verdana" w:eastAsia="Verdana" w:hAnsi="Verdana"/>
          <w:sz w:val="18"/>
          <w:szCs w:val="18"/>
          <w:b w:val="1"/>
          <w:bCs w:val="1"/>
          <w:color w:val="auto"/>
        </w:rPr>
        <w:t>ITEM 4. CONTROLS AND PROCEDURES EVALUATION OF DISCLOSURE CONTROLS AND PROCEDURES</w:t>
      </w:r>
    </w:p>
    <w:p>
      <w:pPr>
        <w:spacing w:after="0" w:line="2"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An evaluation of our disclosure controls and procedures, as defined in Rule 13a-15(e) under the Exchange Act, was carried out as of September 30, 2024, under the supervision and with the participation of our Chief Executive Officer, Chief Financial Officer, and several other members of our senior management. Based on this evaluation, our Chief Executive Officer and Chief Financial Officer concluded that, as of September 30, 2024, our disclosure controls and procedures were effective in ensuring that the information we are required to disclose in the reports we file or submit under the Exchange Act was (1) accumulated and communicated to our management (including the Chief Executive Officer and Chief Financial Officer) to allow timely decisions regarding required disclosure, and (2) recorded, processed, summarized, and reported within the time periods specified in the SEC’s rules and forms.</w:t>
      </w:r>
    </w:p>
    <w:p>
      <w:pPr>
        <w:spacing w:after="0" w:line="16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CHANGES IN INTERNAL CONTROL OVER FINANCIAL REPORTING</w:t>
      </w:r>
    </w:p>
    <w:p>
      <w:pPr>
        <w:spacing w:after="0" w:line="17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During the three months ended September 30, 2024, no change occurred in our internal control over financial reporting that has materially affected, or is reasonably likely to materially affect, our internal control over financial reporting.</w:t>
      </w:r>
    </w:p>
    <w:p>
      <w:pPr>
        <w:spacing w:after="0" w:line="158"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PART II—OTHER INFORMATION</w:t>
      </w:r>
    </w:p>
    <w:p>
      <w:pPr>
        <w:spacing w:after="0" w:line="17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ITEM 1. LEGAL PROCEEDINGS</w:t>
      </w:r>
    </w:p>
    <w:p>
      <w:pPr>
        <w:spacing w:after="0" w:line="17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As part of the ordinary course of business, First Busey Corporation and its subsidiaries are parties to litigation that is incidental to their regular business activities.</w:t>
      </w:r>
    </w:p>
    <w:p>
      <w:pPr>
        <w:spacing w:after="0" w:line="158"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There is no material pending litigation, other than ordinary routine litigation incidental to its business, in which First Busey Corporation or any of its subsidiaries is involved or of which any of their property is the subject. Furthermore, there is no pending legal proceeding that is adverse to Busey in which any director, officer, or affiliate of Busey, or any associate of any such director or officer, is a party, or has a material interest.</w:t>
      </w:r>
    </w:p>
    <w:p>
      <w:pPr>
        <w:spacing w:after="0" w:line="15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ITEM 1A. RISK FACTORS</w:t>
      </w:r>
    </w:p>
    <w:p>
      <w:pPr>
        <w:spacing w:after="0" w:line="173" w:lineRule="exact"/>
        <w:rPr>
          <w:sz w:val="20"/>
          <w:szCs w:val="20"/>
          <w:color w:val="auto"/>
        </w:rPr>
      </w:pPr>
    </w:p>
    <w:p>
      <w:pPr>
        <w:jc w:val="both"/>
        <w:spacing w:after="0" w:line="242" w:lineRule="auto"/>
        <w:rPr>
          <w:rFonts w:ascii="Verdana" w:cs="Verdana" w:eastAsia="Verdana" w:hAnsi="Verdana"/>
          <w:sz w:val="18"/>
          <w:szCs w:val="18"/>
          <w:color w:val="auto"/>
        </w:rPr>
      </w:pPr>
      <w:r>
        <w:rPr>
          <w:rFonts w:ascii="Verdana" w:cs="Verdana" w:eastAsia="Verdana" w:hAnsi="Verdana"/>
          <w:sz w:val="18"/>
          <w:szCs w:val="18"/>
          <w:color w:val="auto"/>
        </w:rPr>
        <w:t xml:space="preserve">In addition to the other information set forth in this report and the risk factors below, you should carefully consider the factors discussed in </w:t>
      </w:r>
      <w:hyperlink r:id="rId139">
        <w:r>
          <w:rPr>
            <w:rFonts w:ascii="Verdana" w:cs="Verdana" w:eastAsia="Verdana" w:hAnsi="Verdana"/>
            <w:sz w:val="18"/>
            <w:szCs w:val="18"/>
            <w:u w:val="single" w:color="auto"/>
            <w:color w:val="0000FF"/>
          </w:rPr>
          <w:t>Part I—Item 1A</w:t>
        </w:r>
        <w:r>
          <w:rPr>
            <w:rFonts w:ascii="Verdana" w:cs="Verdana" w:eastAsia="Verdana" w:hAnsi="Verdana"/>
            <w:sz w:val="18"/>
            <w:szCs w:val="18"/>
            <w:u w:val="single" w:color="auto"/>
            <w:color w:val="auto"/>
          </w:rPr>
          <w:t xml:space="preserve"> </w:t>
        </w:r>
      </w:hyperlink>
      <w:r>
        <w:rPr>
          <w:rFonts w:ascii="Verdana" w:cs="Verdana" w:eastAsia="Verdana" w:hAnsi="Verdana"/>
          <w:sz w:val="18"/>
          <w:szCs w:val="18"/>
          <w:color w:val="auto"/>
        </w:rPr>
        <w:t xml:space="preserve">of </w:t>
      </w:r>
      <w:hyperlink r:id="rId25">
        <w:r>
          <w:rPr>
            <w:rFonts w:ascii="Verdana" w:cs="Verdana" w:eastAsia="Verdana" w:hAnsi="Verdana"/>
            <w:sz w:val="18"/>
            <w:szCs w:val="18"/>
            <w:u w:val="single" w:color="auto"/>
            <w:color w:val="0000FF"/>
          </w:rPr>
          <w:t>Busey’s 2023 Annual Report</w:t>
        </w:r>
      </w:hyperlink>
      <w:r>
        <w:rPr>
          <w:rFonts w:ascii="Verdana" w:cs="Verdana" w:eastAsia="Verdana" w:hAnsi="Verdana"/>
          <w:sz w:val="18"/>
          <w:szCs w:val="18"/>
          <w:color w:val="auto"/>
        </w:rPr>
        <w:t xml:space="preserve">, which could materially affect our business, financial condition, or results of operations in future periods. Except as presented below, there have been no material changes to the risk factors described in our </w:t>
      </w:r>
      <w:hyperlink r:id="rId25">
        <w:r>
          <w:rPr>
            <w:rFonts w:ascii="Verdana" w:cs="Verdana" w:eastAsia="Verdana" w:hAnsi="Verdana"/>
            <w:sz w:val="18"/>
            <w:szCs w:val="18"/>
            <w:u w:val="single" w:color="auto"/>
            <w:color w:val="0000FF"/>
          </w:rPr>
          <w:t>2023 Annual Report</w:t>
        </w:r>
      </w:hyperlink>
      <w:r>
        <w:rPr>
          <w:rFonts w:ascii="Verdana" w:cs="Verdana" w:eastAsia="Verdana" w:hAnsi="Verdana"/>
          <w:sz w:val="18"/>
          <w:szCs w:val="18"/>
          <w:color w:val="auto"/>
        </w:rPr>
        <w:t>.</w:t>
      </w:r>
    </w:p>
    <w:p>
      <w:pPr>
        <w:spacing w:after="0" w:line="200" w:lineRule="exact"/>
        <w:rPr>
          <w:rFonts w:ascii="Verdana" w:cs="Verdana" w:eastAsia="Verdana" w:hAnsi="Verdana"/>
          <w:sz w:val="18"/>
          <w:szCs w:val="18"/>
          <w:color w:val="auto"/>
        </w:rPr>
      </w:pPr>
    </w:p>
    <w:p>
      <w:pPr>
        <w:spacing w:after="0" w:line="376" w:lineRule="exact"/>
        <w:rPr>
          <w:rFonts w:ascii="Verdana" w:cs="Verdana" w:eastAsia="Verdana" w:hAnsi="Verdana"/>
          <w:sz w:val="18"/>
          <w:szCs w:val="18"/>
          <w:color w:val="auto"/>
        </w:rPr>
      </w:pPr>
    </w:p>
    <w:p>
      <w:pPr>
        <w:ind w:left="7800"/>
        <w:spacing w:after="0"/>
        <w:rPr>
          <w:sz w:val="20"/>
          <w:szCs w:val="20"/>
          <w:color w:val="auto"/>
        </w:rPr>
      </w:pPr>
      <w:r>
        <w:rPr>
          <w:rFonts w:ascii="Verdana" w:cs="Verdana" w:eastAsia="Verdana" w:hAnsi="Verdana"/>
          <w:sz w:val="17"/>
          <w:szCs w:val="17"/>
          <w:color w:val="808285"/>
        </w:rPr>
        <w:t xml:space="preserve">First Busey Corporation (BUSE) | </w:t>
      </w:r>
      <w:r>
        <w:rPr>
          <w:rFonts w:ascii="Verdana" w:cs="Verdana" w:eastAsia="Verdana" w:hAnsi="Verdana"/>
          <w:sz w:val="17"/>
          <w:szCs w:val="17"/>
          <w:b w:val="1"/>
          <w:bCs w:val="1"/>
          <w:color w:val="376484"/>
        </w:rPr>
        <w:t>108</w:t>
      </w:r>
    </w:p>
    <w:p>
      <w:pPr>
        <w:spacing w:after="0" w:line="20" w:lineRule="exact"/>
        <w:rPr>
          <w:rFonts w:ascii="Verdana" w:cs="Verdana" w:eastAsia="Verdana" w:hAnsi="Verdana"/>
          <w:sz w:val="18"/>
          <w:szCs w:val="18"/>
          <w:color w:val="auto"/>
        </w:rPr>
      </w:pPr>
      <w:r>
        <w:rPr>
          <w:rFonts w:ascii="Verdana" w:cs="Verdana" w:eastAsia="Verdana" w:hAnsi="Verdana"/>
          <w:sz w:val="18"/>
          <w:szCs w:val="18"/>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08" w:name="page109"/>
    <w:bookmarkEnd w:id="10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RISKS RELATING TO THE CONSUMMATION OF THE MERGER</w:t>
      </w:r>
    </w:p>
    <w:p>
      <w:pPr>
        <w:spacing w:after="0" w:line="17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b w:val="1"/>
          <w:bCs w:val="1"/>
          <w:i w:val="1"/>
          <w:iCs w:val="1"/>
          <w:color w:val="auto"/>
        </w:rPr>
        <w:t>The market price of Busey common stock after the Merger may be affected by factors different from those currently affecting the shares of Busey common stock or CrossFirst common stock.</w:t>
      </w:r>
    </w:p>
    <w:p>
      <w:pPr>
        <w:spacing w:after="0" w:line="144"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In the Merger, CrossFirst stockholders will become Busey stockholders. Busey’s business differs from that of CrossFirst and certain adjustments may be made to Busey’s business as a result of the Merger. Accordingly, the results of operations of the combined company and the market price of Busey common stock after the completion of the Merger may be affected by factors different from those currently affecting the independent results of operations of Busey. Changes in the operations and prospects of Busey, general market and economic conditions and other factors which may be beyond the control of Busey, and the market price of Busey common stock may alter the value of Busey or the prices of shares of Busey common stock by the time the Merger is completed.</w:t>
      </w:r>
    </w:p>
    <w:p>
      <w:pPr>
        <w:spacing w:after="0" w:line="176"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Busey and CrossFirst are expected to incur substantial costs related to the Merger and integration.</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Busey and CrossFirst have incurred and expect to incur a number of non-recurring costs associated with the Merger. These costs include legal, financial advisory, accounting, consulting and other advisory fees, severance/employee benefit-related costs, public company filing fees and other regulatory fees, printing costs, and other related costs.</w:t>
      </w:r>
    </w:p>
    <w:p>
      <w:pPr>
        <w:spacing w:after="0" w:line="154"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In addition, the combined company will incur integration costs following the completion of the Merger as Busey and CrossFirst integrate their businesses, including facilities and systems consolidation costs and employment-related costs. Busey and CrossFirst may also incur additional costs to maintain employee morale and to retain key employees. There are a large number of processes, policies, procedures, operations, technologies, and systems that may need to be integrated, including accounting and finance, payroll, compliance, treasury management, branch operations, vendor management, risk management, lines of business, and benefits. While Busey and CrossFirst have assumed that a certain level of costs will be incurred, there are many factors beyond their control that could affect the total amount or the timing of the integration costs. Moreover, many of the costs that will be incurred are, by their nature, difficult to estimate accurately. These integration costs may result in the combined company taking charges against earnings following the completion of the Merger, and the amount and timing of such charges are uncertain at present. There can be no assurances that the expected benefits and efficiencies related to the integration of the businesses will be realized to offset these transaction and integration costs over time. Anticipated pre-tax transaction costs for both CrossFirst and Busey combined are currently estimated to be approximately $75.3 million.</w:t>
      </w:r>
    </w:p>
    <w:p>
      <w:pPr>
        <w:spacing w:after="0" w:line="177"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b w:val="1"/>
          <w:bCs w:val="1"/>
          <w:i w:val="1"/>
          <w:iCs w:val="1"/>
          <w:color w:val="auto"/>
        </w:rPr>
        <w:t>Combining Busey and CrossFirst may be more difficult, costly, or time consuming than expected, and may fail to realize the anticipated benefits of the Merger.</w:t>
      </w:r>
    </w:p>
    <w:p>
      <w:pPr>
        <w:spacing w:after="0" w:line="144"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The success of the Merger will depend, in part, on the ability to realize the anticipated benefits from combining the businesses of Busey and CrossFirst. To realize the anticipated benefits from the Merger, Busey must successfully integrate CrossFirst into its existing businesses and, in particular, integrate CrossFirst into its risk management framework, compliance systems, and corporate culture, in a manner that permits the anticipated benefits to be realized and that does not materially disrupt existing client relationships or result in decreased revenues due to the loss of clients. If Busey is not able to successfully achieve these objectives for any reason, the anticipated benefits of the Merger may not be realized fully, or at all, or may take longer to realize than expected. In addition, the actual benefits of the Merger could be less than anticipated, and integration may result in additional and unforeseen expenses.</w:t>
      </w:r>
    </w:p>
    <w:p>
      <w:pPr>
        <w:spacing w:after="0" w:line="161"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An inability to realize the full extent of the anticipated benefits of the Merger and the other transactions contemplated by the Merger Agreement, as well as any delays encountered in the integration process, could have an adverse effect upon the revenues, levels of expenses, and operating results of Busey following the completion of the Merger, which may adversely affect the value of the common stock of Busey following the completion of the Merger.</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09" w:name="page110"/>
    <w:bookmarkEnd w:id="10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b w:val="1"/>
          <w:bCs w:val="1"/>
          <w:i w:val="1"/>
          <w:iCs w:val="1"/>
          <w:color w:val="auto"/>
        </w:rPr>
        <w:t>Busey and CrossFirst have operated and, until the effective time of the Merger, must continue to operate independently.</w:t>
      </w:r>
    </w:p>
    <w:p>
      <w:pPr>
        <w:spacing w:after="0" w:line="144"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It is possible that the integration process could result in the loss of key CrossFirst employees, the disruption of each company’s ongoing businesses, or inconsistencies in standards, controls, procedures, and policies that adversely affect each company’s ability to maintain relationships with clients, depositors, and employees or to achieve the anticipated benefits and cost savings of the Merger. Integration efforts between the companies may also divert management attention and resources. These integration matters could have an adverse effect on each of Busey and CrossFirst during this transition period and on Busey for an undetermined period after the completion of the Merger.</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Busey’s results following the Merger may suffer if it does not effectively manage its expanded operations.</w:t>
      </w:r>
    </w:p>
    <w:p>
      <w:pPr>
        <w:spacing w:after="0" w:line="186"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Following the Merger, the size of the business of Busey will increase beyond its current size. Busey’s future success will depend, in part, upon its ability to manage this expanded business, which may pose challenges for management, including challenges related to the management and monitoring of new operations and associated increased costs and complexity. Busey may also face increased scrutiny from governmental authorities as a result of the increased size of its business. There can be no assurances that Busey will be successful or that it will realize the expected benefits currently anticipated from the Merger.</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Busey may be unable to retain Busey and/or CrossFirst personnel successfully after the Merger is completed.</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The success of the Merger will depend in part on Busey’s ability to retain the talents and dedication of key employees currently employed by CrossFirst. It is possible that these employees may decide not to remain with CrossFirst while the Merger is pending or with Busey after the Merger. If Busey and CrossFirst are unable to retain key employees, including management, who are critical to the successful integration and future operations of the companies, Busey and CrossFirst could face disruptions in their operations, loss of existing clients, loss of key information, expertise, or know-how and unanticipated additional recruitment costs. In addition, following the Merger, if key employees terminate their employment, Busey’s business activities may be adversely affected, and management’s attention may be diverted from successfully hiring suitable replacements, all of which may cause Busey’s business to suffer. Busey and CrossFirst also may not be able to locate or retain suitable replacements for any key employees who leave either company.</w:t>
      </w:r>
    </w:p>
    <w:p>
      <w:pPr>
        <w:spacing w:after="0" w:line="172"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b w:val="1"/>
          <w:bCs w:val="1"/>
          <w:i w:val="1"/>
          <w:iCs w:val="1"/>
          <w:color w:val="auto"/>
        </w:rPr>
        <w:t>Regulatory approvals may not be received, may take longer than expected, or may impose conditions that are not presently anticipated or that could have an adverse effect on Busey following the Merger.</w:t>
      </w:r>
    </w:p>
    <w:p>
      <w:pPr>
        <w:spacing w:after="0" w:line="144"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Before the Merger and the Bank Merger may be completed, various approvals and consents must be obtained from the Federal Reserve, the DFPR, the Kansas Office of the State Bank Commissioner (the “KOSBC”), and other regulatory authorities in the United States. Busey submitted applications to the Federal Reserve, the DFPR, and the KOSBC in connection with the proposed Merger and the Bank Merger on or about September 23, 2024.</w:t>
      </w:r>
    </w:p>
    <w:p>
      <w:pPr>
        <w:spacing w:after="0" w:line="157"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These approvals could be delayed or not obtained at all, including due to (1) an adverse development in either party’s regulatory standing or in any other factors considered by regulators when granting such approvals; (2) governmental, political, or community group inquiries, investigations, or opposition; or (3) changes in legislation or the political environment generally. Additionally, over the past several years, mergers of banking organizations have encountered greater regulatory, governmental, and community scrutiny and have taken substantially longer to receive the necessary regulatory approvals and other required governmental clearances than in the past.</w:t>
      </w:r>
    </w:p>
    <w:p>
      <w:pPr>
        <w:spacing w:after="0" w:line="200" w:lineRule="exact"/>
        <w:rPr>
          <w:sz w:val="20"/>
          <w:szCs w:val="20"/>
          <w:color w:val="auto"/>
        </w:rPr>
      </w:pPr>
    </w:p>
    <w:p>
      <w:pPr>
        <w:spacing w:after="0" w:line="377" w:lineRule="exact"/>
        <w:rPr>
          <w:sz w:val="20"/>
          <w:szCs w:val="20"/>
          <w:color w:val="auto"/>
        </w:rPr>
      </w:pPr>
    </w:p>
    <w:p>
      <w:pPr>
        <w:ind w:left="7800"/>
        <w:spacing w:after="0"/>
        <w:rPr>
          <w:sz w:val="20"/>
          <w:szCs w:val="20"/>
          <w:color w:val="auto"/>
        </w:rPr>
      </w:pPr>
      <w:r>
        <w:rPr>
          <w:rFonts w:ascii="Verdana" w:cs="Verdana" w:eastAsia="Verdana" w:hAnsi="Verdana"/>
          <w:sz w:val="17"/>
          <w:szCs w:val="17"/>
          <w:color w:val="808285"/>
        </w:rPr>
        <w:t xml:space="preserve">First Busey Corporation (BUSE) | </w:t>
      </w:r>
      <w:r>
        <w:rPr>
          <w:rFonts w:ascii="Verdana" w:cs="Verdana" w:eastAsia="Verdana" w:hAnsi="Verdana"/>
          <w:sz w:val="17"/>
          <w:szCs w:val="17"/>
          <w:b w:val="1"/>
          <w:bCs w:val="1"/>
          <w:color w:val="376484"/>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10" w:name="page111"/>
    <w:bookmarkEnd w:id="11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The approvals that are granted may impose terms and conditions, limitations, obligations or costs, or place restrictions on the conduct of Busey’s business or require changes to the terms of the transactions contemplated by the Merger Agreement. There can be no assurance that regulators will not impose any such conditions, limitations, obligations, or restrictions and that such conditions, limitations, obligations, or restrictions will not have the effect of delaying the completion of any of the transactions contemplated by the Merger Agreement, imposing additional material costs on or materially limiting the revenues of Busey following the Merger, or otherwise reducing the anticipated benefits of the Merger if the Merger were consummated successfully within the expected time frame. In addition, there can be no assurance that any such conditions, terms, obligations, or restrictions will not result in the delay or abandonment of the Merger. The completion of the Merger is conditioned on the receipt of the requisite regulatory approvals and the expiration of all statutory waiting periods without the imposition of any material burdensome regulatory condition. Additionally, the completion of the Merger is conditioned on the absence of certain orders, injunctions, or decrees by any court or governmental entity of competent jurisdiction that would prohibit or make illegal the completion of any of the transactions contemplated by the Merger Agreement.</w:t>
      </w:r>
    </w:p>
    <w:p>
      <w:pPr>
        <w:spacing w:after="0" w:line="16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In addition, despite the parties’ commitments to using their reasonable best efforts to comply with conditions imposed by regulators, under the terms of the Merger Agreement, neither Busey nor CrossFirst, nor any of their respective subsidiaries, is permitted (without the written consent of the other party) to take any action, or commit to take any action, or agree to any condition or restriction, in connection with obtaining the required permits, consents, approvals, and authorizations of governmental entities or regulatory agencies that would reasonably be expected to have a material adverse effect on the combined company and its subsidiaries, taken as a whole, after giving effect to the Merger and the Bank Merger.</w:t>
      </w:r>
    </w:p>
    <w:p>
      <w:pPr>
        <w:spacing w:after="0" w:line="16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The Merger Agreement may be terminated in accordance with its terms and the Merger may not be completed.</w:t>
      </w:r>
    </w:p>
    <w:p>
      <w:pPr>
        <w:spacing w:after="0" w:line="186"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The Merger Agreement is subject to a number of conditions which must be fulfilled in order to complete the Merger. Those conditions include: (1) approval by Busey stockholders of the Merger Agreement and the transactions contemplated thereby, and approval by CrossFirst stockholders of the Merger Agreement and the transactions contemplated therby;</w:t>
      </w:r>
    </w:p>
    <w:p>
      <w:pPr>
        <w:spacing w:after="0" w:line="3" w:lineRule="exact"/>
        <w:rPr>
          <w:sz w:val="20"/>
          <w:szCs w:val="20"/>
          <w:color w:val="auto"/>
        </w:rPr>
      </w:pPr>
    </w:p>
    <w:p>
      <w:pPr>
        <w:jc w:val="both"/>
        <w:ind w:firstLine="8"/>
        <w:spacing w:after="0" w:line="217" w:lineRule="exact"/>
        <w:tabs>
          <w:tab w:leader="none" w:pos="351" w:val="left"/>
        </w:tabs>
        <w:numPr>
          <w:ilvl w:val="0"/>
          <w:numId w:val="36"/>
        </w:numPr>
        <w:rPr>
          <w:rFonts w:ascii="Verdana" w:cs="Verdana" w:eastAsia="Verdana" w:hAnsi="Verdana"/>
          <w:sz w:val="18"/>
          <w:szCs w:val="18"/>
          <w:color w:val="auto"/>
        </w:rPr>
      </w:pPr>
      <w:r>
        <w:rPr>
          <w:rFonts w:ascii="Verdana" w:cs="Verdana" w:eastAsia="Verdana" w:hAnsi="Verdana"/>
          <w:sz w:val="18"/>
          <w:szCs w:val="18"/>
          <w:color w:val="auto"/>
        </w:rPr>
        <w:t>authorization for listing on Nasdaq of the shares of Busey common stock to be issued in the Merger, subject to official notice of issuance; (3) the receipt of the requisite regulatory approvals, including the approval of the Federal Reserve, the DFPR, and the KOSBC; (4) the effectiveness of a registration statement on Form S</w:t>
      </w:r>
      <w:r>
        <w:rPr>
          <w:rFonts w:ascii="MS PGothic" w:cs="MS PGothic" w:eastAsia="MS PGothic" w:hAnsi="MS PGothic"/>
          <w:sz w:val="18"/>
          <w:szCs w:val="18"/>
          <w:color w:val="auto"/>
        </w:rPr>
        <w:t>‑</w:t>
      </w:r>
      <w:r>
        <w:rPr>
          <w:rFonts w:ascii="Verdana" w:cs="Verdana" w:eastAsia="Verdana" w:hAnsi="Verdana"/>
          <w:sz w:val="18"/>
          <w:szCs w:val="18"/>
          <w:color w:val="auto"/>
        </w:rPr>
        <w:t>4; and (5) the absence of any order, injunction, decree, or other legal restraint preventing the completion of the Merger, the Bank Merger, or any of the other transactions contemplated by the Merger Agreement or making the completion of the Merger, the Bank Merger, or any of the other transactions contemplated by the Merger Agreement illegal. Each party’s obligation to complete the Merger is also subject to certain additional customary conditions, including (1) subject to applicable materiality standards, the accuracy of the representations and warranties of the other party, (2) the performance in all material respects by the other party of its obligations under the Merger Agreement, (3) the receipt by each party of an opinion from its counsel to the effect that the Merger will qualify as a reorganization within the meaning of Section 368(a) of the Internal Revenue Code, and (4) the absence of any material adverse effect with respect to Busey or CrossFirst.</w:t>
      </w:r>
    </w:p>
    <w:p>
      <w:pPr>
        <w:spacing w:after="0" w:line="165"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These conditions to the closing may not be fulfilled in a timely manner or at all, and, accordingly, the Merger may not be completed. In addition, the parties can mutually decide to terminate the Merger Agreement at any time, before or after the requisite stockholder approvals, or Busey or CrossFirst may elect to terminate the Merger Agreement in certain other circumstances.</w:t>
      </w:r>
    </w:p>
    <w:p>
      <w:pPr>
        <w:spacing w:after="0" w:line="200" w:lineRule="exact"/>
        <w:rPr>
          <w:sz w:val="20"/>
          <w:szCs w:val="20"/>
          <w:color w:val="auto"/>
        </w:rPr>
      </w:pPr>
    </w:p>
    <w:p>
      <w:pPr>
        <w:spacing w:after="0" w:line="376" w:lineRule="exact"/>
        <w:rPr>
          <w:sz w:val="20"/>
          <w:szCs w:val="20"/>
          <w:color w:val="auto"/>
        </w:rPr>
      </w:pPr>
    </w:p>
    <w:p>
      <w:pPr>
        <w:ind w:left="7800"/>
        <w:spacing w:after="0"/>
        <w:rPr>
          <w:sz w:val="20"/>
          <w:szCs w:val="20"/>
          <w:color w:val="auto"/>
        </w:rPr>
      </w:pPr>
      <w:r>
        <w:rPr>
          <w:rFonts w:ascii="Verdana" w:cs="Verdana" w:eastAsia="Verdana" w:hAnsi="Verdana"/>
          <w:sz w:val="17"/>
          <w:szCs w:val="17"/>
          <w:color w:val="808285"/>
        </w:rPr>
        <w:t xml:space="preserve">First Busey Corporation (BUSE) | </w:t>
      </w:r>
      <w:r>
        <w:rPr>
          <w:rFonts w:ascii="Verdana" w:cs="Verdana" w:eastAsia="Verdana" w:hAnsi="Verdana"/>
          <w:sz w:val="17"/>
          <w:szCs w:val="17"/>
          <w:b w:val="1"/>
          <w:bCs w:val="1"/>
          <w:color w:val="376484"/>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11" w:name="page112"/>
    <w:bookmarkEnd w:id="11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Failure to complete the Merger could negatively impact Busey.</w:t>
      </w:r>
    </w:p>
    <w:p>
      <w:pPr>
        <w:spacing w:after="0" w:line="173" w:lineRule="exact"/>
        <w:rPr>
          <w:sz w:val="20"/>
          <w:szCs w:val="20"/>
          <w:color w:val="auto"/>
        </w:rPr>
      </w:pPr>
    </w:p>
    <w:p>
      <w:pPr>
        <w:jc w:val="both"/>
        <w:spacing w:after="0" w:line="254" w:lineRule="auto"/>
        <w:rPr>
          <w:sz w:val="20"/>
          <w:szCs w:val="20"/>
          <w:color w:val="auto"/>
        </w:rPr>
      </w:pPr>
      <w:r>
        <w:rPr>
          <w:rFonts w:ascii="Verdana" w:cs="Verdana" w:eastAsia="Verdana" w:hAnsi="Verdana"/>
          <w:sz w:val="17"/>
          <w:szCs w:val="17"/>
          <w:color w:val="auto"/>
        </w:rPr>
        <w:t>If the Merger is not completed for any reason, including as a result of Busey stockholders failing to approve the Busey merger proposal or CrossFirst stockholders failing to approve the CrossFirst merger proposal, there may be various adverse consequences, and Busey may experience negative reactions from the financial markets and from its clients, employees, and stockholders. For example, Busey’s businesses may have been impacted adversely by the failure to pursue other beneficial opportunities due to the focus of management on the Merger, without realizing any of the anticipated benefits of completing the Merger. Additionally, if the Merger Agreement is terminated, the market price of Busey common stock could decline to the extent that current market prices reflect a market assumption that the Merger will be beneficial and will be completed. Busey also could be subject to litigation related to any failure to complete the Merger or to proceedings commenced against CrossFirst to perform its obligations under the Merger Agreement. If the Merger Agreement is terminated under certain circumstances, Busey may be required to pay a termination fee of $36.7 million to CrossFirst.</w:t>
      </w:r>
    </w:p>
    <w:p>
      <w:pPr>
        <w:spacing w:after="0" w:line="149"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Additionally, Busey has incurred and will incur substantial expenses in connection with the negotiation and completion of the transactions contemplated by the Merger Agreement, as well as the costs and expenses of preparing, filing, printing, and mailing a joint proxy statement/prospectus, and all filing and other fees paid in connection with the Merger. If the Merger is not completed, Busey would have to pay these expenses without realizing the expected benefits of the Merger.</w:t>
      </w:r>
    </w:p>
    <w:p>
      <w:pPr>
        <w:spacing w:after="0" w:line="171"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b w:val="1"/>
          <w:bCs w:val="1"/>
          <w:i w:val="1"/>
          <w:iCs w:val="1"/>
          <w:color w:val="auto"/>
        </w:rPr>
        <w:t>In connection with the Merger, Busey will assume CrossFirst’s outstanding debt obligations, and Busey’s level of indebtedness following the completion of the Merger could adversely affect Busey’s ability to raise additional capital and to meet its obligations under its existing indebtedness.</w:t>
      </w:r>
    </w:p>
    <w:p>
      <w:pPr>
        <w:spacing w:after="0" w:line="154"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In connection with the Merger, Busey will assume CrossFirst’s outstanding indebtedness. Busey’s existing debt, together with any future incurrence of additional indebtedness, could have important consequences for Busey’s creditors and Busey’s stockholders. For example, it could limit Busey’s ability to obtain additional financing for working capital, capital expenditures, debt service requirements, acquisitions, and general corporate or other purposes, and could require a significant portion of cash flow from operations to be dedicated to the payment of principal and interest on Busey’s indebtedness, thereby reducing Busey’s ability to use cash flows to fund its operations, capital expenditures, and future business opportunities.</w:t>
      </w:r>
    </w:p>
    <w:p>
      <w:pPr>
        <w:spacing w:after="0" w:line="16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Busey will be subject to business uncertainties and contractual restrictions while the Merger is pending.</w:t>
      </w:r>
    </w:p>
    <w:p>
      <w:pPr>
        <w:spacing w:after="0" w:line="186"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Uncertainty about the effect of the Merger on employees and clients may have an adverse effect on Busey. These uncertainties may impair Busey’s ability to attract, retain, and motivate key personnel until the Merger is completed, and could cause clients and others that deal with Busey to seek to change existing business relationships with Busey. In addition, subject to certain exceptions, Busey has agreed to operate its business in the ordinary course in all material respects and to refrain from taking certain actions that may adversely affect its ability to consummate the transactions contemplated by the Merger Agreement on a timely basis without the consent of the other party. These restrictions may prevent Busey from pursuing attractive business opportunities that may arise prior to the completion of the Merger.</w:t>
      </w:r>
    </w:p>
    <w:p>
      <w:pPr>
        <w:spacing w:after="0" w:line="16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The announcement of the proposed Merger could disrupt Busey’s relationships with its clients, suppliers, business partners, and others, as well as its operating results and business generally.</w:t>
      </w:r>
    </w:p>
    <w:p>
      <w:pPr>
        <w:spacing w:after="0" w:line="144"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Whether or not the Merger is ultimately consummated, as a result of uncertainty related to the proposed transactions, risks relating to the impact of the announcement of the Merger on Busey’s business include the following:</w:t>
      </w:r>
    </w:p>
    <w:p>
      <w:pPr>
        <w:spacing w:after="0" w:line="158" w:lineRule="exact"/>
        <w:rPr>
          <w:sz w:val="20"/>
          <w:szCs w:val="20"/>
          <w:color w:val="auto"/>
        </w:rPr>
      </w:pPr>
    </w:p>
    <w:p>
      <w:pPr>
        <w:ind w:left="660" w:hanging="328"/>
        <w:spacing w:after="0" w:line="254" w:lineRule="auto"/>
        <w:tabs>
          <w:tab w:leader="none" w:pos="650" w:val="left"/>
        </w:tabs>
        <w:numPr>
          <w:ilvl w:val="0"/>
          <w:numId w:val="37"/>
        </w:numPr>
        <w:rPr>
          <w:rFonts w:ascii="Verdana" w:cs="Verdana" w:eastAsia="Verdana" w:hAnsi="Verdana"/>
          <w:sz w:val="18"/>
          <w:szCs w:val="18"/>
          <w:color w:val="auto"/>
        </w:rPr>
      </w:pPr>
      <w:r>
        <w:rPr>
          <w:rFonts w:ascii="Verdana" w:cs="Verdana" w:eastAsia="Verdana" w:hAnsi="Verdana"/>
          <w:sz w:val="18"/>
          <w:szCs w:val="18"/>
          <w:color w:val="auto"/>
        </w:rPr>
        <w:t>its employees may experience uncertainty about their future roles, which might adversely affect Busey’s ability to retain and hire key personnel and other employees;</w:t>
      </w:r>
    </w:p>
    <w:p>
      <w:pPr>
        <w:spacing w:after="0" w:line="200" w:lineRule="exact"/>
        <w:rPr>
          <w:sz w:val="20"/>
          <w:szCs w:val="20"/>
          <w:color w:val="auto"/>
        </w:rPr>
      </w:pPr>
    </w:p>
    <w:p>
      <w:pPr>
        <w:spacing w:after="0" w:line="363" w:lineRule="exact"/>
        <w:rPr>
          <w:sz w:val="20"/>
          <w:szCs w:val="20"/>
          <w:color w:val="auto"/>
        </w:rPr>
      </w:pPr>
    </w:p>
    <w:p>
      <w:pPr>
        <w:ind w:left="7800"/>
        <w:spacing w:after="0"/>
        <w:rPr>
          <w:sz w:val="20"/>
          <w:szCs w:val="20"/>
          <w:color w:val="auto"/>
        </w:rPr>
      </w:pPr>
      <w:r>
        <w:rPr>
          <w:rFonts w:ascii="Verdana" w:cs="Verdana" w:eastAsia="Verdana" w:hAnsi="Verdana"/>
          <w:sz w:val="17"/>
          <w:szCs w:val="17"/>
          <w:color w:val="808285"/>
        </w:rPr>
        <w:t xml:space="preserve">First Busey Corporation (BUSE) | </w:t>
      </w:r>
      <w:r>
        <w:rPr>
          <w:rFonts w:ascii="Verdana" w:cs="Verdana" w:eastAsia="Verdana" w:hAnsi="Verdana"/>
          <w:sz w:val="17"/>
          <w:szCs w:val="17"/>
          <w:b w:val="1"/>
          <w:bCs w:val="1"/>
          <w:color w:val="376484"/>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12" w:name="page113"/>
    <w:bookmarkEnd w:id="11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660" w:hanging="328"/>
        <w:spacing w:after="0" w:line="245" w:lineRule="auto"/>
        <w:tabs>
          <w:tab w:leader="none" w:pos="650" w:val="left"/>
        </w:tabs>
        <w:numPr>
          <w:ilvl w:val="0"/>
          <w:numId w:val="38"/>
        </w:numPr>
        <w:rPr>
          <w:rFonts w:ascii="Verdana" w:cs="Verdana" w:eastAsia="Verdana" w:hAnsi="Verdana"/>
          <w:sz w:val="18"/>
          <w:szCs w:val="18"/>
          <w:color w:val="auto"/>
        </w:rPr>
      </w:pPr>
      <w:r>
        <w:rPr>
          <w:rFonts w:ascii="Verdana" w:cs="Verdana" w:eastAsia="Verdana" w:hAnsi="Verdana"/>
          <w:sz w:val="18"/>
          <w:szCs w:val="18"/>
          <w:color w:val="auto"/>
        </w:rPr>
        <w:t>clients, suppliers, business partners, and other parties with which Busey maintain business relationships may experience uncertainty about their respective futures and seek alternative relationships with third parties, seek to alter their business relationships with Busey, or fail to extend an existing relationship with Busey; and</w:t>
      </w:r>
    </w:p>
    <w:p>
      <w:pPr>
        <w:spacing w:after="0" w:line="153" w:lineRule="exact"/>
        <w:rPr>
          <w:rFonts w:ascii="Verdana" w:cs="Verdana" w:eastAsia="Verdana" w:hAnsi="Verdana"/>
          <w:sz w:val="18"/>
          <w:szCs w:val="18"/>
          <w:color w:val="auto"/>
        </w:rPr>
      </w:pPr>
    </w:p>
    <w:p>
      <w:pPr>
        <w:ind w:left="660" w:hanging="328"/>
        <w:spacing w:after="0" w:line="254" w:lineRule="auto"/>
        <w:tabs>
          <w:tab w:leader="none" w:pos="650" w:val="left"/>
        </w:tabs>
        <w:numPr>
          <w:ilvl w:val="0"/>
          <w:numId w:val="38"/>
        </w:numPr>
        <w:rPr>
          <w:rFonts w:ascii="Verdana" w:cs="Verdana" w:eastAsia="Verdana" w:hAnsi="Verdana"/>
          <w:sz w:val="18"/>
          <w:szCs w:val="18"/>
          <w:color w:val="auto"/>
        </w:rPr>
      </w:pPr>
      <w:r>
        <w:rPr>
          <w:rFonts w:ascii="Verdana" w:cs="Verdana" w:eastAsia="Verdana" w:hAnsi="Verdana"/>
          <w:sz w:val="18"/>
          <w:szCs w:val="18"/>
          <w:color w:val="auto"/>
        </w:rPr>
        <w:t>Busey has each expended and will continue to expend significant costs, fees and expenses for professional services, and transaction costs in connection with the proposed Merger.</w:t>
      </w:r>
    </w:p>
    <w:p>
      <w:pPr>
        <w:spacing w:after="0" w:line="144"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If any of the aforementioned risks were to materialize, they could lead to significant costs which may impact each Busey’s results of operations and financial condition.</w:t>
      </w:r>
    </w:p>
    <w:p>
      <w:pPr>
        <w:spacing w:after="0" w:line="158"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b w:val="1"/>
          <w:bCs w:val="1"/>
          <w:i w:val="1"/>
          <w:iCs w:val="1"/>
          <w:color w:val="auto"/>
        </w:rPr>
        <w:t>The Merger Agreement limits Busey’s abilities to pursue alternatives to the Merger and may discourage other companies from trying to acquire Busey or CrossFirst.</w:t>
      </w:r>
    </w:p>
    <w:p>
      <w:pPr>
        <w:spacing w:after="0" w:line="144"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The Merger Agreement contains “no shop” covenants that restrict each of Busey’s and CrossFirst’s ability to directly or indirectly, among other things, initiate, solicit, knowingly encourage, or knowingly facilitate inquiries or proposals with respect to, or, subject to certain exceptions generally related to the exercise of fiduciary duties by Busey’s and CrossFirst’s respective board of directors, engage in any negotiations concerning, or provide any confidential or non-public information or data relating to, any alternative acquisition proposals. These provisions, which include a $36.7 million termination fee payable under certain circumstances, may discourage a potential third-party acquirer that might have an interest in acquiring all or a significant part of Busey or CrossFirst from considering or proposing that acquisition.</w:t>
      </w:r>
    </w:p>
    <w:p>
      <w:pPr>
        <w:spacing w:after="0" w:line="16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b w:val="1"/>
          <w:bCs w:val="1"/>
          <w:i w:val="1"/>
          <w:iCs w:val="1"/>
          <w:color w:val="auto"/>
        </w:rPr>
        <w:t>Busey stockholders will have reduced ownership and voting interest in the combined company after the consummation of the Merger and will exercise less influence over management.</w:t>
      </w:r>
    </w:p>
    <w:p>
      <w:pPr>
        <w:spacing w:after="0" w:line="158"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Busey stockholders currently have the right to vote in the election of the board of directors and on other matters affecting Busey. When the Merger is completed, each Busey stockholder will become a holder of common stock of the combined company, with a percentage ownership of the combined company that is smaller than the holder’s percentage ownership of Busey prior to the consummation of the Merger. Former CrossFirst stockholders as a group are estimated to own approximately thirty-six and one-half percent (36.5%) of the fully diluted shares of the combined company immediately after the Merger, and current Busey stockholders, as a group, are estimated to own approximately sixty-three and one half percent (63.5%) of the fully diluted shares of the combined company immediately after the Merger.</w:t>
      </w:r>
    </w:p>
    <w:p>
      <w:pPr>
        <w:spacing w:after="0" w:line="16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b w:val="1"/>
          <w:bCs w:val="1"/>
          <w:i w:val="1"/>
          <w:iCs w:val="1"/>
          <w:color w:val="auto"/>
        </w:rPr>
        <w:t>Issuance of shares of Busey common stock in connection with the Merger may adversely affect the market price of Busey common stock.</w:t>
      </w:r>
    </w:p>
    <w:p>
      <w:pPr>
        <w:spacing w:after="0" w:line="144"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In connection with the payment of the merger consideration, Busey expects to issue shares of Busey common stock to CrossFirst stockholders. The issuance of these new shares of Busey common stock may result in fluctuations in the market price of Busey common stock, including a stock price decrease.</w:t>
      </w:r>
    </w:p>
    <w:p>
      <w:pPr>
        <w:spacing w:after="0" w:line="200" w:lineRule="exact"/>
        <w:rPr>
          <w:sz w:val="20"/>
          <w:szCs w:val="20"/>
          <w:color w:val="auto"/>
        </w:rPr>
      </w:pPr>
    </w:p>
    <w:p>
      <w:pPr>
        <w:spacing w:after="0" w:line="372" w:lineRule="exact"/>
        <w:rPr>
          <w:sz w:val="20"/>
          <w:szCs w:val="20"/>
          <w:color w:val="auto"/>
        </w:rPr>
      </w:pPr>
    </w:p>
    <w:p>
      <w:pPr>
        <w:ind w:left="7800"/>
        <w:spacing w:after="0"/>
        <w:rPr>
          <w:sz w:val="20"/>
          <w:szCs w:val="20"/>
          <w:color w:val="auto"/>
        </w:rPr>
      </w:pPr>
      <w:r>
        <w:rPr>
          <w:rFonts w:ascii="Verdana" w:cs="Verdana" w:eastAsia="Verdana" w:hAnsi="Verdana"/>
          <w:sz w:val="17"/>
          <w:szCs w:val="17"/>
          <w:color w:val="808285"/>
        </w:rPr>
        <w:t xml:space="preserve">First Busey Corporation (BUSE) | </w:t>
      </w:r>
      <w:r>
        <w:rPr>
          <w:rFonts w:ascii="Verdana" w:cs="Verdana" w:eastAsia="Verdana" w:hAnsi="Verdana"/>
          <w:sz w:val="17"/>
          <w:szCs w:val="17"/>
          <w:b w:val="1"/>
          <w:bCs w:val="1"/>
          <w:color w:val="376484"/>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13" w:name="page114"/>
    <w:bookmarkEnd w:id="11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b w:val="1"/>
          <w:bCs w:val="1"/>
          <w:i w:val="1"/>
          <w:iCs w:val="1"/>
          <w:color w:val="auto"/>
        </w:rPr>
        <w:t>Stockholder or stockholder litigation could prevent or delay the completion of the merger or otherwise negatively impact the business and operations of Busey.</w:t>
      </w:r>
    </w:p>
    <w:p>
      <w:pPr>
        <w:spacing w:after="0" w:line="144"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Stockholders of Busey and/or stockholders of CrossFirst may file lawsuits against Busey, CrossFirst, and/or the directors and officers of either company in connection with the Merger. One of the conditions to the closing is that no order, injunction, or decree issued by any court or governmental entity of competent jurisdiction or other legal restraint preventing the consummation of the Merger, the Bank Merger, or any of the other transactions contemplated by the Merger Agreement be in effect. If any plaintiff were successful in obtaining an injunction prohibiting Busey or CrossFirst defendants from completing the Merger, the Bank Merger, or any of the other transactions contemplated by the Merger Agreement, then such injunction may delay or prevent the effectiveness of the Merger and could result in significant costs to Busey and/or CrossFirst, including any cost associated with the indemnification of directors and officers of each company. Busey may incur costs in connection with the defense or settlement of any stockholder or stockholder lawsuits filed in connection with the Merger. Such litigation could have an adverse effect on the financial condition and results of operations of Busey and could prevent or delay the completion of the Merger.</w:t>
      </w:r>
    </w:p>
    <w:p>
      <w:pPr>
        <w:spacing w:after="0" w:line="165" w:lineRule="exact"/>
        <w:rPr>
          <w:sz w:val="20"/>
          <w:szCs w:val="20"/>
          <w:color w:val="auto"/>
        </w:rPr>
      </w:pPr>
    </w:p>
    <w:p>
      <w:pPr>
        <w:jc w:val="center"/>
        <w:ind w:left="340" w:right="320"/>
        <w:spacing w:after="0" w:line="254" w:lineRule="auto"/>
        <w:rPr>
          <w:sz w:val="20"/>
          <w:szCs w:val="20"/>
          <w:color w:val="auto"/>
        </w:rPr>
      </w:pPr>
      <w:r>
        <w:rPr>
          <w:rFonts w:ascii="Verdana" w:cs="Verdana" w:eastAsia="Verdana" w:hAnsi="Verdana"/>
          <w:sz w:val="18"/>
          <w:szCs w:val="18"/>
          <w:b w:val="1"/>
          <w:bCs w:val="1"/>
          <w:color w:val="auto"/>
        </w:rPr>
        <w:t>ITEM 2. UNREGISTERED SALES OF EQUITY SECURITIES, USE OF PROCEEDS, AND ISSUER PURCHASES OF EQUITY SECURITIES</w:t>
      </w:r>
    </w:p>
    <w:p>
      <w:pPr>
        <w:spacing w:after="0" w:line="158"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STOCK REPURCHASE PLAN</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On February 3, 2015, Busey’s board of directors authorized the Company to repurchase up to an aggregate of 666,667 shares of its common stock. The repurchase plan has no expiration date, and has been amended to increase the number of shares available for repurchase as follows:</w:t>
      </w:r>
    </w:p>
    <w:p>
      <w:pPr>
        <w:spacing w:after="0" w:line="154" w:lineRule="exact"/>
        <w:rPr>
          <w:sz w:val="20"/>
          <w:szCs w:val="20"/>
          <w:color w:val="auto"/>
        </w:rPr>
      </w:pPr>
    </w:p>
    <w:p>
      <w:pPr>
        <w:ind w:left="660" w:right="20" w:hanging="328"/>
        <w:spacing w:after="0" w:line="254" w:lineRule="auto"/>
        <w:tabs>
          <w:tab w:leader="none" w:pos="650" w:val="left"/>
        </w:tabs>
        <w:numPr>
          <w:ilvl w:val="0"/>
          <w:numId w:val="39"/>
        </w:numPr>
        <w:rPr>
          <w:rFonts w:ascii="Verdana" w:cs="Verdana" w:eastAsia="Verdana" w:hAnsi="Verdana"/>
          <w:sz w:val="18"/>
          <w:szCs w:val="18"/>
          <w:color w:val="auto"/>
        </w:rPr>
      </w:pPr>
      <w:r>
        <w:rPr>
          <w:rFonts w:ascii="Verdana" w:cs="Verdana" w:eastAsia="Verdana" w:hAnsi="Verdana"/>
          <w:sz w:val="18"/>
          <w:szCs w:val="18"/>
          <w:color w:val="auto"/>
        </w:rPr>
        <w:t>On May 22, 2019, Busey’s board of directors approved an amendment to increase the authorized shares under the repurchase plan by 1,000,000 shares.</w:t>
      </w:r>
    </w:p>
    <w:p>
      <w:pPr>
        <w:spacing w:after="0" w:line="157" w:lineRule="exact"/>
        <w:rPr>
          <w:rFonts w:ascii="Verdana" w:cs="Verdana" w:eastAsia="Verdana" w:hAnsi="Verdana"/>
          <w:sz w:val="18"/>
          <w:szCs w:val="18"/>
          <w:color w:val="auto"/>
        </w:rPr>
      </w:pPr>
    </w:p>
    <w:p>
      <w:pPr>
        <w:ind w:left="660" w:hanging="328"/>
        <w:spacing w:after="0" w:line="254" w:lineRule="auto"/>
        <w:tabs>
          <w:tab w:leader="none" w:pos="650" w:val="left"/>
        </w:tabs>
        <w:numPr>
          <w:ilvl w:val="0"/>
          <w:numId w:val="39"/>
        </w:numPr>
        <w:rPr>
          <w:rFonts w:ascii="Verdana" w:cs="Verdana" w:eastAsia="Verdana" w:hAnsi="Verdana"/>
          <w:sz w:val="18"/>
          <w:szCs w:val="18"/>
          <w:color w:val="auto"/>
        </w:rPr>
      </w:pPr>
      <w:r>
        <w:rPr>
          <w:rFonts w:ascii="Verdana" w:cs="Verdana" w:eastAsia="Verdana" w:hAnsi="Verdana"/>
          <w:sz w:val="18"/>
          <w:szCs w:val="18"/>
          <w:color w:val="auto"/>
        </w:rPr>
        <w:t>On February 5, 2020, Busey’s board of directors approved an amendment to increase the authorized shares under the repurchase plan by an additional 2,000,000 shares.</w:t>
      </w:r>
    </w:p>
    <w:p>
      <w:pPr>
        <w:spacing w:after="0" w:line="144" w:lineRule="exact"/>
        <w:rPr>
          <w:rFonts w:ascii="Verdana" w:cs="Verdana" w:eastAsia="Verdana" w:hAnsi="Verdana"/>
          <w:sz w:val="18"/>
          <w:szCs w:val="18"/>
          <w:color w:val="auto"/>
        </w:rPr>
      </w:pPr>
    </w:p>
    <w:p>
      <w:pPr>
        <w:ind w:left="660" w:right="20" w:hanging="328"/>
        <w:spacing w:after="0" w:line="254" w:lineRule="auto"/>
        <w:tabs>
          <w:tab w:leader="none" w:pos="650" w:val="left"/>
        </w:tabs>
        <w:numPr>
          <w:ilvl w:val="0"/>
          <w:numId w:val="39"/>
        </w:numPr>
        <w:rPr>
          <w:rFonts w:ascii="Verdana" w:cs="Verdana" w:eastAsia="Verdana" w:hAnsi="Verdana"/>
          <w:sz w:val="18"/>
          <w:szCs w:val="18"/>
          <w:color w:val="auto"/>
        </w:rPr>
      </w:pPr>
      <w:r>
        <w:rPr>
          <w:rFonts w:ascii="Verdana" w:cs="Verdana" w:eastAsia="Verdana" w:hAnsi="Verdana"/>
          <w:sz w:val="18"/>
          <w:szCs w:val="18"/>
          <w:color w:val="auto"/>
        </w:rPr>
        <w:t>On May 24, 2023, Busey’s board of directors approved an amendment to increase the authorized shares under the repurchase plan by an additional 2,000,000 shares.</w:t>
      </w:r>
    </w:p>
    <w:p>
      <w:pPr>
        <w:spacing w:after="0" w:line="144"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During the third quarter of 2024, Busey purchased no shares under the repurchase plan. As of September 30, 2024, the Company had 1,919,275 shares that may still be purchased under the plan.</w:t>
      </w:r>
    </w:p>
    <w:p>
      <w:pPr>
        <w:spacing w:after="0" w:line="158"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ITEM 3. DEFAULTS UPON SENIOR SECURITIES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color w:val="auto"/>
        </w:rPr>
        <w:t>None.</w:t>
      </w:r>
    </w:p>
    <w:p>
      <w:pPr>
        <w:spacing w:after="0" w:line="17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ITEM 4. MINE SAFETY DISCLOSURES</w:t>
      </w:r>
    </w:p>
    <w:p>
      <w:pPr>
        <w:spacing w:after="0" w:line="186" w:lineRule="exact"/>
        <w:rPr>
          <w:sz w:val="20"/>
          <w:szCs w:val="20"/>
          <w:color w:val="auto"/>
        </w:rPr>
      </w:pPr>
    </w:p>
    <w:p>
      <w:pPr>
        <w:spacing w:after="0"/>
        <w:rPr>
          <w:sz w:val="20"/>
          <w:szCs w:val="20"/>
          <w:color w:val="auto"/>
        </w:rPr>
      </w:pPr>
      <w:r>
        <w:rPr>
          <w:rFonts w:ascii="Verdana" w:cs="Verdana" w:eastAsia="Verdana" w:hAnsi="Verdana"/>
          <w:sz w:val="18"/>
          <w:szCs w:val="18"/>
          <w:color w:val="auto"/>
        </w:rPr>
        <w:t>Not Applicable.</w:t>
      </w:r>
    </w:p>
    <w:p>
      <w:pPr>
        <w:spacing w:after="0" w:line="17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ITEM 5. OTHER INFORMATION</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During the three months ended September 30, 2024, none of Busey’s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372" w:lineRule="exact"/>
        <w:rPr>
          <w:sz w:val="20"/>
          <w:szCs w:val="20"/>
          <w:color w:val="auto"/>
        </w:rPr>
      </w:pPr>
    </w:p>
    <w:p>
      <w:pPr>
        <w:ind w:left="7800"/>
        <w:spacing w:after="0"/>
        <w:rPr>
          <w:sz w:val="20"/>
          <w:szCs w:val="20"/>
          <w:color w:val="auto"/>
        </w:rPr>
      </w:pPr>
      <w:r>
        <w:rPr>
          <w:rFonts w:ascii="Verdana" w:cs="Verdana" w:eastAsia="Verdana" w:hAnsi="Verdana"/>
          <w:sz w:val="17"/>
          <w:szCs w:val="17"/>
          <w:color w:val="808285"/>
        </w:rPr>
        <w:t xml:space="preserve">First Busey Corporation (BUSE) | </w:t>
      </w:r>
      <w:r>
        <w:rPr>
          <w:rFonts w:ascii="Verdana" w:cs="Verdana" w:eastAsia="Verdana" w:hAnsi="Verdana"/>
          <w:sz w:val="17"/>
          <w:szCs w:val="17"/>
          <w:b w:val="1"/>
          <w:bCs w:val="1"/>
          <w:color w:val="376484"/>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14" w:name="page115"/>
    <w:bookmarkEnd w:id="11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ITEM 6. EXHIBITS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40" w:type="dxa"/>
            <w:vAlign w:val="bottom"/>
            <w:tcBorders>
              <w:bottom w:val="single" w:sz="8" w:color="auto"/>
            </w:tcBorders>
            <w:gridSpan w:val="7"/>
          </w:tcPr>
          <w:p>
            <w:pPr>
              <w:ind w:left="1280"/>
              <w:spacing w:after="0"/>
              <w:rPr>
                <w:sz w:val="20"/>
                <w:szCs w:val="20"/>
                <w:color w:val="auto"/>
              </w:rPr>
            </w:pPr>
            <w:r>
              <w:rPr>
                <w:rFonts w:ascii="Verdana" w:cs="Verdana" w:eastAsia="Verdana" w:hAnsi="Verdana"/>
                <w:sz w:val="13"/>
                <w:szCs w:val="13"/>
                <w:b w:val="1"/>
                <w:bCs w:val="1"/>
                <w:color w:val="auto"/>
                <w:w w:val="96"/>
              </w:rPr>
              <w:t>Incorporated herein by reference</w:t>
            </w:r>
          </w:p>
        </w:tc>
        <w:tc>
          <w:tcPr>
            <w:tcW w:w="1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220" w:type="dxa"/>
            <w:vAlign w:val="bottom"/>
            <w:gridSpan w:val="2"/>
          </w:tcPr>
          <w:p>
            <w:pPr>
              <w:ind w:left="320"/>
              <w:spacing w:after="0" w:line="122" w:lineRule="exact"/>
              <w:rPr>
                <w:sz w:val="20"/>
                <w:szCs w:val="20"/>
                <w:color w:val="auto"/>
              </w:rPr>
            </w:pPr>
            <w:r>
              <w:rPr>
                <w:rFonts w:ascii="Verdana" w:cs="Verdana" w:eastAsia="Verdana" w:hAnsi="Verdana"/>
                <w:sz w:val="13"/>
                <w:szCs w:val="13"/>
                <w:b w:val="1"/>
                <w:bCs w:val="1"/>
                <w:color w:val="auto"/>
              </w:rPr>
              <w:t>Exhibit</w:t>
            </w: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60" w:type="dxa"/>
            <w:vAlign w:val="bottom"/>
            <w:gridSpan w:val="16"/>
            <w:vMerge w:val="restart"/>
          </w:tcPr>
          <w:p>
            <w:pPr>
              <w:ind w:left="560"/>
              <w:spacing w:after="0"/>
              <w:rPr>
                <w:sz w:val="20"/>
                <w:szCs w:val="20"/>
                <w:color w:val="auto"/>
              </w:rPr>
            </w:pPr>
            <w:r>
              <w:rPr>
                <w:rFonts w:ascii="Verdana" w:cs="Verdana" w:eastAsia="Verdana" w:hAnsi="Verdana"/>
                <w:sz w:val="13"/>
                <w:szCs w:val="13"/>
                <w:b w:val="1"/>
                <w:bCs w:val="1"/>
                <w:color w:val="auto"/>
              </w:rPr>
              <w:t>Description of Exhibit</w:t>
            </w:r>
          </w:p>
        </w:tc>
        <w:tc>
          <w:tcPr>
            <w:tcW w:w="100" w:type="dxa"/>
            <w:vAlign w:val="bottom"/>
            <w:vMerge w:val="restart"/>
          </w:tcPr>
          <w:p>
            <w:pPr>
              <w:spacing w:after="0"/>
              <w:rPr>
                <w:sz w:val="10"/>
                <w:szCs w:val="10"/>
                <w:color w:val="auto"/>
              </w:rPr>
            </w:pPr>
          </w:p>
        </w:tc>
        <w:tc>
          <w:tcPr>
            <w:tcW w:w="1660" w:type="dxa"/>
            <w:vAlign w:val="bottom"/>
            <w:gridSpan w:val="2"/>
          </w:tcPr>
          <w:p>
            <w:pPr>
              <w:jc w:val="center"/>
              <w:ind w:right="120"/>
              <w:spacing w:after="0" w:line="122" w:lineRule="exact"/>
              <w:rPr>
                <w:sz w:val="20"/>
                <w:szCs w:val="20"/>
                <w:color w:val="auto"/>
              </w:rPr>
            </w:pPr>
            <w:r>
              <w:rPr>
                <w:rFonts w:ascii="Verdana" w:cs="Verdana" w:eastAsia="Verdana" w:hAnsi="Verdana"/>
                <w:sz w:val="13"/>
                <w:szCs w:val="13"/>
                <w:b w:val="1"/>
                <w:bCs w:val="1"/>
                <w:color w:val="auto"/>
                <w:w w:val="97"/>
              </w:rPr>
              <w:t>Filing Entity1</w:t>
            </w:r>
          </w:p>
        </w:tc>
        <w:tc>
          <w:tcPr>
            <w:tcW w:w="780" w:type="dxa"/>
            <w:vAlign w:val="bottom"/>
            <w:vMerge w:val="restart"/>
          </w:tcPr>
          <w:p>
            <w:pPr>
              <w:ind w:left="200"/>
              <w:spacing w:after="0"/>
              <w:rPr>
                <w:sz w:val="20"/>
                <w:szCs w:val="20"/>
                <w:color w:val="auto"/>
              </w:rPr>
            </w:pPr>
            <w:r>
              <w:rPr>
                <w:rFonts w:ascii="Verdana" w:cs="Verdana" w:eastAsia="Verdana" w:hAnsi="Verdana"/>
                <w:sz w:val="13"/>
                <w:szCs w:val="13"/>
                <w:b w:val="1"/>
                <w:bCs w:val="1"/>
                <w:color w:val="auto"/>
              </w:rPr>
              <w:t>Form</w:t>
            </w:r>
          </w:p>
        </w:tc>
        <w:tc>
          <w:tcPr>
            <w:tcW w:w="100" w:type="dxa"/>
            <w:vAlign w:val="bottom"/>
            <w:vMerge w:val="restart"/>
          </w:tcPr>
          <w:p>
            <w:pPr>
              <w:spacing w:after="0"/>
              <w:rPr>
                <w:sz w:val="10"/>
                <w:szCs w:val="10"/>
                <w:color w:val="auto"/>
              </w:rPr>
            </w:pPr>
          </w:p>
        </w:tc>
        <w:tc>
          <w:tcPr>
            <w:tcW w:w="820" w:type="dxa"/>
            <w:vAlign w:val="bottom"/>
            <w:vMerge w:val="restart"/>
          </w:tcPr>
          <w:p>
            <w:pPr>
              <w:ind w:left="160"/>
              <w:spacing w:after="0"/>
              <w:rPr>
                <w:sz w:val="20"/>
                <w:szCs w:val="20"/>
                <w:color w:val="auto"/>
              </w:rPr>
            </w:pPr>
            <w:r>
              <w:rPr>
                <w:rFonts w:ascii="Verdana" w:cs="Verdana" w:eastAsia="Verdana" w:hAnsi="Verdana"/>
                <w:sz w:val="13"/>
                <w:szCs w:val="13"/>
                <w:b w:val="1"/>
                <w:bCs w:val="1"/>
                <w:color w:val="auto"/>
              </w:rPr>
              <w:t>Exhibit</w:t>
            </w:r>
          </w:p>
        </w:tc>
        <w:tc>
          <w:tcPr>
            <w:tcW w:w="80" w:type="dxa"/>
            <w:vAlign w:val="bottom"/>
            <w:vMerge w:val="restart"/>
          </w:tcPr>
          <w:p>
            <w:pPr>
              <w:spacing w:after="0"/>
              <w:rPr>
                <w:sz w:val="10"/>
                <w:szCs w:val="10"/>
                <w:color w:val="auto"/>
              </w:rPr>
            </w:pPr>
          </w:p>
        </w:tc>
        <w:tc>
          <w:tcPr>
            <w:tcW w:w="200" w:type="dxa"/>
            <w:vAlign w:val="bottom"/>
            <w:vMerge w:val="restart"/>
          </w:tcPr>
          <w:p>
            <w:pPr>
              <w:spacing w:after="0"/>
              <w:rPr>
                <w:sz w:val="10"/>
                <w:szCs w:val="10"/>
                <w:color w:val="auto"/>
              </w:rPr>
            </w:pPr>
          </w:p>
        </w:tc>
        <w:tc>
          <w:tcPr>
            <w:tcW w:w="1280" w:type="dxa"/>
            <w:vAlign w:val="bottom"/>
            <w:vMerge w:val="restart"/>
          </w:tcPr>
          <w:p>
            <w:pPr>
              <w:jc w:val="center"/>
              <w:ind w:right="119"/>
              <w:spacing w:after="0"/>
              <w:rPr>
                <w:sz w:val="20"/>
                <w:szCs w:val="20"/>
                <w:color w:val="auto"/>
              </w:rPr>
            </w:pPr>
            <w:r>
              <w:rPr>
                <w:rFonts w:ascii="Verdana" w:cs="Verdana" w:eastAsia="Verdana" w:hAnsi="Verdana"/>
                <w:sz w:val="13"/>
                <w:szCs w:val="13"/>
                <w:b w:val="1"/>
                <w:bCs w:val="1"/>
                <w:color w:val="auto"/>
                <w:w w:val="96"/>
              </w:rPr>
              <w:t>Filing Date</w:t>
            </w:r>
          </w:p>
        </w:tc>
        <w:tc>
          <w:tcPr>
            <w:tcW w:w="100" w:type="dxa"/>
            <w:vAlign w:val="bottom"/>
            <w:vMerge w:val="restart"/>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Verdana" w:cs="Verdana" w:eastAsia="Verdana" w:hAnsi="Verdana"/>
                <w:sz w:val="13"/>
                <w:szCs w:val="13"/>
                <w:b w:val="1"/>
                <w:bCs w:val="1"/>
                <w:color w:val="auto"/>
                <w:w w:val="96"/>
              </w:rPr>
              <w:t>Filed</w:t>
            </w:r>
          </w:p>
        </w:tc>
        <w:tc>
          <w:tcPr>
            <w:tcW w:w="0" w:type="dxa"/>
            <w:vAlign w:val="bottom"/>
          </w:tcPr>
          <w:p>
            <w:pPr>
              <w:spacing w:after="0"/>
              <w:rPr>
                <w:sz w:val="1"/>
                <w:szCs w:val="1"/>
                <w:color w:val="auto"/>
              </w:rPr>
            </w:pPr>
          </w:p>
        </w:tc>
      </w:tr>
      <w:tr>
        <w:trPr>
          <w:trHeight w:val="170"/>
        </w:trPr>
        <w:tc>
          <w:tcPr>
            <w:tcW w:w="1120" w:type="dxa"/>
            <w:vAlign w:val="bottom"/>
            <w:tcBorders>
              <w:bottom w:val="single" w:sz="8" w:color="auto"/>
            </w:tcBorders>
          </w:tcPr>
          <w:p>
            <w:pPr>
              <w:ind w:left="280"/>
              <w:spacing w:after="0"/>
              <w:rPr>
                <w:sz w:val="20"/>
                <w:szCs w:val="20"/>
                <w:color w:val="auto"/>
              </w:rPr>
            </w:pPr>
            <w:r>
              <w:rPr>
                <w:rFonts w:ascii="Verdana" w:cs="Verdana" w:eastAsia="Verdana" w:hAnsi="Verdana"/>
                <w:sz w:val="13"/>
                <w:szCs w:val="13"/>
                <w:b w:val="1"/>
                <w:bCs w:val="1"/>
                <w:color w:val="auto"/>
              </w:rPr>
              <w:t>Number</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16"/>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8"/>
              </w:rPr>
              <w:t>(File No.)</w:t>
            </w:r>
          </w:p>
        </w:tc>
        <w:tc>
          <w:tcPr>
            <w:tcW w:w="10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8"/>
              </w:rPr>
              <w:t>Herewith</w:t>
            </w:r>
          </w:p>
        </w:tc>
        <w:tc>
          <w:tcPr>
            <w:tcW w:w="0" w:type="dxa"/>
            <w:vAlign w:val="bottom"/>
          </w:tcPr>
          <w:p>
            <w:pPr>
              <w:spacing w:after="0"/>
              <w:rPr>
                <w:sz w:val="1"/>
                <w:szCs w:val="1"/>
                <w:color w:val="auto"/>
              </w:rPr>
            </w:pPr>
          </w:p>
        </w:tc>
      </w:tr>
      <w:tr>
        <w:trPr>
          <w:trHeight w:val="215"/>
        </w:trPr>
        <w:tc>
          <w:tcPr>
            <w:tcW w:w="1120" w:type="dxa"/>
            <w:vAlign w:val="bottom"/>
          </w:tcPr>
          <w:p>
            <w:pPr>
              <w:ind w:left="20"/>
              <w:spacing w:after="0" w:line="215" w:lineRule="exact"/>
              <w:rPr>
                <w:sz w:val="20"/>
                <w:szCs w:val="20"/>
                <w:color w:val="auto"/>
              </w:rPr>
            </w:pPr>
            <w:r>
              <w:rPr>
                <w:rFonts w:ascii="Verdana" w:cs="Verdana" w:eastAsia="Verdana" w:hAnsi="Verdana"/>
                <w:sz w:val="18"/>
                <w:szCs w:val="18"/>
                <w:color w:val="auto"/>
              </w:rPr>
              <w:t>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80" w:type="dxa"/>
            <w:vAlign w:val="bottom"/>
            <w:tcBorders>
              <w:bottom w:val="single" w:sz="8" w:color="0000FF"/>
            </w:tcBorders>
            <w:gridSpan w:val="9"/>
          </w:tcPr>
          <w:p>
            <w:pPr>
              <w:spacing w:after="0" w:line="215" w:lineRule="exact"/>
              <w:rPr>
                <w:rFonts w:ascii="Verdana" w:cs="Verdana" w:eastAsia="Verdana" w:hAnsi="Verdana"/>
                <w:sz w:val="18"/>
                <w:szCs w:val="18"/>
                <w:color w:val="0000FF"/>
                <w:w w:val="98"/>
              </w:rPr>
            </w:pPr>
            <w:hyperlink r:id="rId147">
              <w:r>
                <w:rPr>
                  <w:rFonts w:ascii="Verdana" w:cs="Verdana" w:eastAsia="Verdana" w:hAnsi="Verdana"/>
                  <w:sz w:val="18"/>
                  <w:szCs w:val="18"/>
                  <w:color w:val="0000FF"/>
                  <w:w w:val="98"/>
                </w:rPr>
                <w:t>Agreement and Plan of Merger, dated</w:t>
              </w:r>
            </w:hyperlink>
          </w:p>
        </w:tc>
        <w:tc>
          <w:tcPr>
            <w:tcW w:w="580" w:type="dxa"/>
            <w:vAlign w:val="bottom"/>
            <w:gridSpan w:val="10"/>
          </w:tcPr>
          <w:p>
            <w:pPr>
              <w:spacing w:after="0"/>
              <w:rPr>
                <w:sz w:val="18"/>
                <w:szCs w:val="18"/>
                <w:color w:val="auto"/>
              </w:rPr>
            </w:pPr>
          </w:p>
        </w:tc>
        <w:tc>
          <w:tcPr>
            <w:tcW w:w="1660" w:type="dxa"/>
            <w:vAlign w:val="bottom"/>
            <w:gridSpan w:val="2"/>
          </w:tcPr>
          <w:p>
            <w:pPr>
              <w:jc w:val="center"/>
              <w:ind w:right="120"/>
              <w:spacing w:after="0" w:line="215" w:lineRule="exact"/>
              <w:rPr>
                <w:sz w:val="20"/>
                <w:szCs w:val="20"/>
                <w:color w:val="auto"/>
              </w:rPr>
            </w:pPr>
            <w:r>
              <w:rPr>
                <w:rFonts w:ascii="Verdana" w:cs="Verdana" w:eastAsia="Verdana" w:hAnsi="Verdana"/>
                <w:sz w:val="18"/>
                <w:szCs w:val="18"/>
                <w:color w:val="auto"/>
              </w:rPr>
              <w:t>BUSE</w:t>
            </w:r>
          </w:p>
        </w:tc>
        <w:tc>
          <w:tcPr>
            <w:tcW w:w="880" w:type="dxa"/>
            <w:vAlign w:val="bottom"/>
            <w:gridSpan w:val="2"/>
          </w:tcPr>
          <w:p>
            <w:pPr>
              <w:ind w:left="240"/>
              <w:spacing w:after="0" w:line="215" w:lineRule="exact"/>
              <w:rPr>
                <w:sz w:val="20"/>
                <w:szCs w:val="20"/>
                <w:color w:val="auto"/>
              </w:rPr>
            </w:pPr>
            <w:r>
              <w:rPr>
                <w:rFonts w:ascii="Verdana" w:cs="Verdana" w:eastAsia="Verdana" w:hAnsi="Verdana"/>
                <w:sz w:val="18"/>
                <w:szCs w:val="18"/>
                <w:color w:val="auto"/>
              </w:rPr>
              <w:t>8-K</w:t>
            </w:r>
          </w:p>
        </w:tc>
        <w:tc>
          <w:tcPr>
            <w:tcW w:w="820" w:type="dxa"/>
            <w:vAlign w:val="bottom"/>
          </w:tcPr>
          <w:p>
            <w:pPr>
              <w:jc w:val="right"/>
              <w:ind w:right="179"/>
              <w:spacing w:after="0" w:line="215" w:lineRule="exact"/>
              <w:rPr>
                <w:sz w:val="20"/>
                <w:szCs w:val="20"/>
                <w:color w:val="auto"/>
              </w:rPr>
            </w:pPr>
            <w:r>
              <w:rPr>
                <w:rFonts w:ascii="Verdana" w:cs="Verdana" w:eastAsia="Verdana" w:hAnsi="Verdana"/>
                <w:sz w:val="18"/>
                <w:szCs w:val="18"/>
                <w:color w:val="auto"/>
              </w:rPr>
              <w:t>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9"/>
              <w:spacing w:after="0" w:line="215" w:lineRule="exact"/>
              <w:rPr>
                <w:sz w:val="20"/>
                <w:szCs w:val="20"/>
                <w:color w:val="auto"/>
              </w:rPr>
            </w:pPr>
            <w:r>
              <w:rPr>
                <w:rFonts w:ascii="Verdana" w:cs="Verdana" w:eastAsia="Verdana" w:hAnsi="Verdana"/>
                <w:sz w:val="18"/>
                <w:szCs w:val="18"/>
                <w:color w:val="auto"/>
                <w:w w:val="99"/>
              </w:rPr>
              <w:t>08/27/2024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tcBorders>
              <w:bottom w:val="single" w:sz="8" w:color="0000FF"/>
            </w:tcBorders>
            <w:gridSpan w:val="11"/>
          </w:tcPr>
          <w:p>
            <w:pPr>
              <w:spacing w:after="0" w:line="196" w:lineRule="exact"/>
              <w:rPr>
                <w:rFonts w:ascii="Verdana" w:cs="Verdana" w:eastAsia="Verdana" w:hAnsi="Verdana"/>
                <w:sz w:val="18"/>
                <w:szCs w:val="18"/>
                <w:color w:val="0000FF"/>
                <w:w w:val="99"/>
              </w:rPr>
            </w:pPr>
            <w:hyperlink r:id="rId147">
              <w:r>
                <w:rPr>
                  <w:rFonts w:ascii="Verdana" w:cs="Verdana" w:eastAsia="Verdana" w:hAnsi="Verdana"/>
                  <w:sz w:val="18"/>
                  <w:szCs w:val="18"/>
                  <w:color w:val="0000FF"/>
                  <w:w w:val="99"/>
                </w:rPr>
                <w:t>August 26, 2024, by and between First</w:t>
              </w:r>
            </w:hyperlink>
          </w:p>
        </w:tc>
        <w:tc>
          <w:tcPr>
            <w:tcW w:w="420" w:type="dxa"/>
            <w:vAlign w:val="bottom"/>
            <w:gridSpan w:val="8"/>
          </w:tcPr>
          <w:p>
            <w:pPr>
              <w:spacing w:after="0"/>
              <w:rPr>
                <w:sz w:val="17"/>
                <w:szCs w:val="17"/>
                <w:color w:val="auto"/>
              </w:rPr>
            </w:pPr>
          </w:p>
        </w:tc>
        <w:tc>
          <w:tcPr>
            <w:tcW w:w="1560" w:type="dxa"/>
            <w:vAlign w:val="bottom"/>
          </w:tcPr>
          <w:p>
            <w:pPr>
              <w:jc w:val="center"/>
              <w:spacing w:after="0" w:line="196" w:lineRule="exact"/>
              <w:rPr>
                <w:sz w:val="20"/>
                <w:szCs w:val="20"/>
                <w:color w:val="auto"/>
              </w:rPr>
            </w:pPr>
            <w:r>
              <w:rPr>
                <w:rFonts w:ascii="Verdana" w:cs="Verdana" w:eastAsia="Verdana" w:hAnsi="Verdana"/>
                <w:sz w:val="18"/>
                <w:szCs w:val="18"/>
                <w:color w:val="auto"/>
                <w:w w:val="99"/>
              </w:rPr>
              <w:t>(000-15950)</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gridSpan w:val="19"/>
          </w:tcPr>
          <w:p>
            <w:pPr>
              <w:spacing w:after="0" w:line="196" w:lineRule="exact"/>
              <w:rPr>
                <w:rFonts w:ascii="Verdana" w:cs="Verdana" w:eastAsia="Verdana" w:hAnsi="Verdana"/>
                <w:sz w:val="18"/>
                <w:szCs w:val="18"/>
                <w:color w:val="0000FF"/>
              </w:rPr>
            </w:pPr>
            <w:hyperlink r:id="rId147">
              <w:r>
                <w:rPr>
                  <w:rFonts w:ascii="Verdana" w:cs="Verdana" w:eastAsia="Verdana" w:hAnsi="Verdana"/>
                  <w:sz w:val="18"/>
                  <w:szCs w:val="18"/>
                  <w:color w:val="0000FF"/>
                </w:rPr>
                <w:t>Busey Corporation and CrossFirst</w:t>
              </w:r>
            </w:hyperlink>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20" w:type="dxa"/>
            <w:vAlign w:val="bottom"/>
            <w:tcBorders>
              <w:top w:val="single" w:sz="8" w:color="0000FF"/>
            </w:tcBorders>
            <w:gridSpan w:val="4"/>
          </w:tcPr>
          <w:p>
            <w:pPr>
              <w:spacing w:after="0" w:line="196" w:lineRule="exact"/>
              <w:rPr>
                <w:rFonts w:ascii="Verdana" w:cs="Verdana" w:eastAsia="Verdana" w:hAnsi="Verdana"/>
                <w:sz w:val="18"/>
                <w:szCs w:val="18"/>
                <w:color w:val="0000FF"/>
              </w:rPr>
            </w:pPr>
            <w:hyperlink r:id="rId147">
              <w:r>
                <w:rPr>
                  <w:rFonts w:ascii="Verdana" w:cs="Verdana" w:eastAsia="Verdana" w:hAnsi="Verdana"/>
                  <w:sz w:val="18"/>
                  <w:szCs w:val="18"/>
                  <w:color w:val="0000FF"/>
                </w:rPr>
                <w:t>Bankshares, Inc.</w:t>
              </w:r>
            </w:hyperlink>
          </w:p>
        </w:tc>
        <w:tc>
          <w:tcPr>
            <w:tcW w:w="940" w:type="dxa"/>
            <w:vAlign w:val="bottom"/>
            <w:gridSpan w:val="15"/>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20" w:type="dxa"/>
            <w:vAlign w:val="bottom"/>
          </w:tcPr>
          <w:p>
            <w:pPr>
              <w:ind w:left="20"/>
              <w:spacing w:after="0"/>
              <w:rPr>
                <w:sz w:val="20"/>
                <w:szCs w:val="20"/>
                <w:color w:val="auto"/>
              </w:rPr>
            </w:pPr>
            <w:r>
              <w:rPr>
                <w:rFonts w:ascii="Verdana" w:cs="Verdana" w:eastAsia="Verdana" w:hAnsi="Verdana"/>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Borders>
              <w:bottom w:val="single" w:sz="8" w:color="0000FF"/>
            </w:tcBorders>
            <w:gridSpan w:val="8"/>
          </w:tcPr>
          <w:p>
            <w:pPr>
              <w:spacing w:after="0"/>
              <w:rPr>
                <w:rFonts w:ascii="Verdana" w:cs="Verdana" w:eastAsia="Verdana" w:hAnsi="Verdana"/>
                <w:sz w:val="18"/>
                <w:szCs w:val="18"/>
                <w:color w:val="0000FF"/>
                <w:w w:val="99"/>
              </w:rPr>
            </w:pPr>
            <w:hyperlink r:id="rId148">
              <w:r>
                <w:rPr>
                  <w:rFonts w:ascii="Verdana" w:cs="Verdana" w:eastAsia="Verdana" w:hAnsi="Verdana"/>
                  <w:sz w:val="18"/>
                  <w:szCs w:val="18"/>
                  <w:color w:val="0000FF"/>
                  <w:w w:val="99"/>
                </w:rPr>
                <w:t>Letter Agreement, dated August 26,</w:t>
              </w:r>
            </w:hyperlink>
          </w:p>
        </w:tc>
        <w:tc>
          <w:tcPr>
            <w:tcW w:w="680" w:type="dxa"/>
            <w:vAlign w:val="bottom"/>
            <w:gridSpan w:val="11"/>
          </w:tcPr>
          <w:p>
            <w:pPr>
              <w:spacing w:after="0"/>
              <w:rPr>
                <w:sz w:val="24"/>
                <w:szCs w:val="24"/>
                <w:color w:val="auto"/>
              </w:rPr>
            </w:pPr>
          </w:p>
        </w:tc>
        <w:tc>
          <w:tcPr>
            <w:tcW w:w="1660" w:type="dxa"/>
            <w:vAlign w:val="bottom"/>
            <w:gridSpan w:val="2"/>
          </w:tcPr>
          <w:p>
            <w:pPr>
              <w:jc w:val="center"/>
              <w:ind w:right="120"/>
              <w:spacing w:after="0"/>
              <w:rPr>
                <w:sz w:val="20"/>
                <w:szCs w:val="20"/>
                <w:color w:val="auto"/>
              </w:rPr>
            </w:pPr>
            <w:r>
              <w:rPr>
                <w:rFonts w:ascii="Verdana" w:cs="Verdana" w:eastAsia="Verdana" w:hAnsi="Verdana"/>
                <w:sz w:val="18"/>
                <w:szCs w:val="18"/>
                <w:color w:val="auto"/>
              </w:rPr>
              <w:t>BUSE</w:t>
            </w:r>
          </w:p>
        </w:tc>
        <w:tc>
          <w:tcPr>
            <w:tcW w:w="880" w:type="dxa"/>
            <w:vAlign w:val="bottom"/>
            <w:gridSpan w:val="2"/>
          </w:tcPr>
          <w:p>
            <w:pPr>
              <w:ind w:left="240"/>
              <w:spacing w:after="0"/>
              <w:rPr>
                <w:sz w:val="20"/>
                <w:szCs w:val="20"/>
                <w:color w:val="auto"/>
              </w:rPr>
            </w:pPr>
            <w:r>
              <w:rPr>
                <w:rFonts w:ascii="Verdana" w:cs="Verdana" w:eastAsia="Verdana" w:hAnsi="Verdana"/>
                <w:sz w:val="18"/>
                <w:szCs w:val="18"/>
                <w:color w:val="auto"/>
              </w:rPr>
              <w:t>8-K</w:t>
            </w:r>
          </w:p>
        </w:tc>
        <w:tc>
          <w:tcPr>
            <w:tcW w:w="820" w:type="dxa"/>
            <w:vAlign w:val="bottom"/>
          </w:tcPr>
          <w:p>
            <w:pPr>
              <w:jc w:val="right"/>
              <w:ind w:right="119"/>
              <w:spacing w:after="0"/>
              <w:rPr>
                <w:sz w:val="20"/>
                <w:szCs w:val="20"/>
                <w:color w:val="auto"/>
              </w:rPr>
            </w:pPr>
            <w:r>
              <w:rPr>
                <w:rFonts w:ascii="Verdana" w:cs="Verdana" w:eastAsia="Verdana" w:hAnsi="Verdana"/>
                <w:sz w:val="18"/>
                <w:szCs w:val="18"/>
                <w:color w:val="auto"/>
              </w:rPr>
              <w:t>10.1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center"/>
              <w:ind w:right="119"/>
              <w:spacing w:after="0"/>
              <w:rPr>
                <w:sz w:val="20"/>
                <w:szCs w:val="20"/>
                <w:color w:val="auto"/>
              </w:rPr>
            </w:pPr>
            <w:r>
              <w:rPr>
                <w:rFonts w:ascii="Verdana" w:cs="Verdana" w:eastAsia="Verdana" w:hAnsi="Verdana"/>
                <w:sz w:val="18"/>
                <w:szCs w:val="18"/>
                <w:color w:val="auto"/>
                <w:w w:val="99"/>
              </w:rPr>
              <w:t>08/27/2024</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00" w:type="dxa"/>
            <w:vAlign w:val="bottom"/>
            <w:tcBorders>
              <w:bottom w:val="single" w:sz="8" w:color="0000FF"/>
            </w:tcBorders>
            <w:gridSpan w:val="6"/>
          </w:tcPr>
          <w:p>
            <w:pPr>
              <w:spacing w:after="0" w:line="196" w:lineRule="exact"/>
              <w:rPr>
                <w:rFonts w:ascii="Verdana" w:cs="Verdana" w:eastAsia="Verdana" w:hAnsi="Verdana"/>
                <w:sz w:val="18"/>
                <w:szCs w:val="18"/>
                <w:color w:val="0000FF"/>
                <w:w w:val="99"/>
              </w:rPr>
            </w:pPr>
            <w:hyperlink r:id="rId148">
              <w:r>
                <w:rPr>
                  <w:rFonts w:ascii="Verdana" w:cs="Verdana" w:eastAsia="Verdana" w:hAnsi="Verdana"/>
                  <w:sz w:val="18"/>
                  <w:szCs w:val="18"/>
                  <w:color w:val="0000FF"/>
                  <w:w w:val="99"/>
                </w:rPr>
                <w:t>2024, by and between First Busey</w:t>
              </w:r>
            </w:hyperlink>
          </w:p>
        </w:tc>
        <w:tc>
          <w:tcPr>
            <w:tcW w:w="860" w:type="dxa"/>
            <w:vAlign w:val="bottom"/>
            <w:gridSpan w:val="13"/>
          </w:tcPr>
          <w:p>
            <w:pPr>
              <w:spacing w:after="0"/>
              <w:rPr>
                <w:sz w:val="17"/>
                <w:szCs w:val="17"/>
                <w:color w:val="auto"/>
              </w:rPr>
            </w:pPr>
          </w:p>
        </w:tc>
        <w:tc>
          <w:tcPr>
            <w:tcW w:w="1560" w:type="dxa"/>
            <w:vAlign w:val="bottom"/>
          </w:tcPr>
          <w:p>
            <w:pPr>
              <w:jc w:val="center"/>
              <w:spacing w:after="0" w:line="196" w:lineRule="exact"/>
              <w:rPr>
                <w:sz w:val="20"/>
                <w:szCs w:val="20"/>
                <w:color w:val="auto"/>
              </w:rPr>
            </w:pPr>
            <w:r>
              <w:rPr>
                <w:rFonts w:ascii="Verdana" w:cs="Verdana" w:eastAsia="Verdana" w:hAnsi="Verdana"/>
                <w:sz w:val="18"/>
                <w:szCs w:val="18"/>
                <w:color w:val="auto"/>
                <w:w w:val="99"/>
              </w:rPr>
              <w:t>(000-15950)</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40" w:type="dxa"/>
            <w:vAlign w:val="bottom"/>
            <w:tcBorders>
              <w:bottom w:val="single" w:sz="8" w:color="0000FF"/>
            </w:tcBorders>
            <w:gridSpan w:val="5"/>
          </w:tcPr>
          <w:p>
            <w:pPr>
              <w:spacing w:after="0" w:line="196" w:lineRule="exact"/>
              <w:rPr>
                <w:rFonts w:ascii="Verdana" w:cs="Verdana" w:eastAsia="Verdana" w:hAnsi="Verdana"/>
                <w:sz w:val="18"/>
                <w:szCs w:val="18"/>
                <w:color w:val="0000FF"/>
                <w:w w:val="99"/>
              </w:rPr>
            </w:pPr>
            <w:hyperlink r:id="rId148">
              <w:r>
                <w:rPr>
                  <w:rFonts w:ascii="Verdana" w:cs="Verdana" w:eastAsia="Verdana" w:hAnsi="Verdana"/>
                  <w:sz w:val="18"/>
                  <w:szCs w:val="18"/>
                  <w:color w:val="0000FF"/>
                  <w:w w:val="99"/>
                </w:rPr>
                <w:t>Corporation and Van A. Dukeman</w:t>
              </w:r>
            </w:hyperlink>
          </w:p>
        </w:tc>
        <w:tc>
          <w:tcPr>
            <w:tcW w:w="920" w:type="dxa"/>
            <w:vAlign w:val="bottom"/>
            <w:gridSpan w:val="14"/>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20" w:type="dxa"/>
            <w:vAlign w:val="bottom"/>
          </w:tcPr>
          <w:p>
            <w:pPr>
              <w:ind w:left="20"/>
              <w:spacing w:after="0"/>
              <w:rPr>
                <w:sz w:val="20"/>
                <w:szCs w:val="20"/>
                <w:color w:val="auto"/>
              </w:rPr>
            </w:pPr>
            <w:r>
              <w:rPr>
                <w:rFonts w:ascii="Verdana" w:cs="Verdana" w:eastAsia="Verdana" w:hAnsi="Verdana"/>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Borders>
              <w:bottom w:val="single" w:sz="8" w:color="0000FF"/>
            </w:tcBorders>
            <w:gridSpan w:val="16"/>
          </w:tcPr>
          <w:p>
            <w:pPr>
              <w:spacing w:after="0"/>
              <w:rPr>
                <w:sz w:val="20"/>
                <w:szCs w:val="20"/>
                <w:color w:val="auto"/>
              </w:rPr>
            </w:pPr>
            <w:r>
              <w:rPr>
                <w:rFonts w:ascii="Verdana" w:cs="Verdana" w:eastAsia="Verdana" w:hAnsi="Verdana"/>
                <w:sz w:val="18"/>
                <w:szCs w:val="18"/>
                <w:color w:val="0000FF"/>
                <w:w w:val="98"/>
              </w:rPr>
              <w:t>Certification of Principal Executive Officer,</w:t>
            </w:r>
          </w:p>
        </w:tc>
        <w:tc>
          <w:tcPr>
            <w:tcW w:w="180" w:type="dxa"/>
            <w:vAlign w:val="bottom"/>
            <w:gridSpan w:val="3"/>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Verdana" w:cs="Verdana" w:eastAsia="Verdana" w:hAnsi="Verdana"/>
                <w:sz w:val="18"/>
                <w:szCs w:val="18"/>
                <w:color w:val="auto"/>
                <w:w w:val="96"/>
              </w:rPr>
              <w:t>X</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gridSpan w:val="19"/>
          </w:tcPr>
          <w:p>
            <w:pPr>
              <w:spacing w:after="0" w:line="196" w:lineRule="exact"/>
              <w:rPr>
                <w:sz w:val="20"/>
                <w:szCs w:val="20"/>
                <w:color w:val="auto"/>
              </w:rPr>
            </w:pPr>
            <w:r>
              <w:rPr>
                <w:rFonts w:ascii="Verdana" w:cs="Verdana" w:eastAsia="Verdana" w:hAnsi="Verdana"/>
                <w:sz w:val="18"/>
                <w:szCs w:val="18"/>
                <w:color w:val="0000FF"/>
              </w:rPr>
              <w:t>pursuant to Rule 13a-14(a) and Rule 15d-</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tcBorders>
              <w:top w:val="single" w:sz="8" w:color="0000FF"/>
            </w:tcBorders>
            <w:gridSpan w:val="17"/>
          </w:tcPr>
          <w:p>
            <w:pPr>
              <w:spacing w:after="0" w:line="196" w:lineRule="exact"/>
              <w:rPr>
                <w:sz w:val="20"/>
                <w:szCs w:val="20"/>
                <w:color w:val="auto"/>
              </w:rPr>
            </w:pPr>
            <w:r>
              <w:rPr>
                <w:rFonts w:ascii="Verdana" w:cs="Verdana" w:eastAsia="Verdana" w:hAnsi="Verdana"/>
                <w:sz w:val="18"/>
                <w:szCs w:val="18"/>
                <w:color w:val="0000FF"/>
              </w:rPr>
              <w:t>14(a)</w:t>
            </w:r>
          </w:p>
        </w:tc>
        <w:tc>
          <w:tcPr>
            <w:tcW w:w="140" w:type="dxa"/>
            <w:vAlign w:val="bottom"/>
            <w:gridSpan w:val="2"/>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20" w:type="dxa"/>
            <w:vAlign w:val="bottom"/>
          </w:tcPr>
          <w:p>
            <w:pPr>
              <w:ind w:left="20"/>
              <w:spacing w:after="0"/>
              <w:rPr>
                <w:sz w:val="20"/>
                <w:szCs w:val="20"/>
                <w:color w:val="auto"/>
              </w:rPr>
            </w:pPr>
            <w:r>
              <w:rPr>
                <w:rFonts w:ascii="Verdana" w:cs="Verdana" w:eastAsia="Verdana" w:hAnsi="Verdana"/>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00" w:type="dxa"/>
            <w:vAlign w:val="bottom"/>
            <w:tcBorders>
              <w:bottom w:val="single" w:sz="8" w:color="0000FF"/>
            </w:tcBorders>
            <w:gridSpan w:val="14"/>
          </w:tcPr>
          <w:p>
            <w:pPr>
              <w:spacing w:after="0"/>
              <w:rPr>
                <w:sz w:val="20"/>
                <w:szCs w:val="20"/>
                <w:color w:val="auto"/>
              </w:rPr>
            </w:pPr>
            <w:r>
              <w:rPr>
                <w:rFonts w:ascii="Verdana" w:cs="Verdana" w:eastAsia="Verdana" w:hAnsi="Verdana"/>
                <w:sz w:val="18"/>
                <w:szCs w:val="18"/>
                <w:color w:val="0000FF"/>
                <w:w w:val="98"/>
              </w:rPr>
              <w:t>Certification of Principal Financial Officer,</w:t>
            </w:r>
          </w:p>
        </w:tc>
        <w:tc>
          <w:tcPr>
            <w:tcW w:w="260" w:type="dxa"/>
            <w:vAlign w:val="bottom"/>
            <w:gridSpan w:val="5"/>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Verdana" w:cs="Verdana" w:eastAsia="Verdana" w:hAnsi="Verdana"/>
                <w:sz w:val="18"/>
                <w:szCs w:val="18"/>
                <w:color w:val="auto"/>
                <w:w w:val="96"/>
              </w:rPr>
              <w:t>X</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gridSpan w:val="19"/>
          </w:tcPr>
          <w:p>
            <w:pPr>
              <w:spacing w:after="0" w:line="196" w:lineRule="exact"/>
              <w:rPr>
                <w:sz w:val="20"/>
                <w:szCs w:val="20"/>
                <w:color w:val="auto"/>
              </w:rPr>
            </w:pPr>
            <w:r>
              <w:rPr>
                <w:rFonts w:ascii="Verdana" w:cs="Verdana" w:eastAsia="Verdana" w:hAnsi="Verdana"/>
                <w:sz w:val="18"/>
                <w:szCs w:val="18"/>
                <w:color w:val="0000FF"/>
              </w:rPr>
              <w:t>pursuant to Rule 13a-14(a) and Rule 15d-</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tcBorders>
              <w:top w:val="single" w:sz="8" w:color="0000FF"/>
            </w:tcBorders>
            <w:gridSpan w:val="17"/>
          </w:tcPr>
          <w:p>
            <w:pPr>
              <w:spacing w:after="0" w:line="196" w:lineRule="exact"/>
              <w:rPr>
                <w:sz w:val="20"/>
                <w:szCs w:val="20"/>
                <w:color w:val="auto"/>
              </w:rPr>
            </w:pPr>
            <w:r>
              <w:rPr>
                <w:rFonts w:ascii="Verdana" w:cs="Verdana" w:eastAsia="Verdana" w:hAnsi="Verdana"/>
                <w:sz w:val="18"/>
                <w:szCs w:val="18"/>
                <w:color w:val="0000FF"/>
              </w:rPr>
              <w:t>14(a)</w:t>
            </w:r>
          </w:p>
        </w:tc>
        <w:tc>
          <w:tcPr>
            <w:tcW w:w="140" w:type="dxa"/>
            <w:vAlign w:val="bottom"/>
            <w:gridSpan w:val="2"/>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20" w:type="dxa"/>
            <w:vAlign w:val="bottom"/>
          </w:tcPr>
          <w:p>
            <w:pPr>
              <w:ind w:left="20"/>
              <w:spacing w:after="0"/>
              <w:rPr>
                <w:sz w:val="20"/>
                <w:szCs w:val="20"/>
                <w:color w:val="auto"/>
              </w:rPr>
            </w:pPr>
            <w:r>
              <w:rPr>
                <w:rFonts w:ascii="Verdana" w:cs="Verdana" w:eastAsia="Verdana" w:hAnsi="Verdana"/>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60" w:type="dxa"/>
            <w:vAlign w:val="bottom"/>
            <w:gridSpan w:val="19"/>
          </w:tcPr>
          <w:p>
            <w:pPr>
              <w:spacing w:after="0"/>
              <w:rPr>
                <w:sz w:val="20"/>
                <w:szCs w:val="20"/>
                <w:color w:val="auto"/>
              </w:rPr>
            </w:pPr>
            <w:r>
              <w:rPr>
                <w:rFonts w:ascii="Verdana" w:cs="Verdana" w:eastAsia="Verdana" w:hAnsi="Verdana"/>
                <w:sz w:val="18"/>
                <w:szCs w:val="18"/>
                <w:color w:val="0000FF"/>
              </w:rPr>
              <w:t>Certification pursuant to 18 U.S.C.</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Verdana" w:cs="Verdana" w:eastAsia="Verdana" w:hAnsi="Verdana"/>
                <w:sz w:val="18"/>
                <w:szCs w:val="18"/>
                <w:color w:val="auto"/>
                <w:w w:val="96"/>
              </w:rPr>
              <w:t>X</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520" w:type="dxa"/>
            <w:vAlign w:val="bottom"/>
            <w:gridSpan w:val="5"/>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gridSpan w:val="19"/>
          </w:tcPr>
          <w:p>
            <w:pPr>
              <w:spacing w:after="0" w:line="196" w:lineRule="exact"/>
              <w:rPr>
                <w:sz w:val="20"/>
                <w:szCs w:val="20"/>
                <w:color w:val="auto"/>
              </w:rPr>
            </w:pPr>
            <w:r>
              <w:rPr>
                <w:rFonts w:ascii="Verdana" w:cs="Verdana" w:eastAsia="Verdana" w:hAnsi="Verdana"/>
                <w:sz w:val="18"/>
                <w:szCs w:val="18"/>
                <w:color w:val="0000FF"/>
              </w:rPr>
              <w:t>Section 1350, as adopted pursuant to</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820" w:type="dxa"/>
            <w:vAlign w:val="bottom"/>
            <w:gridSpan w:val="8"/>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tcBorders>
              <w:bottom w:val="single" w:sz="8" w:color="0000FF"/>
            </w:tcBorders>
            <w:gridSpan w:val="15"/>
          </w:tcPr>
          <w:p>
            <w:pPr>
              <w:spacing w:after="0" w:line="196" w:lineRule="exact"/>
              <w:rPr>
                <w:sz w:val="20"/>
                <w:szCs w:val="20"/>
                <w:color w:val="auto"/>
              </w:rPr>
            </w:pPr>
            <w:r>
              <w:rPr>
                <w:rFonts w:ascii="Verdana" w:cs="Verdana" w:eastAsia="Verdana" w:hAnsi="Verdana"/>
                <w:sz w:val="18"/>
                <w:szCs w:val="18"/>
                <w:color w:val="0000FF"/>
                <w:w w:val="99"/>
              </w:rPr>
              <w:t>Section 906 of the Sarbanes-Oxley Act of</w:t>
            </w:r>
          </w:p>
        </w:tc>
        <w:tc>
          <w:tcPr>
            <w:tcW w:w="200" w:type="dxa"/>
            <w:vAlign w:val="bottom"/>
            <w:gridSpan w:val="4"/>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gridSpan w:val="19"/>
          </w:tcPr>
          <w:p>
            <w:pPr>
              <w:spacing w:after="0" w:line="196" w:lineRule="exact"/>
              <w:rPr>
                <w:sz w:val="20"/>
                <w:szCs w:val="20"/>
                <w:color w:val="auto"/>
              </w:rPr>
            </w:pPr>
            <w:r>
              <w:rPr>
                <w:rFonts w:ascii="Verdana" w:cs="Verdana" w:eastAsia="Verdana" w:hAnsi="Verdana"/>
                <w:sz w:val="18"/>
                <w:szCs w:val="18"/>
                <w:color w:val="0000FF"/>
              </w:rPr>
              <w:t>2002, from First Busey’s Chief Executive</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top w:val="single" w:sz="8" w:color="0000FF"/>
              <w:bottom w:val="single" w:sz="8" w:color="0000FF"/>
            </w:tcBorders>
            <w:gridSpan w:val="2"/>
          </w:tcPr>
          <w:p>
            <w:pPr>
              <w:spacing w:after="0" w:line="196" w:lineRule="exact"/>
              <w:rPr>
                <w:sz w:val="20"/>
                <w:szCs w:val="20"/>
                <w:color w:val="auto"/>
              </w:rPr>
            </w:pPr>
            <w:r>
              <w:rPr>
                <w:rFonts w:ascii="Verdana" w:cs="Verdana" w:eastAsia="Verdana" w:hAnsi="Verdana"/>
                <w:sz w:val="18"/>
                <w:szCs w:val="18"/>
                <w:color w:val="0000FF"/>
                <w:w w:val="97"/>
              </w:rPr>
              <w:t>Officer</w:t>
            </w:r>
          </w:p>
        </w:tc>
        <w:tc>
          <w:tcPr>
            <w:tcW w:w="3060" w:type="dxa"/>
            <w:vAlign w:val="bottom"/>
            <w:tcBorders>
              <w:top w:val="single" w:sz="8" w:color="0000FF"/>
            </w:tcBorders>
            <w:gridSpan w:val="11"/>
          </w:tcPr>
          <w:p>
            <w:pPr>
              <w:spacing w:after="0"/>
              <w:rPr>
                <w:sz w:val="17"/>
                <w:szCs w:val="17"/>
                <w:color w:val="auto"/>
              </w:rPr>
            </w:pPr>
          </w:p>
        </w:tc>
        <w:tc>
          <w:tcPr>
            <w:tcW w:w="300" w:type="dxa"/>
            <w:vAlign w:val="bottom"/>
            <w:gridSpan w:val="6"/>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20" w:type="dxa"/>
            <w:vAlign w:val="bottom"/>
          </w:tcPr>
          <w:p>
            <w:pPr>
              <w:ind w:left="20"/>
              <w:spacing w:after="0"/>
              <w:rPr>
                <w:sz w:val="20"/>
                <w:szCs w:val="20"/>
                <w:color w:val="auto"/>
              </w:rPr>
            </w:pPr>
            <w:r>
              <w:rPr>
                <w:rFonts w:ascii="Verdana" w:cs="Verdana" w:eastAsia="Verdana" w:hAnsi="Verdana"/>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60" w:type="dxa"/>
            <w:vAlign w:val="bottom"/>
            <w:gridSpan w:val="19"/>
          </w:tcPr>
          <w:p>
            <w:pPr>
              <w:spacing w:after="0"/>
              <w:rPr>
                <w:sz w:val="20"/>
                <w:szCs w:val="20"/>
                <w:color w:val="auto"/>
              </w:rPr>
            </w:pPr>
            <w:r>
              <w:rPr>
                <w:rFonts w:ascii="Verdana" w:cs="Verdana" w:eastAsia="Verdana" w:hAnsi="Verdana"/>
                <w:sz w:val="18"/>
                <w:szCs w:val="18"/>
                <w:color w:val="0000FF"/>
              </w:rPr>
              <w:t>Certification pursuant to 18 U.S.C.</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Verdana" w:cs="Verdana" w:eastAsia="Verdana" w:hAnsi="Verdana"/>
                <w:sz w:val="18"/>
                <w:szCs w:val="18"/>
                <w:color w:val="auto"/>
                <w:w w:val="96"/>
              </w:rPr>
              <w:t>X</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gridSpan w:val="7"/>
            <w:shd w:val="clear" w:color="auto" w:fill="0000FF"/>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gridSpan w:val="19"/>
          </w:tcPr>
          <w:p>
            <w:pPr>
              <w:spacing w:after="0" w:line="196" w:lineRule="exact"/>
              <w:rPr>
                <w:sz w:val="20"/>
                <w:szCs w:val="20"/>
                <w:color w:val="auto"/>
              </w:rPr>
            </w:pPr>
            <w:r>
              <w:rPr>
                <w:rFonts w:ascii="Verdana" w:cs="Verdana" w:eastAsia="Verdana" w:hAnsi="Verdana"/>
                <w:sz w:val="18"/>
                <w:szCs w:val="18"/>
                <w:color w:val="0000FF"/>
              </w:rPr>
              <w:t>Section 1350, as adopted pursuant to</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gridSpan w:val="10"/>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tcBorders>
              <w:bottom w:val="single" w:sz="8" w:color="0000FF"/>
            </w:tcBorders>
            <w:gridSpan w:val="15"/>
          </w:tcPr>
          <w:p>
            <w:pPr>
              <w:spacing w:after="0" w:line="196" w:lineRule="exact"/>
              <w:rPr>
                <w:sz w:val="20"/>
                <w:szCs w:val="20"/>
                <w:color w:val="auto"/>
              </w:rPr>
            </w:pPr>
            <w:r>
              <w:rPr>
                <w:rFonts w:ascii="Verdana" w:cs="Verdana" w:eastAsia="Verdana" w:hAnsi="Verdana"/>
                <w:sz w:val="18"/>
                <w:szCs w:val="18"/>
                <w:color w:val="0000FF"/>
                <w:w w:val="99"/>
              </w:rPr>
              <w:t>Section 906 of the Sarbanes-Oxley Act of</w:t>
            </w:r>
          </w:p>
        </w:tc>
        <w:tc>
          <w:tcPr>
            <w:tcW w:w="200" w:type="dxa"/>
            <w:vAlign w:val="bottom"/>
            <w:gridSpan w:val="4"/>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gridSpan w:val="19"/>
          </w:tcPr>
          <w:p>
            <w:pPr>
              <w:spacing w:after="0" w:line="196" w:lineRule="exact"/>
              <w:rPr>
                <w:sz w:val="20"/>
                <w:szCs w:val="20"/>
                <w:color w:val="auto"/>
              </w:rPr>
            </w:pPr>
            <w:r>
              <w:rPr>
                <w:rFonts w:ascii="Verdana" w:cs="Verdana" w:eastAsia="Verdana" w:hAnsi="Verdana"/>
                <w:sz w:val="18"/>
                <w:szCs w:val="18"/>
                <w:color w:val="0000FF"/>
              </w:rPr>
              <w:t>2002, from First Busey’s Chief Financial</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top w:val="single" w:sz="8" w:color="0000FF"/>
              <w:bottom w:val="single" w:sz="8" w:color="0000FF"/>
            </w:tcBorders>
            <w:gridSpan w:val="2"/>
          </w:tcPr>
          <w:p>
            <w:pPr>
              <w:spacing w:after="0" w:line="196" w:lineRule="exact"/>
              <w:rPr>
                <w:sz w:val="20"/>
                <w:szCs w:val="20"/>
                <w:color w:val="auto"/>
              </w:rPr>
            </w:pPr>
            <w:r>
              <w:rPr>
                <w:rFonts w:ascii="Verdana" w:cs="Verdana" w:eastAsia="Verdana" w:hAnsi="Verdana"/>
                <w:sz w:val="18"/>
                <w:szCs w:val="18"/>
                <w:color w:val="0000FF"/>
                <w:w w:val="97"/>
              </w:rPr>
              <w:t>Officer</w:t>
            </w:r>
          </w:p>
        </w:tc>
        <w:tc>
          <w:tcPr>
            <w:tcW w:w="2980" w:type="dxa"/>
            <w:vAlign w:val="bottom"/>
            <w:tcBorders>
              <w:top w:val="single" w:sz="8" w:color="0000FF"/>
            </w:tcBorders>
            <w:gridSpan w:val="10"/>
          </w:tcPr>
          <w:p>
            <w:pPr>
              <w:spacing w:after="0"/>
              <w:rPr>
                <w:sz w:val="17"/>
                <w:szCs w:val="17"/>
                <w:color w:val="auto"/>
              </w:rPr>
            </w:pPr>
          </w:p>
        </w:tc>
        <w:tc>
          <w:tcPr>
            <w:tcW w:w="380" w:type="dxa"/>
            <w:vAlign w:val="bottom"/>
            <w:gridSpan w:val="7"/>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220" w:type="dxa"/>
            <w:vAlign w:val="bottom"/>
            <w:gridSpan w:val="2"/>
          </w:tcPr>
          <w:p>
            <w:pPr>
              <w:ind w:left="20"/>
              <w:spacing w:after="0"/>
              <w:rPr>
                <w:sz w:val="20"/>
                <w:szCs w:val="20"/>
                <w:color w:val="auto"/>
              </w:rPr>
            </w:pPr>
            <w:r>
              <w:rPr>
                <w:rFonts w:ascii="Verdana" w:cs="Verdana" w:eastAsia="Verdana" w:hAnsi="Verdana"/>
                <w:sz w:val="18"/>
                <w:szCs w:val="18"/>
                <w:color w:val="auto"/>
              </w:rPr>
              <w:t>101.INS</w:t>
            </w:r>
          </w:p>
        </w:tc>
        <w:tc>
          <w:tcPr>
            <w:tcW w:w="20" w:type="dxa"/>
            <w:vAlign w:val="bottom"/>
          </w:tcPr>
          <w:p>
            <w:pPr>
              <w:spacing w:after="0"/>
              <w:rPr>
                <w:sz w:val="24"/>
                <w:szCs w:val="24"/>
                <w:color w:val="auto"/>
              </w:rPr>
            </w:pPr>
          </w:p>
        </w:tc>
        <w:tc>
          <w:tcPr>
            <w:tcW w:w="3960" w:type="dxa"/>
            <w:vAlign w:val="bottom"/>
            <w:gridSpan w:val="19"/>
          </w:tcPr>
          <w:p>
            <w:pPr>
              <w:spacing w:after="0"/>
              <w:rPr>
                <w:sz w:val="20"/>
                <w:szCs w:val="20"/>
                <w:color w:val="auto"/>
              </w:rPr>
            </w:pPr>
            <w:r>
              <w:rPr>
                <w:rFonts w:ascii="Verdana" w:cs="Verdana" w:eastAsia="Verdana" w:hAnsi="Verdana"/>
                <w:sz w:val="18"/>
                <w:szCs w:val="18"/>
                <w:color w:val="auto"/>
              </w:rPr>
              <w:t>iXBRL Instance Document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20" w:type="dxa"/>
            <w:vAlign w:val="bottom"/>
            <w:gridSpan w:val="2"/>
          </w:tcPr>
          <w:p>
            <w:pPr>
              <w:ind w:left="20"/>
              <w:spacing w:after="0"/>
              <w:rPr>
                <w:sz w:val="20"/>
                <w:szCs w:val="20"/>
                <w:color w:val="auto"/>
              </w:rPr>
            </w:pPr>
            <w:r>
              <w:rPr>
                <w:rFonts w:ascii="Verdana" w:cs="Verdana" w:eastAsia="Verdana" w:hAnsi="Verdana"/>
                <w:sz w:val="18"/>
                <w:szCs w:val="18"/>
                <w:color w:val="auto"/>
              </w:rPr>
              <w:t>101.SCH</w:t>
            </w:r>
          </w:p>
        </w:tc>
        <w:tc>
          <w:tcPr>
            <w:tcW w:w="20" w:type="dxa"/>
            <w:vAlign w:val="bottom"/>
          </w:tcPr>
          <w:p>
            <w:pPr>
              <w:spacing w:after="0"/>
              <w:rPr>
                <w:sz w:val="24"/>
                <w:szCs w:val="24"/>
                <w:color w:val="auto"/>
              </w:rPr>
            </w:pPr>
          </w:p>
        </w:tc>
        <w:tc>
          <w:tcPr>
            <w:tcW w:w="3960" w:type="dxa"/>
            <w:vAlign w:val="bottom"/>
            <w:gridSpan w:val="19"/>
          </w:tcPr>
          <w:p>
            <w:pPr>
              <w:spacing w:after="0"/>
              <w:rPr>
                <w:sz w:val="20"/>
                <w:szCs w:val="20"/>
                <w:color w:val="auto"/>
              </w:rPr>
            </w:pPr>
            <w:r>
              <w:rPr>
                <w:rFonts w:ascii="Verdana" w:cs="Verdana" w:eastAsia="Verdana" w:hAnsi="Verdana"/>
                <w:sz w:val="18"/>
                <w:szCs w:val="18"/>
                <w:color w:val="auto"/>
              </w:rPr>
              <w:t>iXBRL Taxonomy Extension Schema</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1220" w:type="dxa"/>
            <w:vAlign w:val="bottom"/>
            <w:gridSpan w:val="2"/>
          </w:tcPr>
          <w:p>
            <w:pPr>
              <w:ind w:left="20"/>
              <w:spacing w:after="0"/>
              <w:rPr>
                <w:sz w:val="20"/>
                <w:szCs w:val="20"/>
                <w:color w:val="auto"/>
              </w:rPr>
            </w:pPr>
            <w:r>
              <w:rPr>
                <w:rFonts w:ascii="Verdana" w:cs="Verdana" w:eastAsia="Verdana" w:hAnsi="Verdana"/>
                <w:sz w:val="18"/>
                <w:szCs w:val="18"/>
                <w:color w:val="auto"/>
              </w:rPr>
              <w:t>101.CAL</w:t>
            </w:r>
          </w:p>
        </w:tc>
        <w:tc>
          <w:tcPr>
            <w:tcW w:w="20" w:type="dxa"/>
            <w:vAlign w:val="bottom"/>
          </w:tcPr>
          <w:p>
            <w:pPr>
              <w:spacing w:after="0"/>
              <w:rPr>
                <w:sz w:val="24"/>
                <w:szCs w:val="24"/>
                <w:color w:val="auto"/>
              </w:rPr>
            </w:pPr>
          </w:p>
        </w:tc>
        <w:tc>
          <w:tcPr>
            <w:tcW w:w="3960" w:type="dxa"/>
            <w:vAlign w:val="bottom"/>
            <w:gridSpan w:val="19"/>
          </w:tcPr>
          <w:p>
            <w:pPr>
              <w:spacing w:after="0"/>
              <w:rPr>
                <w:sz w:val="20"/>
                <w:szCs w:val="20"/>
                <w:color w:val="auto"/>
              </w:rPr>
            </w:pPr>
            <w:r>
              <w:rPr>
                <w:rFonts w:ascii="Verdana" w:cs="Verdana" w:eastAsia="Verdana" w:hAnsi="Verdana"/>
                <w:sz w:val="18"/>
                <w:szCs w:val="18"/>
                <w:color w:val="auto"/>
              </w:rPr>
              <w:t>iXBRL Taxonomy Extension Calculation</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60" w:type="dxa"/>
            <w:vAlign w:val="bottom"/>
            <w:gridSpan w:val="19"/>
          </w:tcPr>
          <w:p>
            <w:pPr>
              <w:spacing w:after="0"/>
              <w:rPr>
                <w:sz w:val="20"/>
                <w:szCs w:val="20"/>
                <w:color w:val="auto"/>
              </w:rPr>
            </w:pPr>
            <w:r>
              <w:rPr>
                <w:rFonts w:ascii="Verdana" w:cs="Verdana" w:eastAsia="Verdana" w:hAnsi="Verdana"/>
                <w:sz w:val="18"/>
                <w:szCs w:val="18"/>
                <w:color w:val="auto"/>
              </w:rPr>
              <w:t>Linkbase</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20" w:type="dxa"/>
            <w:vAlign w:val="bottom"/>
            <w:gridSpan w:val="2"/>
          </w:tcPr>
          <w:p>
            <w:pPr>
              <w:ind w:left="20"/>
              <w:spacing w:after="0"/>
              <w:rPr>
                <w:sz w:val="20"/>
                <w:szCs w:val="20"/>
                <w:color w:val="auto"/>
              </w:rPr>
            </w:pPr>
            <w:r>
              <w:rPr>
                <w:rFonts w:ascii="Verdana" w:cs="Verdana" w:eastAsia="Verdana" w:hAnsi="Verdana"/>
                <w:sz w:val="18"/>
                <w:szCs w:val="18"/>
                <w:color w:val="auto"/>
              </w:rPr>
              <w:t>101.LAB</w:t>
            </w:r>
          </w:p>
        </w:tc>
        <w:tc>
          <w:tcPr>
            <w:tcW w:w="20" w:type="dxa"/>
            <w:vAlign w:val="bottom"/>
          </w:tcPr>
          <w:p>
            <w:pPr>
              <w:spacing w:after="0"/>
              <w:rPr>
                <w:sz w:val="24"/>
                <w:szCs w:val="24"/>
                <w:color w:val="auto"/>
              </w:rPr>
            </w:pPr>
          </w:p>
        </w:tc>
        <w:tc>
          <w:tcPr>
            <w:tcW w:w="3960" w:type="dxa"/>
            <w:vAlign w:val="bottom"/>
            <w:gridSpan w:val="19"/>
          </w:tcPr>
          <w:p>
            <w:pPr>
              <w:spacing w:after="0"/>
              <w:rPr>
                <w:sz w:val="20"/>
                <w:szCs w:val="20"/>
                <w:color w:val="auto"/>
              </w:rPr>
            </w:pPr>
            <w:r>
              <w:rPr>
                <w:rFonts w:ascii="Verdana" w:cs="Verdana" w:eastAsia="Verdana" w:hAnsi="Verdana"/>
                <w:sz w:val="18"/>
                <w:szCs w:val="18"/>
                <w:color w:val="auto"/>
              </w:rPr>
              <w:t>iXBRL Taxonomy Extension Label Linkbase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1220" w:type="dxa"/>
            <w:vAlign w:val="bottom"/>
            <w:gridSpan w:val="2"/>
          </w:tcPr>
          <w:p>
            <w:pPr>
              <w:ind w:left="20"/>
              <w:spacing w:after="0"/>
              <w:rPr>
                <w:sz w:val="20"/>
                <w:szCs w:val="20"/>
                <w:color w:val="auto"/>
              </w:rPr>
            </w:pPr>
            <w:r>
              <w:rPr>
                <w:rFonts w:ascii="Verdana" w:cs="Verdana" w:eastAsia="Verdana" w:hAnsi="Verdana"/>
                <w:sz w:val="18"/>
                <w:szCs w:val="18"/>
                <w:color w:val="auto"/>
              </w:rPr>
              <w:t>101.PRE</w:t>
            </w:r>
          </w:p>
        </w:tc>
        <w:tc>
          <w:tcPr>
            <w:tcW w:w="20" w:type="dxa"/>
            <w:vAlign w:val="bottom"/>
          </w:tcPr>
          <w:p>
            <w:pPr>
              <w:spacing w:after="0"/>
              <w:rPr>
                <w:sz w:val="24"/>
                <w:szCs w:val="24"/>
                <w:color w:val="auto"/>
              </w:rPr>
            </w:pPr>
          </w:p>
        </w:tc>
        <w:tc>
          <w:tcPr>
            <w:tcW w:w="3960" w:type="dxa"/>
            <w:vAlign w:val="bottom"/>
            <w:gridSpan w:val="19"/>
          </w:tcPr>
          <w:p>
            <w:pPr>
              <w:spacing w:after="0"/>
              <w:rPr>
                <w:sz w:val="20"/>
                <w:szCs w:val="20"/>
                <w:color w:val="auto"/>
              </w:rPr>
            </w:pPr>
            <w:r>
              <w:rPr>
                <w:rFonts w:ascii="Verdana" w:cs="Verdana" w:eastAsia="Verdana" w:hAnsi="Verdana"/>
                <w:sz w:val="18"/>
                <w:szCs w:val="18"/>
                <w:color w:val="auto"/>
              </w:rPr>
              <w:t>iXBRL Taxonomy Extension Presentation</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60" w:type="dxa"/>
            <w:vAlign w:val="bottom"/>
            <w:gridSpan w:val="19"/>
          </w:tcPr>
          <w:p>
            <w:pPr>
              <w:spacing w:after="0"/>
              <w:rPr>
                <w:sz w:val="20"/>
                <w:szCs w:val="20"/>
                <w:color w:val="auto"/>
              </w:rPr>
            </w:pPr>
            <w:r>
              <w:rPr>
                <w:rFonts w:ascii="Verdana" w:cs="Verdana" w:eastAsia="Verdana" w:hAnsi="Verdana"/>
                <w:sz w:val="18"/>
                <w:szCs w:val="18"/>
                <w:color w:val="auto"/>
              </w:rPr>
              <w:t>Linkbase</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1220" w:type="dxa"/>
            <w:vAlign w:val="bottom"/>
            <w:gridSpan w:val="2"/>
          </w:tcPr>
          <w:p>
            <w:pPr>
              <w:ind w:left="20"/>
              <w:spacing w:after="0"/>
              <w:rPr>
                <w:sz w:val="20"/>
                <w:szCs w:val="20"/>
                <w:color w:val="auto"/>
              </w:rPr>
            </w:pPr>
            <w:r>
              <w:rPr>
                <w:rFonts w:ascii="Verdana" w:cs="Verdana" w:eastAsia="Verdana" w:hAnsi="Verdana"/>
                <w:sz w:val="18"/>
                <w:szCs w:val="18"/>
                <w:color w:val="auto"/>
              </w:rPr>
              <w:t>101.DEF</w:t>
            </w:r>
          </w:p>
        </w:tc>
        <w:tc>
          <w:tcPr>
            <w:tcW w:w="20" w:type="dxa"/>
            <w:vAlign w:val="bottom"/>
          </w:tcPr>
          <w:p>
            <w:pPr>
              <w:spacing w:after="0"/>
              <w:rPr>
                <w:sz w:val="24"/>
                <w:szCs w:val="24"/>
                <w:color w:val="auto"/>
              </w:rPr>
            </w:pPr>
          </w:p>
        </w:tc>
        <w:tc>
          <w:tcPr>
            <w:tcW w:w="3960" w:type="dxa"/>
            <w:vAlign w:val="bottom"/>
            <w:gridSpan w:val="19"/>
          </w:tcPr>
          <w:p>
            <w:pPr>
              <w:spacing w:after="0"/>
              <w:rPr>
                <w:sz w:val="20"/>
                <w:szCs w:val="20"/>
                <w:color w:val="auto"/>
              </w:rPr>
            </w:pPr>
            <w:r>
              <w:rPr>
                <w:rFonts w:ascii="Verdana" w:cs="Verdana" w:eastAsia="Verdana" w:hAnsi="Verdana"/>
                <w:sz w:val="18"/>
                <w:szCs w:val="18"/>
                <w:color w:val="auto"/>
              </w:rPr>
              <w:t>iXBRL Taxonomy Extension Definition</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60" w:type="dxa"/>
            <w:vAlign w:val="bottom"/>
            <w:gridSpan w:val="19"/>
          </w:tcPr>
          <w:p>
            <w:pPr>
              <w:spacing w:after="0"/>
              <w:rPr>
                <w:sz w:val="20"/>
                <w:szCs w:val="20"/>
                <w:color w:val="auto"/>
              </w:rPr>
            </w:pPr>
            <w:r>
              <w:rPr>
                <w:rFonts w:ascii="Verdana" w:cs="Verdana" w:eastAsia="Verdana" w:hAnsi="Verdana"/>
                <w:sz w:val="18"/>
                <w:szCs w:val="18"/>
                <w:color w:val="auto"/>
              </w:rPr>
              <w:t>Linkbase</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15" w:name="page116"/>
    <w:bookmarkEnd w:id="11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80" w:type="dxa"/>
        <w:tblCellMar>
          <w:top w:w="0" w:type="dxa"/>
          <w:left w:w="0" w:type="dxa"/>
          <w:bottom w:w="0" w:type="dxa"/>
          <w:right w:w="0" w:type="dxa"/>
        </w:tblCellMar>
      </w:tblPr>
      <w:tr>
        <w:trPr>
          <w:trHeight w:val="174"/>
        </w:trPr>
        <w:tc>
          <w:tcPr>
            <w:tcW w:w="13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2"/>
          </w:tcPr>
          <w:p>
            <w:pPr>
              <w:spacing w:after="0"/>
              <w:rPr>
                <w:sz w:val="20"/>
                <w:szCs w:val="20"/>
                <w:color w:val="auto"/>
              </w:rPr>
            </w:pPr>
            <w:r>
              <w:rPr>
                <w:rFonts w:ascii="Verdana" w:cs="Verdana" w:eastAsia="Verdana" w:hAnsi="Verdana"/>
                <w:sz w:val="13"/>
                <w:szCs w:val="13"/>
                <w:b w:val="1"/>
                <w:bCs w:val="1"/>
                <w:color w:val="auto"/>
              </w:rPr>
              <w:t>Incorporated herein by reference</w:t>
            </w:r>
          </w:p>
        </w:tc>
        <w:tc>
          <w:tcPr>
            <w:tcW w:w="1200" w:type="dxa"/>
            <w:vAlign w:val="bottom"/>
            <w:tcBorders>
              <w:bottom w:val="single" w:sz="8" w:color="auto"/>
            </w:tcBorders>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340" w:type="dxa"/>
            <w:vAlign w:val="bottom"/>
          </w:tcPr>
          <w:p>
            <w:pPr>
              <w:jc w:val="center"/>
              <w:ind w:right="717"/>
              <w:spacing w:after="0" w:line="122" w:lineRule="exact"/>
              <w:rPr>
                <w:sz w:val="20"/>
                <w:szCs w:val="20"/>
                <w:color w:val="auto"/>
              </w:rPr>
            </w:pPr>
            <w:r>
              <w:rPr>
                <w:rFonts w:ascii="Verdana" w:cs="Verdana" w:eastAsia="Verdana" w:hAnsi="Verdana"/>
                <w:sz w:val="13"/>
                <w:szCs w:val="13"/>
                <w:b w:val="1"/>
                <w:bCs w:val="1"/>
                <w:color w:val="auto"/>
                <w:w w:val="94"/>
              </w:rPr>
              <w:t>Exhibit</w:t>
            </w:r>
          </w:p>
        </w:tc>
        <w:tc>
          <w:tcPr>
            <w:tcW w:w="3560" w:type="dxa"/>
            <w:vAlign w:val="bottom"/>
            <w:vMerge w:val="restart"/>
          </w:tcPr>
          <w:p>
            <w:pPr>
              <w:ind w:left="760"/>
              <w:spacing w:after="0"/>
              <w:rPr>
                <w:sz w:val="20"/>
                <w:szCs w:val="20"/>
                <w:color w:val="auto"/>
              </w:rPr>
            </w:pPr>
            <w:r>
              <w:rPr>
                <w:rFonts w:ascii="Verdana" w:cs="Verdana" w:eastAsia="Verdana" w:hAnsi="Verdana"/>
                <w:sz w:val="13"/>
                <w:szCs w:val="13"/>
                <w:b w:val="1"/>
                <w:bCs w:val="1"/>
                <w:color w:val="auto"/>
              </w:rPr>
              <w:t>Description of Exhibit</w:t>
            </w:r>
          </w:p>
        </w:tc>
        <w:tc>
          <w:tcPr>
            <w:tcW w:w="1280" w:type="dxa"/>
            <w:vAlign w:val="bottom"/>
          </w:tcPr>
          <w:p>
            <w:pPr>
              <w:jc w:val="center"/>
              <w:ind w:left="237"/>
              <w:spacing w:after="0" w:line="122" w:lineRule="exact"/>
              <w:rPr>
                <w:sz w:val="20"/>
                <w:szCs w:val="20"/>
                <w:color w:val="auto"/>
              </w:rPr>
            </w:pPr>
            <w:r>
              <w:rPr>
                <w:rFonts w:ascii="Verdana" w:cs="Verdana" w:eastAsia="Verdana" w:hAnsi="Verdana"/>
                <w:sz w:val="13"/>
                <w:szCs w:val="13"/>
                <w:b w:val="1"/>
                <w:bCs w:val="1"/>
                <w:color w:val="auto"/>
                <w:w w:val="97"/>
              </w:rPr>
              <w:t>Filing Entity1</w:t>
            </w:r>
          </w:p>
        </w:tc>
        <w:tc>
          <w:tcPr>
            <w:tcW w:w="1200" w:type="dxa"/>
            <w:vAlign w:val="bottom"/>
            <w:vMerge w:val="restart"/>
          </w:tcPr>
          <w:p>
            <w:pPr>
              <w:ind w:left="600"/>
              <w:spacing w:after="0"/>
              <w:rPr>
                <w:sz w:val="20"/>
                <w:szCs w:val="20"/>
                <w:color w:val="auto"/>
              </w:rPr>
            </w:pPr>
            <w:r>
              <w:rPr>
                <w:rFonts w:ascii="Verdana" w:cs="Verdana" w:eastAsia="Verdana" w:hAnsi="Verdana"/>
                <w:sz w:val="13"/>
                <w:szCs w:val="13"/>
                <w:b w:val="1"/>
                <w:bCs w:val="1"/>
                <w:color w:val="auto"/>
              </w:rPr>
              <w:t>Form</w:t>
            </w:r>
          </w:p>
        </w:tc>
        <w:tc>
          <w:tcPr>
            <w:tcW w:w="1260" w:type="dxa"/>
            <w:vAlign w:val="bottom"/>
            <w:vMerge w:val="restart"/>
          </w:tcPr>
          <w:p>
            <w:pPr>
              <w:ind w:left="240"/>
              <w:spacing w:after="0"/>
              <w:rPr>
                <w:sz w:val="20"/>
                <w:szCs w:val="20"/>
                <w:color w:val="auto"/>
              </w:rPr>
            </w:pPr>
            <w:r>
              <w:rPr>
                <w:rFonts w:ascii="Verdana" w:cs="Verdana" w:eastAsia="Verdana" w:hAnsi="Verdana"/>
                <w:sz w:val="13"/>
                <w:szCs w:val="13"/>
                <w:b w:val="1"/>
                <w:bCs w:val="1"/>
                <w:color w:val="auto"/>
              </w:rPr>
              <w:t>Exhibit</w:t>
            </w:r>
          </w:p>
        </w:tc>
        <w:tc>
          <w:tcPr>
            <w:tcW w:w="1200" w:type="dxa"/>
            <w:vAlign w:val="bottom"/>
            <w:vMerge w:val="restart"/>
          </w:tcPr>
          <w:p>
            <w:pPr>
              <w:ind w:left="80"/>
              <w:spacing w:after="0"/>
              <w:rPr>
                <w:sz w:val="20"/>
                <w:szCs w:val="20"/>
                <w:color w:val="auto"/>
              </w:rPr>
            </w:pPr>
            <w:r>
              <w:rPr>
                <w:rFonts w:ascii="Verdana" w:cs="Verdana" w:eastAsia="Verdana" w:hAnsi="Verdana"/>
                <w:sz w:val="13"/>
                <w:szCs w:val="13"/>
                <w:b w:val="1"/>
                <w:bCs w:val="1"/>
                <w:color w:val="auto"/>
              </w:rPr>
              <w:t>Filing Date</w:t>
            </w:r>
          </w:p>
        </w:tc>
        <w:tc>
          <w:tcPr>
            <w:tcW w:w="940" w:type="dxa"/>
            <w:vAlign w:val="bottom"/>
          </w:tcPr>
          <w:p>
            <w:pPr>
              <w:jc w:val="center"/>
              <w:ind w:left="217"/>
              <w:spacing w:after="0" w:line="122" w:lineRule="exact"/>
              <w:rPr>
                <w:sz w:val="20"/>
                <w:szCs w:val="20"/>
                <w:color w:val="auto"/>
              </w:rPr>
            </w:pPr>
            <w:r>
              <w:rPr>
                <w:rFonts w:ascii="Verdana" w:cs="Verdana" w:eastAsia="Verdana" w:hAnsi="Verdana"/>
                <w:sz w:val="13"/>
                <w:szCs w:val="13"/>
                <w:b w:val="1"/>
                <w:bCs w:val="1"/>
                <w:color w:val="auto"/>
                <w:w w:val="96"/>
              </w:rPr>
              <w:t>Filed</w:t>
            </w:r>
          </w:p>
        </w:tc>
        <w:tc>
          <w:tcPr>
            <w:tcW w:w="0" w:type="dxa"/>
            <w:vAlign w:val="bottom"/>
          </w:tcPr>
          <w:p>
            <w:pPr>
              <w:spacing w:after="0"/>
              <w:rPr>
                <w:sz w:val="1"/>
                <w:szCs w:val="1"/>
                <w:color w:val="auto"/>
              </w:rPr>
            </w:pPr>
          </w:p>
        </w:tc>
      </w:tr>
      <w:tr>
        <w:trPr>
          <w:trHeight w:val="165"/>
        </w:trPr>
        <w:tc>
          <w:tcPr>
            <w:tcW w:w="1340" w:type="dxa"/>
            <w:vAlign w:val="bottom"/>
          </w:tcPr>
          <w:p>
            <w:pPr>
              <w:jc w:val="center"/>
              <w:ind w:right="717"/>
              <w:spacing w:after="0"/>
              <w:rPr>
                <w:sz w:val="20"/>
                <w:szCs w:val="20"/>
                <w:color w:val="auto"/>
              </w:rPr>
            </w:pPr>
            <w:r>
              <w:rPr>
                <w:rFonts w:ascii="Verdana" w:cs="Verdana" w:eastAsia="Verdana" w:hAnsi="Verdana"/>
                <w:sz w:val="13"/>
                <w:szCs w:val="13"/>
                <w:b w:val="1"/>
                <w:bCs w:val="1"/>
                <w:color w:val="auto"/>
                <w:w w:val="96"/>
              </w:rPr>
              <w:t>Number</w:t>
            </w:r>
          </w:p>
        </w:tc>
        <w:tc>
          <w:tcPr>
            <w:tcW w:w="3560" w:type="dxa"/>
            <w:vAlign w:val="bottom"/>
            <w:vMerge w:val="continue"/>
          </w:tcPr>
          <w:p>
            <w:pPr>
              <w:spacing w:after="0"/>
              <w:rPr>
                <w:sz w:val="14"/>
                <w:szCs w:val="14"/>
                <w:color w:val="auto"/>
              </w:rPr>
            </w:pPr>
          </w:p>
        </w:tc>
        <w:tc>
          <w:tcPr>
            <w:tcW w:w="1280" w:type="dxa"/>
            <w:vAlign w:val="bottom"/>
          </w:tcPr>
          <w:p>
            <w:pPr>
              <w:jc w:val="center"/>
              <w:ind w:left="237"/>
              <w:spacing w:after="0"/>
              <w:rPr>
                <w:sz w:val="20"/>
                <w:szCs w:val="20"/>
                <w:color w:val="auto"/>
              </w:rPr>
            </w:pPr>
            <w:r>
              <w:rPr>
                <w:rFonts w:ascii="Verdana" w:cs="Verdana" w:eastAsia="Verdana" w:hAnsi="Verdana"/>
                <w:sz w:val="13"/>
                <w:szCs w:val="13"/>
                <w:b w:val="1"/>
                <w:bCs w:val="1"/>
                <w:color w:val="auto"/>
                <w:w w:val="95"/>
              </w:rPr>
              <w:t>(File No.)</w:t>
            </w:r>
          </w:p>
        </w:tc>
        <w:tc>
          <w:tcPr>
            <w:tcW w:w="120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40" w:type="dxa"/>
            <w:vAlign w:val="bottom"/>
          </w:tcPr>
          <w:p>
            <w:pPr>
              <w:jc w:val="center"/>
              <w:ind w:left="217"/>
              <w:spacing w:after="0"/>
              <w:rPr>
                <w:sz w:val="20"/>
                <w:szCs w:val="20"/>
                <w:color w:val="auto"/>
              </w:rPr>
            </w:pPr>
            <w:r>
              <w:rPr>
                <w:rFonts w:ascii="Verdana" w:cs="Verdana" w:eastAsia="Verdana" w:hAnsi="Verdana"/>
                <w:sz w:val="13"/>
                <w:szCs w:val="13"/>
                <w:b w:val="1"/>
                <w:bCs w:val="1"/>
                <w:color w:val="auto"/>
                <w:w w:val="98"/>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 w:lineRule="exact"/>
        <w:rPr>
          <w:sz w:val="20"/>
          <w:szCs w:val="20"/>
          <w:color w:val="auto"/>
        </w:rPr>
      </w:pPr>
    </w:p>
    <w:p>
      <w:pPr>
        <w:ind w:left="1220" w:right="6280" w:hanging="1194"/>
        <w:spacing w:after="0" w:line="242" w:lineRule="auto"/>
        <w:tabs>
          <w:tab w:leader="none" w:pos="1220" w:val="left"/>
        </w:tabs>
        <w:numPr>
          <w:ilvl w:val="0"/>
          <w:numId w:val="40"/>
        </w:numPr>
        <w:rPr>
          <w:rFonts w:ascii="Verdana" w:cs="Verdana" w:eastAsia="Verdana" w:hAnsi="Verdana"/>
          <w:sz w:val="18"/>
          <w:szCs w:val="18"/>
          <w:color w:val="auto"/>
        </w:rPr>
      </w:pPr>
      <w:r>
        <w:rPr>
          <w:rFonts w:ascii="Verdana" w:cs="Verdana" w:eastAsia="Verdana" w:hAnsi="Verdana"/>
          <w:sz w:val="18"/>
          <w:szCs w:val="18"/>
          <w:color w:val="auto"/>
        </w:rPr>
        <w:t>Cover Page Interactive Data File (formatted as inline XBRL with applicable taxonomy extension information contained in Exhibits 101)</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16" w:name="page117"/>
    <w:bookmarkEnd w:id="11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SIGNATURES</w:t>
      </w:r>
    </w:p>
    <w:p>
      <w:pPr>
        <w:spacing w:after="0" w:line="173"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Pursuant to the requirements of the Exchange Act, the Registrant has duly caused this report to be signed on its behalf by the undersigned, as of November 5, 2024, thereunto duly authorized.</w:t>
      </w:r>
    </w:p>
    <w:p>
      <w:pPr>
        <w:spacing w:after="0" w:line="236" w:lineRule="exact"/>
        <w:rPr>
          <w:sz w:val="20"/>
          <w:szCs w:val="20"/>
          <w:color w:val="auto"/>
        </w:rPr>
      </w:pPr>
    </w:p>
    <w:p>
      <w:pPr>
        <w:ind w:left="4480"/>
        <w:spacing w:after="0"/>
        <w:rPr>
          <w:sz w:val="20"/>
          <w:szCs w:val="20"/>
          <w:color w:val="auto"/>
        </w:rPr>
      </w:pPr>
      <w:r>
        <w:rPr>
          <w:rFonts w:ascii="Verdana" w:cs="Verdana" w:eastAsia="Verdana" w:hAnsi="Verdana"/>
          <w:sz w:val="18"/>
          <w:szCs w:val="18"/>
          <w:b w:val="1"/>
          <w:bCs w:val="1"/>
          <w:color w:val="auto"/>
        </w:rPr>
        <w:t>FIRST BUSEY CORPORATION</w:t>
      </w:r>
    </w:p>
    <w:p>
      <w:pPr>
        <w:ind w:left="4480"/>
        <w:spacing w:after="0"/>
        <w:rPr>
          <w:sz w:val="20"/>
          <w:szCs w:val="20"/>
          <w:color w:val="auto"/>
        </w:rPr>
      </w:pPr>
      <w:r>
        <w:rPr>
          <w:rFonts w:ascii="Verdana" w:cs="Verdana" w:eastAsia="Verdana" w:hAnsi="Verdana"/>
          <w:sz w:val="18"/>
          <w:szCs w:val="18"/>
          <w:color w:val="auto"/>
        </w:rPr>
        <w:t>(Registrant)</w:t>
      </w:r>
    </w:p>
    <w:p>
      <w:pPr>
        <w:spacing w:after="0" w:line="321" w:lineRule="exact"/>
        <w:rPr>
          <w:sz w:val="20"/>
          <w:szCs w:val="20"/>
          <w:color w:val="auto"/>
        </w:rPr>
      </w:pPr>
    </w:p>
    <w:p>
      <w:pPr>
        <w:ind w:left="4480"/>
        <w:spacing w:after="0"/>
        <w:tabs>
          <w:tab w:leader="none" w:pos="4980" w:val="left"/>
        </w:tabs>
        <w:rPr>
          <w:sz w:val="20"/>
          <w:szCs w:val="20"/>
          <w:color w:val="auto"/>
        </w:rPr>
      </w:pPr>
      <w:r>
        <w:rPr>
          <w:rFonts w:ascii="Verdana" w:cs="Verdana" w:eastAsia="Verdana" w:hAnsi="Verdana"/>
          <w:sz w:val="18"/>
          <w:szCs w:val="18"/>
          <w:color w:val="auto"/>
        </w:rPr>
        <w:t>By:</w:t>
        <w:tab/>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19050</wp:posOffset>
            </wp:positionV>
            <wp:extent cx="39687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pacing w:after="0" w:line="45" w:lineRule="exact"/>
        <w:rPr>
          <w:sz w:val="20"/>
          <w:szCs w:val="20"/>
          <w:color w:val="auto"/>
        </w:rPr>
      </w:pPr>
    </w:p>
    <w:p>
      <w:pPr>
        <w:ind w:left="5000"/>
        <w:spacing w:after="0"/>
        <w:rPr>
          <w:sz w:val="20"/>
          <w:szCs w:val="20"/>
          <w:color w:val="auto"/>
        </w:rPr>
      </w:pPr>
      <w:r>
        <w:rPr>
          <w:rFonts w:ascii="Verdana" w:cs="Verdana" w:eastAsia="Verdana" w:hAnsi="Verdana"/>
          <w:sz w:val="18"/>
          <w:szCs w:val="18"/>
          <w:color w:val="auto"/>
        </w:rPr>
        <w:t>Van A. Dukeman</w:t>
      </w:r>
    </w:p>
    <w:p>
      <w:pPr>
        <w:spacing w:after="0" w:line="48" w:lineRule="exact"/>
        <w:rPr>
          <w:sz w:val="20"/>
          <w:szCs w:val="20"/>
          <w:color w:val="auto"/>
        </w:rPr>
      </w:pPr>
    </w:p>
    <w:p>
      <w:pPr>
        <w:ind w:left="5000"/>
        <w:spacing w:after="0"/>
        <w:rPr>
          <w:sz w:val="20"/>
          <w:szCs w:val="20"/>
          <w:color w:val="auto"/>
        </w:rPr>
      </w:pPr>
      <w:r>
        <w:rPr>
          <w:rFonts w:ascii="Verdana" w:cs="Verdana" w:eastAsia="Verdana" w:hAnsi="Verdana"/>
          <w:sz w:val="18"/>
          <w:szCs w:val="18"/>
          <w:color w:val="auto"/>
        </w:rPr>
        <w:t>Chairman and Chief Executive Officer</w:t>
      </w:r>
    </w:p>
    <w:p>
      <w:pPr>
        <w:ind w:left="5000"/>
        <w:spacing w:after="0"/>
        <w:rPr>
          <w:sz w:val="20"/>
          <w:szCs w:val="20"/>
          <w:color w:val="auto"/>
        </w:rPr>
      </w:pPr>
      <w:r>
        <w:rPr>
          <w:rFonts w:ascii="Verdana" w:cs="Verdana" w:eastAsia="Verdana" w:hAnsi="Verdana"/>
          <w:sz w:val="18"/>
          <w:szCs w:val="18"/>
          <w:color w:val="auto"/>
        </w:rPr>
        <w:t>(Principal Executive Officer)</w:t>
      </w:r>
    </w:p>
    <w:p>
      <w:pPr>
        <w:spacing w:after="0" w:line="321" w:lineRule="exact"/>
        <w:rPr>
          <w:sz w:val="20"/>
          <w:szCs w:val="20"/>
          <w:color w:val="auto"/>
        </w:rPr>
      </w:pPr>
    </w:p>
    <w:p>
      <w:pPr>
        <w:ind w:left="4480"/>
        <w:spacing w:after="0"/>
        <w:tabs>
          <w:tab w:leader="none" w:pos="4980" w:val="left"/>
        </w:tabs>
        <w:rPr>
          <w:sz w:val="20"/>
          <w:szCs w:val="20"/>
          <w:color w:val="auto"/>
        </w:rPr>
      </w:pPr>
      <w:r>
        <w:rPr>
          <w:rFonts w:ascii="Verdana" w:cs="Verdana" w:eastAsia="Verdana" w:hAnsi="Verdana"/>
          <w:sz w:val="18"/>
          <w:szCs w:val="18"/>
          <w:color w:val="auto"/>
        </w:rPr>
        <w:t>By:</w:t>
      </w:r>
      <w:r>
        <w:rPr>
          <w:sz w:val="20"/>
          <w:szCs w:val="20"/>
          <w:color w:val="auto"/>
        </w:rPr>
        <w:tab/>
      </w:r>
      <w:r>
        <w:rPr>
          <w:rFonts w:ascii="Verdana" w:cs="Verdana" w:eastAsia="Verdana" w:hAnsi="Verdana"/>
          <w:sz w:val="17"/>
          <w:szCs w:val="17"/>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19050</wp:posOffset>
            </wp:positionV>
            <wp:extent cx="39687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pacing w:after="0" w:line="45" w:lineRule="exact"/>
        <w:rPr>
          <w:sz w:val="20"/>
          <w:szCs w:val="20"/>
          <w:color w:val="auto"/>
        </w:rPr>
      </w:pPr>
    </w:p>
    <w:p>
      <w:pPr>
        <w:ind w:left="5000"/>
        <w:spacing w:after="0"/>
        <w:rPr>
          <w:sz w:val="20"/>
          <w:szCs w:val="20"/>
          <w:color w:val="auto"/>
        </w:rPr>
      </w:pPr>
      <w:r>
        <w:rPr>
          <w:rFonts w:ascii="Verdana" w:cs="Verdana" w:eastAsia="Verdana" w:hAnsi="Verdana"/>
          <w:sz w:val="18"/>
          <w:szCs w:val="18"/>
          <w:color w:val="auto"/>
        </w:rPr>
        <w:t>Jeffrey D. Jones</w:t>
      </w:r>
    </w:p>
    <w:p>
      <w:pPr>
        <w:spacing w:after="0" w:line="48" w:lineRule="exact"/>
        <w:rPr>
          <w:sz w:val="20"/>
          <w:szCs w:val="20"/>
          <w:color w:val="auto"/>
        </w:rPr>
      </w:pPr>
    </w:p>
    <w:p>
      <w:pPr>
        <w:ind w:left="5000"/>
        <w:spacing w:after="0"/>
        <w:rPr>
          <w:sz w:val="20"/>
          <w:szCs w:val="20"/>
          <w:color w:val="auto"/>
        </w:rPr>
      </w:pPr>
      <w:r>
        <w:rPr>
          <w:rFonts w:ascii="Verdana" w:cs="Verdana" w:eastAsia="Verdana" w:hAnsi="Verdana"/>
          <w:sz w:val="18"/>
          <w:szCs w:val="18"/>
          <w:color w:val="auto"/>
        </w:rPr>
        <w:t>Chief Financial Officer</w:t>
      </w:r>
    </w:p>
    <w:p>
      <w:pPr>
        <w:ind w:left="5000"/>
        <w:spacing w:after="0"/>
        <w:rPr>
          <w:sz w:val="20"/>
          <w:szCs w:val="20"/>
          <w:color w:val="auto"/>
        </w:rPr>
      </w:pPr>
      <w:r>
        <w:rPr>
          <w:rFonts w:ascii="Verdana" w:cs="Verdana" w:eastAsia="Verdana" w:hAnsi="Verdana"/>
          <w:sz w:val="18"/>
          <w:szCs w:val="18"/>
          <w:color w:val="auto"/>
        </w:rPr>
        <w:t>(Principal Financial Officer)</w:t>
      </w:r>
    </w:p>
    <w:p>
      <w:pPr>
        <w:spacing w:after="0" w:line="321" w:lineRule="exact"/>
        <w:rPr>
          <w:sz w:val="20"/>
          <w:szCs w:val="20"/>
          <w:color w:val="auto"/>
        </w:rPr>
      </w:pPr>
    </w:p>
    <w:p>
      <w:pPr>
        <w:ind w:left="4480"/>
        <w:spacing w:after="0"/>
        <w:tabs>
          <w:tab w:leader="none" w:pos="4980" w:val="left"/>
        </w:tabs>
        <w:rPr>
          <w:sz w:val="20"/>
          <w:szCs w:val="20"/>
          <w:color w:val="auto"/>
        </w:rPr>
      </w:pPr>
      <w:r>
        <w:rPr>
          <w:rFonts w:ascii="Verdana" w:cs="Verdana" w:eastAsia="Verdana" w:hAnsi="Verdana"/>
          <w:sz w:val="18"/>
          <w:szCs w:val="18"/>
          <w:color w:val="auto"/>
        </w:rPr>
        <w:t>By:</w:t>
        <w:tab/>
        <w:t>/s/ SCOTT A.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19050</wp:posOffset>
            </wp:positionV>
            <wp:extent cx="396875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3968750" cy="8890"/>
                    </a:xfrm>
                    <a:prstGeom prst="rect">
                      <a:avLst/>
                    </a:prstGeom>
                    <a:noFill/>
                  </pic:spPr>
                </pic:pic>
              </a:graphicData>
            </a:graphic>
          </wp:anchor>
        </w:drawing>
      </w:r>
    </w:p>
    <w:p>
      <w:pPr>
        <w:spacing w:after="0" w:line="45" w:lineRule="exact"/>
        <w:rPr>
          <w:sz w:val="20"/>
          <w:szCs w:val="20"/>
          <w:color w:val="auto"/>
        </w:rPr>
      </w:pPr>
    </w:p>
    <w:p>
      <w:pPr>
        <w:ind w:left="5000"/>
        <w:spacing w:after="0"/>
        <w:rPr>
          <w:sz w:val="20"/>
          <w:szCs w:val="20"/>
          <w:color w:val="auto"/>
        </w:rPr>
      </w:pPr>
      <w:r>
        <w:rPr>
          <w:rFonts w:ascii="Verdana" w:cs="Verdana" w:eastAsia="Verdana" w:hAnsi="Verdana"/>
          <w:sz w:val="18"/>
          <w:szCs w:val="18"/>
          <w:color w:val="auto"/>
        </w:rPr>
        <w:t>Scott A. Phillips</w:t>
      </w:r>
    </w:p>
    <w:p>
      <w:pPr>
        <w:spacing w:after="0" w:line="48" w:lineRule="exact"/>
        <w:rPr>
          <w:sz w:val="20"/>
          <w:szCs w:val="20"/>
          <w:color w:val="auto"/>
        </w:rPr>
      </w:pPr>
    </w:p>
    <w:p>
      <w:pPr>
        <w:ind w:left="5000"/>
        <w:spacing w:after="0"/>
        <w:rPr>
          <w:sz w:val="20"/>
          <w:szCs w:val="20"/>
          <w:color w:val="auto"/>
        </w:rPr>
      </w:pPr>
      <w:r>
        <w:rPr>
          <w:rFonts w:ascii="Verdana" w:cs="Verdana" w:eastAsia="Verdana" w:hAnsi="Verdana"/>
          <w:sz w:val="18"/>
          <w:szCs w:val="18"/>
          <w:color w:val="auto"/>
        </w:rPr>
        <w:t>Corporate Controller and Principal Accounting Officer</w:t>
      </w:r>
    </w:p>
    <w:p>
      <w:pPr>
        <w:ind w:left="5000"/>
        <w:spacing w:after="0"/>
        <w:rPr>
          <w:sz w:val="20"/>
          <w:szCs w:val="20"/>
          <w:color w:val="auto"/>
        </w:rPr>
      </w:pPr>
      <w:r>
        <w:rPr>
          <w:rFonts w:ascii="Verdana" w:cs="Verdana" w:eastAsia="Verdana" w:hAnsi="Verdana"/>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117</w:t>
      </w:r>
    </w:p>
    <w:p>
      <w:pPr>
        <w:sectPr>
          <w:pgSz w:w="11900" w:h="16838" w:orient="portrait"/>
          <w:cols w:equalWidth="0" w:num="1">
            <w:col w:w="11240"/>
          </w:cols>
          <w:pgMar w:left="320" w:top="310" w:right="339" w:bottom="1440" w:gutter="0" w:footer="0" w:header="0"/>
        </w:sectPr>
      </w:pPr>
    </w:p>
    <w:bookmarkStart w:id="117" w:name="page118"/>
    <w:bookmarkEnd w:id="117"/>
    <w:p>
      <w:pPr>
        <w:jc w:val="right"/>
        <w:spacing w:after="0"/>
        <w:rPr>
          <w:sz w:val="20"/>
          <w:szCs w:val="20"/>
          <w:color w:val="auto"/>
        </w:rPr>
      </w:pPr>
      <w:r>
        <w:rPr>
          <w:rFonts w:ascii="Verdana" w:cs="Verdana" w:eastAsia="Verdana" w:hAnsi="Verdana"/>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980"/>
        <w:spacing w:after="0"/>
        <w:rPr>
          <w:sz w:val="20"/>
          <w:szCs w:val="20"/>
          <w:color w:val="auto"/>
        </w:rPr>
      </w:pPr>
      <w:r>
        <w:rPr>
          <w:rFonts w:ascii="Verdana" w:cs="Verdana" w:eastAsia="Verdana" w:hAnsi="Verdana"/>
          <w:sz w:val="18"/>
          <w:szCs w:val="18"/>
          <w:b w:val="1"/>
          <w:bCs w:val="1"/>
          <w:color w:val="auto"/>
        </w:rPr>
        <w:t>CERTIFICATION OF PRINCIPAL EXECUTIVE OFFICER</w:t>
      </w:r>
    </w:p>
    <w:p>
      <w:pPr>
        <w:spacing w:after="0" w:line="146" w:lineRule="exact"/>
        <w:rPr>
          <w:sz w:val="20"/>
          <w:szCs w:val="20"/>
          <w:color w:val="auto"/>
        </w:rPr>
      </w:pPr>
    </w:p>
    <w:p>
      <w:pPr>
        <w:spacing w:after="0"/>
        <w:rPr>
          <w:sz w:val="20"/>
          <w:szCs w:val="20"/>
          <w:color w:val="auto"/>
        </w:rPr>
      </w:pPr>
      <w:r>
        <w:rPr>
          <w:rFonts w:ascii="Verdana" w:cs="Verdana" w:eastAsia="Verdana" w:hAnsi="Verdana"/>
          <w:sz w:val="18"/>
          <w:szCs w:val="18"/>
          <w:color w:val="auto"/>
        </w:rPr>
        <w:t>I, Van A. Dukeman, Chairman and Chief Executive Officer of First Busey Corporation, certify that:</w:t>
      </w:r>
    </w:p>
    <w:p>
      <w:pPr>
        <w:spacing w:after="0" w:line="146" w:lineRule="exact"/>
        <w:rPr>
          <w:sz w:val="20"/>
          <w:szCs w:val="20"/>
          <w:color w:val="auto"/>
        </w:rPr>
      </w:pPr>
    </w:p>
    <w:p>
      <w:pPr>
        <w:ind w:left="320" w:hanging="312"/>
        <w:spacing w:after="0"/>
        <w:tabs>
          <w:tab w:leader="none" w:pos="320" w:val="left"/>
        </w:tabs>
        <w:numPr>
          <w:ilvl w:val="0"/>
          <w:numId w:val="41"/>
        </w:numPr>
        <w:rPr>
          <w:rFonts w:ascii="Verdana" w:cs="Verdana" w:eastAsia="Verdana" w:hAnsi="Verdana"/>
          <w:sz w:val="18"/>
          <w:szCs w:val="18"/>
          <w:color w:val="auto"/>
        </w:rPr>
      </w:pPr>
      <w:r>
        <w:rPr>
          <w:rFonts w:ascii="Verdana" w:cs="Verdana" w:eastAsia="Verdana" w:hAnsi="Verdana"/>
          <w:sz w:val="18"/>
          <w:szCs w:val="18"/>
          <w:color w:val="auto"/>
        </w:rPr>
        <w:t>I have reviewed this Quarterly Report on Form 10-Q of First Busey Corporation;</w:t>
      </w:r>
    </w:p>
    <w:p>
      <w:pPr>
        <w:spacing w:after="0" w:line="145" w:lineRule="exact"/>
        <w:rPr>
          <w:rFonts w:ascii="Verdana" w:cs="Verdana" w:eastAsia="Verdana" w:hAnsi="Verdana"/>
          <w:sz w:val="18"/>
          <w:szCs w:val="18"/>
          <w:color w:val="auto"/>
        </w:rPr>
      </w:pPr>
    </w:p>
    <w:p>
      <w:pPr>
        <w:jc w:val="both"/>
        <w:ind w:left="340" w:hanging="332"/>
        <w:spacing w:after="0" w:line="214" w:lineRule="auto"/>
        <w:tabs>
          <w:tab w:leader="none" w:pos="333" w:val="left"/>
        </w:tabs>
        <w:numPr>
          <w:ilvl w:val="0"/>
          <w:numId w:val="41"/>
        </w:numPr>
        <w:rPr>
          <w:rFonts w:ascii="Verdana" w:cs="Verdana" w:eastAsia="Verdana" w:hAnsi="Verdana"/>
          <w:sz w:val="18"/>
          <w:szCs w:val="18"/>
          <w:color w:val="auto"/>
        </w:rPr>
      </w:pPr>
      <w:r>
        <w:rPr>
          <w:rFonts w:ascii="Verdana" w:cs="Verdana" w:eastAsia="Verdana" w:hAnsi="Verdana"/>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30" w:lineRule="exact"/>
        <w:rPr>
          <w:rFonts w:ascii="Verdana" w:cs="Verdana" w:eastAsia="Verdana" w:hAnsi="Verdana"/>
          <w:sz w:val="18"/>
          <w:szCs w:val="18"/>
          <w:color w:val="auto"/>
        </w:rPr>
      </w:pPr>
    </w:p>
    <w:p>
      <w:pPr>
        <w:jc w:val="both"/>
        <w:ind w:left="340" w:hanging="332"/>
        <w:spacing w:after="0" w:line="219" w:lineRule="auto"/>
        <w:tabs>
          <w:tab w:leader="none" w:pos="333" w:val="left"/>
        </w:tabs>
        <w:numPr>
          <w:ilvl w:val="0"/>
          <w:numId w:val="41"/>
        </w:numPr>
        <w:rPr>
          <w:rFonts w:ascii="Verdana" w:cs="Verdana" w:eastAsia="Verdana" w:hAnsi="Verdana"/>
          <w:sz w:val="18"/>
          <w:szCs w:val="18"/>
          <w:color w:val="auto"/>
        </w:rPr>
      </w:pPr>
      <w:r>
        <w:rPr>
          <w:rFonts w:ascii="Verdana" w:cs="Verdana" w:eastAsia="Verdana" w:hAnsi="Verdana"/>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16" w:lineRule="exact"/>
        <w:rPr>
          <w:rFonts w:ascii="Verdana" w:cs="Verdana" w:eastAsia="Verdana" w:hAnsi="Verdana"/>
          <w:sz w:val="18"/>
          <w:szCs w:val="18"/>
          <w:color w:val="auto"/>
        </w:rPr>
      </w:pPr>
    </w:p>
    <w:p>
      <w:pPr>
        <w:jc w:val="both"/>
        <w:ind w:left="340" w:hanging="332"/>
        <w:spacing w:after="0" w:line="219" w:lineRule="auto"/>
        <w:tabs>
          <w:tab w:leader="none" w:pos="333" w:val="left"/>
        </w:tabs>
        <w:numPr>
          <w:ilvl w:val="0"/>
          <w:numId w:val="41"/>
        </w:numPr>
        <w:rPr>
          <w:rFonts w:ascii="Verdana" w:cs="Verdana" w:eastAsia="Verdana" w:hAnsi="Verdana"/>
          <w:sz w:val="18"/>
          <w:szCs w:val="18"/>
          <w:color w:val="auto"/>
        </w:rPr>
      </w:pPr>
      <w:r>
        <w:rPr>
          <w:rFonts w:ascii="Verdana" w:cs="Verdana" w:eastAsia="Verdana" w:hAnsi="Verdana"/>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Verdana" w:cs="Verdana" w:eastAsia="Verdana" w:hAnsi="Verdana"/>
          <w:sz w:val="18"/>
          <w:szCs w:val="18"/>
          <w:color w:val="auto"/>
        </w:rPr>
      </w:pPr>
    </w:p>
    <w:p>
      <w:pPr>
        <w:jc w:val="both"/>
        <w:ind w:left="660" w:hanging="328"/>
        <w:spacing w:after="0" w:line="212" w:lineRule="auto"/>
        <w:tabs>
          <w:tab w:leader="none" w:pos="647" w:val="left"/>
        </w:tabs>
        <w:numPr>
          <w:ilvl w:val="1"/>
          <w:numId w:val="41"/>
        </w:numPr>
        <w:rPr>
          <w:rFonts w:ascii="Verdana" w:cs="Verdana" w:eastAsia="Verdana" w:hAnsi="Verdana"/>
          <w:sz w:val="18"/>
          <w:szCs w:val="18"/>
          <w:color w:val="auto"/>
        </w:rPr>
      </w:pPr>
      <w:r>
        <w:rPr>
          <w:rFonts w:ascii="Verdana" w:cs="Verdana" w:eastAsia="Verdana" w:hAnsi="Verdana"/>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18" w:lineRule="exact"/>
        <w:rPr>
          <w:rFonts w:ascii="Verdana" w:cs="Verdana" w:eastAsia="Verdana" w:hAnsi="Verdana"/>
          <w:sz w:val="18"/>
          <w:szCs w:val="18"/>
          <w:color w:val="auto"/>
        </w:rPr>
      </w:pPr>
    </w:p>
    <w:p>
      <w:pPr>
        <w:jc w:val="both"/>
        <w:ind w:left="660" w:hanging="328"/>
        <w:spacing w:after="0" w:line="212" w:lineRule="auto"/>
        <w:tabs>
          <w:tab w:leader="none" w:pos="651" w:val="left"/>
        </w:tabs>
        <w:numPr>
          <w:ilvl w:val="1"/>
          <w:numId w:val="41"/>
        </w:numPr>
        <w:rPr>
          <w:rFonts w:ascii="Verdana" w:cs="Verdana" w:eastAsia="Verdana" w:hAnsi="Verdana"/>
          <w:sz w:val="18"/>
          <w:szCs w:val="18"/>
          <w:color w:val="auto"/>
        </w:rPr>
      </w:pPr>
      <w:r>
        <w:rPr>
          <w:rFonts w:ascii="Verdana" w:cs="Verdana" w:eastAsia="Verdana" w:hAnsi="Verdana"/>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1" w:lineRule="exact"/>
        <w:rPr>
          <w:rFonts w:ascii="Verdana" w:cs="Verdana" w:eastAsia="Verdana" w:hAnsi="Verdana"/>
          <w:sz w:val="18"/>
          <w:szCs w:val="18"/>
          <w:color w:val="auto"/>
        </w:rPr>
      </w:pPr>
    </w:p>
    <w:p>
      <w:pPr>
        <w:jc w:val="both"/>
        <w:ind w:left="660" w:hanging="328"/>
        <w:spacing w:after="0" w:line="219" w:lineRule="auto"/>
        <w:tabs>
          <w:tab w:leader="none" w:pos="660" w:val="left"/>
        </w:tabs>
        <w:numPr>
          <w:ilvl w:val="1"/>
          <w:numId w:val="41"/>
        </w:numPr>
        <w:rPr>
          <w:rFonts w:ascii="Verdana" w:cs="Verdana" w:eastAsia="Verdana" w:hAnsi="Verdana"/>
          <w:sz w:val="18"/>
          <w:szCs w:val="18"/>
          <w:color w:val="auto"/>
        </w:rPr>
      </w:pPr>
      <w:r>
        <w:rPr>
          <w:rFonts w:ascii="Verdana" w:cs="Verdana" w:eastAsia="Verdana" w:hAnsi="Verdana"/>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16" w:lineRule="exact"/>
        <w:rPr>
          <w:rFonts w:ascii="Verdana" w:cs="Verdana" w:eastAsia="Verdana" w:hAnsi="Verdana"/>
          <w:sz w:val="18"/>
          <w:szCs w:val="18"/>
          <w:color w:val="auto"/>
        </w:rPr>
      </w:pPr>
    </w:p>
    <w:p>
      <w:pPr>
        <w:jc w:val="both"/>
        <w:ind w:left="660" w:hanging="328"/>
        <w:spacing w:after="0" w:line="212" w:lineRule="auto"/>
        <w:tabs>
          <w:tab w:leader="none" w:pos="651" w:val="left"/>
        </w:tabs>
        <w:numPr>
          <w:ilvl w:val="1"/>
          <w:numId w:val="41"/>
        </w:numPr>
        <w:rPr>
          <w:rFonts w:ascii="Verdana" w:cs="Verdana" w:eastAsia="Verdana" w:hAnsi="Verdana"/>
          <w:sz w:val="18"/>
          <w:szCs w:val="18"/>
          <w:color w:val="auto"/>
        </w:rPr>
      </w:pPr>
      <w:r>
        <w:rPr>
          <w:rFonts w:ascii="Verdana" w:cs="Verdana" w:eastAsia="Verdana" w:hAnsi="Verdana"/>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Verdana" w:cs="Verdana" w:eastAsia="Verdana" w:hAnsi="Verdana"/>
          <w:sz w:val="18"/>
          <w:szCs w:val="18"/>
          <w:color w:val="auto"/>
        </w:rPr>
      </w:pPr>
    </w:p>
    <w:p>
      <w:pPr>
        <w:jc w:val="both"/>
        <w:ind w:left="340" w:right="20" w:hanging="332"/>
        <w:spacing w:after="0" w:line="214" w:lineRule="auto"/>
        <w:tabs>
          <w:tab w:leader="none" w:pos="333" w:val="left"/>
        </w:tabs>
        <w:numPr>
          <w:ilvl w:val="0"/>
          <w:numId w:val="41"/>
        </w:numPr>
        <w:rPr>
          <w:rFonts w:ascii="Verdana" w:cs="Verdana" w:eastAsia="Verdana" w:hAnsi="Verdana"/>
          <w:sz w:val="18"/>
          <w:szCs w:val="18"/>
          <w:color w:val="auto"/>
        </w:rPr>
      </w:pPr>
      <w:r>
        <w:rPr>
          <w:rFonts w:ascii="Verdana" w:cs="Verdana" w:eastAsia="Verdana" w:hAnsi="Verdana"/>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Verdana" w:cs="Verdana" w:eastAsia="Verdana" w:hAnsi="Verdana"/>
          <w:sz w:val="18"/>
          <w:szCs w:val="18"/>
          <w:color w:val="auto"/>
        </w:rPr>
      </w:pPr>
    </w:p>
    <w:p>
      <w:pPr>
        <w:jc w:val="both"/>
        <w:ind w:left="660" w:hanging="328"/>
        <w:spacing w:after="0" w:line="219" w:lineRule="auto"/>
        <w:tabs>
          <w:tab w:leader="none" w:pos="647" w:val="left"/>
        </w:tabs>
        <w:numPr>
          <w:ilvl w:val="1"/>
          <w:numId w:val="41"/>
        </w:numPr>
        <w:rPr>
          <w:rFonts w:ascii="Verdana" w:cs="Verdana" w:eastAsia="Verdana" w:hAnsi="Verdana"/>
          <w:sz w:val="18"/>
          <w:szCs w:val="18"/>
          <w:color w:val="auto"/>
        </w:rPr>
      </w:pPr>
      <w:r>
        <w:rPr>
          <w:rFonts w:ascii="Verdana" w:cs="Verdana" w:eastAsia="Verdana" w:hAnsi="Verdana"/>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Verdana" w:cs="Verdana" w:eastAsia="Verdana" w:hAnsi="Verdana"/>
          <w:sz w:val="18"/>
          <w:szCs w:val="18"/>
          <w:color w:val="auto"/>
        </w:rPr>
      </w:pPr>
    </w:p>
    <w:p>
      <w:pPr>
        <w:ind w:left="660" w:hanging="328"/>
        <w:spacing w:after="0" w:line="232" w:lineRule="auto"/>
        <w:tabs>
          <w:tab w:leader="none" w:pos="651" w:val="left"/>
        </w:tabs>
        <w:numPr>
          <w:ilvl w:val="1"/>
          <w:numId w:val="41"/>
        </w:numPr>
        <w:rPr>
          <w:rFonts w:ascii="Verdana" w:cs="Verdana" w:eastAsia="Verdana" w:hAnsi="Verdana"/>
          <w:sz w:val="18"/>
          <w:szCs w:val="18"/>
          <w:color w:val="auto"/>
        </w:rPr>
      </w:pPr>
      <w:r>
        <w:rPr>
          <w:rFonts w:ascii="Verdana" w:cs="Verdana" w:eastAsia="Verdana" w:hAnsi="Verdana"/>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5640"/>
        <w:spacing w:after="0"/>
        <w:rPr>
          <w:sz w:val="20"/>
          <w:szCs w:val="20"/>
          <w:color w:val="auto"/>
        </w:rPr>
      </w:pPr>
      <w:r>
        <w:rPr>
          <w:rFonts w:ascii="Verdana" w:cs="Verdana" w:eastAsia="Verdana" w:hAnsi="Verdana"/>
          <w:sz w:val="16"/>
          <w:szCs w:val="16"/>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5" w:lineRule="exact"/>
        <w:rPr>
          <w:sz w:val="20"/>
          <w:szCs w:val="20"/>
          <w:color w:val="auto"/>
        </w:rPr>
      </w:pPr>
    </w:p>
    <w:p>
      <w:pPr>
        <w:ind w:left="5640"/>
        <w:spacing w:after="0"/>
        <w:rPr>
          <w:sz w:val="20"/>
          <w:szCs w:val="20"/>
          <w:color w:val="auto"/>
        </w:rPr>
      </w:pPr>
      <w:r>
        <w:rPr>
          <w:rFonts w:ascii="Verdana" w:cs="Verdana" w:eastAsia="Verdana" w:hAnsi="Verdana"/>
          <w:sz w:val="16"/>
          <w:szCs w:val="16"/>
          <w:color w:val="auto"/>
        </w:rPr>
        <w:t>Van A. Dukeman</w:t>
      </w:r>
    </w:p>
    <w:p>
      <w:pPr>
        <w:spacing w:after="0" w:line="22" w:lineRule="exact"/>
        <w:rPr>
          <w:sz w:val="20"/>
          <w:szCs w:val="20"/>
          <w:color w:val="auto"/>
        </w:rPr>
      </w:pPr>
    </w:p>
    <w:p>
      <w:pPr>
        <w:ind w:left="5640"/>
        <w:spacing w:after="0"/>
        <w:rPr>
          <w:sz w:val="20"/>
          <w:szCs w:val="20"/>
          <w:color w:val="auto"/>
        </w:rPr>
      </w:pPr>
      <w:r>
        <w:rPr>
          <w:rFonts w:ascii="Verdana" w:cs="Verdana" w:eastAsia="Verdana" w:hAnsi="Verdana"/>
          <w:sz w:val="16"/>
          <w:szCs w:val="16"/>
          <w:color w:val="auto"/>
        </w:rPr>
        <w:t>Chairman and Chief Executive Officer</w:t>
      </w:r>
    </w:p>
    <w:p>
      <w:pPr>
        <w:spacing w:after="0" w:line="260" w:lineRule="exact"/>
        <w:rPr>
          <w:sz w:val="20"/>
          <w:szCs w:val="20"/>
          <w:color w:val="auto"/>
        </w:rPr>
      </w:pPr>
    </w:p>
    <w:p>
      <w:pPr>
        <w:spacing w:after="0"/>
        <w:rPr>
          <w:sz w:val="20"/>
          <w:szCs w:val="20"/>
          <w:color w:val="auto"/>
        </w:rPr>
      </w:pPr>
      <w:r>
        <w:rPr>
          <w:rFonts w:ascii="Verdana" w:cs="Verdana" w:eastAsia="Verdana" w:hAnsi="Verdana"/>
          <w:sz w:val="18"/>
          <w:szCs w:val="18"/>
          <w:color w:val="auto"/>
        </w:rPr>
        <w:t>Date: November 5, 2024</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34" w:right="339" w:bottom="1440" w:gutter="0" w:footer="0" w:header="0"/>
        </w:sectPr>
      </w:pPr>
    </w:p>
    <w:bookmarkStart w:id="118" w:name="page119"/>
    <w:bookmarkEnd w:id="118"/>
    <w:p>
      <w:pPr>
        <w:jc w:val="right"/>
        <w:spacing w:after="0"/>
        <w:rPr>
          <w:sz w:val="20"/>
          <w:szCs w:val="20"/>
          <w:color w:val="auto"/>
        </w:rPr>
      </w:pPr>
      <w:r>
        <w:rPr>
          <w:rFonts w:ascii="Verdana" w:cs="Verdana" w:eastAsia="Verdana" w:hAnsi="Verdana"/>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960" w:firstLine="2965"/>
        <w:spacing w:after="0" w:line="399" w:lineRule="auto"/>
        <w:rPr>
          <w:sz w:val="20"/>
          <w:szCs w:val="20"/>
          <w:color w:val="auto"/>
        </w:rPr>
      </w:pPr>
      <w:r>
        <w:rPr>
          <w:rFonts w:ascii="Verdana" w:cs="Verdana" w:eastAsia="Verdana" w:hAnsi="Verdana"/>
          <w:sz w:val="18"/>
          <w:szCs w:val="18"/>
          <w:b w:val="1"/>
          <w:bCs w:val="1"/>
          <w:color w:val="auto"/>
        </w:rPr>
        <w:t xml:space="preserve">CERTIFICATION OF PRINCIPAL FINANCIAL OFFICER </w:t>
      </w:r>
      <w:r>
        <w:rPr>
          <w:rFonts w:ascii="Verdana" w:cs="Verdana" w:eastAsia="Verdana" w:hAnsi="Verdana"/>
          <w:sz w:val="18"/>
          <w:szCs w:val="18"/>
          <w:color w:val="auto"/>
        </w:rPr>
        <w:t>I, Jeffrey D. Jones, Chief Financial Officer of First Busey Corporation, certify that:</w:t>
      </w:r>
    </w:p>
    <w:p>
      <w:pPr>
        <w:spacing w:after="0" w:line="2" w:lineRule="exact"/>
        <w:rPr>
          <w:sz w:val="20"/>
          <w:szCs w:val="20"/>
          <w:color w:val="auto"/>
        </w:rPr>
      </w:pPr>
    </w:p>
    <w:p>
      <w:pPr>
        <w:ind w:left="320" w:hanging="312"/>
        <w:spacing w:after="0"/>
        <w:tabs>
          <w:tab w:leader="none" w:pos="320" w:val="left"/>
        </w:tabs>
        <w:numPr>
          <w:ilvl w:val="0"/>
          <w:numId w:val="42"/>
        </w:numPr>
        <w:rPr>
          <w:rFonts w:ascii="Verdana" w:cs="Verdana" w:eastAsia="Verdana" w:hAnsi="Verdana"/>
          <w:sz w:val="18"/>
          <w:szCs w:val="18"/>
          <w:color w:val="auto"/>
        </w:rPr>
      </w:pPr>
      <w:r>
        <w:rPr>
          <w:rFonts w:ascii="Verdana" w:cs="Verdana" w:eastAsia="Verdana" w:hAnsi="Verdana"/>
          <w:sz w:val="18"/>
          <w:szCs w:val="18"/>
          <w:color w:val="auto"/>
        </w:rPr>
        <w:t>I have reviewed this Quarterly Report on Form 10-Q of First Busey Corporation;</w:t>
      </w:r>
    </w:p>
    <w:p>
      <w:pPr>
        <w:spacing w:after="0" w:line="145" w:lineRule="exact"/>
        <w:rPr>
          <w:rFonts w:ascii="Verdana" w:cs="Verdana" w:eastAsia="Verdana" w:hAnsi="Verdana"/>
          <w:sz w:val="18"/>
          <w:szCs w:val="18"/>
          <w:color w:val="auto"/>
        </w:rPr>
      </w:pPr>
    </w:p>
    <w:p>
      <w:pPr>
        <w:jc w:val="both"/>
        <w:ind w:left="340" w:hanging="332"/>
        <w:spacing w:after="0" w:line="214" w:lineRule="auto"/>
        <w:tabs>
          <w:tab w:leader="none" w:pos="333" w:val="left"/>
        </w:tabs>
        <w:numPr>
          <w:ilvl w:val="0"/>
          <w:numId w:val="42"/>
        </w:numPr>
        <w:rPr>
          <w:rFonts w:ascii="Verdana" w:cs="Verdana" w:eastAsia="Verdana" w:hAnsi="Verdana"/>
          <w:sz w:val="18"/>
          <w:szCs w:val="18"/>
          <w:color w:val="auto"/>
        </w:rPr>
      </w:pPr>
      <w:r>
        <w:rPr>
          <w:rFonts w:ascii="Verdana" w:cs="Verdana" w:eastAsia="Verdana" w:hAnsi="Verdana"/>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30" w:lineRule="exact"/>
        <w:rPr>
          <w:rFonts w:ascii="Verdana" w:cs="Verdana" w:eastAsia="Verdana" w:hAnsi="Verdana"/>
          <w:sz w:val="18"/>
          <w:szCs w:val="18"/>
          <w:color w:val="auto"/>
        </w:rPr>
      </w:pPr>
    </w:p>
    <w:p>
      <w:pPr>
        <w:jc w:val="both"/>
        <w:ind w:left="340" w:hanging="332"/>
        <w:spacing w:after="0" w:line="219" w:lineRule="auto"/>
        <w:tabs>
          <w:tab w:leader="none" w:pos="333" w:val="left"/>
        </w:tabs>
        <w:numPr>
          <w:ilvl w:val="0"/>
          <w:numId w:val="42"/>
        </w:numPr>
        <w:rPr>
          <w:rFonts w:ascii="Verdana" w:cs="Verdana" w:eastAsia="Verdana" w:hAnsi="Verdana"/>
          <w:sz w:val="18"/>
          <w:szCs w:val="18"/>
          <w:color w:val="auto"/>
        </w:rPr>
      </w:pPr>
      <w:r>
        <w:rPr>
          <w:rFonts w:ascii="Verdana" w:cs="Verdana" w:eastAsia="Verdana" w:hAnsi="Verdana"/>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16" w:lineRule="exact"/>
        <w:rPr>
          <w:rFonts w:ascii="Verdana" w:cs="Verdana" w:eastAsia="Verdana" w:hAnsi="Verdana"/>
          <w:sz w:val="18"/>
          <w:szCs w:val="18"/>
          <w:color w:val="auto"/>
        </w:rPr>
      </w:pPr>
    </w:p>
    <w:p>
      <w:pPr>
        <w:jc w:val="both"/>
        <w:ind w:left="340" w:hanging="332"/>
        <w:spacing w:after="0" w:line="219" w:lineRule="auto"/>
        <w:tabs>
          <w:tab w:leader="none" w:pos="333" w:val="left"/>
        </w:tabs>
        <w:numPr>
          <w:ilvl w:val="0"/>
          <w:numId w:val="42"/>
        </w:numPr>
        <w:rPr>
          <w:rFonts w:ascii="Verdana" w:cs="Verdana" w:eastAsia="Verdana" w:hAnsi="Verdana"/>
          <w:sz w:val="18"/>
          <w:szCs w:val="18"/>
          <w:color w:val="auto"/>
        </w:rPr>
      </w:pPr>
      <w:r>
        <w:rPr>
          <w:rFonts w:ascii="Verdana" w:cs="Verdana" w:eastAsia="Verdana" w:hAnsi="Verdana"/>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Verdana" w:cs="Verdana" w:eastAsia="Verdana" w:hAnsi="Verdana"/>
          <w:sz w:val="18"/>
          <w:szCs w:val="18"/>
          <w:color w:val="auto"/>
        </w:rPr>
      </w:pPr>
    </w:p>
    <w:p>
      <w:pPr>
        <w:jc w:val="both"/>
        <w:ind w:left="660" w:hanging="328"/>
        <w:spacing w:after="0" w:line="212" w:lineRule="auto"/>
        <w:tabs>
          <w:tab w:leader="none" w:pos="647" w:val="left"/>
        </w:tabs>
        <w:numPr>
          <w:ilvl w:val="1"/>
          <w:numId w:val="42"/>
        </w:numPr>
        <w:rPr>
          <w:rFonts w:ascii="Verdana" w:cs="Verdana" w:eastAsia="Verdana" w:hAnsi="Verdana"/>
          <w:sz w:val="18"/>
          <w:szCs w:val="18"/>
          <w:color w:val="auto"/>
        </w:rPr>
      </w:pPr>
      <w:r>
        <w:rPr>
          <w:rFonts w:ascii="Verdana" w:cs="Verdana" w:eastAsia="Verdana" w:hAnsi="Verdana"/>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18" w:lineRule="exact"/>
        <w:rPr>
          <w:rFonts w:ascii="Verdana" w:cs="Verdana" w:eastAsia="Verdana" w:hAnsi="Verdana"/>
          <w:sz w:val="18"/>
          <w:szCs w:val="18"/>
          <w:color w:val="auto"/>
        </w:rPr>
      </w:pPr>
    </w:p>
    <w:p>
      <w:pPr>
        <w:jc w:val="both"/>
        <w:ind w:left="660" w:hanging="328"/>
        <w:spacing w:after="0" w:line="212" w:lineRule="auto"/>
        <w:tabs>
          <w:tab w:leader="none" w:pos="651" w:val="left"/>
        </w:tabs>
        <w:numPr>
          <w:ilvl w:val="1"/>
          <w:numId w:val="42"/>
        </w:numPr>
        <w:rPr>
          <w:rFonts w:ascii="Verdana" w:cs="Verdana" w:eastAsia="Verdana" w:hAnsi="Verdana"/>
          <w:sz w:val="18"/>
          <w:szCs w:val="18"/>
          <w:color w:val="auto"/>
        </w:rPr>
      </w:pPr>
      <w:r>
        <w:rPr>
          <w:rFonts w:ascii="Verdana" w:cs="Verdana" w:eastAsia="Verdana" w:hAnsi="Verdana"/>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1" w:lineRule="exact"/>
        <w:rPr>
          <w:rFonts w:ascii="Verdana" w:cs="Verdana" w:eastAsia="Verdana" w:hAnsi="Verdana"/>
          <w:sz w:val="18"/>
          <w:szCs w:val="18"/>
          <w:color w:val="auto"/>
        </w:rPr>
      </w:pPr>
    </w:p>
    <w:p>
      <w:pPr>
        <w:jc w:val="both"/>
        <w:ind w:left="660" w:hanging="328"/>
        <w:spacing w:after="0" w:line="219" w:lineRule="auto"/>
        <w:tabs>
          <w:tab w:leader="none" w:pos="660" w:val="left"/>
        </w:tabs>
        <w:numPr>
          <w:ilvl w:val="1"/>
          <w:numId w:val="42"/>
        </w:numPr>
        <w:rPr>
          <w:rFonts w:ascii="Verdana" w:cs="Verdana" w:eastAsia="Verdana" w:hAnsi="Verdana"/>
          <w:sz w:val="18"/>
          <w:szCs w:val="18"/>
          <w:color w:val="auto"/>
        </w:rPr>
      </w:pPr>
      <w:r>
        <w:rPr>
          <w:rFonts w:ascii="Verdana" w:cs="Verdana" w:eastAsia="Verdana" w:hAnsi="Verdana"/>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16" w:lineRule="exact"/>
        <w:rPr>
          <w:rFonts w:ascii="Verdana" w:cs="Verdana" w:eastAsia="Verdana" w:hAnsi="Verdana"/>
          <w:sz w:val="18"/>
          <w:szCs w:val="18"/>
          <w:color w:val="auto"/>
        </w:rPr>
      </w:pPr>
    </w:p>
    <w:p>
      <w:pPr>
        <w:jc w:val="both"/>
        <w:ind w:left="660" w:hanging="328"/>
        <w:spacing w:after="0" w:line="212" w:lineRule="auto"/>
        <w:tabs>
          <w:tab w:leader="none" w:pos="651" w:val="left"/>
        </w:tabs>
        <w:numPr>
          <w:ilvl w:val="1"/>
          <w:numId w:val="42"/>
        </w:numPr>
        <w:rPr>
          <w:rFonts w:ascii="Verdana" w:cs="Verdana" w:eastAsia="Verdana" w:hAnsi="Verdana"/>
          <w:sz w:val="18"/>
          <w:szCs w:val="18"/>
          <w:color w:val="auto"/>
        </w:rPr>
      </w:pPr>
      <w:r>
        <w:rPr>
          <w:rFonts w:ascii="Verdana" w:cs="Verdana" w:eastAsia="Verdana" w:hAnsi="Verdana"/>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Verdana" w:cs="Verdana" w:eastAsia="Verdana" w:hAnsi="Verdana"/>
          <w:sz w:val="18"/>
          <w:szCs w:val="18"/>
          <w:color w:val="auto"/>
        </w:rPr>
      </w:pPr>
    </w:p>
    <w:p>
      <w:pPr>
        <w:jc w:val="both"/>
        <w:ind w:left="340" w:right="20" w:hanging="332"/>
        <w:spacing w:after="0" w:line="214" w:lineRule="auto"/>
        <w:tabs>
          <w:tab w:leader="none" w:pos="333" w:val="left"/>
        </w:tabs>
        <w:numPr>
          <w:ilvl w:val="0"/>
          <w:numId w:val="42"/>
        </w:numPr>
        <w:rPr>
          <w:rFonts w:ascii="Verdana" w:cs="Verdana" w:eastAsia="Verdana" w:hAnsi="Verdana"/>
          <w:sz w:val="18"/>
          <w:szCs w:val="18"/>
          <w:color w:val="auto"/>
        </w:rPr>
      </w:pPr>
      <w:r>
        <w:rPr>
          <w:rFonts w:ascii="Verdana" w:cs="Verdana" w:eastAsia="Verdana" w:hAnsi="Verdana"/>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Verdana" w:cs="Verdana" w:eastAsia="Verdana" w:hAnsi="Verdana"/>
          <w:sz w:val="18"/>
          <w:szCs w:val="18"/>
          <w:color w:val="auto"/>
        </w:rPr>
      </w:pPr>
    </w:p>
    <w:p>
      <w:pPr>
        <w:jc w:val="both"/>
        <w:ind w:left="660" w:hanging="328"/>
        <w:spacing w:after="0" w:line="219" w:lineRule="auto"/>
        <w:tabs>
          <w:tab w:leader="none" w:pos="647" w:val="left"/>
        </w:tabs>
        <w:numPr>
          <w:ilvl w:val="1"/>
          <w:numId w:val="42"/>
        </w:numPr>
        <w:rPr>
          <w:rFonts w:ascii="Verdana" w:cs="Verdana" w:eastAsia="Verdana" w:hAnsi="Verdana"/>
          <w:sz w:val="18"/>
          <w:szCs w:val="18"/>
          <w:color w:val="auto"/>
        </w:rPr>
      </w:pPr>
      <w:r>
        <w:rPr>
          <w:rFonts w:ascii="Verdana" w:cs="Verdana" w:eastAsia="Verdana" w:hAnsi="Verdana"/>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Verdana" w:cs="Verdana" w:eastAsia="Verdana" w:hAnsi="Verdana"/>
          <w:sz w:val="18"/>
          <w:szCs w:val="18"/>
          <w:color w:val="auto"/>
        </w:rPr>
      </w:pPr>
    </w:p>
    <w:p>
      <w:pPr>
        <w:ind w:left="660" w:hanging="328"/>
        <w:spacing w:after="0" w:line="232" w:lineRule="auto"/>
        <w:tabs>
          <w:tab w:leader="none" w:pos="651" w:val="left"/>
        </w:tabs>
        <w:numPr>
          <w:ilvl w:val="1"/>
          <w:numId w:val="42"/>
        </w:numPr>
        <w:rPr>
          <w:rFonts w:ascii="Verdana" w:cs="Verdana" w:eastAsia="Verdana" w:hAnsi="Verdana"/>
          <w:sz w:val="18"/>
          <w:szCs w:val="18"/>
          <w:color w:val="auto"/>
        </w:rPr>
      </w:pPr>
      <w:r>
        <w:rPr>
          <w:rFonts w:ascii="Verdana" w:cs="Verdana" w:eastAsia="Verdana" w:hAnsi="Verdana"/>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5640"/>
        <w:spacing w:after="0"/>
        <w:rPr>
          <w:sz w:val="20"/>
          <w:szCs w:val="20"/>
          <w:color w:val="auto"/>
        </w:rPr>
      </w:pPr>
      <w:r>
        <w:rPr>
          <w:rFonts w:ascii="Verdana" w:cs="Verdana" w:eastAsia="Verdana" w:hAnsi="Verdana"/>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10160</wp:posOffset>
            </wp:positionV>
            <wp:extent cx="3566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 w:lineRule="exact"/>
        <w:rPr>
          <w:sz w:val="20"/>
          <w:szCs w:val="20"/>
          <w:color w:val="auto"/>
        </w:rPr>
      </w:pPr>
    </w:p>
    <w:p>
      <w:pPr>
        <w:ind w:left="5640"/>
        <w:spacing w:after="0"/>
        <w:rPr>
          <w:sz w:val="20"/>
          <w:szCs w:val="20"/>
          <w:color w:val="auto"/>
        </w:rPr>
      </w:pPr>
      <w:r>
        <w:rPr>
          <w:rFonts w:ascii="Verdana" w:cs="Verdana" w:eastAsia="Verdana" w:hAnsi="Verdana"/>
          <w:sz w:val="18"/>
          <w:szCs w:val="18"/>
          <w:color w:val="auto"/>
        </w:rPr>
        <w:t>Jeffrey D. Jones</w:t>
      </w:r>
    </w:p>
    <w:p>
      <w:pPr>
        <w:spacing w:after="0" w:line="11" w:lineRule="exact"/>
        <w:rPr>
          <w:sz w:val="20"/>
          <w:szCs w:val="20"/>
          <w:color w:val="auto"/>
        </w:rPr>
      </w:pPr>
    </w:p>
    <w:p>
      <w:pPr>
        <w:ind w:left="5640"/>
        <w:spacing w:after="0"/>
        <w:rPr>
          <w:sz w:val="20"/>
          <w:szCs w:val="20"/>
          <w:color w:val="auto"/>
        </w:rPr>
      </w:pPr>
      <w:r>
        <w:rPr>
          <w:rFonts w:ascii="Verdana" w:cs="Verdana" w:eastAsia="Verdana" w:hAnsi="Verdana"/>
          <w:sz w:val="18"/>
          <w:szCs w:val="18"/>
          <w:color w:val="auto"/>
        </w:rPr>
        <w:t>Chief Financial Officer</w:t>
      </w:r>
    </w:p>
    <w:p>
      <w:pPr>
        <w:spacing w:after="0" w:line="254" w:lineRule="exact"/>
        <w:rPr>
          <w:sz w:val="20"/>
          <w:szCs w:val="20"/>
          <w:color w:val="auto"/>
        </w:rPr>
      </w:pPr>
    </w:p>
    <w:p>
      <w:pPr>
        <w:spacing w:after="0"/>
        <w:rPr>
          <w:sz w:val="20"/>
          <w:szCs w:val="20"/>
          <w:color w:val="auto"/>
        </w:rPr>
      </w:pPr>
      <w:r>
        <w:rPr>
          <w:rFonts w:ascii="Verdana" w:cs="Verdana" w:eastAsia="Verdana" w:hAnsi="Verdana"/>
          <w:sz w:val="18"/>
          <w:szCs w:val="18"/>
          <w:color w:val="auto"/>
        </w:rPr>
        <w:t>Date: November 5, 2024</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34" w:right="339" w:bottom="1440" w:gutter="0" w:footer="0" w:header="0"/>
        </w:sectPr>
      </w:pPr>
    </w:p>
    <w:bookmarkStart w:id="119" w:name="page120"/>
    <w:bookmarkEnd w:id="119"/>
    <w:p>
      <w:pPr>
        <w:jc w:val="right"/>
        <w:spacing w:after="0"/>
        <w:rPr>
          <w:sz w:val="20"/>
          <w:szCs w:val="20"/>
          <w:color w:val="auto"/>
        </w:rPr>
      </w:pPr>
      <w:r>
        <w:rPr>
          <w:rFonts w:ascii="Verdana" w:cs="Verdana" w:eastAsia="Verdana" w:hAnsi="Verdana"/>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The following certification is provided by the undersigned Chief Executive Officer of First Busey Corporation on the basis of such officer’s knowledge and belief for the sole purpose of complying with 18 U.S.C. Section 1350, as adopted pursuant to Section 906 of the Sarbanes-Oxley Act of 2002.</w:t>
      </w:r>
    </w:p>
    <w:p>
      <w:pPr>
        <w:spacing w:after="0" w:line="16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CERTIFICATION</w:t>
      </w:r>
    </w:p>
    <w:p>
      <w:pPr>
        <w:spacing w:after="0" w:line="173"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I hereby certify, pursuant to 18 U.S.C. Section 1350, as adopted pursuant to Section 906 of the Sarbanes-Oxley Act of 2002, that the accompanying Quarterly Report of First Busey Corporation on Form 10-Q for the quarter ended September 30, 2024,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200" w:lineRule="exact"/>
        <w:rPr>
          <w:sz w:val="20"/>
          <w:szCs w:val="20"/>
          <w:color w:val="auto"/>
        </w:rPr>
      </w:pPr>
    </w:p>
    <w:p>
      <w:pPr>
        <w:spacing w:after="0" w:line="250" w:lineRule="exact"/>
        <w:rPr>
          <w:sz w:val="20"/>
          <w:szCs w:val="20"/>
          <w:color w:val="auto"/>
        </w:rPr>
      </w:pPr>
    </w:p>
    <w:p>
      <w:pPr>
        <w:ind w:left="5640"/>
        <w:spacing w:after="0"/>
        <w:rPr>
          <w:sz w:val="20"/>
          <w:szCs w:val="20"/>
          <w:color w:val="auto"/>
        </w:rPr>
      </w:pPr>
      <w:r>
        <w:rPr>
          <w:rFonts w:ascii="Verdana" w:cs="Verdana" w:eastAsia="Verdana" w:hAnsi="Verdana"/>
          <w:sz w:val="16"/>
          <w:szCs w:val="16"/>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5" w:lineRule="exact"/>
        <w:rPr>
          <w:sz w:val="20"/>
          <w:szCs w:val="20"/>
          <w:color w:val="auto"/>
        </w:rPr>
      </w:pPr>
    </w:p>
    <w:p>
      <w:pPr>
        <w:ind w:left="5640"/>
        <w:spacing w:after="0"/>
        <w:rPr>
          <w:sz w:val="20"/>
          <w:szCs w:val="20"/>
          <w:color w:val="auto"/>
        </w:rPr>
      </w:pPr>
      <w:r>
        <w:rPr>
          <w:rFonts w:ascii="Verdana" w:cs="Verdana" w:eastAsia="Verdana" w:hAnsi="Verdana"/>
          <w:sz w:val="16"/>
          <w:szCs w:val="16"/>
          <w:color w:val="auto"/>
        </w:rPr>
        <w:t>Van A. Dukeman</w:t>
      </w:r>
    </w:p>
    <w:p>
      <w:pPr>
        <w:spacing w:after="0" w:line="22" w:lineRule="exact"/>
        <w:rPr>
          <w:sz w:val="20"/>
          <w:szCs w:val="20"/>
          <w:color w:val="auto"/>
        </w:rPr>
      </w:pPr>
    </w:p>
    <w:p>
      <w:pPr>
        <w:ind w:left="5640"/>
        <w:spacing w:after="0"/>
        <w:rPr>
          <w:sz w:val="20"/>
          <w:szCs w:val="20"/>
          <w:color w:val="auto"/>
        </w:rPr>
      </w:pPr>
      <w:r>
        <w:rPr>
          <w:rFonts w:ascii="Verdana" w:cs="Verdana" w:eastAsia="Verdana" w:hAnsi="Verdana"/>
          <w:sz w:val="16"/>
          <w:szCs w:val="16"/>
          <w:color w:val="auto"/>
        </w:rPr>
        <w:t>Chairman and Chief Executive Officer</w:t>
      </w:r>
    </w:p>
    <w:p>
      <w:pPr>
        <w:spacing w:after="0" w:line="287" w:lineRule="exact"/>
        <w:rPr>
          <w:sz w:val="20"/>
          <w:szCs w:val="20"/>
          <w:color w:val="auto"/>
        </w:rPr>
      </w:pPr>
    </w:p>
    <w:p>
      <w:pPr>
        <w:spacing w:after="0"/>
        <w:rPr>
          <w:sz w:val="20"/>
          <w:szCs w:val="20"/>
          <w:color w:val="auto"/>
        </w:rPr>
      </w:pPr>
      <w:r>
        <w:rPr>
          <w:rFonts w:ascii="Verdana" w:cs="Verdana" w:eastAsia="Verdana" w:hAnsi="Verdana"/>
          <w:sz w:val="18"/>
          <w:szCs w:val="18"/>
          <w:color w:val="auto"/>
        </w:rPr>
        <w:t>Date: November 5, 2024</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34" w:right="339" w:bottom="1440" w:gutter="0" w:footer="0" w:header="0"/>
        </w:sectPr>
      </w:pPr>
    </w:p>
    <w:bookmarkStart w:id="120" w:name="page121"/>
    <w:bookmarkEnd w:id="120"/>
    <w:p>
      <w:pPr>
        <w:jc w:val="right"/>
        <w:spacing w:after="0"/>
        <w:rPr>
          <w:sz w:val="20"/>
          <w:szCs w:val="20"/>
          <w:color w:val="auto"/>
        </w:rPr>
      </w:pPr>
      <w:r>
        <w:rPr>
          <w:rFonts w:ascii="Verdana" w:cs="Verdana" w:eastAsia="Verdana" w:hAnsi="Verdana"/>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The following certification is provided by the undersigned Chief Financial Officer of First Busey Corporation on the basis of such officer’s knowledge and belief for the sole purpose of complying with 18 U.S.C. Section 1350, as adopted pursuant to Section 906 of the Sarbanes-Oxley Act of 2002.</w:t>
      </w:r>
    </w:p>
    <w:p>
      <w:pPr>
        <w:spacing w:after="0" w:line="16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CERTIFICATION</w:t>
      </w:r>
    </w:p>
    <w:p>
      <w:pPr>
        <w:spacing w:after="0" w:line="173"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I hereby certify, pursuant to 18 U.S.C. Section 1350, as adopted pursuant to Section 906 of the Sarbanes-Oxley Act of 2002, that the accompanying Quarterly Report of First Busey Corporation on Form 10-Q for the quarter ended September 30, 2024,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200" w:lineRule="exact"/>
        <w:rPr>
          <w:sz w:val="20"/>
          <w:szCs w:val="20"/>
          <w:color w:val="auto"/>
        </w:rPr>
      </w:pPr>
    </w:p>
    <w:p>
      <w:pPr>
        <w:spacing w:after="0" w:line="232" w:lineRule="exact"/>
        <w:rPr>
          <w:sz w:val="20"/>
          <w:szCs w:val="20"/>
          <w:color w:val="auto"/>
        </w:rPr>
      </w:pPr>
    </w:p>
    <w:p>
      <w:pPr>
        <w:ind w:left="5640"/>
        <w:spacing w:after="0"/>
        <w:rPr>
          <w:sz w:val="20"/>
          <w:szCs w:val="20"/>
          <w:color w:val="auto"/>
        </w:rPr>
      </w:pPr>
      <w:r>
        <w:rPr>
          <w:rFonts w:ascii="Verdana" w:cs="Verdana" w:eastAsia="Verdana" w:hAnsi="Verdana"/>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19050</wp:posOffset>
            </wp:positionV>
            <wp:extent cx="3566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5" w:lineRule="exact"/>
        <w:rPr>
          <w:sz w:val="20"/>
          <w:szCs w:val="20"/>
          <w:color w:val="auto"/>
        </w:rPr>
      </w:pPr>
    </w:p>
    <w:p>
      <w:pPr>
        <w:ind w:left="5640"/>
        <w:spacing w:after="0"/>
        <w:rPr>
          <w:sz w:val="20"/>
          <w:szCs w:val="20"/>
          <w:color w:val="auto"/>
        </w:rPr>
      </w:pPr>
      <w:r>
        <w:rPr>
          <w:rFonts w:ascii="Verdana" w:cs="Verdana" w:eastAsia="Verdana" w:hAnsi="Verdana"/>
          <w:sz w:val="18"/>
          <w:szCs w:val="18"/>
          <w:color w:val="auto"/>
        </w:rPr>
        <w:t>Jeffrey D. Jones</w:t>
      </w:r>
    </w:p>
    <w:p>
      <w:pPr>
        <w:spacing w:after="0" w:line="51" w:lineRule="exact"/>
        <w:rPr>
          <w:sz w:val="20"/>
          <w:szCs w:val="20"/>
          <w:color w:val="auto"/>
        </w:rPr>
      </w:pPr>
    </w:p>
    <w:p>
      <w:pPr>
        <w:ind w:left="5640"/>
        <w:spacing w:after="0"/>
        <w:rPr>
          <w:sz w:val="20"/>
          <w:szCs w:val="20"/>
          <w:color w:val="auto"/>
        </w:rPr>
      </w:pPr>
      <w:r>
        <w:rPr>
          <w:rFonts w:ascii="Verdana" w:cs="Verdana" w:eastAsia="Verdana" w:hAnsi="Verdana"/>
          <w:sz w:val="18"/>
          <w:szCs w:val="18"/>
          <w:color w:val="auto"/>
        </w:rPr>
        <w:t>Chief Financial Officer</w:t>
      </w:r>
    </w:p>
    <w:p>
      <w:pPr>
        <w:spacing w:after="0" w:line="294" w:lineRule="exact"/>
        <w:rPr>
          <w:sz w:val="20"/>
          <w:szCs w:val="20"/>
          <w:color w:val="auto"/>
        </w:rPr>
      </w:pPr>
    </w:p>
    <w:p>
      <w:pPr>
        <w:spacing w:after="0"/>
        <w:rPr>
          <w:sz w:val="20"/>
          <w:szCs w:val="20"/>
          <w:color w:val="auto"/>
        </w:rPr>
      </w:pPr>
      <w:r>
        <w:rPr>
          <w:rFonts w:ascii="Verdana" w:cs="Verdana" w:eastAsia="Verdana" w:hAnsi="Verdana"/>
          <w:sz w:val="18"/>
          <w:szCs w:val="18"/>
          <w:color w:val="auto"/>
        </w:rPr>
        <w:t>Date: November 5, 2024</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240"/>
      </w:cols>
      <w:pgMar w:left="320" w:top="1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o"/>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decimal"/>
      <w:start w:val="3"/>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2"/>
      <w:numFmt w:val="bullet"/>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lowerRoman"/>
      <w:start w:val="6"/>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1)"/>
      <w:numFmt w:val="decimal"/>
      <w:start w:val="2"/>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1"/>
      <w:numFmt w:val="decimal"/>
      <w:start w:val="104"/>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png"/><Relationship Id="rId132" Type="http://schemas.openxmlformats.org/officeDocument/2006/relationships/image" Target="media/image116.png"/><Relationship Id="rId133" Type="http://schemas.openxmlformats.org/officeDocument/2006/relationships/image" Target="media/image117.png"/><Relationship Id="rId134"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png"/><Relationship Id="rId138"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46"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24" Type="http://schemas.openxmlformats.org/officeDocument/2006/relationships/hyperlink" Target="https://www.sec.gov/Archives/edgar/data/314489/000031448924000057/buse-20231231.htm#i91c5b2e56ae04e0c9c26295734265101_220" TargetMode="External"/><Relationship Id="rId25" Type="http://schemas.openxmlformats.org/officeDocument/2006/relationships/hyperlink" Target="https://www.sec.gov/Archives/edgar/data/314489/000031448924000057/buse-20231231.htm" TargetMode="External"/><Relationship Id="rId60" Type="http://schemas.openxmlformats.org/officeDocument/2006/relationships/hyperlink" Target="https://www.sec.gov/Archives/edgar/data/314489/000104746920002220/a2241264zdef14a.htm" TargetMode="External"/><Relationship Id="rId61" Type="http://schemas.openxmlformats.org/officeDocument/2006/relationships/hyperlink" Target="https://www.sec.gov/ix?doc=/Archives/edgar/data/0000314489/000110465923045566/tm231845d3_def14a.htm" TargetMode="External"/><Relationship Id="rId65" Type="http://schemas.openxmlformats.org/officeDocument/2006/relationships/hyperlink" Target="https://www.sec.gov/Archives/edgar/data/314489/000110465921048078/tm212379-1_def14a.htm#tAPA" TargetMode="External"/><Relationship Id="rId66" Type="http://schemas.openxmlformats.org/officeDocument/2006/relationships/hyperlink" Target="https://www.sec.gov/Archives/edgar/data/314489/000110465921048078/tm212379-1_def14a.htm" TargetMode="External"/><Relationship Id="rId98" Type="http://schemas.openxmlformats.org/officeDocument/2006/relationships/hyperlink" Target="https://www.sec.gov/Archives/edgar/data/314489/000031448924000057/buse-20231231.htm#i91c5b2e56ae04e0c9c26295734265101_238" TargetMode="External"/><Relationship Id="rId101" Type="http://schemas.openxmlformats.org/officeDocument/2006/relationships/hyperlink" Target="https://www.sec.gov/Archives/edgar/data/314489/000031448924000157/buse-20240331.htm#i40058eeafc0048118a3e9fc955695ee1_1266" TargetMode="External"/><Relationship Id="rId109" Type="http://schemas.openxmlformats.org/officeDocument/2006/relationships/hyperlink" Target="https://www.sec.gov/Archives/edgar/data/314489/000031448924000057/buse-20231231.htm#ifbe7a92941164f7d99ac6ae217bb0211" TargetMode="External"/><Relationship Id="rId135" Type="http://schemas.openxmlformats.org/officeDocument/2006/relationships/hyperlink" Target="https://www.sec.gov/Archives/edgar/data/314489/000031448924000057/buse-20231231.htm#i91c5b2e56ae04e0c9c26295734265101_241" TargetMode="External"/><Relationship Id="rId139" Type="http://schemas.openxmlformats.org/officeDocument/2006/relationships/hyperlink" Target="https://www.sec.gov/Archives/edgar/data/314489/000031448924000057/buse-20231231.htm#i91c5b2e56ae04e0c9c26295734265101_70" TargetMode="External"/><Relationship Id="rId147" Type="http://schemas.openxmlformats.org/officeDocument/2006/relationships/hyperlink" Target="https://www.sec.gov/Archives/edgar/data/314489/000110465924093098/tm2422366d1_ex2-1.htm" TargetMode="External"/><Relationship Id="rId148" Type="http://schemas.openxmlformats.org/officeDocument/2006/relationships/hyperlink" Target="https://www.sec.gov/Archives/edgar/data/314489/000110465924093098/tm2422366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2024-11-05T15:19:23Z</dcterms:created>
  <dcterms:modified xsi:type="dcterms:W3CDTF">2024-11-05T15:19:23Z</dcterms:modified>
</cp:coreProperties>
</file>