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6/30/2017</w:t>
      </w:r>
    </w:p>
    <w:p>
      <w:pPr>
        <w:spacing w:after="0" w:line="21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60" w:type="dxa"/>
        <w:tblCellMar>
          <w:top w:w="0" w:type="dxa"/>
          <w:left w:w="0" w:type="dxa"/>
          <w:bottom w:w="0" w:type="dxa"/>
          <w:right w:w="0" w:type="dxa"/>
        </w:tblCellMar>
      </w:tblPr>
      <w:tr>
        <w:trPr>
          <w:trHeight w:val="220"/>
        </w:trPr>
        <w:tc>
          <w:tcPr>
            <w:tcW w:w="4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Nevada</w:t>
            </w:r>
          </w:p>
        </w:tc>
        <w:tc>
          <w:tcPr>
            <w:tcW w:w="410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1"/>
              </w:rPr>
              <w:t>or organization)</w:t>
            </w:r>
          </w:p>
        </w:tc>
        <w:tc>
          <w:tcPr>
            <w:tcW w:w="4100" w:type="dxa"/>
            <w:vAlign w:val="bottom"/>
          </w:tcPr>
          <w:p>
            <w:pPr>
              <w:spacing w:after="0"/>
              <w:rPr>
                <w:sz w:val="20"/>
                <w:szCs w:val="20"/>
                <w:color w:val="auto"/>
              </w:rPr>
            </w:pPr>
          </w:p>
        </w:tc>
      </w:tr>
      <w:tr>
        <w:trPr>
          <w:trHeight w:val="414"/>
        </w:trPr>
        <w:tc>
          <w:tcPr>
            <w:tcW w:w="4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100 W. University Ave.</w:t>
            </w:r>
          </w:p>
        </w:tc>
        <w:tc>
          <w:tcPr>
            <w:tcW w:w="4100" w:type="dxa"/>
            <w:vAlign w:val="bottom"/>
          </w:tcPr>
          <w:p>
            <w:pPr>
              <w:spacing w:after="0"/>
              <w:rPr>
                <w:sz w:val="24"/>
                <w:szCs w:val="24"/>
                <w:color w:val="auto"/>
              </w:rPr>
            </w:pPr>
          </w:p>
        </w:tc>
      </w:tr>
      <w:tr>
        <w:trPr>
          <w:trHeight w:val="220"/>
        </w:trPr>
        <w:tc>
          <w:tcPr>
            <w:tcW w:w="45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2"/>
              </w:rPr>
              <w:t>Champaign, Illinois</w:t>
            </w:r>
          </w:p>
        </w:tc>
        <w:tc>
          <w:tcPr>
            <w:tcW w:w="4100" w:type="dxa"/>
            <w:vAlign w:val="bottom"/>
          </w:tcPr>
          <w:p>
            <w:pPr>
              <w:jc w:val="right"/>
              <w:ind w:right="1010"/>
              <w:spacing w:after="0"/>
              <w:rPr>
                <w:sz w:val="20"/>
                <w:szCs w:val="20"/>
                <w:color w:val="auto"/>
              </w:rPr>
            </w:pPr>
            <w:r>
              <w:rPr>
                <w:rFonts w:ascii="Arial" w:cs="Arial" w:eastAsia="Arial" w:hAnsi="Arial"/>
                <w:sz w:val="18"/>
                <w:szCs w:val="18"/>
                <w:b w:val="1"/>
                <w:bCs w:val="1"/>
                <w:color w:val="auto"/>
              </w:rPr>
              <w:t>61820</w:t>
            </w:r>
          </w:p>
        </w:tc>
      </w:tr>
      <w:tr>
        <w:trPr>
          <w:trHeight w:val="230"/>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jc w:val="center"/>
              <w:ind w:left="137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x</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2"/>
              </w:rPr>
              <w:t>Accelerated filer o</w:t>
            </w:r>
          </w:p>
        </w:tc>
      </w:tr>
      <w:tr>
        <w:trPr>
          <w:trHeight w:val="216"/>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transaction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Class</w:t>
            </w: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August 8, 2017</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11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19"/>
                <w:szCs w:val="19"/>
                <w:color w:val="auto"/>
              </w:rPr>
            </w:pPr>
          </w:p>
        </w:tc>
        <w:tc>
          <w:tcPr>
            <w:tcW w:w="4460" w:type="dxa"/>
            <w:vAlign w:val="bottom"/>
            <w:tcBorders>
              <w:top w:val="single" w:sz="8" w:color="auto"/>
            </w:tcBorders>
          </w:tcPr>
          <w:p>
            <w:pPr>
              <w:jc w:val="right"/>
              <w:ind w:right="1739"/>
              <w:spacing w:after="0"/>
              <w:rPr>
                <w:sz w:val="20"/>
                <w:szCs w:val="20"/>
                <w:color w:val="auto"/>
              </w:rPr>
            </w:pPr>
            <w:r>
              <w:rPr>
                <w:rFonts w:ascii="Arial" w:cs="Arial" w:eastAsia="Arial" w:hAnsi="Arial"/>
                <w:sz w:val="18"/>
                <w:szCs w:val="18"/>
                <w:color w:val="auto"/>
              </w:rPr>
              <w:t>45,449,258</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11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116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1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2017 and December 31, 2016</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60"/>
          </w:cols>
          <w:pgMar w:left="240" w:top="544" w:right="19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30, 2017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7"/>
          </w:tcPr>
          <w:p>
            <w:pPr>
              <w:jc w:val="right"/>
              <w:ind w:right="87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89"/>
              </w:rPr>
              <w:t>Cash and cash equivalents (interest-bearing 2017 $208,591; 2016</w:t>
            </w:r>
          </w:p>
        </w:tc>
        <w:tc>
          <w:tcPr>
            <w:tcW w:w="2880" w:type="dxa"/>
            <w:vAlign w:val="bottom"/>
          </w:tcPr>
          <w:p>
            <w:pPr>
              <w:jc w:val="right"/>
              <w:ind w:right="2130"/>
              <w:spacing w:after="0"/>
              <w:rPr>
                <w:sz w:val="20"/>
                <w:szCs w:val="20"/>
                <w:color w:val="auto"/>
              </w:rPr>
            </w:pPr>
            <w:r>
              <w:rPr>
                <w:rFonts w:ascii="Arial" w:cs="Arial" w:eastAsia="Arial" w:hAnsi="Arial"/>
                <w:sz w:val="18"/>
                <w:szCs w:val="18"/>
                <w:color w:val="auto"/>
                <w:w w:val="90"/>
              </w:rPr>
              <w:t>$75,006)</w:t>
            </w:r>
          </w:p>
        </w:tc>
        <w:tc>
          <w:tcPr>
            <w:tcW w:w="220" w:type="dxa"/>
            <w:vAlign w:val="bottom"/>
          </w:tcPr>
          <w:p>
            <w:pPr>
              <w:spacing w:after="0"/>
              <w:rPr>
                <w:sz w:val="18"/>
                <w:szCs w:val="18"/>
                <w:color w:val="auto"/>
              </w:rPr>
            </w:pP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294,100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166,706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 at fair value</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646,349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Securities held to maturity, at amortized cost</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208,634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47,820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168,415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Portfolio loans (net of allowance for loan losses 2017 $49,201; 2016 $47,795)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3,871,263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3,831,105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79,498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Goodwill</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102,814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102,814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surrender value of bank owned life insurance</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80,608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79,720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assets</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45,599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64,328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5,531,367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Deposits:</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1,105,041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3,289,171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3,240,165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2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4,394,212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4,374,298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178,597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Short-term borrowings</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Senior notes, net of unamortized issuance costs</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39,351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unamortized issuance costs</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70,938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70,868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46,132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4,918,252</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4,830,856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5"/>
              </w:rPr>
              <w:t>Commitments and contingencies (See “Note 14: Outstanding Commitments and Contingent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Common stock, $.001 par value, authorized 66,666,667 shares; shares issued 2017 and 2016 38,869,519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780,916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781,716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(145,996)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 before treasury stock</w:t>
            </w:r>
          </w:p>
        </w:tc>
        <w:tc>
          <w:tcPr>
            <w:tcW w:w="2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635,264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618,102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shares held in treasury at cost, 2017 621,041; 2016 633,232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613,115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594,314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5,531,367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period end</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38,248,478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38,236,287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4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880" w:type="dxa"/>
            <w:vAlign w:val="bottom"/>
          </w:tcPr>
          <w:p>
            <w:pPr>
              <w:jc w:val="center"/>
              <w:ind w:right="85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82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90"/>
              </w:rPr>
              <w:t>For the Six Months Ended June 30, 2017 and 2016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100" w:type="dxa"/>
            <w:vAlign w:val="bottom"/>
            <w:gridSpan w:val="2"/>
          </w:tcPr>
          <w:p>
            <w:pPr>
              <w:jc w:val="center"/>
              <w:ind w:right="1085"/>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80" w:type="dxa"/>
            <w:vAlign w:val="bottom"/>
            <w:gridSpan w:val="9"/>
          </w:tcPr>
          <w:p>
            <w:pPr>
              <w:jc w:val="right"/>
              <w:ind w:right="291"/>
              <w:spacing w:after="0" w:line="142" w:lineRule="exact"/>
              <w:rPr>
                <w:sz w:val="20"/>
                <w:szCs w:val="20"/>
                <w:color w:val="auto"/>
              </w:rPr>
            </w:pPr>
            <w:r>
              <w:rPr>
                <w:rFonts w:ascii="Arial" w:cs="Arial" w:eastAsia="Arial" w:hAnsi="Arial"/>
                <w:sz w:val="14"/>
                <w:szCs w:val="14"/>
                <w:b w:val="1"/>
                <w:bCs w:val="1"/>
                <w:color w:val="auto"/>
                <w:w w:val="94"/>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Interest and fees on loans</w:t>
            </w:r>
          </w:p>
        </w:tc>
        <w:tc>
          <w:tcPr>
            <w:tcW w:w="31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81,833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61,331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 securities:</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Taxable interest income</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7,650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Non-taxable interest income</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interest income</w:t>
            </w:r>
          </w:p>
        </w:tc>
        <w:tc>
          <w:tcPr>
            <w:tcW w:w="28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2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31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4,207</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2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28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65,894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720" w:type="dxa"/>
            <w:vAlign w:val="bottom"/>
            <w:shd w:val="clear" w:color="auto" w:fill="CCEEFF"/>
          </w:tcPr>
          <w:p>
            <w:pPr>
              <w:spacing w:after="0"/>
              <w:rPr>
                <w:sz w:val="7"/>
                <w:szCs w:val="7"/>
                <w:color w:val="auto"/>
              </w:rPr>
            </w:pPr>
          </w:p>
        </w:tc>
        <w:tc>
          <w:tcPr>
            <w:tcW w:w="2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-3544570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-3544570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3"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83,379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63,794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fees</w:t>
            </w:r>
          </w:p>
        </w:tc>
        <w:tc>
          <w:tcPr>
            <w:tcW w:w="1800" w:type="dxa"/>
            <w:vAlign w:val="bottom"/>
            <w:gridSpan w:val="3"/>
            <w:shd w:val="clear" w:color="auto" w:fill="CCEEFF"/>
          </w:tcPr>
          <w:p>
            <w:pPr>
              <w:jc w:val="right"/>
              <w:ind w:right="805"/>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12,017</w:t>
            </w:r>
          </w:p>
        </w:tc>
        <w:tc>
          <w:tcPr>
            <w:tcW w:w="560" w:type="dxa"/>
            <w:vAlign w:val="bottom"/>
            <w:gridSpan w:val="3"/>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Commissions and brokers’ fees, net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Fees for customer services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12,081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revenue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Security gains, net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40,076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1800" w:type="dxa"/>
            <w:vAlign w:val="bottom"/>
            <w:gridSpan w:val="3"/>
          </w:tcPr>
          <w:p>
            <w:pPr>
              <w:jc w:val="right"/>
              <w:ind w:right="805"/>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41,951</w:t>
            </w:r>
          </w:p>
        </w:tc>
        <w:tc>
          <w:tcPr>
            <w:tcW w:w="560" w:type="dxa"/>
            <w:vAlign w:val="bottom"/>
            <w:gridSpan w:val="3"/>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occupancy expense of premises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Furniture and equipment expenses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3,338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expense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expense</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74,387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49,068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35,181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income</w:t>
            </w:r>
          </w:p>
        </w:tc>
        <w:tc>
          <w:tcPr>
            <w:tcW w:w="6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31,649</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6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gridSpan w:val="2"/>
          </w:tcPr>
          <w:p>
            <w:pPr>
              <w:jc w:val="center"/>
              <w:ind w:left="4550"/>
              <w:spacing w:after="0"/>
              <w:rPr>
                <w:sz w:val="20"/>
                <w:szCs w:val="20"/>
                <w:color w:val="auto"/>
              </w:rPr>
            </w:pPr>
            <w:r>
              <w:rPr>
                <w:rFonts w:ascii="Arial" w:cs="Arial" w:eastAsia="Arial" w:hAnsi="Arial"/>
                <w:sz w:val="18"/>
                <w:szCs w:val="18"/>
                <w:color w:val="auto"/>
                <w:w w:val="99"/>
              </w:rPr>
              <w:t>4</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360" w:type="dxa"/>
            <w:vAlign w:val="bottom"/>
            <w:tcBorders>
              <w:bottom w:val="single" w:sz="8" w:color="808080"/>
            </w:tcBorders>
            <w:gridSpan w:val="2"/>
          </w:tcPr>
          <w:p>
            <w:pPr>
              <w:spacing w:after="0"/>
              <w:rPr>
                <w:sz w:val="11"/>
                <w:szCs w:val="11"/>
                <w:color w:val="auto"/>
              </w:rPr>
            </w:pPr>
          </w:p>
        </w:tc>
        <w:tc>
          <w:tcPr>
            <w:tcW w:w="1200" w:type="dxa"/>
            <w:vAlign w:val="bottom"/>
            <w:tcBorders>
              <w:bottom w:val="single" w:sz="8" w:color="808080"/>
            </w:tcBorders>
            <w:gridSpan w:val="2"/>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560" w:type="dxa"/>
            <w:vAlign w:val="bottom"/>
            <w:gridSpan w:val="4"/>
          </w:tcPr>
          <w:p>
            <w:pPr>
              <w:jc w:val="center"/>
              <w:ind w:left="273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jc w:val="center"/>
              <w:ind w:left="2750"/>
              <w:spacing w:after="0"/>
              <w:rPr>
                <w:sz w:val="20"/>
                <w:szCs w:val="20"/>
                <w:color w:val="auto"/>
              </w:rPr>
            </w:pPr>
            <w:r>
              <w:rPr>
                <w:rFonts w:ascii="Arial" w:cs="Arial" w:eastAsia="Arial" w:hAnsi="Arial"/>
                <w:sz w:val="18"/>
                <w:szCs w:val="18"/>
                <w:b w:val="1"/>
                <w:bCs w:val="1"/>
                <w:color w:val="auto"/>
              </w:rPr>
              <w:t>CONSOLIDATED STATEMENTS OF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4"/>
          </w:tcPr>
          <w:p>
            <w:pPr>
              <w:jc w:val="center"/>
              <w:ind w:left="2750"/>
              <w:spacing w:after="0"/>
              <w:rPr>
                <w:sz w:val="20"/>
                <w:szCs w:val="20"/>
                <w:color w:val="auto"/>
              </w:rPr>
            </w:pPr>
            <w:r>
              <w:rPr>
                <w:rFonts w:ascii="Arial" w:cs="Arial" w:eastAsia="Arial" w:hAnsi="Arial"/>
                <w:sz w:val="18"/>
                <w:szCs w:val="18"/>
                <w:b w:val="1"/>
                <w:bCs w:val="1"/>
                <w:color w:val="auto"/>
                <w:w w:val="91"/>
              </w:rPr>
              <w:t>For the Three Months Ended June 30, 2017 and 2016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jc w:val="center"/>
              <w:ind w:left="4530"/>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80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ind w:right="67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gridSpan w:val="8"/>
          </w:tcPr>
          <w:p>
            <w:pPr>
              <w:jc w:val="right"/>
              <w:ind w:right="390"/>
              <w:spacing w:after="0" w:line="142" w:lineRule="exact"/>
              <w:rPr>
                <w:sz w:val="20"/>
                <w:szCs w:val="20"/>
                <w:color w:val="auto"/>
              </w:rPr>
            </w:pPr>
            <w:r>
              <w:rPr>
                <w:rFonts w:ascii="Arial" w:cs="Arial" w:eastAsia="Arial" w:hAnsi="Arial"/>
                <w:sz w:val="14"/>
                <w:szCs w:val="14"/>
                <w:b w:val="1"/>
                <w:bCs w:val="1"/>
                <w:color w:val="auto"/>
                <w:w w:val="97"/>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Interest and fees on loans</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41,236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 securities: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Taxable interest income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Non-taxable interest income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interest income</w:t>
            </w:r>
          </w:p>
        </w:tc>
        <w:tc>
          <w:tcPr>
            <w:tcW w:w="6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6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37,952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6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fees</w:t>
            </w: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Commissions and brokers’ fees, net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Fees for customer services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revenue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Security (losses) gains, net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6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20,061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occupancy expense of premises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Furniture and equipment expenses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7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-6040755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-6040755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expense</w:t>
            </w:r>
          </w:p>
        </w:tc>
        <w:tc>
          <w:tcPr>
            <w:tcW w:w="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6,308</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non-interest expense</w:t>
            </w: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25,160</w:t>
            </w:r>
          </w:p>
        </w:tc>
        <w:tc>
          <w:tcPr>
            <w:tcW w:w="28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16,479</w:t>
            </w:r>
          </w:p>
        </w:tc>
        <w:tc>
          <w:tcPr>
            <w:tcW w:w="28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7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28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3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7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6"/>
          </w:tcPr>
          <w:p>
            <w:pPr>
              <w:jc w:val="right"/>
              <w:ind w:right="9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31,649</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22,817</w:t>
            </w:r>
          </w:p>
        </w:tc>
        <w:tc>
          <w:tcPr>
            <w:tcW w:w="80" w:type="dxa"/>
            <w:vAlign w:val="bottom"/>
            <w:shd w:val="clear" w:color="auto" w:fill="CCEEFF"/>
          </w:tcPr>
          <w:p>
            <w:pPr>
              <w:spacing w:after="0"/>
              <w:rPr>
                <w:sz w:val="18"/>
                <w:szCs w:val="18"/>
                <w:color w:val="auto"/>
              </w:rPr>
            </w:pPr>
          </w:p>
        </w:tc>
      </w:tr>
      <w:tr>
        <w:trPr>
          <w:trHeight w:val="196"/>
        </w:trPr>
        <w:tc>
          <w:tcPr>
            <w:tcW w:w="5700" w:type="dxa"/>
            <w:vAlign w:val="bottom"/>
          </w:tcPr>
          <w:p>
            <w:pPr>
              <w:spacing w:after="0" w:line="196" w:lineRule="exact"/>
              <w:rPr>
                <w:sz w:val="20"/>
                <w:szCs w:val="20"/>
                <w:color w:val="auto"/>
              </w:rPr>
            </w:pPr>
            <w:r>
              <w:rPr>
                <w:rFonts w:ascii="Arial" w:cs="Arial" w:eastAsia="Arial" w:hAnsi="Arial"/>
                <w:sz w:val="18"/>
                <w:szCs w:val="18"/>
                <w:color w:val="auto"/>
              </w:rPr>
              <w:t>Other comprehensive income, before tax:</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available for sale: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Unrealized net gains (losses) on securities: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Unrealized net holding gains arising during period</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1,301</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10,599</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560"/>
              <w:spacing w:after="0"/>
              <w:rPr>
                <w:sz w:val="20"/>
                <w:szCs w:val="20"/>
                <w:color w:val="auto"/>
              </w:rPr>
            </w:pPr>
            <w:r>
              <w:rPr>
                <w:rFonts w:ascii="Arial" w:cs="Arial" w:eastAsia="Arial" w:hAnsi="Arial"/>
                <w:sz w:val="18"/>
                <w:szCs w:val="18"/>
                <w:color w:val="auto"/>
                <w:w w:val="94"/>
              </w:rPr>
              <w:t>Reclassification adjustment for losses (gains) included in net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(1,219)</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before tax</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w w:val="97"/>
              </w:rPr>
              <w:t>Income tax expense related to items of other comprehensive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3,749</w:t>
            </w:r>
          </w:p>
        </w:tc>
        <w:tc>
          <w:tcPr>
            <w:tcW w:w="80" w:type="dxa"/>
            <w:vAlign w:val="bottom"/>
          </w:tcPr>
          <w:p>
            <w:pPr>
              <w:spacing w:after="0"/>
              <w:rPr>
                <w:sz w:val="18"/>
                <w:szCs w:val="18"/>
                <w:color w:val="auto"/>
              </w:rPr>
            </w:pPr>
          </w:p>
        </w:tc>
      </w:tr>
      <w:tr>
        <w:trPr>
          <w:trHeight w:val="210"/>
        </w:trPr>
        <w:tc>
          <w:tcPr>
            <w:tcW w:w="57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70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16,919</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Treasury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591,053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(190,265)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5,631</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in acquisition of Pulaski, net of stock</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195,188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7"/>
              </w:rPr>
              <w:t>Issuance of treasury stock for employee stock purchase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plan</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treasury stock for restricted stock unit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and related tax benefit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Net issuance of stock options exercised, net of shares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redeemed</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common stock at $0.34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5"/>
              </w:rPr>
              <w:t>Stock dividend equivalents restricted stock units at $0.34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June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785,825</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(177,372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(28,346</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588,117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781,716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(163,689)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(23,788)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31,649</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4" w:name="page5"/>
    <w:bookmarkEnd w:id="4"/>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7"/>
              </w:rPr>
              <w:t>Issuance of treasury stock for employee stock purchase</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 for restricted stock unit</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vesting and related tax benefit</w:t>
            </w:r>
          </w:p>
        </w:tc>
        <w:tc>
          <w:tcPr>
            <w:tcW w:w="360" w:type="dxa"/>
            <w:vAlign w:val="bottom"/>
          </w:tcPr>
          <w:p>
            <w:pPr>
              <w:spacing w:after="0"/>
              <w:rPr>
                <w:sz w:val="20"/>
                <w:szCs w:val="20"/>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(969)</w:t>
            </w:r>
          </w:p>
        </w:tc>
        <w:tc>
          <w:tcPr>
            <w:tcW w:w="240" w:type="dxa"/>
            <w:vAlign w:val="bottom"/>
          </w:tcPr>
          <w:p>
            <w:pPr>
              <w:spacing w:after="0"/>
              <w:rPr>
                <w:sz w:val="20"/>
                <w:szCs w:val="20"/>
                <w:color w:val="auto"/>
              </w:rPr>
            </w:pPr>
          </w:p>
        </w:tc>
        <w:tc>
          <w:tcPr>
            <w:tcW w:w="1560" w:type="dxa"/>
            <w:vAlign w:val="bottom"/>
            <w:gridSpan w:val="3"/>
          </w:tcPr>
          <w:p>
            <w:pPr>
              <w:jc w:val="right"/>
              <w:ind w:right="6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stock options exercised, net of shares</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redeemed</w:t>
            </w:r>
          </w:p>
        </w:tc>
        <w:tc>
          <w:tcPr>
            <w:tcW w:w="360" w:type="dxa"/>
            <w:vAlign w:val="bottom"/>
            <w:shd w:val="clear" w:color="auto" w:fill="CCEEFF"/>
          </w:tcPr>
          <w:p>
            <w:pPr>
              <w:spacing w:after="0"/>
              <w:rPr>
                <w:sz w:val="20"/>
                <w:szCs w:val="20"/>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dividends common stock at $0.36 per share</w:t>
            </w:r>
          </w:p>
        </w:tc>
        <w:tc>
          <w:tcPr>
            <w:tcW w:w="3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(13,764)</w:t>
            </w:r>
          </w:p>
        </w:tc>
        <w:tc>
          <w:tcPr>
            <w:tcW w:w="5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(13,764)</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dividend equivalents restricted stock units at $0.36</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360" w:type="dxa"/>
            <w:vAlign w:val="bottom"/>
            <w:shd w:val="clear" w:color="auto" w:fill="CCEEFF"/>
          </w:tcPr>
          <w:p>
            <w:pPr>
              <w:spacing w:after="0"/>
              <w:rPr>
                <w:sz w:val="20"/>
                <w:szCs w:val="20"/>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5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Stock dividend accrued on restricted stock awards</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99"/>
              </w:rPr>
              <w:t>assumed with the Pulaski Financial Corp. acquisition</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at $0.36 per share</w:t>
            </w:r>
          </w:p>
        </w:tc>
        <w:tc>
          <w:tcPr>
            <w:tcW w:w="360" w:type="dxa"/>
            <w:vAlign w:val="bottom"/>
          </w:tcPr>
          <w:p>
            <w:pPr>
              <w:spacing w:after="0"/>
              <w:rPr>
                <w:sz w:val="20"/>
                <w:szCs w:val="20"/>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Return of 28,648 equity trust shares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Stock-based employee compensation</w:t>
            </w:r>
          </w:p>
        </w:tc>
        <w:tc>
          <w:tcPr>
            <w:tcW w:w="3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1,133</w:t>
            </w:r>
          </w:p>
        </w:tc>
        <w:tc>
          <w:tcPr>
            <w:tcW w:w="240" w:type="dxa"/>
            <w:vAlign w:val="bottom"/>
          </w:tcPr>
          <w:p>
            <w:pPr>
              <w:spacing w:after="0"/>
              <w:rPr>
                <w:sz w:val="18"/>
                <w:szCs w:val="18"/>
                <w:color w:val="auto"/>
              </w:rPr>
            </w:pPr>
          </w:p>
        </w:tc>
        <w:tc>
          <w:tcPr>
            <w:tcW w:w="1560" w:type="dxa"/>
            <w:vAlign w:val="bottom"/>
            <w:gridSpan w:val="3"/>
          </w:tcPr>
          <w:p>
            <w:pPr>
              <w:jc w:val="right"/>
              <w:ind w:right="6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2017</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31,649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Stock-based and non-cash compensation</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1,133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2,389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Provision for deferred income taxes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2,031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security premiums and discounts, net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Accretion of premiums and discounts on time deposits and trust preferred securities,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premiums and discounts on portfolio loans, net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Net security gains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sales of mortgage loans, net of origination costs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(26,136)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Mortgage loans originated for sale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(758,338)</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sales of mortgage loans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866,635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Net (gains) losses on disposition of premises and equipment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cash surrender value of bank owned life insurance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Change in assets and liabilities: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other assets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40"/>
              <w:spacing w:after="0"/>
              <w:rPr>
                <w:sz w:val="20"/>
                <w:szCs w:val="20"/>
                <w:color w:val="auto"/>
              </w:rPr>
            </w:pPr>
            <w:r>
              <w:rPr>
                <w:rFonts w:ascii="Arial" w:cs="Arial" w:eastAsia="Arial" w:hAnsi="Arial"/>
                <w:sz w:val="18"/>
                <w:szCs w:val="18"/>
                <w:color w:val="auto"/>
              </w:rPr>
              <w:t>Increase (decrease) in other liabilities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4,839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Increase (decrease) in interest payable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40"/>
              <w:spacing w:after="0"/>
              <w:rPr>
                <w:sz w:val="20"/>
                <w:szCs w:val="20"/>
                <w:color w:val="auto"/>
              </w:rPr>
            </w:pPr>
            <w:r>
              <w:rPr>
                <w:rFonts w:ascii="Arial" w:cs="Arial" w:eastAsia="Arial" w:hAnsi="Arial"/>
                <w:sz w:val="18"/>
                <w:szCs w:val="18"/>
                <w:color w:val="auto"/>
              </w:rPr>
              <w:t>Decrease (increase) in income taxes receivable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523</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(used in) operating activities before activities</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Proceeds from sales of securities classified available for sale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127,287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securities classified held to maturity</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Proceeds from maturities of securities classified available for sale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103,249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of securities classified held to maturity</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Purchase of securities classified available for sale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(116,327)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securities classified held to maturity</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(164,803)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Net (increase) decrease in portfolio loans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(32,403)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disposition of premises and equipment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Proceeds from sale of other real estate owned (“OREO”) properties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3,765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premises and equipment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Net cash received in acquisitions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redemption of Federal Home Loan Bank (“FHLB”) stock</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Purchase of FHLB stock</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(75,855</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8" w:orient="portrait"/>
          <w:cols w:equalWidth="0" w:num="1">
            <w:col w:w="11420"/>
          </w:cols>
          <w:pgMar w:left="240" w:top="13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BUSEY CORPORATION and Subsidiaries</w:t>
      </w:r>
    </w:p>
    <w:p>
      <w:pPr>
        <w:sectPr>
          <w:pgSz w:w="11900" w:h="16858" w:orient="portrait"/>
          <w:cols w:equalWidth="0" w:num="1">
            <w:col w:w="11420"/>
          </w:cols>
          <w:pgMar w:left="240" w:top="134"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Net decrease in certificates of deposit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(64,286)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demand, money market and savings deposits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84,468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Net decrease in securities sold under agreements to repurchase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(10,560)</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short-term borrowings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Repayment of long-term debt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senior debt</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39,351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Net proceeds from issuance of subordinated debt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59,022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ind w:left="180"/>
              <w:spacing w:after="0" w:line="201" w:lineRule="exact"/>
              <w:rPr>
                <w:sz w:val="20"/>
                <w:szCs w:val="20"/>
                <w:color w:val="auto"/>
              </w:rPr>
            </w:pPr>
            <w:r>
              <w:rPr>
                <w:rFonts w:ascii="Arial" w:cs="Arial" w:eastAsia="Arial" w:hAnsi="Arial"/>
                <w:sz w:val="18"/>
                <w:szCs w:val="18"/>
                <w:color w:val="auto"/>
                <w:w w:val="99"/>
              </w:rPr>
              <w:t>Value of shares surrendered upon vesting to satisfy tax withholding obligations of stock-based</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(1,259)</w:t>
            </w:r>
          </w:p>
        </w:tc>
        <w:tc>
          <w:tcPr>
            <w:tcW w:w="5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options exercised</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Common stock issuance costs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68,109</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3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127,394</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166,706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ending of period</w:t>
            </w:r>
          </w:p>
        </w:tc>
        <w:tc>
          <w:tcPr>
            <w:tcW w:w="6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294,100</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267,072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payments for:</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40"/>
              <w:spacing w:after="0"/>
              <w:rPr>
                <w:sz w:val="20"/>
                <w:szCs w:val="20"/>
                <w:color w:val="auto"/>
              </w:rPr>
            </w:pPr>
            <w:r>
              <w:rPr>
                <w:rFonts w:ascii="Arial" w:cs="Arial" w:eastAsia="Arial" w:hAnsi="Arial"/>
                <w:sz w:val="18"/>
                <w:szCs w:val="18"/>
                <w:color w:val="auto"/>
              </w:rPr>
              <w:t>Income taxes</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13,116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540"/>
              <w:spacing w:after="0"/>
              <w:rPr>
                <w:sz w:val="20"/>
                <w:szCs w:val="20"/>
                <w:color w:val="auto"/>
              </w:rPr>
            </w:pPr>
            <w:r>
              <w:rPr>
                <w:rFonts w:ascii="Arial" w:cs="Arial" w:eastAsia="Arial" w:hAnsi="Arial"/>
                <w:sz w:val="18"/>
                <w:szCs w:val="18"/>
                <w:color w:val="auto"/>
              </w:rPr>
              <w:t>Real estate acquired in settlement of loans</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accompanying unaudited Consolidated Financial Statements of First Busey Corporation (“First Busey” or the “Company”), a Nevada corporation, have been prepared pursuant to the rules and regulations of the Securities and Exchange Commission (“SEC”) for interim financial information and with the instructions to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2016 on file with the SEC.</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Consolidated Balance Sheet as of December 31, 2016, which has been derived from audited financial statements, and the unaudited Consolidated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and six months ended June 30, 2017 are not necessarily indicative of the results that may be expected for the year ending December 31, 2017.</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30, 2016, First Busey acquired Pulaski Financial Corp., a Missouri corporation (“Pulaski”), and its wholly-owned bank subsidiary, Pulaski Bank, National Association (“Pulaski Bank”). First Busey operated Pulaski Bank as a separate banking subsidiary from May 1, 2016 until November 4, 2016, when it was merged with and into Busey Bank. At that time, Pulaski Bank’s branches became branches of Busey Bank. The unaudited Consolidated Financial Statements include the accounts of the Company, Busey Bank and Busey Bank’s wholly-owned subsidiaries, FirsTech, Inc. and Pulaski Service Corporation (as of the date of acquisition, April 30, 2016) and Busey Wealth Management, Inc. and its wholly-owned subsidiary, Busey Trust Company. All material intercompany transactions and balances have been eliminated in consolidation. Certain prior-year amounts have been reclassified to conform to the current presentation with no effect on net income or 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On February 6, 2017, the Company entered into an Agreement and Plan of Merger (“FCFP Merger Agreement”) with First Community Financial</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Partners, Inc., an Illinois corporation (“First Community”). On July 2, 2017, the Company completed its acquisition of First Community, under which each share of First Community common stock issued and outstanding was converted into 0.396 shares of the Company’s common stock, cash in lieu of fractional shares and $1.35 cash consideration per share. It is anticipated that First Community Financial Bank, First Community’s wholly-owned bank subsidiary prior to the acquisition, will be merged with and into Busey Bank in the fourth quarter of 2017. At the time of the bank merger, First Community Financial Bank’s banking offices will become branches of Busey Bank. As of June 30, 2017, First Community had total consolidated assets of $1.4 billion, total loans of $1.1 billion and total deposits of $1.1 billion. The unaudited Consolidated Financial Statements in this Form 10-Q do not include the accounts of First Community. See “Note 2: Acquisitions” for further information relating to this acquisition.</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March 13, 2017, the Company entered into an Agreement and Plan of Merger (“MIB Merger Agreement”) with Mid Illinois Bancorp, Inc., an Illinois corporation (“Mid Illinois”), pursuant to which Mid Illinois will merge into First Busey, with First Busey as the surviving corporation (“MIB Merger”). It is anticipated that South Side Trust &amp; Savings Bank of Peoria, Mid Illinois’s wholly-owned bank subsidiary (“South Side”), will be merged with and into Busey Bank at a date following the completion of the holding company merger. At the time of the bank merger, South Side’s banking offices will become branches</w:t>
      </w:r>
    </w:p>
    <w:p>
      <w:pPr>
        <w:sectPr>
          <w:pgSz w:w="11900" w:h="16838" w:orient="portrait"/>
          <w:cols w:equalWidth="0" w:num="1">
            <w:col w:w="11420"/>
          </w:cols>
          <w:pgMar w:left="240" w:top="121" w:right="239" w:bottom="0" w:gutter="0" w:footer="0" w:header="0"/>
        </w:sectPr>
      </w:pPr>
    </w:p>
    <w:bookmarkStart w:id="6" w:name="page7"/>
    <w:bookmarkEnd w:id="6"/>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 Busey Bank. As of June 30, 2017, Mid Illinois had total consolidated assets of $661.9 million, total loans of $373.3 million and total deposits of $513.7 million. MIB Merger is anticipated to be completed in the fourth quarter of 2017, and is subject to the satisfaction of customary closing conditions in MIB Merger Agreement and the approval of the appropriate regulatory authorities and of the stockholders of Mid Illinois. See “Note 2: Acquisitions” for further information relating to this planned acquisition.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preparing the accompanying unaudited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that are particularly susceptible to significant change in the near term relate to the fair value of investment securities, the fair value of assets acquired and liabilities assumed in business combinations and the determination of the allowance for loan losses.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evaluated subsequent events for potential recognition and/or disclosure through the date the unaudited Consolidated Financial Statements included in this Quarterly Report on Form 10-Q were issued. On July 2, 2017, First Busey completed the First Community acquisition. The financial results of First Community are not recognized in this Form 10-Q. Other than the completion of the First Community acquisition, there were no significant subsequent events for the quarter ended June 30, 2017 through the issuance date of these unaudited Consolidated Financial Statements that warranted adjustment to or disclosure in the unaudited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Pulaski Financial Corp.</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April 30, 2016, First Busey completed its acquisition of Pulaski, which was headquartered in St. Louis, Missouri. Pulaski Bank, which was Pulaski’s wholly-owned bank subsidiary prior to the acquisition, offered a full line of quality retail and commercial banking products through thirteen full-service branch offices in the St. Louis metropolitan area and mortgage loan products through loan production offices across the Midwest. The operating results of Pulaski are included with the Company’s results of operations since the date of acquisition. First Busey operated Pulaski Bank as a separate subsidiary from May 1, 2016 until November 4, 2016 when it was merged with and into Busey Bank. At that time, Pulaski Bank’s branches became branches of Busey Bank.</w:t>
      </w:r>
    </w:p>
    <w:p>
      <w:pPr>
        <w:spacing w:after="0" w:line="15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Under the terms of the definitive agreement, at the effective time of the acquisition, each share of Pulaski common stock issued and outstanding was converted into 0.79 shares of First Busey common stock and cash in lieu of fractional shares. The market value of the 9.4 million shares of First Busey common stock issued at the effective time of the acquisition was approximately $193.0 million based on First Busey’s closing stock price of $20.44 on April 29, 2016. In addition, all of the options to purchase shares of Pulaski common stock that were outstanding at the acquisition date were converted into options to purchase shares of First Busey common stock, adjusted for the 0.79 exchange ratio.</w:t>
      </w:r>
    </w:p>
    <w:p>
      <w:pPr>
        <w:spacing w:after="0" w:line="17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were recorded at their estimated fair values on the date of acquisition. The total consideration paid, which was used to determine the amount of goodwill resulting from the transaction, also included the fair value of outstanding Pulaski stock options that were converted into options to purchase common shares of First Busey. As the total consideration paid for Pulaski exceeded the net assets acquired, goodwill of $77.3 million was recorded as a result of the acquisition. Goodwill recorded in the transaction, which reflects the synergies expected from the acquisition and the enhanced revenue opportunities from the Company’s broader service capabilities in the St. Louis market, is not tax deductible, and was assigned to the Banking operating segment.</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First Busey incurred an insignificant amount of expenses related to the acquisition of Pulaski for the three and six months ended June 30, 2017. First Busey incurred $2.0 million and $2.3 million in pre-tax expenses related to the acquisition of Pulaski for the three and six months ended June 30, 2016, respectively, primarily for data processing and professional and legal fees, to directly consummate the acquisition, all of which are reported as a component of non-interest expense in the accompanying unaudited Consolidated Financial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assets acquired and liabilities assumed of Pulaski as of April 30, 2016 and their fair value estimates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Recorded by</w:t>
            </w:r>
          </w:p>
        </w:tc>
        <w:tc>
          <w:tcPr>
            <w:tcW w:w="1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Pulaski</w:t>
            </w:r>
          </w:p>
        </w:tc>
        <w:tc>
          <w:tcPr>
            <w:tcW w:w="18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First Busey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1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25,580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47,895</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105(a)</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184,856</w:t>
            </w:r>
          </w:p>
        </w:tc>
        <w:tc>
          <w:tcPr>
            <w:tcW w:w="18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Portfolio loans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1,243,913</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(14,452)(b)</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17,236</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(667)(c)</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5,022</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(2,534)(d)</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3,939</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(3,939)(e)</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15,468(f)</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70,365</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(122)(g)</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70,243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1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1,598,806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1,226,906</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1,102(h)</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1,228,008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205,840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906(i)</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Trust preferred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19,589</w:t>
            </w: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(3,805)(j)</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24,594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(612)(k)</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assumed</w:t>
            </w:r>
          </w:p>
        </w:tc>
        <w:tc>
          <w:tcPr>
            <w:tcW w:w="1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1,476,929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3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1,474,520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5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7" w:name="page8"/>
    <w:bookmarkEnd w:id="7"/>
    <w:p>
      <w:pPr>
        <w:spacing w:after="0" w:line="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6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121,877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(3,732)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118,145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Consideration paid:</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192,990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stock options assumed</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consideration paid</w:t>
            </w:r>
          </w:p>
        </w:tc>
        <w:tc>
          <w:tcPr>
            <w:tcW w:w="10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195,449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Explanation:</w:t>
      </w:r>
    </w:p>
    <w:p>
      <w:pPr>
        <w:spacing w:after="0" w:line="23"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of the securities portfolio as of the acquisition date.</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455"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loan portfolio, write-off of net deferred loan costs and elimination of the allowance for loan losses recorded by Pulaski. $16.9 million is expected to be accreted over the estimated four year remaining life of the respective loans in a manner that approximates the level yield method.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premises and equipment.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based on the Company’s evaluation of the acquired OREO portfolio.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Eliminate Pulaski’s existing goodwill.</w:t>
      </w:r>
    </w:p>
    <w:p>
      <w:pPr>
        <w:spacing w:after="0" w:line="9" w:lineRule="exact"/>
        <w:rPr>
          <w:rFonts w:ascii="Arial" w:cs="Arial" w:eastAsia="Arial" w:hAnsi="Arial"/>
          <w:sz w:val="18"/>
          <w:szCs w:val="18"/>
          <w:color w:val="auto"/>
        </w:rPr>
      </w:pPr>
    </w:p>
    <w:p>
      <w:pPr>
        <w:ind w:left="340" w:hanging="332"/>
        <w:spacing w:after="0" w:line="250" w:lineRule="auto"/>
        <w:tabs>
          <w:tab w:leader="none" w:pos="358"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Recording of the core deposit intangible asset on the acquired core deposit accounts. Amount to be amortized using a sum of years digits method over a 14 year useful life.</w:t>
      </w: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assets at the acquisition date.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time deposits. Amount to be accreted over two years in a manner that approximates the level yield method.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Fair value adjustment to the FHLB borrowings. Such borrowings were repaid shortly after the acquisition date, so there will be no discount accretion.</w:t>
      </w:r>
    </w:p>
    <w:p>
      <w:pPr>
        <w:spacing w:after="0" w:line="32" w:lineRule="exact"/>
        <w:rPr>
          <w:rFonts w:ascii="Arial" w:cs="Arial" w:eastAsia="Arial" w:hAnsi="Arial"/>
          <w:sz w:val="16"/>
          <w:szCs w:val="16"/>
          <w:color w:val="auto"/>
        </w:rPr>
      </w:pPr>
    </w:p>
    <w:p>
      <w:pPr>
        <w:ind w:left="340" w:hanging="332"/>
        <w:spacing w:after="0" w:line="250" w:lineRule="auto"/>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the trust preferred securities at the acquisition date. Amount to be accreted over the weighted average remaining life of 18 years in a manner that approximates the level yield method.</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liabilities at the acquisition date.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loans acquired in this transaction were recorded at fair value with no carryover of any existing allowance for loan losses. Loans that were not deemed to be credit-impaired at the acquisition date were accounted for under Financial Accounting Standards Board (“FASB”) Accounting Standards Codification (“ASC”) 310-20, Receivables-Nonrefundable Fees and Other Costs, and were subsequently considered as part of the Company’s determination of the adequacy of the allowance for loan losses. Purchased credit-impaired (“PCI”) loans, which are loans with evidence of credit quality deterioration at the date of acquisition, were accounted for under ASC 310-30, Receivables — Loans and Debt Securities Acquired with Deteriorated Credit Quality. As of the acquisition date, the aggregate principal outstanding and aggregate fair value of the acquired performing loans, including loans held for sale, both rounded to $1.4 billion. The difference between the aggregate principal balance outstanding and aggregate fair value of $16.6 million is expected to be accreted over the estimated four year remaining life of the respective loans in a manner that approximates the level yield method. As of the acquisition date, the aggregate principal balance outstanding of PCI loans totaled $21.2 million and the aggregate fair value of PCI loans totaled $9.7 million, which became such loans’ new carrying value. At June 30, 2017, PCI loans with a carrying value of $1.1 million were outstanding. Material activity includes PCI loans with a carrying value of $6.2 million being sold to outside parties in the third quarter of 2016 and a commercial PCI loan with a carrying value of $1.6 million being collected in the fourth quarter of 2016.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$0.3 million on PCI loans was expected to be recognized over the estimated four year remaining life of the respective loans in a manner that approximates the level yield method; however, the majority was accelerated in 2016 as a result of the third quarter loan sale and fourth quarter collection.</w:t>
      </w:r>
    </w:p>
    <w:p>
      <w:pPr>
        <w:spacing w:after="0" w:line="18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 xml:space="preserve">The following table provides the unaudited pro forma information for the results of operations for the three and six months ended June 30, 2016, as if the acquisition had occurred January 1, 2016. The pro forma results combine the historical results of Pulaski into the Company’s Consolidated Statements of Income, adjusted for the impact of the application of the acquisition method of accounting including loan discount accretion, intangible assets amortization, and deposit and trust preferred securities premium accretion, net of taxes. The pro forma results have been prepared for comparative purposes only and are not necessarily indicative of the results that would have been obtained had the acquisition actually occurred on January 1, 2016. No assumptions have been applied to the pro forma results of operations regarding possible revenue enhancements, expense efficiencies or asset dispositions. Only the acquisition related expenses that had been recognized are included in net income in the table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9"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w:t>
            </w: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0"/>
                <w:szCs w:val="10"/>
                <w:color w:val="auto"/>
              </w:rPr>
            </w:pPr>
          </w:p>
        </w:tc>
        <w:tc>
          <w:tcPr>
            <w:tcW w:w="146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0"/>
                <w:szCs w:val="10"/>
                <w:color w:val="auto"/>
              </w:rPr>
            </w:pPr>
          </w:p>
        </w:tc>
      </w:tr>
      <w:tr>
        <w:trPr>
          <w:trHeight w:val="17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2016</w:t>
            </w:r>
          </w:p>
        </w:tc>
        <w:tc>
          <w:tcPr>
            <w:tcW w:w="24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2016</w:t>
            </w:r>
          </w:p>
        </w:tc>
      </w:tr>
      <w:tr>
        <w:trPr>
          <w:trHeight w:val="182"/>
        </w:trPr>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revenues (net interest income plus non-interest</w:t>
            </w:r>
          </w:p>
        </w:tc>
        <w:tc>
          <w:tcPr>
            <w:tcW w:w="16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123,237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9,239</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23,165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Community Financial Partners, Inc.</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July 2, 2017, the Company completed its acquisition of First Community, headquartered in Joliet, Illinois, under which each share of First Community common stock issued and outstanding was converted into 0.396 shares of the Company’s common stock, cash in lieu of fractional shares and $1.35 cash consideration per share. It is anticipated that First Community Financial Bank, will be merged with and into Busey Bank in the fourth quarter of 2017. At the time of the bank merger, First Community Financial Bank’s banking offices will become branches of Busey Bank. As of June 30, 2017, First Community had total consolidated assets of $1.4 billion, total loans of $1.1 billion and total deposits of $1.1 billion.</w:t>
      </w:r>
    </w:p>
    <w:p>
      <w:pPr>
        <w:spacing w:after="0" w:line="1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Founded in 2004, First Community operated nine branches in Will, DuPage and Grundy counties, which encompass portions of the southwestern suburbs of Chicago. Please reference the FCFP Merger Agreement and the Company’s Registration Statement on Form S-4, which includes a proxy</w:t>
      </w:r>
    </w:p>
    <w:p>
      <w:pPr>
        <w:sectPr>
          <w:pgSz w:w="11900" w:h="16845" w:orient="portrait"/>
          <w:cols w:equalWidth="0" w:num="1">
            <w:col w:w="11420"/>
          </w:cols>
          <w:pgMar w:left="240" w:top="140"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statement/prospectus, filed on April 18, 2017 for additional information regarding the acquisition of First Community.</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transaction will be accounted for using the acquisition method of accounting and, accordingly, assets acquired, liabilities assumed, and consideration exchanged will be recorded at estimated fair values on the date of acquisition. Fair value assessments are incomplete as of the filing date of this Form 10-Q. Fair values are subject to refinement for up to one year after the closing date of July 2, 2017. This acquisition is a subsequent event and the financial results of First Community are not recognized in this Form 10-Q.</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First Busey incurred $0.2 million and $0.8 million in pre-tax expenses related to the acquisition of First Community for the three and six months ended June 30, 2017, respectively, primarily for professional and legal fees, all of which are reported as a component of non-interest expense in the accompanying unaudited Consolidated Financial Statements.</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following table provides the unaudited pro forma information for the results of operations for the three and six months ended June 30, 2017 and 2016, as if the acquisition had occurred January 1, 2016. The pro forma results combine the historical results of First Community into the Company’s Consolidated Statements of Income, including the impact of estimated purchase accounting adjustments including loan discount accretion, intangible assets amortization, deposit accretion and premises accretion, net of taxes. The 2016 pro forma results reflect Pulaski pro forma information as well, which is shown separately above. Actual purchase accounting adjustments are incomplete as of the filing date of this Form 10-Q. The pro forma results have been prepared for comparative purposes only and are not necessarily indicative of the results that would have been obtained had the acquisition actually occurred on January 1 of each year. No assumptions have been applied to the pro forma results of operations regarding possible revenue enhancements, expense efficiencies or asset dispositions. Only the merger related expenses that have been recognized are included in net income in the table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4"/>
              </w:rPr>
              <w:t>Pro Forma</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ind w:left="660"/>
              <w:spacing w:after="0"/>
              <w:rPr>
                <w:sz w:val="20"/>
                <w:szCs w:val="20"/>
                <w:color w:val="auto"/>
              </w:rPr>
            </w:pPr>
            <w:r>
              <w:rPr>
                <w:rFonts w:ascii="Arial" w:cs="Arial" w:eastAsia="Arial" w:hAnsi="Arial"/>
                <w:sz w:val="14"/>
                <w:szCs w:val="14"/>
                <w:b w:val="1"/>
                <w:bCs w:val="1"/>
                <w:color w:val="auto"/>
              </w:rPr>
              <w:t>Pro Forma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3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82"/>
        </w:trPr>
        <w:tc>
          <w:tcPr>
            <w:tcW w:w="4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revenues (net interest income plus non-interest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71,793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152,227</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143,032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21,462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40,149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27,678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 Illinois Bancorp, Inc.</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13, 2017, the Company entered into the MIB Merger Agreement with Mid Illinois, pursuant to which Mid Illinois will merge into First Busey, with First Busey as the surviving corporation. It is anticipated that South Side will be merged with and into Busey Bank at a date following the completion of the holding company merger. At the time of the bank merger, South Side’s banking offices will become branches of Busey Bank. The MIB Merger is anticipated to be completed in the fourth quarter of 2017, and is subject to the satisfaction of customary closing conditions in the MIB Merger Agreement and the approval of the appropriate regulatory authorities and of the stockholders of Mid Illinois. As of June 30, 2017, Mid Illinois had total consolidated assets of $661.9 million, total loans of $373.3 million and total deposits of $513.7 million.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Founded in 1922, South Side operates as a state chartered commercial and trust bank with thirteen branches located within the greater Peoria area. South Side also owns Mid-Illinois Insurance Services, Inc. For more information, please reference the MIB Merger Agreement and the Company’s Registration Statement on Form S-4, which includes a proxy statement/prospectus regarding our planned acquisition of Mid Illinois, filed on July 7, 2017, which will be amended.</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This transaction will be accounted for using the acquisition method of accounting and, accordingly, assets acquired, liabilities assumed, and consideration exchanged will be recorded at estimated fair values on the date of acquisition. Fair values are subject to refinement for up to one year after the closing date.</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First Busey incurred $0.1 million and $0.2 million in pre-tax expenses related to the planned acquisition of Mid Illinois for the three and six months ended June 30, 2017, respectively, primarily for legal fees, all of which are reported as a component of non-interest expense in the accompanying unaudited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Accounting Standards Update (“ASU”) 2014-09, “Revenue from Contracts with Customers (Topic 606).” </w:t>
      </w:r>
      <w:r>
        <w:rPr>
          <w:rFonts w:ascii="Arial" w:cs="Arial" w:eastAsia="Arial" w:hAnsi="Arial"/>
          <w:sz w:val="17"/>
          <w:szCs w:val="17"/>
          <w:color w:val="auto"/>
        </w:rPr>
        <w:t>ASU 2014-09 outlines a single model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Arial" w:cs="Arial" w:eastAsia="Arial" w:hAnsi="Arial"/>
          <w:sz w:val="17"/>
          <w:szCs w:val="17"/>
          <w:i w:val="1"/>
          <w:iCs w:val="1"/>
          <w:color w:val="auto"/>
        </w:rPr>
        <w:t>ASU 2015-14, “Revenue from Contracts with Customers (Topic 606)”</w:t>
      </w:r>
      <w:r>
        <w:rPr>
          <w:rFonts w:ascii="Arial" w:cs="Arial" w:eastAsia="Arial" w:hAnsi="Arial"/>
          <w:sz w:val="17"/>
          <w:szCs w:val="17"/>
          <w:color w:val="auto"/>
        </w:rPr>
        <w:t xml:space="preserve"> was issued to delay the effective date of ASU 2014-09 by one year. The FASB issued four subsequent ASUs in 2016 which are intended to improve and clarify the implementation guidance related to ASU 2014-09. The Company’s revenue is comprised of net interest income, which is explicitly excluded from the scope of ASU 2014-09, and non-interest income. ASU 2014-09 may require the Company to change how it recognizes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certain recurring revenues related to non-interest income; however it is not expected to have a material impact on its Consolidated Financial Statements and related disclosures. The Company expects to adopt the standard in the first quarter of 2018 with a cumulative effect adjustment to opening retained earnings, if such adjustment is deemed to be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2016-01, “Financial Instruments — Overall (Subtopic 825-10): Recognition and Measurement of Financial Assets and Financial Liabilities.”</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ASU 2016-01 is intended to improve the recognition and measurement of financial instruments by, among other things, requiring: equity investments, with certain exceptions, to be measured at fair value with changes in fair value recognized in net income; public business entities to use the exit price notion when measuring the fair value of financial instruments for disclosure purposes; separate presentation of financial assets and financial liabilities by measurement</w:t>
      </w:r>
    </w:p>
    <w:p>
      <w:pPr>
        <w:sectPr>
          <w:pgSz w:w="11900" w:h="16838" w:orient="portrait"/>
          <w:cols w:equalWidth="0" w:num="1">
            <w:col w:w="11420"/>
          </w:cols>
          <w:pgMar w:left="240" w:top="125" w:right="239" w:bottom="0" w:gutter="0" w:footer="0" w:header="0"/>
        </w:sectPr>
      </w:pPr>
    </w:p>
    <w:bookmarkStart w:id="9" w:name="page10"/>
    <w:bookmarkEnd w:id="9"/>
    <w:p>
      <w:pPr>
        <w:spacing w:after="0" w:line="4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category and form of financial assets on the Balance Sheet or the accompanying notes to the Consolidated Financial Statements; eliminating the requirement for public business entities to disclose the method and significant assumptions used to estimate the fair value that is required to be disclosed for financial instruments measured at amortized cost on the Balance Sheet; and requiring an entity to present separately in other comprehensive income the portion of the total change in fair value of a liability resulting from the change in the instrument-specific credit risk when the organization has elected to measure the liability at fair value in accordance with the fair value option for financial instruments. ASU 2016-01 will be effective on January 1, 2018 and the Company is continuing to assess the impact this guidance will have on its Consolidated Financial Statements and related disclosures.</w:t>
      </w:r>
    </w:p>
    <w:p>
      <w:pPr>
        <w:spacing w:after="0" w:line="16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ASU 2016-02 intends to increase transparency and comparability among organizations by recognizing all lease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terms in excess of 12 months) on the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Upon adoption, the lessee will apply the new standard retrospectively to all periods presented or retrospectively using a cumulative effect adjustment in the year of adoption. The Company is evaluating the impact this guidance will have on its Consolidated Financial Statements and related disclosures.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ASU 2016-13, “Financial Instruments — Credit Losses (Topic 326): Measurement of Credit Losses on Financial Instruments.” </w:t>
      </w:r>
      <w:r>
        <w:rPr>
          <w:rFonts w:ascii="Arial" w:cs="Arial" w:eastAsia="Arial" w:hAnsi="Arial"/>
          <w:sz w:val="18"/>
          <w:szCs w:val="18"/>
          <w:color w:val="auto"/>
        </w:rPr>
        <w:t>ASU 2016-13 implements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change in estimating the allowances for loan losses from the current model of losses inherent in the loan portfolio to a current expected credit loss model that generally is expected to result in earlier recognition of allowances for losses. Further, purchase accounting rules have been modified as well as credit losses on held to maturity debt securities. ASU 2016-13 will be effective in the first quarter of 2020. The Company has an implementation team working through the provisions of ASU 2016-13, including evaluating the impact this guidance will have on its Consolidated Financial Statements and related disclosures.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ASU 2016-15, “Statement of Cash Flows (Topic 230): Classification of Certain Cash Receipts and Cash Payments.” </w:t>
      </w:r>
      <w:r>
        <w:rPr>
          <w:rFonts w:ascii="Arial" w:cs="Arial" w:eastAsia="Arial" w:hAnsi="Arial"/>
          <w:sz w:val="17"/>
          <w:szCs w:val="17"/>
          <w:color w:val="auto"/>
        </w:rPr>
        <w:t>ASU 2016-15 provides clarification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how certain cash receipts and cash payment are presented and classified in the Consolidated Statements of Cash Flows. This update is effective for fiscal years beginning after December 15, 2017, and interim periods within those fiscal years, with early adoption permitted. The Company does not expect the adoption of this guidance to have a material impact to its Consolidated Financial Statements.</w:t>
      </w:r>
    </w:p>
    <w:p>
      <w:pPr>
        <w:spacing w:after="0" w:line="17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 xml:space="preserve">ASU 2016-16, “Income Taxes (Topic 740): Intra-Entity Transfers of Assets Other Than Inventory.” </w:t>
      </w:r>
      <w:r>
        <w:rPr>
          <w:rFonts w:ascii="Arial" w:cs="Arial" w:eastAsia="Arial" w:hAnsi="Arial"/>
          <w:sz w:val="16"/>
          <w:szCs w:val="16"/>
          <w:color w:val="auto"/>
        </w:rPr>
        <w:t>ASU 2016-16 is intended to improve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tax consequences of intra-entity transfers of assets other than inventory by requiring an entity to recognize the income tax consequences when a transfer occurs, instead of when an asset is sold to an outside party. This guidance is effective for annual reporting periods beginning after December 15, 2017. The new standard will require adoption on a modified retrospective basis through a cumulative-effect adjustment to retained earnings, and early adoption is permitted. The Company does not expect the adoption of this guidance to have a material impact on its Consolidated Financial Statements.</w:t>
      </w:r>
    </w:p>
    <w:p>
      <w:pPr>
        <w:spacing w:after="0" w:line="158"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i w:val="1"/>
          <w:iCs w:val="1"/>
          <w:color w:val="auto"/>
        </w:rPr>
        <w:t xml:space="preserve">ASU 2017-01, “Business Combinations (Topic 805): Clarifying the Definition of a Business.” </w:t>
      </w:r>
      <w:r>
        <w:rPr>
          <w:rFonts w:ascii="Arial" w:cs="Arial" w:eastAsia="Arial" w:hAnsi="Arial"/>
          <w:sz w:val="16"/>
          <w:szCs w:val="16"/>
          <w:color w:val="auto"/>
        </w:rPr>
        <w:t>ASU 2017-01 clarifies the definition and provides a more</w:t>
      </w:r>
      <w:r>
        <w:rPr>
          <w:rFonts w:ascii="Arial" w:cs="Arial" w:eastAsia="Arial" w:hAnsi="Arial"/>
          <w:sz w:val="16"/>
          <w:szCs w:val="16"/>
          <w:i w:val="1"/>
          <w:iCs w:val="1"/>
          <w:color w:val="auto"/>
        </w:rPr>
        <w:t xml:space="preserve"> </w:t>
      </w:r>
      <w:r>
        <w:rPr>
          <w:rFonts w:ascii="Arial" w:cs="Arial" w:eastAsia="Arial" w:hAnsi="Arial"/>
          <w:sz w:val="16"/>
          <w:szCs w:val="16"/>
          <w:color w:val="auto"/>
        </w:rPr>
        <w:t>robust framework to use in determining when a set of assets and activities constitutes a business. ASU 2017-01 is intended to provide guidance when evaluating whether transactions should be accounted for as acquisitions of assets or businesses. This guidance is effective for annual reporting periods beginning after December 15, 2017 and is not expected to have a significant impact to the Company’s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ASU 2017-04, “Intangibles - Goodwill and Other (Topic 350): Simplifying the Test for Goodwill Impairment.” </w:t>
      </w:r>
      <w:r>
        <w:rPr>
          <w:rFonts w:ascii="Arial" w:cs="Arial" w:eastAsia="Arial" w:hAnsi="Arial"/>
          <w:sz w:val="18"/>
          <w:szCs w:val="18"/>
          <w:color w:val="auto"/>
        </w:rPr>
        <w:t>ASU 2017-04 is intended to simplify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testing by eliminating the second step of the analysis. ASU 2017-04 requires entities to compare the fair value of a reporting unit with its carrying amount and recognize an impairment charge for any amount by which the carrying amount exceeds the reporting unit’s fair value, to the extent that the loss recognized does not exceed the amount of goodwill allocated to that reporting unit. This guidance is effective for annual and interim periods beginning after December 15, 2019, with early adoption permitted. The Company does not expect this guidance to have a material impact on its Consolidated Financial Statements.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ASU 2017-08</w:t>
      </w:r>
      <w:r>
        <w:rPr>
          <w:rFonts w:ascii="Arial" w:cs="Arial" w:eastAsia="Arial" w:hAnsi="Arial"/>
          <w:sz w:val="18"/>
          <w:szCs w:val="18"/>
          <w:color w:val="auto"/>
        </w:rPr>
        <w:t>, “</w:t>
      </w:r>
      <w:r>
        <w:rPr>
          <w:rFonts w:ascii="Arial" w:cs="Arial" w:eastAsia="Arial" w:hAnsi="Arial"/>
          <w:sz w:val="18"/>
          <w:szCs w:val="18"/>
          <w:i w:val="1"/>
          <w:iCs w:val="1"/>
          <w:color w:val="auto"/>
        </w:rPr>
        <w:t xml:space="preserve">Receivables - Nonrefundable Fees and Other Costs (Subtopic 310-20), Premium Amortization on Purchased Callable Debt Securities.”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2017-08 shortens the amortization period for certain callable debt securities held at a premium, requiring the premium to be amortized to the earliest call date. ASU 2017-08 does not require an accounting change for securities held at a discount; the discount continues to be amortized to maturity. This guidance is effective for annual reporting periods beginning after December 15, 2018, with early adoption permitted. The Company does not expect this guidance to have a material impact on its Consolidated Financial Statements.</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ASU 2017-09, “</w:t>
      </w:r>
      <w:r>
        <w:rPr>
          <w:rFonts w:ascii="Arial" w:cs="Arial" w:eastAsia="Arial" w:hAnsi="Arial"/>
          <w:sz w:val="15"/>
          <w:szCs w:val="15"/>
          <w:i w:val="1"/>
          <w:iCs w:val="1"/>
          <w:color w:val="auto"/>
        </w:rPr>
        <w:t>Compensation - Stock Compensation (Topic 718): Scope of Modification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ASU 2017-09 provides guidance on determining which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terms and conditions of share-based payment awards, including stock options, require an entity to apply modification accounting under Topic</w:t>
      </w:r>
    </w:p>
    <w:p>
      <w:pPr>
        <w:ind w:right="460" w:firstLine="8"/>
        <w:spacing w:after="0" w:line="261"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guidance is effective for annual reporting periods beginning after December 15, 2017, with early adoption permitted. The Company does not expect this guidance to have a material impact on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intent to hold those securities to maturity. Accordingly, they are stated at cost, adjusted for amortization of premiums and accretion of discounts.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amortized cost, unrealized gains and losses and fair values of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5100" w:type="dxa"/>
        <w:tblCellMar>
          <w:top w:w="0" w:type="dxa"/>
          <w:left w:w="0" w:type="dxa"/>
          <w:bottom w:w="0" w:type="dxa"/>
          <w:right w:w="0" w:type="dxa"/>
        </w:tblCellMar>
      </w:tblPr>
      <w:tr>
        <w:trPr>
          <w:trHeight w:val="161"/>
        </w:trPr>
        <w:tc>
          <w:tcPr>
            <w:tcW w:w="11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w w:val="96"/>
              </w:rPr>
              <w:t>Amortized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center"/>
              <w:ind w:right="448"/>
              <w:spacing w:after="0"/>
              <w:rPr>
                <w:sz w:val="20"/>
                <w:szCs w:val="20"/>
                <w:color w:val="auto"/>
              </w:rPr>
            </w:pPr>
            <w:r>
              <w:rPr>
                <w:rFonts w:ascii="Arial" w:cs="Arial" w:eastAsia="Arial" w:hAnsi="Arial"/>
                <w:sz w:val="14"/>
                <w:szCs w:val="14"/>
                <w:b w:val="1"/>
                <w:bCs w:val="1"/>
                <w:color w:val="auto"/>
                <w:w w:val="89"/>
              </w:rPr>
              <w:t>Cost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ind w:left="48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wp:posOffset>
            </wp:positionV>
            <wp:extent cx="695515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sectPr>
          <w:pgSz w:w="11900" w:h="16879" w:orient="portrait"/>
          <w:cols w:equalWidth="0" w:num="1">
            <w:col w:w="11420"/>
          </w:cols>
          <w:pgMar w:left="240" w:top="125" w:right="239" w:bottom="0" w:gutter="0" w:footer="0" w:header="0"/>
        </w:sectPr>
      </w:pPr>
    </w:p>
    <w:p>
      <w:pPr>
        <w:ind w:left="180"/>
        <w:spacing w:after="0"/>
        <w:rPr>
          <w:sz w:val="20"/>
          <w:szCs w:val="20"/>
          <w:color w:val="auto"/>
        </w:rPr>
      </w:pPr>
      <w:r>
        <w:rPr>
          <w:rFonts w:ascii="Arial" w:cs="Arial" w:eastAsia="Arial" w:hAnsi="Arial"/>
          <w:sz w:val="18"/>
          <w:szCs w:val="18"/>
          <w:u w:val="single" w:color="auto"/>
          <w:color w:val="auto"/>
        </w:rPr>
        <w:t>June 30, 2017:</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Available for sale</w:t>
      </w:r>
    </w:p>
    <w:p>
      <w:pPr>
        <w:sectPr>
          <w:pgSz w:w="11900" w:h="16879" w:orient="portrait"/>
          <w:cols w:equalWidth="0" w:num="1">
            <w:col w:w="11420"/>
          </w:cols>
          <w:pgMar w:left="240" w:top="125" w:right="239" w:bottom="0" w:gutter="0" w:footer="0" w:header="0"/>
          <w:type w:val="continuous"/>
        </w:sectPr>
      </w:pPr>
    </w:p>
    <w:bookmarkStart w:id="10" w:name="page11"/>
    <w:bookmarkEnd w:id="10"/>
    <w:p>
      <w:pPr>
        <w:spacing w:after="0" w:line="8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85,793</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85,848</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2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67,122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90"/>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66,775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142,242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1,311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143,353</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314,169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1,322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90"/>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313,351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31,796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31,994</w:t>
            </w:r>
          </w:p>
        </w:tc>
        <w:tc>
          <w:tcPr>
            <w:tcW w:w="0" w:type="dxa"/>
            <w:vAlign w:val="bottom"/>
          </w:tcPr>
          <w:p>
            <w:pPr>
              <w:spacing w:after="0"/>
              <w:rPr>
                <w:sz w:val="1"/>
                <w:szCs w:val="1"/>
                <w:color w:val="auto"/>
              </w:rPr>
            </w:pPr>
          </w:p>
        </w:tc>
      </w:tr>
      <w:tr>
        <w:trPr>
          <w:trHeight w:val="210"/>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Total debt securities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641,122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4,719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645,841</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3,293</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(2,785)</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646,349</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42,546</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407</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42,943</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Commercial and residential mortgage-backed securities</w:t>
            </w:r>
          </w:p>
        </w:tc>
        <w:tc>
          <w:tcPr>
            <w:tcW w:w="2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166,088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413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90"/>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166,060</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208,634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tcPr>
          <w:p>
            <w:pPr>
              <w:jc w:val="center"/>
              <w:ind w:right="41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14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December 31, 2016:</w:t>
            </w:r>
          </w:p>
        </w:tc>
        <w:tc>
          <w:tcPr>
            <w:tcW w:w="30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74,784</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74,944</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79,577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30"/>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79,127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154,438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154,938</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303,641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30"/>
              <w:spacing w:after="0"/>
              <w:rPr>
                <w:sz w:val="20"/>
                <w:szCs w:val="20"/>
                <w:color w:val="auto"/>
              </w:rPr>
            </w:pPr>
            <w:r>
              <w:rPr>
                <w:rFonts w:ascii="Arial" w:cs="Arial" w:eastAsia="Arial" w:hAnsi="Arial"/>
                <w:sz w:val="18"/>
                <w:szCs w:val="18"/>
                <w:color w:val="auto"/>
              </w:rPr>
              <w:t>(2,782)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302,249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142,836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143,343</w:t>
            </w:r>
          </w:p>
        </w:tc>
        <w:tc>
          <w:tcPr>
            <w:tcW w:w="0" w:type="dxa"/>
            <w:vAlign w:val="bottom"/>
          </w:tcPr>
          <w:p>
            <w:pPr>
              <w:spacing w:after="0"/>
              <w:rPr>
                <w:sz w:val="1"/>
                <w:szCs w:val="1"/>
                <w:color w:val="auto"/>
              </w:rPr>
            </w:pPr>
          </w:p>
        </w:tc>
      </w:tr>
      <w:tr>
        <w:trPr>
          <w:trHeight w:val="210"/>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Total debt securities</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755,276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28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759,751</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280" w:type="dxa"/>
            <w:vAlign w:val="bottom"/>
            <w:tcBorders>
              <w:bottom w:val="single" w:sz="8" w:color="CCEEFF"/>
            </w:tcBorders>
            <w:gridSpan w:val="2"/>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759,811</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44,333</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(160)</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3,487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3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Borders>
              <w:top w:val="single" w:sz="8" w:color="CCEEFF"/>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The amortized cost and fair value of debt securities as of June 30, 2017, by contractual maturity or pre-refunded date, are shown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Mutual funds and other equity securities do not have stated maturity dates and therefore are not included in the following maturity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underlying mortgage-backed securities may be called or prepaid; therefore, actual maturities could differ from the contractual maturities. All mortgage-backed securities were issued by U.S. government agencies and corporations.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Pr>
          <w:p>
            <w:pPr>
              <w:spacing w:after="0"/>
              <w:rPr>
                <w:sz w:val="10"/>
                <w:szCs w:val="10"/>
                <w:color w:val="auto"/>
              </w:rPr>
            </w:pPr>
          </w:p>
        </w:tc>
        <w:tc>
          <w:tcPr>
            <w:tcW w:w="900" w:type="dxa"/>
            <w:vAlign w:val="bottom"/>
          </w:tcPr>
          <w:p>
            <w:pPr>
              <w:jc w:val="right"/>
              <w:ind w:right="456"/>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00" w:type="dxa"/>
            <w:vAlign w:val="bottom"/>
          </w:tcPr>
          <w:p>
            <w:pPr>
              <w:jc w:val="right"/>
              <w:ind w:right="436"/>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r>
      <w:tr>
        <w:trPr>
          <w:trHeight w:val="171"/>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71,081</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222,954</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223,168</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21,022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21,173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67,533</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68,875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20,530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Due after ten years</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279,554</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278,080</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165,318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165,360</w:t>
            </w:r>
          </w:p>
        </w:tc>
      </w:tr>
      <w:tr>
        <w:trPr>
          <w:trHeight w:val="21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020" w:type="dxa"/>
            <w:vAlign w:val="bottom"/>
          </w:tcPr>
          <w:p>
            <w:pPr>
              <w:jc w:val="right"/>
              <w:ind w:right="127"/>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Gross security (losses)</w:t>
            </w:r>
          </w:p>
        </w:tc>
        <w:tc>
          <w:tcPr>
            <w:tcW w:w="10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(losses) gains</w:t>
            </w:r>
          </w:p>
        </w:tc>
        <w:tc>
          <w:tcPr>
            <w:tcW w:w="1020" w:type="dxa"/>
            <w:vAlign w:val="bottom"/>
            <w:tcBorders>
              <w:top w:val="single" w:sz="8" w:color="auto"/>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provision for the net realized gains and losses was insignificant for the three months ended June 30, 2017. The tax provision for the net realized gains and losses was $0.3 million for the six months ended June 30, 2017. The tax provision for the net realized gains and losses was $0.1 million and $0.4 million for the three and six months ended June 30, 2016, respectively.</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Investment securities with carrying amounts of $541.4 million and $547.2 million on June 30, 2017 and December 31, 2016,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2017 and December 31, 2016, aggregated by investment category and length of time that individual securities have been in a continuous loss position,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2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Continuous unrealized</w:t>
            </w:r>
          </w:p>
        </w:tc>
        <w:tc>
          <w:tcPr>
            <w:tcW w:w="2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Continuous unrealized</w:t>
            </w:r>
          </w:p>
        </w:tc>
        <w:tc>
          <w:tcPr>
            <w:tcW w:w="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7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820" w:type="dxa"/>
            <w:vAlign w:val="bottom"/>
          </w:tcPr>
          <w:p>
            <w:pPr>
              <w:spacing w:after="0"/>
              <w:rPr>
                <w:sz w:val="12"/>
                <w:szCs w:val="12"/>
                <w:color w:val="auto"/>
              </w:rPr>
            </w:pPr>
          </w:p>
        </w:tc>
        <w:tc>
          <w:tcPr>
            <w:tcW w:w="1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20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12 months, gross</w:t>
            </w:r>
          </w:p>
        </w:tc>
        <w:tc>
          <w:tcPr>
            <w:tcW w:w="2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than 12 months, gross</w:t>
            </w:r>
          </w:p>
        </w:tc>
        <w:tc>
          <w:tcPr>
            <w:tcW w:w="8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0" w:type="dxa"/>
            <w:vAlign w:val="bottom"/>
            <w:tcBorders>
              <w:top w:val="single" w:sz="8" w:color="auto"/>
            </w:tcBorders>
          </w:tcPr>
          <w:p>
            <w:pPr>
              <w:jc w:val="center"/>
              <w:ind w:left="329"/>
              <w:spacing w:after="0" w:line="119" w:lineRule="exact"/>
              <w:rPr>
                <w:sz w:val="20"/>
                <w:szCs w:val="20"/>
                <w:color w:val="auto"/>
              </w:rPr>
            </w:pPr>
            <w:r>
              <w:rPr>
                <w:rFonts w:ascii="Arial" w:cs="Arial" w:eastAsia="Arial" w:hAnsi="Arial"/>
                <w:sz w:val="13"/>
                <w:szCs w:val="13"/>
                <w:b w:val="1"/>
                <w:bCs w:val="1"/>
                <w:color w:val="auto"/>
              </w:rPr>
              <w:t>Fair</w:t>
            </w:r>
          </w:p>
        </w:tc>
        <w:tc>
          <w:tcPr>
            <w:tcW w:w="1800" w:type="dxa"/>
            <w:vAlign w:val="bottom"/>
            <w:tcBorders>
              <w:top w:val="single" w:sz="8" w:color="auto"/>
            </w:tcBorders>
          </w:tcPr>
          <w:p>
            <w:pPr>
              <w:jc w:val="center"/>
              <w:ind w:left="570"/>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340" w:type="dxa"/>
            <w:vAlign w:val="bottom"/>
            <w:tcBorders>
              <w:top w:val="single" w:sz="8" w:color="auto"/>
            </w:tcBorders>
          </w:tcPr>
          <w:p>
            <w:pPr>
              <w:jc w:val="center"/>
              <w:ind w:left="111"/>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820" w:type="dxa"/>
            <w:vAlign w:val="bottom"/>
            <w:tcBorders>
              <w:top w:val="single" w:sz="8" w:color="auto"/>
            </w:tcBorders>
          </w:tcPr>
          <w:p>
            <w:pPr>
              <w:jc w:val="center"/>
              <w:ind w:left="251"/>
              <w:spacing w:after="0" w:line="119" w:lineRule="exact"/>
              <w:rPr>
                <w:sz w:val="20"/>
                <w:szCs w:val="20"/>
                <w:color w:val="auto"/>
              </w:rPr>
            </w:pPr>
            <w:r>
              <w:rPr>
                <w:rFonts w:ascii="Arial" w:cs="Arial" w:eastAsia="Arial" w:hAnsi="Arial"/>
                <w:sz w:val="13"/>
                <w:szCs w:val="13"/>
                <w:b w:val="1"/>
                <w:bCs w:val="1"/>
                <w:color w:val="auto"/>
              </w:rPr>
              <w:t>Fair</w:t>
            </w:r>
          </w:p>
        </w:tc>
        <w:tc>
          <w:tcPr>
            <w:tcW w:w="1680" w:type="dxa"/>
            <w:vAlign w:val="bottom"/>
            <w:tcBorders>
              <w:top w:val="single" w:sz="8" w:color="auto"/>
            </w:tcBorders>
          </w:tcPr>
          <w:p>
            <w:pPr>
              <w:jc w:val="center"/>
              <w:ind w:left="47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740" w:type="dxa"/>
            <w:vAlign w:val="bottom"/>
          </w:tcPr>
          <w:p>
            <w:pPr>
              <w:jc w:val="center"/>
              <w:ind w:left="329"/>
              <w:spacing w:after="0"/>
              <w:rPr>
                <w:sz w:val="20"/>
                <w:szCs w:val="20"/>
                <w:color w:val="auto"/>
              </w:rPr>
            </w:pPr>
            <w:r>
              <w:rPr>
                <w:rFonts w:ascii="Arial" w:cs="Arial" w:eastAsia="Arial" w:hAnsi="Arial"/>
                <w:sz w:val="14"/>
                <w:szCs w:val="14"/>
                <w:b w:val="1"/>
                <w:bCs w:val="1"/>
                <w:color w:val="auto"/>
                <w:w w:val="90"/>
              </w:rPr>
              <w:t>Value</w:t>
            </w:r>
          </w:p>
        </w:tc>
        <w:tc>
          <w:tcPr>
            <w:tcW w:w="2040" w:type="dxa"/>
            <w:vAlign w:val="bottom"/>
            <w:gridSpan w:val="2"/>
          </w:tcPr>
          <w:p>
            <w:pPr>
              <w:jc w:val="center"/>
              <w:ind w:left="330"/>
              <w:spacing w:after="0"/>
              <w:rPr>
                <w:sz w:val="20"/>
                <w:szCs w:val="20"/>
                <w:color w:val="auto"/>
              </w:rPr>
            </w:pPr>
            <w:r>
              <w:rPr>
                <w:rFonts w:ascii="Arial" w:cs="Arial" w:eastAsia="Arial" w:hAnsi="Arial"/>
                <w:sz w:val="14"/>
                <w:szCs w:val="14"/>
                <w:b w:val="1"/>
                <w:bCs w:val="1"/>
                <w:color w:val="auto"/>
                <w:w w:val="82"/>
              </w:rPr>
              <w:t>Losses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Losses</w:t>
            </w:r>
          </w:p>
        </w:tc>
        <w:tc>
          <w:tcPr>
            <w:tcW w:w="820" w:type="dxa"/>
            <w:vAlign w:val="bottom"/>
          </w:tcPr>
          <w:p>
            <w:pPr>
              <w:jc w:val="center"/>
              <w:ind w:left="251"/>
              <w:spacing w:after="0"/>
              <w:rPr>
                <w:sz w:val="20"/>
                <w:szCs w:val="20"/>
                <w:color w:val="auto"/>
              </w:rPr>
            </w:pPr>
            <w:r>
              <w:rPr>
                <w:rFonts w:ascii="Arial" w:cs="Arial" w:eastAsia="Arial" w:hAnsi="Arial"/>
                <w:sz w:val="14"/>
                <w:szCs w:val="14"/>
                <w:b w:val="1"/>
                <w:bCs w:val="1"/>
                <w:color w:val="auto"/>
                <w:w w:val="90"/>
              </w:rPr>
              <w:t>Value</w:t>
            </w:r>
          </w:p>
        </w:tc>
        <w:tc>
          <w:tcPr>
            <w:tcW w:w="1680" w:type="dxa"/>
            <w:vAlign w:val="bottom"/>
          </w:tcPr>
          <w:p>
            <w:pPr>
              <w:jc w:val="center"/>
              <w:ind w:left="45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bl>
    <w:p>
      <w:pPr>
        <w:sectPr>
          <w:pgSz w:w="11900" w:h="16926" w:orient="portrait"/>
          <w:cols w:equalWidth="0" w:num="1">
            <w:col w:w="11400"/>
          </w:cols>
          <w:pgMar w:left="240" w:top="140" w:right="25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32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June 30, 2017:</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52,159</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52,159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46,018</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161,359</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161,359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289,909</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292,929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5,621</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Commercial and residential mortgage-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backed securities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122,551</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122,551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2"/>
              </w:rPr>
              <w:t>Continuous unrealized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40" w:type="dxa"/>
            <w:vAlign w:val="bottom"/>
          </w:tcPr>
          <w:p>
            <w:pPr>
              <w:spacing w:after="0"/>
              <w:rPr>
                <w:sz w:val="12"/>
                <w:szCs w:val="12"/>
                <w:color w:val="auto"/>
              </w:rPr>
            </w:pPr>
          </w:p>
        </w:tc>
        <w:tc>
          <w:tcPr>
            <w:tcW w:w="236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Total, gross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than 12 months, gross</w:t>
            </w:r>
          </w:p>
        </w:tc>
        <w:tc>
          <w:tcPr>
            <w:tcW w:w="24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December 31, 2016:</w:t>
            </w: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46,209</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46,209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64,832</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168,898</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gridSpan w:val="3"/>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322,685</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(4,011)</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323,839</w:t>
            </w:r>
          </w:p>
        </w:tc>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Securities are periodically evaluated for other-than-temporary impairment (“OTTI”). The total number of securities in the investment portfolio in an unrealized loss position as of June 30, 2017 was 196, and represented a loss of 0.76% of the aggregate carrying value. As of June 30, 2017, the Company does not intend to sell such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June 30, 2017.</w:t>
      </w:r>
    </w:p>
    <w:p>
      <w:pPr>
        <w:spacing w:after="0" w:line="188"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The Company had available for sale obligations of state and political subdivisions with aggregate fair values of $143.4 million and $154.9 million as of June 30, 2017 and December 31, 2016, respectively. In addition, the Company had held to maturity obligations of state and political subdivisions with aggregate fair values of $42.9 million and $44.3 million as of June 30, 2017 and December 31, 2016, respectively.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June 30, 2017, the aggregate fair value of the Company’s obligations of state and political subdivisions portfolio was comprised of $155.1 million of general obligation bonds and $31.2 million of revenue bonds issued by 245 issuers, primarily consisting of states, counties, cities, towns, villages and school districts. The Company held investments in general obligation bonds in 27 states (including the District of Columbia), including six states in which the aggregate fair value exceeded $5.0 million. The Company held investments in revenue bonds in 15 states, including two states where the aggregate fair value exceeded $5.0 million.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2016, the fair value of the Company’s obligations of state and political subdivisions portfolio was comprised of $163.6 million of general obligation bonds and $35.6 million of revenue bonds issued by 260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16 states, including two states where the aggregate fair value exceeded $5.0 million.</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general obligation bonds are summarized in the following tables by the issuers’ state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June 30, 2017:</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Illinois</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18,314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Wisconsin</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0" w:right="1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4"/>
          </w:tcPr>
          <w:p>
            <w:pPr>
              <w:ind w:left="660"/>
              <w:spacing w:after="0"/>
              <w:rPr>
                <w:sz w:val="20"/>
                <w:szCs w:val="20"/>
                <w:color w:val="auto"/>
              </w:rPr>
            </w:pPr>
            <w:r>
              <w:rPr>
                <w:rFonts w:ascii="Arial" w:cs="Arial" w:eastAsia="Arial" w:hAnsi="Arial"/>
                <w:sz w:val="18"/>
                <w:szCs w:val="18"/>
                <w:color w:val="auto"/>
              </w:rPr>
              <w:t>Pennsylvania</w:t>
            </w:r>
          </w:p>
        </w:tc>
        <w:tc>
          <w:tcPr>
            <w:tcW w:w="1040" w:type="dxa"/>
            <w:vAlign w:val="bottom"/>
          </w:tcPr>
          <w:p>
            <w:pPr>
              <w:spacing w:after="0"/>
              <w:rPr>
                <w:sz w:val="20"/>
                <w:szCs w:val="2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8,309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8,333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Ohio</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10,964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10,978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Total general obligations bonds</w:t>
            </w: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209</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155,141</w:t>
            </w:r>
          </w:p>
        </w:tc>
        <w:tc>
          <w:tcPr>
            <w:tcW w:w="12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4"/>
            <w:vMerge w:val="restart"/>
          </w:tcPr>
          <w:p>
            <w:pPr>
              <w:ind w:left="660"/>
              <w:spacing w:after="0"/>
              <w:rPr>
                <w:sz w:val="20"/>
                <w:szCs w:val="20"/>
                <w:color w:val="auto"/>
              </w:rPr>
            </w:pPr>
            <w:r>
              <w:rPr>
                <w:rFonts w:ascii="Arial" w:cs="Arial" w:eastAsia="Arial" w:hAnsi="Arial"/>
                <w:sz w:val="18"/>
                <w:szCs w:val="18"/>
                <w:color w:val="auto"/>
              </w:rPr>
              <w:t>December 31, 2016:</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4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Average Exposure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4"/>
            <w:vMerge w:val="continue"/>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23,233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23,472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Wisconsin</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10,242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Ohio</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11,005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Iowa</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22,028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22,192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163,612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7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general obligation bonds are diversified across many issuers, with $3.4 million being the largest exposure to a single issuer at June 30, 2017 and December 31, 2016. Accordingly, as of June 30, 2017 and December 31, 2016, the Company did not hold general obligation bonds of any single issuer, the aggregate book or market value of which exceeded 10% of the Company’s stockholders’ equity. Of the general obligation bonds in the Company’s portfolio, 98.3% had been rated by at least one nationally recognized statistical rating organization and 1.7% were unrated, based on the aggregate fair value as of June 30, 2017. Of the general obligation bonds in the Company’s portfolio, 98.4% had been rated by at least one nationally recognized statistical rating organization and 1.6% were unrated, based on the fair value as of December 31, 2016.</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revenue bonds are summarized in the following tables by the issuers’ state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June 30, 2017:</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6,384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31,155</w:t>
            </w:r>
          </w:p>
        </w:tc>
        <w:tc>
          <w:tcPr>
            <w:tcW w:w="26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December 31, 2016:</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8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7,321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7,275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35,621</w:t>
            </w:r>
          </w:p>
        </w:tc>
        <w:tc>
          <w:tcPr>
            <w:tcW w:w="2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revenue bonds are diversified across many issuers and revenue sources with $3.6 million and $3.5 million being the largest exposure to a single issuer at each of June 30, 2017 and December 31, 2016, respectively. Accordingly, as of June 30, 2017 and December 31, 2016, the Company did not hold revenue bonds of any single issuer, the aggregate book or market value of which exceeded 10% of the Company’s stockholders’ equity. Of the revenue bonds in the Company’s portfolio, 98.7% had been rated by at least one nationally recognized statistical rating organization and 1.3% were unrated, based on the fair value as of June 30, 2017. Of the revenue bonds in the Company’s portfolio, 97.1% had been rated by at least one nationally recognized statistical rating organization and 2.9% were unrated, based on the fair value as of December 31, 2016.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Substantially all of the Company’s obligations of state and political subdivision securities are owned by its subsidiary bank</w:t>
      </w:r>
      <w:r>
        <w:rPr>
          <w:rFonts w:ascii="Arial" w:cs="Arial" w:eastAsia="Arial" w:hAnsi="Arial"/>
          <w:sz w:val="16"/>
          <w:szCs w:val="16"/>
          <w:b w:val="1"/>
          <w:bCs w:val="1"/>
          <w:color w:val="auto"/>
        </w:rPr>
        <w:t>,</w:t>
      </w:r>
      <w:r>
        <w:rPr>
          <w:rFonts w:ascii="Arial" w:cs="Arial" w:eastAsia="Arial" w:hAnsi="Arial"/>
          <w:sz w:val="16"/>
          <w:szCs w:val="16"/>
          <w:color w:val="auto"/>
        </w:rPr>
        <w:t xml:space="preserve"> which has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w:t>
      </w:r>
    </w:p>
    <w:p>
      <w:pPr>
        <w:spacing w:after="0" w:line="16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All securities in First Busey’s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w:t>
      </w:r>
    </w:p>
    <w:p>
      <w:pPr>
        <w:sectPr>
          <w:pgSz w:w="11900" w:h="16838" w:orient="portrait"/>
          <w:cols w:equalWidth="0" w:num="1">
            <w:col w:w="11460"/>
          </w:cols>
          <w:pgMar w:left="240" w:top="125" w:right="199" w:bottom="0" w:gutter="0" w:footer="0" w:header="0"/>
        </w:sectPr>
      </w:pPr>
    </w:p>
    <w:bookmarkStart w:id="13" w:name="page14"/>
    <w:bookmarkEnd w:id="13"/>
    <w:p>
      <w:pPr>
        <w:spacing w:after="0" w:line="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market and economic data and such other factors as are available and relevant to the security or the issuer such as its budgetary position and sources, strength and stability of taxes and/or other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held for sale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Loans held for sale totaled $168.4 million and $256.3 million at June 30, 2017 and December 31, 2016, respectively. The amount of loans held for sale decreased from December 31, 2016, due to lower origination volumes in 2017. Loans held for sale generate net interest income until loans are delivered to investors, at which point mortgage revenue will be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mortgage revenue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7"/>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8"/>
              </w:rPr>
              <w:t>Six Months Ended 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48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466"/>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4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Premiums received on sales of mortgage</w:t>
            </w: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including fair value adjustments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8,470</w:t>
            </w:r>
          </w:p>
        </w:tc>
        <w:tc>
          <w:tcPr>
            <w:tcW w:w="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22,216</w:t>
            </w:r>
          </w:p>
        </w:tc>
        <w:tc>
          <w:tcPr>
            <w:tcW w:w="7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Less direct origination costs</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4"/>
          </w:tcPr>
          <w:p>
            <w:pPr>
              <w:jc w:val="right"/>
              <w:ind w:right="110"/>
              <w:spacing w:after="0"/>
              <w:rPr>
                <w:sz w:val="20"/>
                <w:szCs w:val="20"/>
                <w:color w:val="auto"/>
              </w:rPr>
            </w:pPr>
            <w:r>
              <w:rPr>
                <w:rFonts w:ascii="Arial" w:cs="Arial" w:eastAsia="Arial" w:hAnsi="Arial"/>
                <w:sz w:val="18"/>
                <w:szCs w:val="18"/>
                <w:color w:val="auto"/>
              </w:rPr>
              <w:t>(5,501)</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4"/>
          </w:tcPr>
          <w:p>
            <w:pPr>
              <w:jc w:val="right"/>
              <w:ind w:right="112"/>
              <w:spacing w:after="0"/>
              <w:rPr>
                <w:sz w:val="20"/>
                <w:szCs w:val="20"/>
                <w:color w:val="auto"/>
              </w:rPr>
            </w:pPr>
            <w:r>
              <w:rPr>
                <w:rFonts w:ascii="Arial" w:cs="Arial" w:eastAsia="Arial" w:hAnsi="Arial"/>
                <w:sz w:val="18"/>
                <w:szCs w:val="18"/>
                <w:color w:val="auto"/>
              </w:rPr>
              <w:t>(18,035)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(5,754)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provisions to liability for loans sold</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Mortgage servicing revenues</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Portfolio loans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6"/>
          </w:tcPr>
          <w:p>
            <w:pPr>
              <w:spacing w:after="0"/>
              <w:rPr>
                <w:sz w:val="20"/>
                <w:szCs w:val="20"/>
                <w:color w:val="auto"/>
              </w:rPr>
            </w:pPr>
            <w:r>
              <w:rPr>
                <w:rFonts w:ascii="Arial" w:cs="Arial" w:eastAsia="Arial" w:hAnsi="Arial"/>
                <w:sz w:val="18"/>
                <w:szCs w:val="18"/>
                <w:color w:val="auto"/>
              </w:rPr>
              <w:t xml:space="preserve">Distributions of portfolio loans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958,639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959,888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1,687,710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1,654,164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181,912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182,078</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Retail real estate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1,080,051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1,069,060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12,152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13,710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Portfolio loans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Borders>
              <w:top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3,920,464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3,878,900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49,201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47,795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3,871,263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3,831,105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Net deferred loan origination costs included in the table above were $3.6 million as of June 30, 2017 and $2.5 million as of December 31, 2016. Net accretable purchase accounting adjustments included in the table above reduced loans by $9.4 million as of June 30, 2017 and $12.7 million as of December 31, 2016.</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might be originated outside of these areas, but such loans are generally residential mortgage loans originated for sale in the secondary market and reported in loans held for sale balances or to existing customers of the Bank.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reviews and approves the Company’s lending policies and procedures on a routine basis.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addition to the lending relationship. The integrity and character of the borrower are significant factors in the Company’s loan underwriting decisions. As a part of underwriting, tangible positive or negative evidence of the borrower’s integrity and character are sought out.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w:t>
      </w:r>
    </w:p>
    <w:p>
      <w:pPr>
        <w:sectPr>
          <w:pgSz w:w="11900" w:h="16854" w:orient="portrait"/>
          <w:cols w:equalWidth="0" w:num="1">
            <w:col w:w="11420"/>
          </w:cols>
          <w:pgMar w:left="240" w:top="125"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reviews are presented to management and the audit committee at least quarterly.</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Annual Report on Form 10-K for the year ended December 31, 2016. The significant majority of the Company’s portfolio lending activity occurs in its Illinois and Missouri markets, with the remainder in the Indiana and Florida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48" w:lineRule="exact"/>
        <w:rPr>
          <w:sz w:val="20"/>
          <w:szCs w:val="20"/>
          <w:color w:val="auto"/>
        </w:rPr>
      </w:pPr>
    </w:p>
    <w:p>
      <w:pPr>
        <w:jc w:val="both"/>
        <w:ind w:left="680" w:right="620" w:hanging="322"/>
        <w:spacing w:after="0" w:line="264"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that are all considered strong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exceed industry standards and loan policy guidelines and loans that exhibit acceptable credit fundamentals.</w:t>
      </w:r>
    </w:p>
    <w:p>
      <w:pPr>
        <w:spacing w:after="0" w:line="181" w:lineRule="exact"/>
        <w:rPr>
          <w:rFonts w:ascii="Arial" w:cs="Arial" w:eastAsia="Arial" w:hAnsi="Arial"/>
          <w:sz w:val="18"/>
          <w:szCs w:val="18"/>
          <w:color w:val="auto"/>
        </w:rPr>
      </w:pPr>
    </w:p>
    <w:p>
      <w:pPr>
        <w:ind w:left="680" w:right="320" w:hanging="322"/>
        <w:spacing w:after="0" w:line="277"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560" w:hanging="322"/>
        <w:spacing w:after="0" w:line="277"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60" w:hanging="322"/>
        <w:spacing w:after="0" w:line="286" w:lineRule="auto"/>
        <w:tabs>
          <w:tab w:leader="none" w:pos="64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 for which the accrual of interest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65" w:lineRule="exact"/>
        <w:rPr>
          <w:rFonts w:ascii="Arial" w:cs="Arial" w:eastAsia="Arial" w:hAnsi="Arial"/>
          <w:sz w:val="17"/>
          <w:szCs w:val="17"/>
          <w:color w:val="auto"/>
        </w:rPr>
      </w:pPr>
    </w:p>
    <w:p>
      <w:pPr>
        <w:ind w:left="680" w:right="140" w:hanging="322"/>
        <w:spacing w:after="0" w:line="264"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This category includes “Doubtful”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Portfolio loans in the highest grades, represented by the pass and watch categories, totaled $3.79 billion at June 30, 2017, compared to $3.72 billion December 31, 2016. Portfolio loans in the lowest grades, represented by the special mention, substandard and doubtful categories, totaled $135.8 million at June 30, 2017, compared to $165.5 million at December 31,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non-posted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0"/>
                <w:szCs w:val="10"/>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Special</w:t>
            </w:r>
          </w:p>
        </w:tc>
        <w:tc>
          <w:tcPr>
            <w:tcW w:w="140" w:type="dxa"/>
            <w:vAlign w:val="bottom"/>
          </w:tcPr>
          <w:p>
            <w:pPr>
              <w:spacing w:after="0"/>
              <w:rPr>
                <w:sz w:val="10"/>
                <w:szCs w:val="10"/>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Mention</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768,845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1,526,365</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112,921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15,813</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29,958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133,371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Retail real estate</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1,065,428</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3,514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12,154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3,506,163</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50,330</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0"/>
                <w:szCs w:val="10"/>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Special</w:t>
            </w:r>
          </w:p>
        </w:tc>
        <w:tc>
          <w:tcPr>
            <w:tcW w:w="140" w:type="dxa"/>
            <w:vAlign w:val="bottom"/>
          </w:tcPr>
          <w:p>
            <w:pPr>
              <w:spacing w:after="0"/>
              <w:rPr>
                <w:sz w:val="10"/>
                <w:szCs w:val="10"/>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Mention</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1,507,513</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69,145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40,775</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35,385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134,574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8,033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Retail real estate</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1,050,671</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6,586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2,793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13,691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3,532,612</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78,554</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65,478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of the principal and interest amounts contractually due are brought current and future payments are reasonably assured.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15" w:name="page16"/>
    <w:bookmarkEnd w:id="15"/>
    <w:tbl>
      <w:tblPr>
        <w:tblLayout w:type="fixed"/>
        <w:tblInd w:w="6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2"/>
              </w:rPr>
              <w:t>June 30, 2017</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30-59 Days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2"/>
              </w:rPr>
              <w:t>60-89 Days</w:t>
            </w:r>
          </w:p>
        </w:tc>
        <w:tc>
          <w:tcPr>
            <w:tcW w:w="320" w:type="dxa"/>
            <w:vAlign w:val="bottom"/>
          </w:tcPr>
          <w:p>
            <w:pPr>
              <w:spacing w:after="0"/>
              <w:rPr>
                <w:sz w:val="12"/>
                <w:szCs w:val="12"/>
                <w:color w:val="auto"/>
              </w:rPr>
            </w:pPr>
          </w:p>
        </w:tc>
        <w:tc>
          <w:tcPr>
            <w:tcW w:w="104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90+ Days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606</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1,229</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3"/>
              </w:rPr>
              <w:t>Non-accrual</w:t>
            </w:r>
          </w:p>
        </w:tc>
        <w:tc>
          <w:tcPr>
            <w:tcW w:w="120" w:type="dxa"/>
            <w:vAlign w:val="bottom"/>
            <w:gridSpan w:val="2"/>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30-59 Days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2"/>
              </w:rPr>
              <w:t>60-89 Days</w:t>
            </w:r>
          </w:p>
        </w:tc>
        <w:tc>
          <w:tcPr>
            <w:tcW w:w="320" w:type="dxa"/>
            <w:vAlign w:val="bottom"/>
          </w:tcPr>
          <w:p>
            <w:pPr>
              <w:spacing w:after="0"/>
              <w:rPr>
                <w:sz w:val="12"/>
                <w:szCs w:val="12"/>
                <w:color w:val="auto"/>
              </w:rPr>
            </w:pPr>
          </w:p>
        </w:tc>
        <w:tc>
          <w:tcPr>
            <w:tcW w:w="104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90+ Days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reviewed by the Company for potential impairment.</w:t>
      </w:r>
    </w:p>
    <w:p>
      <w:pPr>
        <w:spacing w:after="0" w:line="16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Impairment is measured on a loan-by-loan basis for commercial and construction loans based on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unless such loans are the subject of a restructuring agreement.</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gross interest income that would have been recorded in the three and six months ended June 30, 2017 if impaired loans had been current in accordance with their original terms was $0.2 million and $0.5 million, respectively. The amount of interest collected on those loans and recognized on a cash basis that was included in interest income was insignificant for the three and six months ended June 30, 2017.</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exceeds 90 days past due or is placed on non-accrual status, it is classified as non-performing. A summary of restructured loans as of June 30, 2017 and December 31, 2016 is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2016</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Restructured loans:</w:t>
            </w:r>
          </w:p>
        </w:tc>
        <w:tc>
          <w:tcPr>
            <w:tcW w:w="1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11,730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10,593</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Included in non-performing loans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r>
      <w:tr>
        <w:trPr>
          <w:trHeight w:val="210"/>
        </w:trPr>
        <w:tc>
          <w:tcPr>
            <w:tcW w:w="4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Performing loans classified as TDRs during the three and six months ended June 30, 2017 included one commercial modification for short-term principal payment relief, with a recorded investment of $1.6 million and one retail real estate modification for short-term interest rate relief, with a recorded investment of $0.3 million.</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Performing loans classified as TDRs during the three months ended June 30, 2016 included four retail real estate modifications for short-term principal payment relief, with a recorded investment of $0.1 million. Performing loans classified as TDRs during the six months ended June 30, 2016 included three commercial real estate modifications for short-term principal payment relief, with a recorded investment of $0.3 million and six retail real estate modifications for short-term principal payment relief, with a recorded investment of $0.4 million.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gross interest income that would have been recorded in the three and six months ended June 30, 2017 and 2016 if performing TDRs had been performing in accordance with their original terms compared with their modified terms was insignificant.</w:t>
      </w:r>
    </w:p>
    <w:p>
      <w:pPr>
        <w:sectPr>
          <w:pgSz w:w="11900" w:h="16838" w:orient="portrait"/>
          <w:cols w:equalWidth="0" w:num="1">
            <w:col w:w="11420"/>
          </w:cols>
          <w:pgMar w:left="240" w:top="118" w:right="239" w:bottom="58" w:gutter="0" w:footer="0" w:header="0"/>
        </w:sectPr>
      </w:pPr>
    </w:p>
    <w:bookmarkStart w:id="16" w:name="page17"/>
    <w:bookmarkEnd w:id="16"/>
    <w:p>
      <w:pPr>
        <w:ind w:right="180"/>
        <w:spacing w:after="0" w:line="342" w:lineRule="auto"/>
        <w:rPr>
          <w:sz w:val="20"/>
          <w:szCs w:val="20"/>
          <w:color w:val="auto"/>
        </w:rPr>
      </w:pPr>
      <w:r>
        <w:rPr>
          <w:rFonts w:ascii="Arial" w:cs="Arial" w:eastAsia="Arial" w:hAnsi="Arial"/>
          <w:sz w:val="16"/>
          <w:szCs w:val="16"/>
          <w:color w:val="auto"/>
        </w:rPr>
        <w:t>There were no TDRs that were entered into during the last twelve months that were subsequently classified as non-performing and had payment defaults (a default occurs when a loan is 90 days or more past due or transferred to non-accrual) during the three and six months ended June 30, 2017.</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TDRs that were entered into during the prior twelve months that subsequently were classified as non-performing and had payment defaults during the three months ended June 30, 2016 consisted of three retail real estate modifications totaling $0.2 million. TDRs that were entered into during the prior twelve months that were subsequently classified as non-performing and had payment defaults during the six months ended June 30, 2016 consisted of four retail real estate modifications totaling $0.2 million and one retail other modification totaling $0.1 million.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following tables provide details of impaired loans, segregated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Recorded</w:t>
            </w: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with No</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with</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15,586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11,398</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2,127</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13,525</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12,905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11,249</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11,620</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36,831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Recorded</w:t>
            </w: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with No</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with</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12,922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9,036</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3,118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12,154</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1,778</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13,112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11,733</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12,118</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allowance for loan losses represents an estimate of the amount of probable losses believed to be inherent in the Company’s loan portfolio at the Consolidated Balance Sheet date. The allowance for loan losses is calculated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June 30, 2017 and December 31, 2016.</w:t>
      </w:r>
    </w:p>
    <w:p>
      <w:pPr>
        <w:spacing w:after="0" w:line="17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ratios component is an annualized loss rate calculated using a sum-of-years digits weighted 20-quarter historical average.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special mention and substandard portfolios. The substandard portfolio has an additional allocation of 3.00% placed on such loans, which is an estimate of the additional loss inherent in these loan grades based upon a review of overall historical charge-offs. As of June 30, 2017, the Company believed this reserve remained adequate. Special mention loans have an additional allocation of 1.00% placed on such loans, which is an estimate of the additional loss inherent in these loan grades. As of June 30, 2017, the Company believed this reserve remained adequate.</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Factors; (vi) Impact of Competition, Legal &amp; Regulatory Issues; (vii) Nature and Volume of Loan</w:t>
      </w:r>
    </w:p>
    <w:p>
      <w:pPr>
        <w:sectPr>
          <w:pgSz w:w="11900" w:h="16838" w:orient="portrait"/>
          <w:cols w:equalWidth="0" w:num="1">
            <w:col w:w="11360"/>
          </w:cols>
          <w:pgMar w:left="240" w:top="125" w:right="299" w:bottom="0" w:gutter="0" w:footer="0" w:header="0"/>
        </w:sectPr>
      </w:pPr>
    </w:p>
    <w:bookmarkStart w:id="17" w:name="page18"/>
    <w:bookmarkEnd w:id="17"/>
    <w:p>
      <w:pPr>
        <w:ind w:right="480"/>
        <w:spacing w:after="0" w:line="308" w:lineRule="auto"/>
        <w:rPr>
          <w:sz w:val="20"/>
          <w:szCs w:val="20"/>
          <w:color w:val="auto"/>
        </w:rPr>
      </w:pPr>
      <w:r>
        <w:rPr>
          <w:rFonts w:ascii="Arial" w:cs="Arial" w:eastAsia="Arial" w:hAnsi="Arial"/>
          <w:sz w:val="17"/>
          <w:szCs w:val="17"/>
          <w:color w:val="auto"/>
        </w:rPr>
        <w:t>Portfolio; (viii) Concentrations of Credit; (ix) Net Charge-Off Trends; and (x) Non-Accrual, Past Due and Classified Trends. Management evaluates the probable impact from the degree of risk that each one of these components has on the quality of the loan portfolio on a quarterly basis.</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Based on each component’s risk factor, a qualitative adjustment to the reserve may be applied to the appropriate loan categories. During the second quarter of 2017, the Company did not make adjustments to any qualitative factors. The Company will continue to monitor its qualitative factors on a quarterly basis.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 The balance of all acquired loans which did not require a related allowance for loan losses as of June 30, 2017 totaled approximately $789.7 million.</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following tables detail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gridSpan w:val="19"/>
          </w:tcPr>
          <w:p>
            <w:pPr>
              <w:jc w:val="right"/>
              <w:ind w:right="1080"/>
              <w:spacing w:after="0"/>
              <w:rPr>
                <w:sz w:val="20"/>
                <w:szCs w:val="20"/>
                <w:color w:val="auto"/>
              </w:rPr>
            </w:pPr>
            <w:r>
              <w:rPr>
                <w:rFonts w:ascii="Arial" w:cs="Arial" w:eastAsia="Arial" w:hAnsi="Arial"/>
                <w:sz w:val="14"/>
                <w:szCs w:val="14"/>
                <w:b w:val="1"/>
                <w:bCs w:val="1"/>
                <w:color w:val="auto"/>
              </w:rPr>
              <w:t>As of and for the Three Months Ended June 30, 2017</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Retail Real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Retail Other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48,442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1,279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2"/>
              </w:rPr>
              <w:t>As of and for the Six Months Ended June 30, 2017</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Retail Real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Retail Other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47,795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1,059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9"/>
          </w:tcPr>
          <w:p>
            <w:pPr>
              <w:jc w:val="right"/>
              <w:ind w:right="1080"/>
              <w:spacing w:after="0"/>
              <w:rPr>
                <w:sz w:val="20"/>
                <w:szCs w:val="20"/>
                <w:color w:val="auto"/>
              </w:rPr>
            </w:pPr>
            <w:r>
              <w:rPr>
                <w:rFonts w:ascii="Arial" w:cs="Arial" w:eastAsia="Arial" w:hAnsi="Arial"/>
                <w:sz w:val="14"/>
                <w:szCs w:val="14"/>
                <w:b w:val="1"/>
                <w:bCs w:val="1"/>
                <w:color w:val="auto"/>
              </w:rPr>
              <w:t>As of and for the Three Months Ended June 30, 2016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Retail Real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Retail Other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45,171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2,275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6"/>
          </w:tcPr>
          <w:p>
            <w:pPr>
              <w:jc w:val="right"/>
              <w:ind w:right="10"/>
              <w:spacing w:after="0"/>
              <w:rPr>
                <w:sz w:val="20"/>
                <w:szCs w:val="20"/>
                <w:color w:val="auto"/>
              </w:rPr>
            </w:pPr>
            <w:r>
              <w:rPr>
                <w:rFonts w:ascii="Arial" w:cs="Arial" w:eastAsia="Arial" w:hAnsi="Arial"/>
                <w:sz w:val="18"/>
                <w:szCs w:val="18"/>
                <w:color w:val="auto"/>
              </w:rPr>
              <w:t>28</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gridSpan w:val="3"/>
          </w:tcPr>
          <w:p>
            <w:pPr>
              <w:spacing w:after="0"/>
              <w:rPr>
                <w:sz w:val="11"/>
                <w:szCs w:val="11"/>
                <w:color w:val="auto"/>
              </w:rPr>
            </w:pPr>
          </w:p>
        </w:tc>
        <w:tc>
          <w:tcPr>
            <w:tcW w:w="1120" w:type="dxa"/>
            <w:vAlign w:val="bottom"/>
            <w:tcBorders>
              <w:bottom w:val="single" w:sz="8" w:color="808080"/>
            </w:tcBorders>
            <w:gridSpan w:val="3"/>
          </w:tcPr>
          <w:p>
            <w:pPr>
              <w:spacing w:after="0"/>
              <w:rPr>
                <w:sz w:val="11"/>
                <w:szCs w:val="11"/>
                <w:color w:val="auto"/>
              </w:rPr>
            </w:pPr>
          </w:p>
        </w:tc>
        <w:tc>
          <w:tcPr>
            <w:tcW w:w="1360" w:type="dxa"/>
            <w:vAlign w:val="bottom"/>
            <w:tcBorders>
              <w:bottom w:val="single" w:sz="8" w:color="808080"/>
            </w:tcBorders>
            <w:gridSpan w:val="5"/>
          </w:tcPr>
          <w:p>
            <w:pPr>
              <w:spacing w:after="0"/>
              <w:rPr>
                <w:sz w:val="11"/>
                <w:szCs w:val="11"/>
                <w:color w:val="auto"/>
              </w:rPr>
            </w:pPr>
          </w:p>
        </w:tc>
        <w:tc>
          <w:tcPr>
            <w:tcW w:w="400" w:type="dxa"/>
            <w:vAlign w:val="bottom"/>
            <w:tcBorders>
              <w:bottom w:val="single" w:sz="8" w:color="808080"/>
            </w:tcBorders>
            <w:gridSpan w:val="4"/>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6"/>
          </w:tcPr>
          <w:p>
            <w:pPr>
              <w:jc w:val="right"/>
              <w:ind w:right="25"/>
              <w:spacing w:after="0"/>
              <w:rPr>
                <w:sz w:val="20"/>
                <w:szCs w:val="20"/>
                <w:color w:val="auto"/>
              </w:rPr>
            </w:pPr>
            <w:r>
              <w:rPr>
                <w:rFonts w:ascii="Arial" w:cs="Arial" w:eastAsia="Arial" w:hAnsi="Arial"/>
                <w:sz w:val="14"/>
                <w:szCs w:val="14"/>
                <w:b w:val="1"/>
                <w:bCs w:val="1"/>
                <w:color w:val="auto"/>
              </w:rPr>
              <w:t>As of and for the Six Months Ended June 30, 2016</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Real Estate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Retail Real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3"/>
              </w:rPr>
              <w:t>Retail Other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Real Estate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Construction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291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47,487</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45,358</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-1407795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June 30, 2017</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Amount allocated to:</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individuallyevaluated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11,434</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13,541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12,928</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49,201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collectivelyevaluated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947,457</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1,674,185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181,456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1,068,431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958,639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1,687,710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1,080,051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December 31,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rPr>
          <w:sz w:val="20"/>
          <w:szCs w:val="20"/>
          <w:color w:val="auto"/>
        </w:rPr>
      </w:pPr>
      <w:r>
        <w:rPr>
          <w:rFonts w:ascii="Arial" w:cs="Arial" w:eastAsia="Arial" w:hAnsi="Arial"/>
          <w:sz w:val="16"/>
          <w:szCs w:val="16"/>
          <w:color w:val="auto"/>
        </w:rPr>
        <w:t>Amount allocated to:</w:t>
      </w:r>
    </w:p>
    <w:p>
      <w:pPr>
        <w:sectPr>
          <w:pgSz w:w="11900" w:h="16838" w:orient="portrait"/>
          <w:cols w:equalWidth="0" w:num="1">
            <w:col w:w="11460"/>
          </w:cols>
          <w:pgMar w:left="240" w:top="125" w:right="199" w:bottom="0" w:gutter="0" w:footer="0" w:header="0"/>
          <w:type w:val="continuous"/>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Loans individually evaluated for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11,768</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11,508</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11,648</w:t>
            </w:r>
          </w:p>
        </w:tc>
        <w:tc>
          <w:tcPr>
            <w:tcW w:w="2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947,993</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181,584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1,056,942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3,842,183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959,888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1,069,060</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OREO</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OREO represents properties acquired through foreclosure or other proceedings in settlement of loans and is included in other assets in the accompanying Consolidated Balance Sheets.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due to subsequent declines in fair value less estimated costs to dispose are recorded as necessary. Revenue, expense, gains and losses from the operations of foreclosed assets are included in operations. At June 30, 2017, the Company held $0.4 million in commercial OREO, $0.1 million in residential OREO and an insignificant amount of other repossessed assets. At December 31, 2016, the Company held $2.0 million in commercial OREO, $0.5 million in residential OREO and an insignificant amount of other repossessed assets. At June 30, 2017 the Company had $1.1 million of residential real estate in the process of foreclosure.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6"/>
          </w:tcPr>
          <w:p>
            <w:pPr>
              <w:jc w:val="center"/>
              <w:ind w:right="9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2017</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2,518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Additions, transfers from loans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Additions, fair value from Pulaski acquisition</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Proceeds from sales of OREO</w:t>
            </w:r>
          </w:p>
        </w:tc>
        <w:tc>
          <w:tcPr>
            <w:tcW w:w="2780" w:type="dxa"/>
            <w:vAlign w:val="bottom"/>
            <w:gridSpan w:val="5"/>
          </w:tcPr>
          <w:p>
            <w:pPr>
              <w:jc w:val="right"/>
              <w:ind w:right="130"/>
              <w:spacing w:after="0"/>
              <w:rPr>
                <w:sz w:val="20"/>
                <w:szCs w:val="20"/>
                <w:color w:val="auto"/>
              </w:rPr>
            </w:pPr>
            <w:r>
              <w:rPr>
                <w:rFonts w:ascii="Arial" w:cs="Arial" w:eastAsia="Arial" w:hAnsi="Arial"/>
                <w:sz w:val="18"/>
                <w:szCs w:val="18"/>
                <w:color w:val="auto"/>
              </w:rPr>
              <w:t>(3,765)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Gain on sales of OREO</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Valuation allowance for OREO</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Deposits</w:t>
            </w:r>
          </w:p>
        </w:tc>
        <w:tc>
          <w:tcPr>
            <w:tcW w:w="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18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1,105,041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Interest-bearing transaction deposits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1,016,151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1,032,928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 and money market deposits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1,551,374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1,421,037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721,646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786,200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4,394,212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4,374,298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Interest-bearing transaction deposits included $28.1 million and $36.9 million of reciprocal brokered transaction deposits at June 30, 2017 and December 31, 2016, respectively. Savings deposits included $15.0 million and $22.2 million of reciprocal brokered deposits at June 30, 2017 and December 31, 2016, respectively.</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aggregate amount of time deposits with a minimum denomination of $100,000 was approximately $317.0 million and $350.7 million at June 30, 2017 and December 31, 2016, respectively. The aggregate amount of time deposits with a minimum denomination that meets or exceeds the Federal Deposit Insurance Corporation insurance limit of $250,000 was approximately $75.3 million and $70.7 million at June 30, 2017 and December 31, 2016, respectively. There were no national deposits at June 30, 2017. National deposits of $0.1 million were included in the balance of time deposits as of December 31, 2016. The Company had reciprocal brokered time deposits of $73.8 million and $93.4 million at June 30, 2017 and December 31, 2016, respectively, included in the balance of time deposits. Further, the Company had brokered deposits of $5.0 million at June 30, 2017 and December 31, 2016, which are included in the balance of time deposits.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w w:val="96"/>
              </w:rPr>
              <w:t xml:space="preserve">As of June 30, 2017, the scheduled maturities of time deposits are as follows </w:t>
            </w:r>
            <w:r>
              <w:rPr>
                <w:rFonts w:ascii="Arial" w:cs="Arial" w:eastAsia="Arial" w:hAnsi="Arial"/>
                <w:sz w:val="18"/>
                <w:szCs w:val="18"/>
                <w:i w:val="1"/>
                <w:iCs w:val="1"/>
                <w:color w:val="auto"/>
                <w:w w:val="96"/>
              </w:rPr>
              <w:t>(dollars in thousands)</w:t>
            </w:r>
            <w:r>
              <w:rPr>
                <w:rFonts w:ascii="Arial" w:cs="Arial" w:eastAsia="Arial" w:hAnsi="Arial"/>
                <w:sz w:val="18"/>
                <w:szCs w:val="18"/>
                <w:color w:val="auto"/>
                <w:w w:val="96"/>
              </w:rPr>
              <w:t>:</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July 1, 2017 — June 30, 2018</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470,284</w:t>
            </w:r>
          </w:p>
        </w:tc>
      </w:tr>
      <w:tr>
        <w:trPr>
          <w:trHeight w:val="216"/>
        </w:trPr>
        <w:tc>
          <w:tcPr>
            <w:tcW w:w="13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July 1, 2018 — June 30, 2019</w:t>
            </w:r>
          </w:p>
        </w:tc>
        <w:tc>
          <w:tcPr>
            <w:tcW w:w="9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169,457</w:t>
            </w:r>
          </w:p>
        </w:tc>
      </w:tr>
      <w:tr>
        <w:trPr>
          <w:trHeight w:val="216"/>
        </w:trPr>
        <w:tc>
          <w:tcPr>
            <w:tcW w:w="13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July 1, 2019 — June 30, 2020</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41,769</w:t>
            </w:r>
          </w:p>
        </w:tc>
      </w:tr>
      <w:tr>
        <w:trPr>
          <w:trHeight w:val="226"/>
        </w:trPr>
        <w:tc>
          <w:tcPr>
            <w:tcW w:w="1300" w:type="dxa"/>
            <w:vAlign w:val="bottom"/>
          </w:tcPr>
          <w:p>
            <w:pPr>
              <w:spacing w:after="0"/>
              <w:rPr>
                <w:sz w:val="19"/>
                <w:szCs w:val="19"/>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July 1, 2020 — June 30, 2021</w:t>
            </w:r>
          </w:p>
        </w:tc>
        <w:tc>
          <w:tcPr>
            <w:tcW w:w="9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16,689</w:t>
            </w:r>
          </w:p>
        </w:tc>
      </w:tr>
    </w:tbl>
    <w:p>
      <w:pPr>
        <w:sectPr>
          <w:pgSz w:w="11900" w:h="16900" w:orient="portrait"/>
          <w:cols w:equalWidth="0" w:num="1">
            <w:col w:w="11460"/>
          </w:cols>
          <w:pgMar w:left="240" w:top="125" w:right="199" w:bottom="0" w:gutter="0" w:footer="0" w:header="0"/>
        </w:sectPr>
      </w:pPr>
    </w:p>
    <w:bookmarkStart w:id="19" w:name="page20"/>
    <w:bookmarkEnd w:id="19"/>
    <w:p>
      <w:pPr>
        <w:spacing w:after="0" w:line="6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2021 — June 30, 2022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23,354</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0"/>
        </w:trPr>
        <w:tc>
          <w:tcPr>
            <w:tcW w:w="68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May 5, 2017, the Company entered into an amendment to a credit agreement with a correspondent bank to extend a revolving loan facility to the Company in the maximum principal amount of $40.0 million. The loan has an annual interest rate of 2.50% plus the one-month LIBOR rate and has a maturity date of April 30, 2018. The loan also bears a non-usage fee calculated based on the average daily principal balance of the loan outstanding during the prior fiscal quarter. The Company had no outstanding amount on June 30, 2017 or December 31, 2016.</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sets forth the distribution of securities sold under agreements to repurchase and short-term borrowings and weighted average interest rates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196"/>
        </w:trPr>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Securities sold under agreements to repurchase</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178,597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189,157</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194,191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216,293</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171,283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181,474</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r>
      <w:tr>
        <w:trPr>
          <w:trHeight w:val="216"/>
        </w:trPr>
        <w:tc>
          <w:tcPr>
            <w:tcW w:w="7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236,700</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11,188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96,698</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r>
      <w:tr>
        <w:trPr>
          <w:trHeight w:val="216"/>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borrowings, revolving loan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2,596</w:t>
            </w: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Weighted average interest rate during period(1)(2)</w:t>
            </w:r>
          </w:p>
        </w:tc>
        <w:tc>
          <w:tcPr>
            <w:tcW w:w="2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880" w:right="480" w:hanging="232"/>
        <w:spacing w:after="0" w:line="258" w:lineRule="auto"/>
        <w:rPr>
          <w:sz w:val="20"/>
          <w:szCs w:val="20"/>
          <w:color w:val="auto"/>
        </w:rPr>
      </w:pPr>
      <w:r>
        <w:rPr>
          <w:rFonts w:ascii="Arial" w:cs="Arial" w:eastAsia="Arial" w:hAnsi="Arial"/>
          <w:sz w:val="18"/>
          <w:szCs w:val="18"/>
          <w:color w:val="auto"/>
        </w:rPr>
        <w:t>(1)The weighted average interest rate is computed by dividing total annualized interest for the year-to-date period by the average daily balance outstanding.</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(2)Includes interest and non-usage fee.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FHLB, ranging in original maturity from nineteen months to ten years,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80,000</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collateralized by FHLB deposits, residential and commercial real estate loans and FHLB stock.</w:t>
            </w:r>
          </w:p>
        </w:tc>
        <w:tc>
          <w:tcPr>
            <w:tcW w:w="26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June 30, 2017, funds borrowed from the FHLB, listed above, consisted of variable-rate notes maturing through September 2024, with interest rates ranging from 0.70% to 0.95%. The weighted average rate on these long-term advances was 0.77% as of June 30, 2017. As of December 31, 2016, funds borrowed from the FHLB, listed above, consisted of variable-rate notes maturing through September 2024, with interest rates ranging from 0.35% to 0.54%. The weighted average rate on the long-term advances was 0.41% as of December 31, 2016.</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 fixed-term and thereafter each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$0.6 million and $1.0 million, respectively, at June 30, 2017. The Company used the net proceeds from the offering to finance a portion of the consideration for its acquisition of First Community and to redeem a portion of its subordinated debentures in July 2017, and intends to use a portion to finance the planned acquisition of Mid Illinois, with the remaining proceeds to be used for general corporate purposes.</w:t>
      </w:r>
    </w:p>
    <w:p>
      <w:pPr>
        <w:sectPr>
          <w:pgSz w:w="11900" w:h="16903" w:orient="portrait"/>
          <w:cols w:equalWidth="0" w:num="1">
            <w:col w:w="11400"/>
          </w:cols>
          <w:pgMar w:left="240" w:top="140" w:right="25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Junior Subordinated Debt Owed to Unconsolidated Trusts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the Company acquired similar statutory trusts maintained by Pulaski, which were adjusted to fair value. The Company had $70.9 million of junior subordinated debt owed to unconsolidated trusts at June 30, 2017 and December 31, 2016.</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 The Company does not expect to exercise this right.</w:t>
      </w:r>
    </w:p>
    <w:p>
      <w:pPr>
        <w:spacing w:after="0" w:line="16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June 30, 2017, 100% of the trust preferred securities qualified as Tier 1 capital under the final rule adopted in March 2005.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16,479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31,649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Dilutive effect of outstanding options, warrants and restricted stock units as determined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by the application of the treasury stock method</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common shares outstanding, as adjusted for diluted earnings per share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38,752</w:t>
            </w:r>
          </w:p>
        </w:tc>
        <w:tc>
          <w:tcPr>
            <w:tcW w:w="2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35,292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38,746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32,102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Diluted earnings per common share are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June 30, 2017, 10,850 outstanding options, 128,622 restricted stock units and 191,278 warrants were anti-dilutive and excluded from the calculation of common stock equivalents. At June 30, 2016, 10,850 outstanding options and 191,278 warrants were anti-dilutive and excluded from the calculation of common stock equivalents.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requisite service periods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Company’s 2010 Equity Incentive Plan, the Company is allowed, but not required, to source stock option exercises and grants of RSUs and DSUs from its inventory of treasury stock. As of June 30, 2017, the Company held 621,041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2015, the Company purchased 333,333 shares under this repurchase plan. At June 30, 2017 the Company had 333,334 shares that may still be purchased under the plan.</w:t>
      </w:r>
    </w:p>
    <w:p>
      <w:pPr>
        <w:sectPr>
          <w:pgSz w:w="11900" w:h="16838" w:orient="portrait"/>
          <w:cols w:equalWidth="0" w:num="1">
            <w:col w:w="11420"/>
          </w:cols>
          <w:pgMar w:left="240" w:top="337" w:right="239" w:bottom="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six months ended June 30, 2017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10.90</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192,913</w:t>
            </w:r>
          </w:p>
        </w:tc>
        <w:tc>
          <w:tcPr>
            <w:tcW w:w="2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60" w:type="dxa"/>
            <w:vAlign w:val="bottom"/>
          </w:tcPr>
          <w:p>
            <w:pPr>
              <w:spacing w:after="0"/>
              <w:rPr>
                <w:sz w:val="21"/>
                <w:szCs w:val="21"/>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7"/>
        </w:trPr>
        <w:tc>
          <w:tcPr>
            <w:tcW w:w="356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end of period</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192,913</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15.49</w:t>
            </w:r>
          </w:p>
        </w:tc>
        <w:tc>
          <w:tcPr>
            <w:tcW w:w="26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did not record any stock option compensation expense for the three and six months ended June 30, 2017 or 2016. As of June 30, 2017, the Company had no unrecognized stock option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six months ended June 30, 2017, is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140,026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30.36</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29.78</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(27,917)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14.60</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(18,245)</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20.38</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664,960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17,926</w:t>
            </w:r>
          </w:p>
        </w:tc>
        <w:tc>
          <w:tcPr>
            <w:tcW w:w="2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664,960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21.21</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94,592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Dividends related to the converted units from Pulaski are accrued and will be paid in cash upon vesting. All other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25, 2017, under the terms of the 2010 Equity Incentive Plan, the Company granted 11,404 RSUs to a member of management. As the stock price on the grant date of January 25, 2017 was $30.69, total compensation cost to be recognized is $0.4 million. This cost will be recognized over a period of five years. Subsequent to the requisite service period, the award will vest 100%.</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June 13, 2017, under the terms of the 2010 Equity Incentive Plan, the Company granted 128,622 RSUs to executives and members of management. As the stock price on the grant date of June 13, 2017 was $30.33, total compensation cost to be recognized is $3.9 million. This cost will be recognized over a period of five years. Subsequent to the requisite service period, the awards will vest 100%.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$0.6 million and $0.4 million of compensation expense related to non-vested stock units for the three months ended June 30, 2017 and 2016, respectively. The Company recognized $1.1 million and $0.8 million of compensation expense related to non-vested stock units for the six months ended June 30, 2017 and 2016, respectively. As of June 30, 2017, there was $8.8 million of total unrecognized compensation cost related to these non-vested stock units. This cost is expected to be recognized over a period of 4.0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the Company was not under examination by any tax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ectPr>
          <w:pgSz w:w="11900" w:h="16838" w:orient="portrait"/>
          <w:cols w:equalWidth="0" w:num="1">
            <w:col w:w="11380"/>
          </w:cols>
          <w:pgMar w:left="240" w:top="341" w:right="279" w:bottom="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June 30, 2017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instruments whose contract amounts represent credit risk:</w:t>
            </w:r>
          </w:p>
        </w:tc>
        <w:tc>
          <w:tcPr>
            <w:tcW w:w="1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953,244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875,077</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June 30, 2017 and December 31, 2016, no amounts were recorded as liabilities for the Company’s potential obligations under these guarantees.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will sign contracts for construction projects relating to the Company’s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Capital</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$30.0 million on October 21, 2016. The Company expects to seek regulatory approval for additional capital distributions from Busey Bank in future periods.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and Busey Bank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the bank to maintain minimum dollar amounts and ratios of such to risk weighted assets (as defined in the regulations and set forth in the table below) of total capital, Tier 1 capital and Common Equity Tier 1 capital, and for the bank, Tier 1 capital to average assets. Failure to meet minimum capital requirements may cause regulatory bodies to initiate certain discretionary and/or mandatory actions that, if undertaken, could have a direct material effect on our financial statements. The Company, as a financial holding company, is required to be “well capitalized” in the capital categories shown in the table below. As of June 30, 2017, the Company and Busey Bank met all capital adequacy requirements to which they were subject, including the guidelines to be considered “well capitalized.”</w:t>
      </w:r>
    </w:p>
    <w:p>
      <w:pPr>
        <w:spacing w:after="0" w:line="1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July 2013, the U.S. federal banking authorities approved the implementation of the Basel III Rule required by the Dodd-Frank Act. The Basel III Rule is applicable to all U.S. banks that are subject to minimum capital requirements, as well as to bank and savings and loan holding companies other than “small bank holding companies” (generally non-public bank holding companies with consolidated assets of less than $1.0 billion). The Basel III Rule not only increased most of the required minimum regulatory capital ratios, but they also introduced a new Common Equity Tier 1 Capital ratio and the concept of a capital conservation buffer.</w:t>
      </w:r>
    </w:p>
    <w:p>
      <w:pPr>
        <w:spacing w:after="0" w:line="18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Basel III Rule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 is being fully implemented.</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Basel III Rule also permitted banking organizations with less than $15.0 billion in assets to retain, through a one-time election, the past treatment for accumulated other comprehensive income, which did not affect regulatory capital. First Busey and Busey Bank made this election in the first quarter of 2015 to avoid variations in the level of their capital depending on fluctuations in the fair value of their securities portfolio. The Basel III Rule maintained the</w:t>
      </w:r>
    </w:p>
    <w:p>
      <w:pPr>
        <w:sectPr>
          <w:pgSz w:w="11900" w:h="16838" w:orient="portrait"/>
          <w:cols w:equalWidth="0" w:num="1">
            <w:col w:w="11420"/>
          </w:cols>
          <w:pgMar w:left="240" w:top="341" w:right="239" w:bottom="0" w:gutter="0" w:footer="0" w:header="0"/>
        </w:sectPr>
      </w:pPr>
    </w:p>
    <w:bookmarkStart w:id="23" w:name="page24"/>
    <w:bookmarkEnd w:id="23"/>
    <w:p>
      <w:pPr>
        <w:spacing w:after="0" w:line="46"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table below includes the 1.25% increase as of January 1, 2017 in the minimum capital requirement ratios. The capital buffer requirement effectively raises the minimum required Common Equity Tier 1 Capital ratio to 7.0%, the Tier 1 Capital ratio to 8.5%, and the Total Capital ratio to 10.5% on a fully phased-in basis on January 1, 2019. As of June 30, 2017, the Company and Busey Bank were in compliance with the current phase of the Basel III Rule and management believes that the Company and Busey Bank would meet all capital adequacy requirements under the Basel III Rule on a fully phased-in basis as if such requirements had been in effect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rPr>
              <w:t>Minimum</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Minimum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Actual</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14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Capital Buffer</w:t>
            </w:r>
          </w:p>
        </w:tc>
        <w:tc>
          <w:tcPr>
            <w:tcW w:w="14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June 30, 2017: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gridSpan w:val="4"/>
          </w:tcPr>
          <w:p>
            <w:pPr>
              <w:spacing w:after="0" w:line="176" w:lineRule="exact"/>
              <w:rPr>
                <w:sz w:val="20"/>
                <w:szCs w:val="20"/>
                <w:color w:val="auto"/>
              </w:rPr>
            </w:pPr>
            <w:r>
              <w:rPr>
                <w:rFonts w:ascii="Arial" w:cs="Arial" w:eastAsia="Arial" w:hAnsi="Arial"/>
                <w:sz w:val="18"/>
                <w:szCs w:val="18"/>
                <w:color w:val="auto"/>
                <w:w w:val="95"/>
              </w:rPr>
              <w:t>Total Capital (to Risk Weighted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391,865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423,638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4"/>
          </w:tcPr>
          <w:p>
            <w:pPr>
              <w:ind w:left="160"/>
              <w:spacing w:after="0"/>
              <w:rPr>
                <w:sz w:val="20"/>
                <w:szCs w:val="20"/>
                <w:color w:val="auto"/>
              </w:rPr>
            </w:pPr>
            <w:r>
              <w:rPr>
                <w:rFonts w:ascii="Arial" w:cs="Arial" w:eastAsia="Arial" w:hAnsi="Arial"/>
                <w:sz w:val="18"/>
                <w:szCs w:val="18"/>
                <w:color w:val="auto"/>
              </w:rPr>
              <w:t>Busey Bank</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585,244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388,482</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419,980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0" w:type="dxa"/>
            <w:vAlign w:val="bottom"/>
            <w:gridSpan w:val="4"/>
          </w:tcPr>
          <w:p>
            <w:pPr>
              <w:spacing w:after="0" w:line="176" w:lineRule="exact"/>
              <w:rPr>
                <w:sz w:val="20"/>
                <w:szCs w:val="20"/>
                <w:color w:val="auto"/>
              </w:rPr>
            </w:pPr>
            <w:r>
              <w:rPr>
                <w:rFonts w:ascii="Arial" w:cs="Arial" w:eastAsia="Arial" w:hAnsi="Arial"/>
                <w:sz w:val="18"/>
                <w:szCs w:val="18"/>
                <w:color w:val="auto"/>
                <w:w w:val="93"/>
              </w:rPr>
              <w:t>Tier 1 Capital (to Risk Weighted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576,286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307,138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338,911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4"/>
          </w:tcPr>
          <w:p>
            <w:pPr>
              <w:ind w:left="160"/>
              <w:spacing w:after="0"/>
              <w:rPr>
                <w:sz w:val="20"/>
                <w:szCs w:val="20"/>
                <w:color w:val="auto"/>
              </w:rPr>
            </w:pPr>
            <w:r>
              <w:rPr>
                <w:rFonts w:ascii="Arial" w:cs="Arial" w:eastAsia="Arial" w:hAnsi="Arial"/>
                <w:sz w:val="18"/>
                <w:szCs w:val="18"/>
                <w:color w:val="auto"/>
              </w:rPr>
              <w:t>Busey Bank</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535,904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304,486</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335,984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80" w:type="dxa"/>
            <w:vAlign w:val="bottom"/>
            <w:gridSpan w:val="10"/>
          </w:tcPr>
          <w:p>
            <w:pPr>
              <w:spacing w:after="0" w:line="176" w:lineRule="exact"/>
              <w:rPr>
                <w:sz w:val="20"/>
                <w:szCs w:val="20"/>
                <w:color w:val="auto"/>
              </w:rPr>
            </w:pPr>
            <w:r>
              <w:rPr>
                <w:rFonts w:ascii="Arial" w:cs="Arial" w:eastAsia="Arial" w:hAnsi="Arial"/>
                <w:sz w:val="18"/>
                <w:szCs w:val="18"/>
                <w:color w:val="auto"/>
                <w:w w:val="96"/>
              </w:rPr>
              <w:t>Common Equity Tier 1 Capital (to Risk Weighted Assets)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243,592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275,365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4"/>
          </w:tcPr>
          <w:p>
            <w:pPr>
              <w:ind w:left="160"/>
              <w:spacing w:after="0"/>
              <w:rPr>
                <w:sz w:val="20"/>
                <w:szCs w:val="20"/>
                <w:color w:val="auto"/>
              </w:rPr>
            </w:pPr>
            <w:r>
              <w:rPr>
                <w:rFonts w:ascii="Arial" w:cs="Arial" w:eastAsia="Arial" w:hAnsi="Arial"/>
                <w:sz w:val="18"/>
                <w:szCs w:val="18"/>
                <w:color w:val="auto"/>
              </w:rPr>
              <w:t>Busey Bank</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535,904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241,489</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272,987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0" w:type="dxa"/>
            <w:vAlign w:val="bottom"/>
            <w:gridSpan w:val="4"/>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576,286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210,017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4"/>
          </w:tcPr>
          <w:p>
            <w:pPr>
              <w:ind w:left="160"/>
              <w:spacing w:after="0"/>
              <w:rPr>
                <w:sz w:val="20"/>
                <w:szCs w:val="20"/>
                <w:color w:val="auto"/>
              </w:rPr>
            </w:pPr>
            <w:r>
              <w:rPr>
                <w:rFonts w:ascii="Arial" w:cs="Arial" w:eastAsia="Arial" w:hAnsi="Arial"/>
                <w:sz w:val="18"/>
                <w:szCs w:val="18"/>
                <w:color w:val="auto"/>
              </w:rPr>
              <w:t>Busey Bank</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535,904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209,036</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261,295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Operating Segments and Related Information</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branch network in downstate Illinois, St. Louis, Missouri metropolitan area, southwest Florida and through its branch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7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Goodwill</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9"/>
          </w:tcPr>
          <w:p>
            <w:pPr>
              <w:jc w:val="right"/>
              <w:ind w:right="124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right"/>
              <w:ind w:right="216"/>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right"/>
              <w:ind w:right="70"/>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Banking</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82,128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82,128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5,369,669</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Remittance Processing</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8,992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8,992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11,694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28,351</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102,814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102,814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5,531,367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gridSpan w:val="7"/>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9"/>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Net interest income:</w:t>
            </w:r>
          </w:p>
        </w:tc>
        <w:tc>
          <w:tcPr>
            <w:tcW w:w="1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Banking</w:t>
            </w:r>
          </w:p>
        </w:tc>
        <w:tc>
          <w:tcPr>
            <w:tcW w:w="2120" w:type="dxa"/>
            <w:vAlign w:val="bottom"/>
            <w:tcBorders>
              <w:top w:val="single" w:sz="8" w:color="CCEEFF"/>
            </w:tcBorders>
            <w:gridSpan w:val="2"/>
          </w:tcPr>
          <w:p>
            <w:pPr>
              <w:spacing w:after="0"/>
              <w:rPr>
                <w:sz w:val="18"/>
                <w:szCs w:val="18"/>
                <w:color w:val="auto"/>
              </w:rPr>
            </w:pPr>
          </w:p>
        </w:tc>
        <w:tc>
          <w:tcPr>
            <w:tcW w:w="2160" w:type="dxa"/>
            <w:vAlign w:val="bottom"/>
            <w:tcBorders>
              <w:top w:val="single" w:sz="8" w:color="CCEEFF"/>
            </w:tcBorders>
            <w:gridSpan w:val="2"/>
          </w:tcPr>
          <w:p>
            <w:pPr>
              <w:jc w:val="right"/>
              <w:ind w:right="58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43,365</w:t>
            </w:r>
          </w:p>
        </w:tc>
        <w:tc>
          <w:tcPr>
            <w:tcW w:w="500" w:type="dxa"/>
            <w:vAlign w:val="bottom"/>
            <w:tcBorders>
              <w:top w:val="single" w:sz="8" w:color="CCEEFF"/>
            </w:tcBorders>
            <w:gridSpan w:val="2"/>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jc w:val="right"/>
              <w:ind w:right="150"/>
              <w:spacing w:after="0"/>
              <w:rPr>
                <w:sz w:val="20"/>
                <w:szCs w:val="20"/>
                <w:color w:val="auto"/>
              </w:rPr>
            </w:pPr>
            <w:r>
              <w:rPr>
                <w:rFonts w:ascii="Arial" w:cs="Arial" w:eastAsia="Arial" w:hAnsi="Arial"/>
                <w:sz w:val="18"/>
                <w:szCs w:val="18"/>
                <w:color w:val="auto"/>
                <w:w w:val="90"/>
              </w:rPr>
              <w:t>38,349</w:t>
            </w:r>
          </w:p>
        </w:tc>
        <w:tc>
          <w:tcPr>
            <w:tcW w:w="26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85,907</w:t>
            </w:r>
          </w:p>
        </w:tc>
        <w:tc>
          <w:tcPr>
            <w:tcW w:w="24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66,561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Remittance Processing</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3"/>
          </w:tcPr>
          <w:p>
            <w:pPr>
              <w:ind w:left="60"/>
              <w:spacing w:after="0"/>
              <w:rPr>
                <w:sz w:val="20"/>
                <w:szCs w:val="20"/>
                <w:color w:val="auto"/>
              </w:rPr>
            </w:pPr>
            <w:r>
              <w:rPr>
                <w:rFonts w:ascii="Arial" w:cs="Arial" w:eastAsia="Arial" w:hAnsi="Arial"/>
                <w:sz w:val="18"/>
                <w:szCs w:val="18"/>
                <w:color w:val="auto"/>
              </w:rPr>
              <w:t>Wealth Management</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8"/>
              </w:rPr>
              <w:t>(1,104)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(475)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Total net interest income</w:t>
            </w:r>
          </w:p>
        </w:tc>
        <w:tc>
          <w:tcPr>
            <w:tcW w:w="14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42,366</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37,952</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84,379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65,894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60" w:type="dxa"/>
            <w:vAlign w:val="bottom"/>
            <w:gridSpan w:val="4"/>
          </w:tcPr>
          <w:p>
            <w:pPr>
              <w:spacing w:after="0" w:line="176" w:lineRule="exact"/>
              <w:rPr>
                <w:sz w:val="20"/>
                <w:szCs w:val="20"/>
                <w:color w:val="auto"/>
              </w:rPr>
            </w:pPr>
            <w:r>
              <w:rPr>
                <w:rFonts w:ascii="Arial" w:cs="Arial" w:eastAsia="Arial" w:hAnsi="Arial"/>
                <w:sz w:val="18"/>
                <w:szCs w:val="18"/>
                <w:color w:val="auto"/>
              </w:rPr>
              <w:t>Non-interest income:</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Banking</w:t>
            </w:r>
          </w:p>
        </w:tc>
        <w:tc>
          <w:tcPr>
            <w:tcW w:w="216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10,758</w:t>
            </w:r>
          </w:p>
        </w:tc>
        <w:tc>
          <w:tcPr>
            <w:tcW w:w="5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0"/>
              </w:rPr>
              <w:t>10,930</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21,212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18,720</w:t>
            </w: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6,029</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13,708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(392)</w:t>
            </w: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Non-interest expense:</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Banking</w:t>
            </w:r>
          </w:p>
        </w:tc>
        <w:tc>
          <w:tcPr>
            <w:tcW w:w="2320" w:type="dxa"/>
            <w:vAlign w:val="bottom"/>
            <w:tcBorders>
              <w:top w:val="single" w:sz="8" w:color="CCEEFF"/>
            </w:tcBorders>
            <w:gridSpan w:val="2"/>
          </w:tcPr>
          <w:p>
            <w:pPr>
              <w:spacing w:after="0"/>
              <w:rPr>
                <w:sz w:val="18"/>
                <w:szCs w:val="18"/>
                <w:color w:val="auto"/>
              </w:rPr>
            </w:pPr>
          </w:p>
        </w:tc>
        <w:tc>
          <w:tcPr>
            <w:tcW w:w="1460" w:type="dxa"/>
            <w:vAlign w:val="bottom"/>
            <w:tcBorders>
              <w:top w:val="single" w:sz="8" w:color="CCEEFF"/>
            </w:tcBorders>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29,331</w:t>
            </w:r>
          </w:p>
        </w:tc>
        <w:tc>
          <w:tcPr>
            <w:tcW w:w="500" w:type="dxa"/>
            <w:vAlign w:val="bottom"/>
            <w:tcBorders>
              <w:top w:val="single" w:sz="8" w:color="CCEEFF"/>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28,963</w:t>
            </w:r>
          </w:p>
        </w:tc>
        <w:tc>
          <w:tcPr>
            <w:tcW w:w="580" w:type="dxa"/>
            <w:vAlign w:val="bottom"/>
            <w:tcBorders>
              <w:top w:val="single" w:sz="8" w:color="CCEEFF"/>
            </w:tcBorders>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58,621</w:t>
            </w:r>
          </w:p>
        </w:tc>
        <w:tc>
          <w:tcPr>
            <w:tcW w:w="480" w:type="dxa"/>
            <w:vAlign w:val="bottom"/>
            <w:tcBorders>
              <w:top w:val="single" w:sz="8" w:color="CCEEFF"/>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48,939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7,944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non-interest expense</w:t>
            </w:r>
          </w:p>
        </w:tc>
        <w:tc>
          <w:tcPr>
            <w:tcW w:w="1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36,768</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74,387</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64,036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4"/>
          </w:tcPr>
          <w:p>
            <w:pPr>
              <w:spacing w:after="0" w:line="176" w:lineRule="exact"/>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24,292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19,215</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47,498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1,773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(2,780)</w:t>
            </w: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(6,113)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income before income taxes</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Net income:</w:t>
            </w:r>
          </w:p>
        </w:tc>
        <w:tc>
          <w:tcPr>
            <w:tcW w:w="3000" w:type="dxa"/>
            <w:vAlign w:val="bottom"/>
            <w:tcBorders>
              <w:bottom w:val="single" w:sz="8" w:color="CCEEFF"/>
            </w:tcBorders>
            <w:gridSpan w:val="3"/>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Banking</w:t>
            </w:r>
          </w:p>
        </w:tc>
        <w:tc>
          <w:tcPr>
            <w:tcW w:w="1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15,855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12,423</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30,604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3,523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(1,559)</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4"/>
          </w:tcPr>
          <w:p>
            <w:pPr>
              <w:ind w:left="360"/>
              <w:spacing w:after="0"/>
              <w:rPr>
                <w:sz w:val="20"/>
                <w:szCs w:val="20"/>
                <w:color w:val="auto"/>
              </w:rPr>
            </w:pPr>
            <w:r>
              <w:rPr>
                <w:rFonts w:ascii="Arial" w:cs="Arial" w:eastAsia="Arial" w:hAnsi="Arial"/>
                <w:sz w:val="18"/>
                <w:szCs w:val="18"/>
                <w:color w:val="auto"/>
              </w:rPr>
              <w:t>Total net income</w:t>
            </w:r>
          </w:p>
        </w:tc>
        <w:tc>
          <w:tcPr>
            <w:tcW w:w="1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16,479</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31,649</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interest rate swaps and foreign currency forward contracts. See “Note 18: Fair Value Measurements” for further discussion of the fair value measurement of such derivatives.</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Interest Rate Lock Commitments. </w:t>
      </w:r>
      <w:r>
        <w:rPr>
          <w:rFonts w:ascii="Arial" w:cs="Arial" w:eastAsia="Arial" w:hAnsi="Arial"/>
          <w:sz w:val="16"/>
          <w:szCs w:val="16"/>
          <w:color w:val="auto"/>
        </w:rPr>
        <w:t>At June 30, 2017, the Company had issued $212.4 million of unexpired interest rate lock commitments to loan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Such interest rate lock commitments that meet the definition of derivative financial instruments under ASC Topic 815, Derivatives and Hedging,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5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At June 30, 2017, the Company had issued $366.8 million of unexpired forward sales commitments to mortgage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fair values of derivative assets and liabilities related to interest rate lock commitments and forward sales commitments recorded in the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0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4,228</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gross gains and losses on derivative assets and liabilities related to interest rate lock commitments and forward sales commitments recorded in non-interest income and expense in the unaudited Consolidated Statements of Income for the three and six months ended June 30, 2017 and 2016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520" w:type="dxa"/>
            <w:vAlign w:val="bottom"/>
            <w:gridSpan w:val="5"/>
          </w:tcPr>
          <w:p>
            <w:pPr>
              <w:jc w:val="right"/>
              <w:ind w:right="5"/>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42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Gross (losses)</w:t>
            </w:r>
          </w:p>
        </w:tc>
        <w:tc>
          <w:tcPr>
            <w:tcW w:w="8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(4,228)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(9,770)</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(8,019)</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(9,770)</w:t>
            </w: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Beginning in the second quarter of 2017, the Company entered into interest rate swap contracts to manage the interest rate risk exposure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specific commercial loan relationships, at the time such loans were originated. With a notional value of $58.2 million at June 30, 2017 these contracts support variable rate, commercial loan relationships totaling $29.1 million. While these swap derivatives generally worked together as an economic</w:t>
      </w:r>
    </w:p>
    <w:p>
      <w:pPr>
        <w:sectPr>
          <w:pgSz w:w="11900" w:h="16838" w:orient="portrait"/>
          <w:cols w:equalWidth="0" w:num="1">
            <w:col w:w="11460"/>
          </w:cols>
          <w:pgMar w:left="240" w:top="125" w:right="199" w:bottom="0" w:gutter="0" w:footer="0" w:header="0"/>
        </w:sectPr>
      </w:pPr>
    </w:p>
    <w:bookmarkStart w:id="25" w:name="page26"/>
    <w:bookmarkEnd w:id="25"/>
    <w:p>
      <w:pPr>
        <w:spacing w:after="0" w:line="4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interest rate hedge,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fair values of derivative assets and liabilities related to interest rate swaps recorded in the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June 30, 2017</w:t>
            </w: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gross gains and losses on derivative assets and liabilities related to interest rate swaps recorded in non-interest income and expense in the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Statements of Income for the three and six months ended June 30, 2017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June 30, 2017</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Gross losses</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7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gains (losses)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First Busey had $0.6 million in cash pledged to secure its obligation under these contracts at June 30, 2017.</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Foreign Currency Derivatives. </w:t>
      </w:r>
      <w:r>
        <w:rPr>
          <w:rFonts w:ascii="Arial" w:cs="Arial" w:eastAsia="Arial" w:hAnsi="Arial"/>
          <w:sz w:val="16"/>
          <w:szCs w:val="16"/>
          <w:color w:val="auto"/>
        </w:rPr>
        <w:t>The Company had originated certain loan agreements that settled in non-U.S. dollar denominations. At June 30, 2017, there</w:t>
      </w:r>
      <w:r>
        <w:rPr>
          <w:rFonts w:ascii="Arial" w:cs="Arial" w:eastAsia="Arial" w:hAnsi="Arial"/>
          <w:sz w:val="16"/>
          <w:szCs w:val="16"/>
          <w:i w:val="1"/>
          <w:iCs w:val="1"/>
          <w:color w:val="auto"/>
        </w:rPr>
        <w:t xml:space="preserve"> </w:t>
      </w:r>
      <w:r>
        <w:rPr>
          <w:rFonts w:ascii="Arial" w:cs="Arial" w:eastAsia="Arial" w:hAnsi="Arial"/>
          <w:sz w:val="16"/>
          <w:szCs w:val="16"/>
          <w:color w:val="auto"/>
        </w:rPr>
        <w:t>were no outstanding gross balances of such loans. The Company had entered into foreign currency forward contracts to mitigate the economic effect of fluctuations in foreign currency exchange rates on non-U.S. dollar denominated loans, when balances were outstanding. While such forward contracts generally served as an economic hedge to certain loans, the Company did not designate them for hedge accounting treatment. Consequently, changes in fair value of the corresponding derivative financial asset or liability were recorded as either a charge or credit to current earnings during the period in which the changes occurred. The gross gains and losses on these derivative assets and liabilities recorded in non-interest income and expense in the unaudited Consolidated Statements of Income for the three and six months ended June 30, 2017 was insignificant.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June 30,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Consolidated Balance Sheet date may differ significantly from the amounts presented herein.</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Securities Available for Sale</w:t>
      </w:r>
      <w:r>
        <w:rPr>
          <w:rFonts w:ascii="Arial" w:cs="Arial" w:eastAsia="Arial" w:hAnsi="Arial"/>
          <w:sz w:val="16"/>
          <w:szCs w:val="16"/>
          <w:color w:val="auto"/>
        </w:rPr>
        <w:t>. Securities classified as available for sale are reported at fair value utilizing level 1 and level 2 measurements. For mutual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equity securities, unadjusted quoted prices in active markets for identical assets are utilized to determine fair value at the measurement date and have been classified as level 1 in ASC Topic 820.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w:t>
      </w:r>
    </w:p>
    <w:p>
      <w:pPr>
        <w:sectPr>
          <w:pgSz w:w="11900" w:h="16887" w:orient="portrait"/>
          <w:cols w:equalWidth="0" w:num="1">
            <w:col w:w="11400"/>
          </w:cols>
          <w:pgMar w:left="240" w:top="125" w:right="259" w:bottom="0" w:gutter="0" w:footer="0" w:header="0"/>
        </w:sectPr>
      </w:pPr>
    </w:p>
    <w:bookmarkStart w:id="26" w:name="page27"/>
    <w:bookmarkEnd w:id="26"/>
    <w:p>
      <w:pPr>
        <w:ind w:right="200"/>
        <w:spacing w:after="0" w:line="277" w:lineRule="auto"/>
        <w:rPr>
          <w:sz w:val="20"/>
          <w:szCs w:val="20"/>
          <w:color w:val="auto"/>
        </w:rPr>
      </w:pPr>
      <w:r>
        <w:rPr>
          <w:rFonts w:ascii="Arial" w:cs="Arial" w:eastAsia="Arial" w:hAnsi="Arial"/>
          <w:sz w:val="18"/>
          <w:szCs w:val="18"/>
          <w:color w:val="auto"/>
        </w:rPr>
        <w:t>pricing service applies available information as appropriate through processes such as benchmark curves, benchmarking of like securities, sector groupings, and matrix pricing, to prepare evaluations.</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addition, 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ASC Topic 820.</w:t>
      </w:r>
    </w:p>
    <w:p>
      <w:pPr>
        <w:spacing w:after="0" w:line="16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 xml:space="preserve">Loans held for sale. </w:t>
      </w:r>
      <w:r>
        <w:rPr>
          <w:rFonts w:ascii="Arial" w:cs="Arial" w:eastAsia="Arial" w:hAnsi="Arial"/>
          <w:sz w:val="16"/>
          <w:szCs w:val="16"/>
          <w:color w:val="auto"/>
        </w:rPr>
        <w:t>Loans held for sale are reported at fair value utilizing level 2 measurements. The fair value of the mortgage loans held for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using observable quoted market or contract prices or market price equivalents and are classified as level 2 in ASC Topic 820.</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positive fair values are reported as assets and derivative instruments with negative fair value are reported as liabilities. The fair value of derivative assets and liabilities is determined based on prices that are obtained from a third-party. Values of derivative assets and liabilities are primarily based on observable inputs and are classified as level 2 in ASC Topic 820.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The following table summarizes financial assets and financial liabilities measured at fair value on a recurring basis as of June 30, 2017 and December 31, 2016,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0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460"/>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3"/>
                <w:szCs w:val="13"/>
                <w:color w:val="auto"/>
              </w:rPr>
            </w:pP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b w:val="1"/>
                <w:bCs w:val="1"/>
                <w:color w:val="auto"/>
                <w:w w:val="99"/>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June 30, 2017</w:t>
            </w:r>
          </w:p>
        </w:tc>
        <w:tc>
          <w:tcPr>
            <w:tcW w:w="7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85,848</w:t>
            </w:r>
          </w:p>
        </w:tc>
        <w:tc>
          <w:tcPr>
            <w:tcW w:w="134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Obligations of U.S. government</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143,353</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31,994</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5,028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Loans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Derivative assets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Derivative liabilities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ind w:left="460"/>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4"/>
                <w:szCs w:val="24"/>
                <w:color w:val="auto"/>
              </w:rPr>
            </w:pP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4"/>
                <w:szCs w:val="14"/>
                <w:b w:val="1"/>
                <w:bCs w:val="1"/>
                <w:color w:val="auto"/>
                <w:w w:val="99"/>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4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December 31, 2016</w:t>
            </w:r>
          </w:p>
        </w:tc>
        <w:tc>
          <w:tcPr>
            <w:tcW w:w="26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74,944</w:t>
            </w:r>
          </w:p>
        </w:tc>
        <w:tc>
          <w:tcPr>
            <w:tcW w:w="134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Obligations of U.S. government</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154,938</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302,249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143,343</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Loans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Derivative assets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Derivative liabilities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Derivative financial liabilities</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3,098</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ASC Topic 820.</w:t>
      </w:r>
    </w:p>
    <w:p>
      <w:pPr>
        <w:sectPr>
          <w:pgSz w:w="11900" w:h="16838" w:orient="portrait"/>
          <w:cols w:equalWidth="0" w:num="1">
            <w:col w:w="11420"/>
          </w:cols>
          <w:pgMar w:left="240" w:top="125"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7" w:name="page28"/>
    <w:bookmarkEnd w:id="27"/>
    <w:p>
      <w:pPr>
        <w:ind w:right="22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ASC Topic 820.</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following table summarizes assets and liabilities measured at fair value on a non-recurring basis as of June 30, 2017 and December 31, 2016,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5"/>
              </w:rPr>
              <w:t>June 30, 2017</w:t>
            </w:r>
          </w:p>
        </w:tc>
        <w:tc>
          <w:tcPr>
            <w:tcW w:w="2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Impaired loans</w:t>
            </w:r>
          </w:p>
        </w:tc>
        <w:tc>
          <w:tcPr>
            <w:tcW w:w="28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3,396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OREO(1)</w:t>
            </w: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2016</w:t>
            </w:r>
          </w:p>
        </w:tc>
        <w:tc>
          <w:tcPr>
            <w:tcW w:w="1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Impaired loans</w:t>
            </w:r>
          </w:p>
        </w:tc>
        <w:tc>
          <w:tcPr>
            <w:tcW w:w="178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tcBorders>
              <w:top w:val="single" w:sz="8" w:color="CCEEFF"/>
            </w:tcBorders>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3,885</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OREO(1)</w:t>
            </w: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Quantitative Information about Level 3 Fair Value Measurements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Fair Value</w:t>
            </w:r>
          </w:p>
        </w:tc>
        <w:tc>
          <w:tcPr>
            <w:tcW w:w="19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Valuation</w:t>
            </w:r>
          </w:p>
        </w:tc>
        <w:tc>
          <w:tcPr>
            <w:tcW w:w="200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1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Estimate</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Techniques</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5"/>
              </w:rPr>
              <w:t>June 30, 2017</w:t>
            </w:r>
          </w:p>
        </w:tc>
        <w:tc>
          <w:tcPr>
            <w:tcW w:w="26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4"/>
          </w:tcPr>
          <w:p>
            <w:pPr>
              <w:spacing w:after="0" w:line="201" w:lineRule="exact"/>
              <w:rPr>
                <w:sz w:val="20"/>
                <w:szCs w:val="20"/>
                <w:color w:val="auto"/>
              </w:rPr>
            </w:pPr>
            <w:r>
              <w:rPr>
                <w:rFonts w:ascii="Arial" w:cs="Arial" w:eastAsia="Arial" w:hAnsi="Arial"/>
                <w:sz w:val="18"/>
                <w:szCs w:val="18"/>
                <w:color w:val="auto"/>
              </w:rPr>
              <w:t>Impaired loans</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-20.3% to -100.0%</w:t>
            </w:r>
          </w:p>
        </w:tc>
        <w:tc>
          <w:tcPr>
            <w:tcW w:w="0" w:type="dxa"/>
            <w:vAlign w:val="bottom"/>
          </w:tcPr>
          <w:p>
            <w:pPr>
              <w:spacing w:after="0"/>
              <w:rPr>
                <w:sz w:val="1"/>
                <w:szCs w:val="1"/>
                <w:color w:val="auto"/>
              </w:rPr>
            </w:pPr>
          </w:p>
        </w:tc>
      </w:tr>
      <w:tr>
        <w:trPr>
          <w:trHeight w:val="230"/>
        </w:trPr>
        <w:tc>
          <w:tcPr>
            <w:tcW w:w="394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3,396</w:t>
            </w: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Appraisal adjustments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Borders>
              <w:top w:val="single" w:sz="8" w:color="CCEEFF"/>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rPr>
              <w:t>OREO(1)</w:t>
            </w:r>
          </w:p>
        </w:tc>
        <w:tc>
          <w:tcPr>
            <w:tcW w:w="3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Appraisal adjustments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3"/>
          </w:tcPr>
          <w:p>
            <w:pPr>
              <w:spacing w:after="0" w:line="156" w:lineRule="exact"/>
              <w:rPr>
                <w:sz w:val="20"/>
                <w:szCs w:val="20"/>
                <w:color w:val="auto"/>
              </w:rPr>
            </w:pPr>
            <w:r>
              <w:rPr>
                <w:rFonts w:ascii="Arial" w:cs="Arial" w:eastAsia="Arial" w:hAnsi="Arial"/>
                <w:sz w:val="18"/>
                <w:szCs w:val="18"/>
                <w:color w:val="auto"/>
              </w:rPr>
              <w:t>December 31, 2016</w:t>
            </w: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-19.2%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3,885</w:t>
            </w:r>
          </w:p>
        </w:tc>
        <w:tc>
          <w:tcPr>
            <w:tcW w:w="1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Appraisal adjustments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gridSpan w:val="3"/>
          </w:tcPr>
          <w:p>
            <w:pPr>
              <w:spacing w:after="0" w:line="195" w:lineRule="exact"/>
              <w:rPr>
                <w:sz w:val="20"/>
                <w:szCs w:val="20"/>
                <w:color w:val="auto"/>
              </w:rPr>
            </w:pPr>
            <w:r>
              <w:rPr>
                <w:rFonts w:ascii="Arial" w:cs="Arial" w:eastAsia="Arial" w:hAnsi="Arial"/>
                <w:sz w:val="18"/>
                <w:szCs w:val="18"/>
                <w:color w:val="auto"/>
              </w:rPr>
              <w:t>OREO(1)</w:t>
            </w:r>
          </w:p>
        </w:tc>
        <w:tc>
          <w:tcPr>
            <w:tcW w:w="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Appraisal of collateral</w:t>
            </w:r>
          </w:p>
        </w:tc>
        <w:tc>
          <w:tcPr>
            <w:tcW w:w="28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Appraisal adjustments</w:t>
            </w: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ind w:left="5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53"/>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5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Level 1 inputs: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294,100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166,706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Level 2 inputs: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held to maturity</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208,634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14,419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14,419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15,562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Portfolio loans, net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3,871,263</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3,865,697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3,831,105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Other servicing rights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liabilities: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4,394,212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4,390,437</w:t>
            </w: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4,374,298</w:t>
            </w:r>
          </w:p>
        </w:tc>
        <w:tc>
          <w:tcPr>
            <w:tcW w:w="1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178,597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189,157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70,938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70,938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70,868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Level 3 inputs: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Senior notes, net of unamortized issuance costs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39,351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Subordinated notes, net of unamortized issuance costs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59,022</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59,066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w:t>
      </w:r>
    </w:p>
    <w:p>
      <w:pPr>
        <w:sectPr>
          <w:pgSz w:w="11900" w:h="16838" w:orient="portrait"/>
          <w:cols w:equalWidth="0" w:num="1">
            <w:col w:w="11420"/>
          </w:cols>
          <w:pgMar w:left="240" w:top="584" w:right="239" w:bottom="0" w:gutter="0" w:footer="0" w:header="0"/>
        </w:sectPr>
      </w:pPr>
    </w:p>
    <w:bookmarkStart w:id="28" w:name="page29"/>
    <w:bookmarkEnd w:id="28"/>
    <w:p>
      <w:pPr>
        <w:ind w:right="480"/>
        <w:spacing w:after="0" w:line="277" w:lineRule="auto"/>
        <w:rPr>
          <w:sz w:val="20"/>
          <w:szCs w:val="20"/>
          <w:color w:val="auto"/>
        </w:rPr>
      </w:pPr>
      <w:r>
        <w:rPr>
          <w:rFonts w:ascii="Arial" w:cs="Arial" w:eastAsia="Arial" w:hAnsi="Arial"/>
          <w:sz w:val="18"/>
          <w:szCs w:val="18"/>
          <w:color w:val="auto"/>
        </w:rPr>
        <w:t>the fair value of financial instruments is set forth in the Company’s Annual Report on Form 10-K for the year ended December 31, 2016 or is described below.</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fair value of other servicing rights relates to servicing that First Busy provides on Small Business Association loans and is estimated by discounting the future cash flows and classified as level 3 in ASC Topic 820. The fair value of senior and subordinated notes, net of unamortized issuance costs, is estimated based on the rates currently available to the Company with similar terms, remaining maturity and credit spread and classified as level 3 in ASC Topic 820.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Liability for Loans Sold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records an estimated liability for probable amounts due to the Company’s loan investors under contractual obligations related to residential mortgage loans originated for sale that were previously sold and became delinquent or defaulted, or were determined to contain certain documentation or other underwriting deficiencies. Under standard representations and warranties and early payment default clauses in the Company’s mortgage sale agreements, the Company could be required to repurchase mortgage loans sold to investors or reimburse the investors for losses incurred on loans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establishes a mortgage repurchase liability related to these events that reflects management’s estimate of losses on loans for which the Company could have a repurchase obligation based on a combination of factors. Such factors incorporate the volume of loans sold in current and previous periods, borrower default expectations, historical investor repurchase demand and appeals success rates (where the investor rescinds the demand based on a cure of the defect or acknowledges that the loan satisfies the investor’s applicable representations and warranties), and estimated loss severity. Payments made to investors as reimbursement for losses incurred are charged against the mortgage repurchase liability. Loans repurchased from investors are initially recorded at fair value, which becomes the Company’s new accounting basis. The difference between the loan’s fair value and the payment made to investors as reimbursement for losses incurred is charged to the mortgage repurchase liability. Subsequent to repurchase, such loans are carried as portfolio loans on the Company’s Consolidated Balance Sheets. Loans repurchased with deteriorated credit quality at the date of repurchase are accounted for under ASC 310-30.</w:t>
      </w:r>
    </w:p>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liability for loans sold of $2.1 million at June 30, 2017 represents the Company’s best estimate of the probable losses that the Company will incur for various early default provisions and contractual representations and warranties associated with the sales of mortgage loans and is included in other liabilities in the accompanying Consolidated Balance Sheets.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generally does not service the loans that it sells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is management’s discussion and analysis of the financial condition of First Busey Corporation and its subsidiaries (referred to herein as “First Busey,” “Company,” “we,” or “our”) at June 30, 2017 (unaudited), as compared with March 31, 2017 (unaudited), December 31, 2016 and June 30, 2016 (unaudited), and the results of operations for the three and six months ended June 30, 2017 (unaudited) and 2016 (unaudited), and the three months ended March 31, 2017 (unaudited) when applicable. Management’s discussion and analysis should be read in conjunction with the Company’s consolidated financial statements and notes thereto appearing elsewhere in this Quarterly Report, as well as the Company’s Annual Report on Form 10-K for the year ended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first quarter of 2017, First Busey announced the signing of two definitive agreements to acquire First Community, headquartered in Joliet, Illinois, and Mid Illinois, headquartered in Peoria, Illinois. On July 2, 2017, the Company completed its acquisition of First Community. The First Community acquisition is a subsequent event and the financial results of First Community are not recognized in this Form 10-Q. The acquisition of First Community allows us to significantly expand our geographic presence into attractive southwest suburbs of Chicago. The planned acquisition of Mid Illinois will enhance the Company’s existing deposit, commercial banking and trust and investment presence in the greater Peoria area, and is expected to close in the fourth quarter of 2017, subject to customary closing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First Busey’s net income for the second quarter of 2017 was $16.5 million, or $0.43 per diluted common share. The Company reported net income of $15.2 million or $0.39 per diluted common share for the first quarter of 2017 and net income of $12.4 million or $0.35 per diluted common share for the second quarter of 2016. The Company’s year-to-date net income through June 30, 2017 was $31.6 million, or $0.82 per diluted common share, compared to net income of $22.8 million or $0.71 per diluted common share, for the comparable period of 2016. The results benefited from the acquisition of Pulaski since the closing of the transaction on April 30, 2016.</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During the second quarter of 2017, the Company incurred $0.3 million of pre-tax expenses related to acquisitions compared to $2.0 million in the second quarter of 2016, which primarily consisted of legal, professional, and data processing expenses. During the six months ended June 30, 2017, the Company incurred $1.1 million of pre-tax acquisition related costs compared to $2.3 million in the same period of 2016. Additional notable pre-tax items incurred by</w:t>
      </w:r>
    </w:p>
    <w:p>
      <w:pPr>
        <w:sectPr>
          <w:pgSz w:w="11900" w:h="16838" w:orient="portrait"/>
          <w:cols w:equalWidth="0" w:num="1">
            <w:col w:w="11400"/>
          </w:cols>
          <w:pgMar w:left="240" w:top="125" w:right="259" w:bottom="0" w:gutter="0" w:footer="0" w:header="0"/>
        </w:sectPr>
      </w:pPr>
    </w:p>
    <w:bookmarkStart w:id="29" w:name="page30"/>
    <w:bookmarkEnd w:id="29"/>
    <w:p>
      <w:pPr>
        <w:ind w:right="160"/>
        <w:spacing w:after="0" w:line="264" w:lineRule="auto"/>
        <w:rPr>
          <w:sz w:val="20"/>
          <w:szCs w:val="20"/>
          <w:color w:val="auto"/>
        </w:rPr>
      </w:pPr>
      <w:r>
        <w:rPr>
          <w:rFonts w:ascii="Arial" w:cs="Arial" w:eastAsia="Arial" w:hAnsi="Arial"/>
          <w:sz w:val="18"/>
          <w:szCs w:val="18"/>
          <w:color w:val="auto"/>
        </w:rPr>
        <w:t>the Company during the first six months of 2017 included $0.2 million of restructuring costs. Excluding these items, the Company’s operating earnings, a non-GAAP financial measure, for the second quarter of 2017 would have been $16.7 million, or $0.43 per diluted common share and $32.5 million or $0.84 per diluted common share for the year-to-date net income through June 30, 2017.</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Revenues from trust fees, commissions and brokers’ fees, and remittance processing activities represented 47.0% of the Company’s non-interest income for the quarter ended June 30, 2017, providing a balance to revenue from traditional banking activities.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Trust fees and commissions and brokers’ fees of $6.6 million for the second quarter of 2017 decreased seasonally from $6.9 million for the first quarter of 2017 and increased from $5.7 million for the second quarter of 2016. Trust fees and commissions and brokers’ fees grew to $13.5 million for the first six months of 2017 compared to $11.9 million for the same period of 2016. Net income from the wealth management segment decreased to $1.7 million for the second quarter of 2017 compared to $1.8 million for the first quarter of 2017, but increased from $1.3 million for the second quarter of 2016. Net income from the wealth management segment increased to $3.5 million for the first six months of 2017 compared to $2.6 million for the same period of 2016, a notable 34.6% increase.</w:t>
      </w:r>
    </w:p>
    <w:p>
      <w:pPr>
        <w:spacing w:after="0" w:line="19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Remittance processing revenue increased slightly to $2.9 million for the second quarter of 2017 compared to $2.8 million for both the first quarter of 2017 and second quarter of 2016. For the first six months of 2017, remittance processing revenue remained relatively stable at $5.7 million compared to $5.8 million for the same period of 2016. Net income from the remittance processing segment was $0.5 million for the second quarter of 2017 a modest decrease from $0.6 million in the first quarter of 2017 but comparable to the $0.5 million in second quarter of 2016. Net income from the remittance processing segment was $1.1 million for the six months ended June 30, 2017 compared to $0.9 million for the six months ended June 30,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Mortgage revenues slowed significantly in 2017 and balances of loans held for sale trended below prior year. Active cost reduction efforts have been underway, including effective employee management.</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Commercial loans and non-interest bearing deposits continue as drivers of balance sheet growth, while net income in the banking, remittance processing and wealth management segments expanded on a comparative basis to prior year. Credit metrics were also positive, with net recoveries recorded to the allowance for loan losses that drove lower provision expense, and gains in OREO, all indicators of ongoing balance sheet strength.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3"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While much internal focus has been directed toward growth and managing the integration of its recent acquisitions, the Company’s commitment to credit quality remains strong. As of June 30, 2017, the Company reported a decrease in non-performing loans to $20.1 million compared to $20.9 million as of March 31, 2017 and $22.8 million as of June 30, 2016. Non-performing loans were 0.5% of total portfolio loans as of June 30, 2017 and March 31, 2017, compared to 0.6% as of June 30, 2016.</w:t>
      </w:r>
    </w:p>
    <w:p>
      <w:pPr>
        <w:spacing w:after="0" w:line="18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recorded net recoveries of $0.3 million for the second quarter of 2017, compared to net recoveries of $0.1 million for the first quarter of 2017 and net charge-offs of $0.9 million for the second quarter of 2016. The Company recorded net recoveries of $0.4 million for the first six months of 2017, a decrease from the net charge-offs of $4.2 million for the same period of 2016. Allowance for loan losses as a percentage of portfolio loans was 1.3% at June 30, 2017 and March 31, 2017, an increase from 1.2% at June 30, 2016. As a result of acquisitions, the Company is holding acquired loans that are carried net of a fair value adjustment for credit and interest rate marks and are only included in the allowance calculation to the extent that the reserve requirement exceeds the fair value adjustment. The Company recorded a provision for loan losses of $0.5 million in the second and first quarter of 2017 and $1.1 million in the second quarter of 2016. The Company recorded provision for loan losses of $1.0 million for the first six months of 2017, a decrease from $2.1 million for the same period of 2016.</w:t>
      </w:r>
    </w:p>
    <w:p>
      <w:pPr>
        <w:spacing w:after="0" w:line="17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With a continued commitment to asset quality and the strength of our Consolidated Balance Sheets, near-term loan losses are expected to remain generally low. While these results are encouraging, asset quality metrics can be generally influenced by market specific economic conditions, and specific measures may fluctuate from period to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6"/>
              </w:rPr>
              <w:t>As of and for the Three Months Ended</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44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4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1100" w:type="dxa"/>
            <w:vAlign w:val="bottom"/>
          </w:tcPr>
          <w:p>
            <w:pPr>
              <w:jc w:val="right"/>
              <w:ind w:right="333"/>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3,920,464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3,878,900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3,780,966</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loans(1)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2,828,261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2,799,193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2,796,130</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2,685,933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49,201</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48,442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47,795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45,358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Non-performing loans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18,935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20,544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21,423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22,443</w:t>
            </w: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Loans 90+ days past due</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9,754</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non-performing assets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2,518</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3,267</w:t>
            </w: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portfolio loans and non-performing</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245.3%</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232.3%</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221.7%</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199.1%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(1)Includes loans categorized as commercial, commercial real estate and real estate construction.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 of Markets</w:t>
      </w:r>
    </w:p>
    <w:p>
      <w:pPr>
        <w:sectPr>
          <w:pgSz w:w="11900" w:h="16838" w:orient="portrait"/>
          <w:cols w:equalWidth="0" w:num="1">
            <w:col w:w="11420"/>
          </w:cols>
          <w:pgMar w:left="240" w:top="125" w:right="239" w:bottom="0" w:gutter="0" w:footer="0" w:header="0"/>
          <w:type w:val="continuous"/>
        </w:sectPr>
      </w:pPr>
    </w:p>
    <w:bookmarkStart w:id="30" w:name="page31"/>
    <w:bookmarkEnd w:id="30"/>
    <w:p>
      <w:pPr>
        <w:spacing w:after="0" w:line="6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of June 30, 2017 the Company had 28 banking centers serving Illinois. Our downstate Illinois markets of Champaign, Macon, McLean and Peoria counties are anchored by several strong, well-recognized and stable organizations. 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Inc. operations, a Fortune 100 company, and Bradley University, in addition to a large healthcare presence serving much of the western portion of downstate Illinois. The institutions noted above, coupled with a large agricultural sector, anchor the communities in which they are located, and have provided a comparatively stable foundation for housing, employment and small business.</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July 2, 2017 acquisition of First Community adds nine additional Illinois banking centers. This acquisition provides First Busey entrance into the demographically and economically attractive southwest suburban markets of the greater Chicagoland area and is part of the Company’s strategy of expanding into markets with both population and commercial density in the Midwest.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State of Illinois, where a large portion of the Company’s customer base is located, continues to be one of the most troubled of any state in the United States with pension under-funding, continued budget deficits and a declining credit outlook. Additionally, the Company is located in markets with significant universities and healthcare companies, which rely heavily on state funding and contracts. Payment lapses by the State of Illinois to its vendors and government sponsored entities may have negative effects on our primary market areas.</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acquisition of Pulaski expanded our presence into the St. Louis, Missouri metropolitan area, which is the largest metropolitan area in Missouri and the twentieth largest in the United States. The bi-state metropolitan area includes seven counties in Missouri and eight counties in Illinois. The area is home to 17 Fortune 1000 companies, including Express Scripts, Emerson Electric, Centene and Monsanto. St. Louis has a diverse economy with its major employment sectors including health care, financial services, professional and business services, and retail. The Company has 13 banking centers serving the St. Louis metropolitan area, all of which are located in the city of St. Louis, or the adjacent counties of St. Louis County and St. Charles County. St. Charles County has been one of the fastest-growing counties in the country for decades. The county features a cross-section of industry, as well as extensive retail and some agriculture. The Company’s geographic concentration in only three of the 15 counties included in the St. Louis metropolitan area gives the Company tremendous expansion opportunities into neighboring counties.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five banking centers in southwest Florida. Southwest Florida has shown continuing signs of improvement in areas such as job growth and the housing market over the last several years.</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Company has one banking center in the Indianapolis, Indiana area, which is the most populous city of Indiana with a diverse economy. Many large corporations are headquartered in Indianapolis and it is host to numerous conventions and sporting events annually. In 2017, the Company is working to expand its presence in Indianapolis.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 AND 2016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w w:val="89"/>
              </w:rPr>
              <w:t>2017</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2"/>
            <w:vMerge w:val="restart"/>
          </w:tcPr>
          <w:p>
            <w:pPr>
              <w:jc w:val="right"/>
              <w:ind w:right="529"/>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1"/>
              </w:rPr>
              <w:t>Change in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expense due to(1)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29"/>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840" w:type="dxa"/>
            <w:vAlign w:val="bottom"/>
          </w:tcPr>
          <w:p>
            <w:pPr>
              <w:jc w:val="right"/>
              <w:ind w:right="209"/>
              <w:spacing w:after="0" w:line="119" w:lineRule="exact"/>
              <w:rPr>
                <w:sz w:val="20"/>
                <w:szCs w:val="20"/>
                <w:color w:val="auto"/>
              </w:rPr>
            </w:pPr>
            <w:r>
              <w:rPr>
                <w:rFonts w:ascii="Arial" w:cs="Arial" w:eastAsia="Arial" w:hAnsi="Arial"/>
                <w:sz w:val="13"/>
                <w:szCs w:val="13"/>
                <w:b w:val="1"/>
                <w:bCs w:val="1"/>
                <w:color w:val="auto"/>
              </w:rPr>
              <w:t>Income/</w:t>
            </w:r>
          </w:p>
        </w:tc>
        <w:tc>
          <w:tcPr>
            <w:tcW w:w="68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rPr>
              <w:t>Yield/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89"/>
              <w:spacing w:after="0" w:line="119" w:lineRule="exact"/>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0"/>
                <w:szCs w:val="10"/>
                <w:color w:val="auto"/>
              </w:rPr>
            </w:pPr>
          </w:p>
        </w:tc>
        <w:tc>
          <w:tcPr>
            <w:tcW w:w="820" w:type="dxa"/>
            <w:vAlign w:val="bottom"/>
          </w:tcPr>
          <w:p>
            <w:pPr>
              <w:jc w:val="right"/>
              <w:ind w:right="209"/>
              <w:spacing w:after="0" w:line="119" w:lineRule="exact"/>
              <w:rPr>
                <w:sz w:val="20"/>
                <w:szCs w:val="20"/>
                <w:color w:val="auto"/>
              </w:rPr>
            </w:pPr>
            <w:r>
              <w:rPr>
                <w:rFonts w:ascii="Arial" w:cs="Arial" w:eastAsia="Arial" w:hAnsi="Arial"/>
                <w:sz w:val="13"/>
                <w:szCs w:val="13"/>
                <w:b w:val="1"/>
                <w:bCs w:val="1"/>
                <w:color w:val="auto"/>
              </w:rPr>
              <w:t>Income/</w:t>
            </w:r>
          </w:p>
        </w:tc>
        <w:tc>
          <w:tcPr>
            <w:tcW w:w="64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Yield/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w w:val="97"/>
              </w:rPr>
              <w:t>Average</w:t>
            </w:r>
          </w:p>
        </w:tc>
        <w:tc>
          <w:tcPr>
            <w:tcW w:w="180" w:type="dxa"/>
            <w:vAlign w:val="bottom"/>
          </w:tcPr>
          <w:p>
            <w:pPr>
              <w:spacing w:after="0"/>
              <w:rPr>
                <w:sz w:val="10"/>
                <w:szCs w:val="10"/>
                <w:color w:val="auto"/>
              </w:rPr>
            </w:pPr>
          </w:p>
        </w:tc>
        <w:tc>
          <w:tcPr>
            <w:tcW w:w="960" w:type="dxa"/>
            <w:vAlign w:val="bottom"/>
          </w:tcPr>
          <w:p>
            <w:pPr>
              <w:jc w:val="right"/>
              <w:ind w:right="289"/>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68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w w:val="93"/>
              </w:rPr>
              <w:t>Expense</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820" w:type="dxa"/>
            <w:vAlign w:val="bottom"/>
          </w:tcPr>
          <w:p>
            <w:pPr>
              <w:jc w:val="right"/>
              <w:ind w:right="209"/>
              <w:spacing w:after="0"/>
              <w:rPr>
                <w:sz w:val="20"/>
                <w:szCs w:val="20"/>
                <w:color w:val="auto"/>
              </w:rPr>
            </w:pPr>
            <w:r>
              <w:rPr>
                <w:rFonts w:ascii="Arial" w:cs="Arial" w:eastAsia="Arial" w:hAnsi="Arial"/>
                <w:sz w:val="14"/>
                <w:szCs w:val="14"/>
                <w:b w:val="1"/>
                <w:bCs w:val="1"/>
                <w:color w:val="auto"/>
                <w:w w:val="90"/>
              </w:rPr>
              <w:t>Expense</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Rate(6)</w:t>
            </w:r>
          </w:p>
        </w:tc>
        <w:tc>
          <w:tcPr>
            <w:tcW w:w="8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Arial" w:cs="Arial" w:eastAsia="Arial" w:hAnsi="Arial"/>
                <w:sz w:val="14"/>
                <w:szCs w:val="14"/>
                <w:b w:val="1"/>
                <w:bCs w:val="1"/>
                <w:color w:val="auto"/>
                <w:w w:val="94"/>
              </w:rPr>
              <w:t>Volume</w:t>
            </w:r>
          </w:p>
        </w:tc>
        <w:tc>
          <w:tcPr>
            <w:tcW w:w="1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w w:val="97"/>
              </w:rPr>
              <w:t>Yield/Rate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jc w:val="right"/>
              <w:ind w:right="29"/>
              <w:spacing w:after="0" w:line="142"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tcPr>
          <w:p>
            <w:pPr>
              <w:ind w:left="200"/>
              <w:spacing w:after="0" w:line="130" w:lineRule="exact"/>
              <w:rPr>
                <w:sz w:val="20"/>
                <w:szCs w:val="20"/>
                <w:color w:val="auto"/>
              </w:rPr>
            </w:pPr>
            <w:r>
              <w:rPr>
                <w:rFonts w:ascii="Arial" w:cs="Arial" w:eastAsia="Arial" w:hAnsi="Arial"/>
                <w:sz w:val="14"/>
                <w:szCs w:val="14"/>
                <w:color w:val="auto"/>
              </w:rPr>
              <w:t>Interest-bearing bank deposits and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tcPr>
          <w:p>
            <w:pPr>
              <w:ind w:left="380"/>
              <w:spacing w:after="0"/>
              <w:rPr>
                <w:sz w:val="20"/>
                <w:szCs w:val="20"/>
                <w:color w:val="auto"/>
              </w:rPr>
            </w:pPr>
            <w:r>
              <w:rPr>
                <w:rFonts w:ascii="Arial" w:cs="Arial" w:eastAsia="Arial" w:hAnsi="Arial"/>
                <w:sz w:val="14"/>
                <w:szCs w:val="14"/>
                <w:color w:val="auto"/>
              </w:rPr>
              <w:t>federal funds sold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182,562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454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316,726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371</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0.47%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287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380"/>
              <w:spacing w:after="0" w:line="149" w:lineRule="exact"/>
              <w:rPr>
                <w:sz w:val="20"/>
                <w:szCs w:val="20"/>
                <w:color w:val="auto"/>
              </w:rPr>
            </w:pPr>
            <w:r>
              <w:rPr>
                <w:rFonts w:ascii="Arial" w:cs="Arial" w:eastAsia="Arial" w:hAnsi="Arial"/>
                <w:sz w:val="14"/>
                <w:szCs w:val="14"/>
                <w:color w:val="auto"/>
              </w:rPr>
              <w:t>U.S. Government obligations</w:t>
            </w:r>
          </w:p>
        </w:tc>
        <w:tc>
          <w:tcPr>
            <w:tcW w:w="140" w:type="dxa"/>
            <w:vAlign w:val="bottom"/>
          </w:tcPr>
          <w:p>
            <w:pPr>
              <w:spacing w:after="0"/>
              <w:rPr>
                <w:sz w:val="12"/>
                <w:szCs w:val="12"/>
                <w:color w:val="auto"/>
              </w:rPr>
            </w:pP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144,653</w:t>
            </w:r>
          </w:p>
        </w:tc>
        <w:tc>
          <w:tcPr>
            <w:tcW w:w="180" w:type="dxa"/>
            <w:vAlign w:val="bottom"/>
          </w:tcPr>
          <w:p>
            <w:pPr>
              <w:spacing w:after="0"/>
              <w:rPr>
                <w:sz w:val="12"/>
                <w:szCs w:val="12"/>
                <w:color w:val="auto"/>
              </w:rPr>
            </w:pPr>
          </w:p>
        </w:tc>
        <w:tc>
          <w:tcPr>
            <w:tcW w:w="8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487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9"/>
              <w:spacing w:after="0" w:line="149" w:lineRule="exact"/>
              <w:rPr>
                <w:sz w:val="20"/>
                <w:szCs w:val="20"/>
                <w:color w:val="auto"/>
              </w:rPr>
            </w:pPr>
            <w:r>
              <w:rPr>
                <w:rFonts w:ascii="Arial" w:cs="Arial" w:eastAsia="Arial" w:hAnsi="Arial"/>
                <w:sz w:val="14"/>
                <w:szCs w:val="14"/>
                <w:color w:val="auto"/>
              </w:rPr>
              <w:t>199,387</w:t>
            </w:r>
          </w:p>
        </w:tc>
        <w:tc>
          <w:tcPr>
            <w:tcW w:w="200" w:type="dxa"/>
            <w:vAlign w:val="bottom"/>
          </w:tcPr>
          <w:p>
            <w:pPr>
              <w:spacing w:after="0"/>
              <w:rPr>
                <w:sz w:val="12"/>
                <w:szCs w:val="12"/>
                <w:color w:val="auto"/>
              </w:rPr>
            </w:pPr>
          </w:p>
        </w:tc>
        <w:tc>
          <w:tcPr>
            <w:tcW w:w="8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565</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180" w:type="dxa"/>
            <w:vAlign w:val="bottom"/>
          </w:tcPr>
          <w:p>
            <w:pPr>
              <w:spacing w:after="0"/>
              <w:rPr>
                <w:sz w:val="12"/>
                <w:szCs w:val="12"/>
                <w:color w:val="auto"/>
              </w:rPr>
            </w:pPr>
          </w:p>
        </w:tc>
        <w:tc>
          <w:tcPr>
            <w:tcW w:w="960" w:type="dxa"/>
            <w:vAlign w:val="bottom"/>
          </w:tcPr>
          <w:p>
            <w:pPr>
              <w:jc w:val="right"/>
              <w:ind w:right="89"/>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Obligations of states and political</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560"/>
              <w:spacing w:after="0" w:line="149" w:lineRule="exact"/>
              <w:rPr>
                <w:sz w:val="20"/>
                <w:szCs w:val="20"/>
                <w:color w:val="auto"/>
              </w:rPr>
            </w:pPr>
            <w:r>
              <w:rPr>
                <w:rFonts w:ascii="Arial" w:cs="Arial" w:eastAsia="Arial" w:hAnsi="Arial"/>
                <w:sz w:val="14"/>
                <w:szCs w:val="14"/>
                <w:color w:val="auto"/>
              </w:rPr>
              <w:t>subdivisions(1)</w:t>
            </w:r>
          </w:p>
        </w:tc>
        <w:tc>
          <w:tcPr>
            <w:tcW w:w="140" w:type="dxa"/>
            <w:vAlign w:val="bottom"/>
          </w:tcPr>
          <w:p>
            <w:pPr>
              <w:spacing w:after="0"/>
              <w:rPr>
                <w:sz w:val="12"/>
                <w:szCs w:val="12"/>
                <w:color w:val="auto"/>
              </w:rPr>
            </w:pP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186,547</w:t>
            </w:r>
          </w:p>
        </w:tc>
        <w:tc>
          <w:tcPr>
            <w:tcW w:w="180" w:type="dxa"/>
            <w:vAlign w:val="bottom"/>
          </w:tcPr>
          <w:p>
            <w:pPr>
              <w:spacing w:after="0"/>
              <w:rPr>
                <w:sz w:val="12"/>
                <w:szCs w:val="12"/>
                <w:color w:val="auto"/>
              </w:rPr>
            </w:pPr>
          </w:p>
        </w:tc>
        <w:tc>
          <w:tcPr>
            <w:tcW w:w="8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1,411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9"/>
              <w:spacing w:after="0" w:line="149" w:lineRule="exact"/>
              <w:rPr>
                <w:sz w:val="20"/>
                <w:szCs w:val="20"/>
                <w:color w:val="auto"/>
              </w:rPr>
            </w:pPr>
            <w:r>
              <w:rPr>
                <w:rFonts w:ascii="Arial" w:cs="Arial" w:eastAsia="Arial" w:hAnsi="Arial"/>
                <w:sz w:val="14"/>
                <w:szCs w:val="14"/>
                <w:color w:val="auto"/>
              </w:rPr>
              <w:t>213,611</w:t>
            </w:r>
          </w:p>
        </w:tc>
        <w:tc>
          <w:tcPr>
            <w:tcW w:w="200" w:type="dxa"/>
            <w:vAlign w:val="bottom"/>
          </w:tcPr>
          <w:p>
            <w:pPr>
              <w:spacing w:after="0"/>
              <w:rPr>
                <w:sz w:val="12"/>
                <w:szCs w:val="12"/>
                <w:color w:val="auto"/>
              </w:rPr>
            </w:pPr>
          </w:p>
        </w:tc>
        <w:tc>
          <w:tcPr>
            <w:tcW w:w="8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1,534</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2.89%</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80" w:type="dxa"/>
            <w:vAlign w:val="bottom"/>
          </w:tcPr>
          <w:p>
            <w:pPr>
              <w:spacing w:after="0"/>
              <w:rPr>
                <w:sz w:val="12"/>
                <w:szCs w:val="12"/>
                <w:color w:val="auto"/>
              </w:rPr>
            </w:pPr>
          </w:p>
        </w:tc>
        <w:tc>
          <w:tcPr>
            <w:tcW w:w="960" w:type="dxa"/>
            <w:vAlign w:val="bottom"/>
          </w:tcPr>
          <w:p>
            <w:pPr>
              <w:jc w:val="right"/>
              <w:ind w:right="89"/>
              <w:spacing w:after="0" w:line="149"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24"/>
        </w:trPr>
        <w:tc>
          <w:tcPr>
            <w:tcW w:w="2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1" w:name="page32"/>
    <w:bookmarkEnd w:id="3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securities</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480,064</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437,793</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2,298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2.11%</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276</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Loans held for sale</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104,420</w:t>
            </w:r>
          </w:p>
        </w:tc>
        <w:tc>
          <w:tcPr>
            <w:tcW w:w="2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134,028</w:t>
            </w:r>
          </w:p>
        </w:tc>
        <w:tc>
          <w:tcPr>
            <w:tcW w:w="2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4.06%</w:t>
            </w:r>
          </w:p>
        </w:tc>
        <w:tc>
          <w:tcPr>
            <w:tcW w:w="2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Portfolio loans(1)(2)</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3,892,327</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40,608</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3,377,087</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35,132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5,472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Total interest-earning assets(1)(3)</w:t>
            </w:r>
          </w:p>
        </w:tc>
        <w:tc>
          <w:tcPr>
            <w:tcW w:w="200" w:type="dxa"/>
            <w:vAlign w:val="bottom"/>
            <w:tcBorders>
              <w:top w:val="single" w:sz="8" w:color="auto"/>
              <w:bottom w:val="single" w:sz="8" w:color="CCEEFF"/>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4,990,573</w:t>
            </w:r>
          </w:p>
        </w:tc>
        <w:tc>
          <w:tcPr>
            <w:tcW w:w="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46,771</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gridSpan w:val="2"/>
          </w:tcPr>
          <w:p>
            <w:pPr>
              <w:jc w:val="right"/>
              <w:ind w:right="100"/>
              <w:spacing w:after="0" w:line="142" w:lineRule="exact"/>
              <w:rPr>
                <w:sz w:val="20"/>
                <w:szCs w:val="20"/>
                <w:color w:val="auto"/>
              </w:rPr>
            </w:pPr>
            <w:r>
              <w:rPr>
                <w:rFonts w:ascii="Arial" w:cs="Arial" w:eastAsia="Arial" w:hAnsi="Arial"/>
                <w:sz w:val="14"/>
                <w:szCs w:val="14"/>
                <w:color w:val="auto"/>
              </w:rPr>
              <w:t>3.76%</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4,678,632</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41,252</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3.55%</w:t>
            </w:r>
          </w:p>
        </w:tc>
        <w:tc>
          <w:tcPr>
            <w:tcW w:w="220" w:type="dxa"/>
            <w:vAlign w:val="bottom"/>
            <w:tcBorders>
              <w:top w:val="single" w:sz="8" w:color="auto"/>
              <w:bottom w:val="single" w:sz="8" w:color="CCEEFF"/>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4,850</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669</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CCEEFF"/>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5,519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Cash and due from banks</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75,959</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73,073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Premises and equipment</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78,728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75,052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(49,260)</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(47,347)</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265,074</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241,915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5,361,074</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5,021,325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Interest-bearing transaction deposits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1,021,986</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0.13%</w:t>
            </w:r>
          </w:p>
        </w:tc>
        <w:tc>
          <w:tcPr>
            <w:tcW w:w="3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804,033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0.09%</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3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3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Savings and money market deposits</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1,493,040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1,501,351</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743,308</w:t>
            </w:r>
          </w:p>
        </w:tc>
        <w:tc>
          <w:tcPr>
            <w:tcW w:w="2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1,152</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763,774</w:t>
            </w:r>
          </w:p>
        </w:tc>
        <w:tc>
          <w:tcPr>
            <w:tcW w:w="2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1,043</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0.55%</w:t>
            </w:r>
          </w:p>
        </w:tc>
        <w:tc>
          <w:tcPr>
            <w:tcW w:w="2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ind w:left="360"/>
              <w:spacing w:after="0" w:line="130" w:lineRule="exact"/>
              <w:rPr>
                <w:sz w:val="20"/>
                <w:szCs w:val="20"/>
                <w:color w:val="auto"/>
              </w:rPr>
            </w:pPr>
            <w:r>
              <w:rPr>
                <w:rFonts w:ascii="Arial" w:cs="Arial" w:eastAsia="Arial" w:hAnsi="Arial"/>
                <w:sz w:val="14"/>
                <w:szCs w:val="14"/>
                <w:color w:val="auto"/>
              </w:rPr>
              <w:t>Repurchase agreements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540"/>
              <w:spacing w:after="0"/>
              <w:rPr>
                <w:sz w:val="20"/>
                <w:szCs w:val="20"/>
                <w:color w:val="auto"/>
              </w:rPr>
            </w:pPr>
            <w:r>
              <w:rPr>
                <w:rFonts w:ascii="Arial" w:cs="Arial" w:eastAsia="Arial" w:hAnsi="Arial"/>
                <w:sz w:val="14"/>
                <w:szCs w:val="14"/>
                <w:color w:val="auto"/>
              </w:rPr>
              <w:t>federal funds purchased</w:t>
            </w:r>
          </w:p>
        </w:tc>
        <w:tc>
          <w:tcPr>
            <w:tcW w:w="2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176,735</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204</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178,826</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0.20%</w:t>
            </w:r>
          </w:p>
        </w:tc>
        <w:tc>
          <w:tcPr>
            <w:tcW w:w="2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Other(4)</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2,198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133,668</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Long-term debt(5)</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120,141</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80,000</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0.29%</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529</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Junior subordinated debt owed to</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unconsolidated trusts</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70,904</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65,407</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2.84%</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Total interest-bearing liabilities</w:t>
            </w:r>
          </w:p>
        </w:tc>
        <w:tc>
          <w:tcPr>
            <w:tcW w:w="200" w:type="dxa"/>
            <w:vAlign w:val="bottom"/>
            <w:tcBorders>
              <w:top w:val="single" w:sz="8" w:color="auto"/>
              <w:bottom w:val="single" w:sz="8" w:color="CCEEFF"/>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3,628,312</w:t>
            </w:r>
          </w:p>
        </w:tc>
        <w:tc>
          <w:tcPr>
            <w:tcW w:w="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3,643</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gridSpan w:val="2"/>
          </w:tcPr>
          <w:p>
            <w:pPr>
              <w:jc w:val="right"/>
              <w:ind w:right="100"/>
              <w:spacing w:after="0" w:line="142" w:lineRule="exact"/>
              <w:rPr>
                <w:sz w:val="20"/>
                <w:szCs w:val="20"/>
                <w:color w:val="auto"/>
              </w:rPr>
            </w:pPr>
            <w:r>
              <w:rPr>
                <w:rFonts w:ascii="Arial" w:cs="Arial" w:eastAsia="Arial" w:hAnsi="Arial"/>
                <w:sz w:val="14"/>
                <w:szCs w:val="14"/>
                <w:color w:val="auto"/>
              </w:rPr>
              <w:t>0.40%</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3,527,059</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2,586</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0.29%</w:t>
            </w:r>
          </w:p>
        </w:tc>
        <w:tc>
          <w:tcPr>
            <w:tcW w:w="220" w:type="dxa"/>
            <w:vAlign w:val="bottom"/>
            <w:tcBorders>
              <w:top w:val="single" w:sz="8" w:color="auto"/>
              <w:bottom w:val="single" w:sz="8" w:color="CCEEFF"/>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1,299</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CCEEFF"/>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1,057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Net interest spread(1)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3.26%</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1,091,696</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942,553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36,178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38,840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604,888</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512,873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Total Liabilities and Stockholders’</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5,361,074</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5,021,325</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ind w:left="160"/>
              <w:spacing w:after="0" w:line="154" w:lineRule="exact"/>
              <w:rPr>
                <w:sz w:val="20"/>
                <w:szCs w:val="20"/>
                <w:color w:val="auto"/>
              </w:rPr>
            </w:pPr>
            <w:r>
              <w:rPr>
                <w:rFonts w:ascii="Arial" w:cs="Arial" w:eastAsia="Arial" w:hAnsi="Arial"/>
                <w:sz w:val="14"/>
                <w:szCs w:val="14"/>
                <w:color w:val="auto"/>
              </w:rPr>
              <w:t>Equity</w:t>
            </w: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Interest income / earning assets(1)(3)</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4,990,573</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46,771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w:t>
            </w:r>
          </w:p>
        </w:tc>
        <w:tc>
          <w:tcPr>
            <w:tcW w:w="3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4,678,632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41,252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3.55%</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4,990,573</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3,643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0.29%</w:t>
            </w:r>
          </w:p>
        </w:tc>
        <w:tc>
          <w:tcPr>
            <w:tcW w:w="3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4,678,632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2,586</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Net interest margin(1)</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43,128</w:t>
            </w:r>
          </w:p>
        </w:tc>
        <w:tc>
          <w:tcPr>
            <w:tcW w:w="8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2"/>
                <w:szCs w:val="12"/>
                <w:color w:val="auto"/>
              </w:rPr>
              <w:t>3.47</w:t>
            </w:r>
            <w:r>
              <w:rPr>
                <w:rFonts w:ascii="Arial" w:cs="Arial" w:eastAsia="Arial" w:hAnsi="Arial"/>
                <w:sz w:val="20"/>
                <w:szCs w:val="20"/>
                <w:color w:val="auto"/>
                <w:vertAlign w:val="superscript"/>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38,666</w:t>
            </w:r>
          </w:p>
        </w:tc>
        <w:tc>
          <w:tcPr>
            <w:tcW w:w="9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2"/>
                <w:szCs w:val="12"/>
                <w:color w:val="auto"/>
              </w:rPr>
              <w:t>3.32</w:t>
            </w:r>
            <w:r>
              <w:rPr>
                <w:rFonts w:ascii="Arial" w:cs="Arial" w:eastAsia="Arial" w:hAnsi="Arial"/>
                <w:sz w:val="20"/>
                <w:szCs w:val="20"/>
                <w:color w:val="auto"/>
                <w:vertAlign w:val="superscript"/>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5,092</w:t>
            </w:r>
          </w:p>
        </w:tc>
        <w:tc>
          <w:tcPr>
            <w:tcW w:w="3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color w:val="auto"/>
              </w:rPr>
              <w:t>(630</w:t>
            </w:r>
            <w:r>
              <w:rPr>
                <w:rFonts w:ascii="Arial" w:cs="Arial" w:eastAsia="Arial" w:hAnsi="Arial"/>
                <w:sz w:val="20"/>
                <w:szCs w:val="20"/>
                <w:color w:val="auto"/>
                <w:vertAlign w:val="superscript"/>
              </w:rPr>
              <w:t>)</w:t>
            </w:r>
          </w:p>
        </w:tc>
        <w:tc>
          <w:tcPr>
            <w:tcW w:w="3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a tax-equivalent basis assuming a federal income tax rate of 35%.</w:t>
      </w:r>
    </w:p>
    <w:p>
      <w:pPr>
        <w:ind w:left="320" w:hanging="312"/>
        <w:spacing w:after="0" w:line="221" w:lineRule="auto"/>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Non-accrual loans have been included in average portfolio loans.</w:t>
      </w:r>
    </w:p>
    <w:p>
      <w:pPr>
        <w:ind w:left="320" w:hanging="312"/>
        <w:spacing w:after="0" w:line="221" w:lineRule="auto"/>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income includes a tax-equivalent adjustment of $0.8 million for the three months ended June 30, 2017 and 2016, respectively.</w:t>
      </w:r>
    </w:p>
    <w:p>
      <w:pPr>
        <w:ind w:left="320" w:hanging="312"/>
        <w:spacing w:after="0" w:line="221" w:lineRule="auto"/>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FHLB advances and revolving loan. Interest expense includes a non-usage fee on the revolving loan.</w:t>
      </w:r>
    </w:p>
    <w:p>
      <w:pPr>
        <w:ind w:left="320" w:hanging="312"/>
        <w:spacing w:after="0" w:line="221" w:lineRule="auto"/>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FHLB long-term debt, senior notes and subordinated notes.</w:t>
      </w: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Annualized.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 AND 2016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Change in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expense due to(1)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Income/</w:t>
            </w:r>
          </w:p>
        </w:tc>
        <w:tc>
          <w:tcPr>
            <w:tcW w:w="64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Yield/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Income/</w:t>
            </w:r>
          </w:p>
        </w:tc>
        <w:tc>
          <w:tcPr>
            <w:tcW w:w="62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Yield/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Expense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Rate(6)</w:t>
            </w:r>
          </w:p>
        </w:tc>
        <w:tc>
          <w:tcPr>
            <w:tcW w:w="100" w:type="dxa"/>
            <w:vAlign w:val="bottom"/>
          </w:tcPr>
          <w:p>
            <w:pPr>
              <w:spacing w:after="0"/>
              <w:rPr>
                <w:sz w:val="14"/>
                <w:szCs w:val="14"/>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8"/>
              </w:rPr>
              <w:t>Volume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Yield/Rate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ind w:left="180"/>
              <w:spacing w:after="0" w:line="130" w:lineRule="exact"/>
              <w:rPr>
                <w:sz w:val="20"/>
                <w:szCs w:val="20"/>
                <w:color w:val="auto"/>
              </w:rPr>
            </w:pPr>
            <w:r>
              <w:rPr>
                <w:rFonts w:ascii="Arial" w:cs="Arial" w:eastAsia="Arial" w:hAnsi="Arial"/>
                <w:sz w:val="14"/>
                <w:szCs w:val="14"/>
                <w:color w:val="auto"/>
              </w:rPr>
              <w:t>Interest-bearing bank deposits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360"/>
              <w:spacing w:after="0"/>
              <w:rPr>
                <w:sz w:val="20"/>
                <w:szCs w:val="20"/>
                <w:color w:val="auto"/>
              </w:rPr>
            </w:pPr>
            <w:r>
              <w:rPr>
                <w:rFonts w:ascii="Arial" w:cs="Arial" w:eastAsia="Arial" w:hAnsi="Arial"/>
                <w:sz w:val="14"/>
                <w:szCs w:val="14"/>
                <w:color w:val="auto"/>
              </w:rPr>
              <w:t>federal funds sold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137,826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632</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0.92%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278,988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671</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(448)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409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360"/>
              <w:spacing w:after="0" w:line="149" w:lineRule="exact"/>
              <w:rPr>
                <w:sz w:val="20"/>
                <w:szCs w:val="20"/>
                <w:color w:val="auto"/>
              </w:rPr>
            </w:pPr>
            <w:r>
              <w:rPr>
                <w:rFonts w:ascii="Arial" w:cs="Arial" w:eastAsia="Arial" w:hAnsi="Arial"/>
                <w:sz w:val="14"/>
                <w:szCs w:val="14"/>
                <w:color w:val="auto"/>
              </w:rPr>
              <w:t>U.S. Government obligations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145,922</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940</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196,323</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1,114</w:t>
            </w: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Obligations of states and political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540"/>
              <w:spacing w:after="0" w:line="149" w:lineRule="exact"/>
              <w:rPr>
                <w:sz w:val="20"/>
                <w:szCs w:val="20"/>
                <w:color w:val="auto"/>
              </w:rPr>
            </w:pPr>
            <w:r>
              <w:rPr>
                <w:rFonts w:ascii="Arial" w:cs="Arial" w:eastAsia="Arial" w:hAnsi="Arial"/>
                <w:sz w:val="14"/>
                <w:szCs w:val="14"/>
                <w:color w:val="auto"/>
              </w:rPr>
              <w:t>subdivisions(1)</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190,803</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2,843</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216,768</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3,069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2.85%</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 securities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474,034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5,469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442,478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Loans held for sale</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121,546</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2,238</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70,068</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1,383</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3.97%</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Portfolio loans(1)(2)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3,877,215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80,289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2,980,405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60,368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Total interest-earning assets(1)(3)</w:t>
            </w:r>
          </w:p>
        </w:tc>
        <w:tc>
          <w:tcPr>
            <w:tcW w:w="140" w:type="dxa"/>
            <w:vAlign w:val="bottom"/>
            <w:tcBorders>
              <w:top w:val="single" w:sz="8" w:color="auto"/>
              <w:bottom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4,947,346</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92,411</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gridSpan w:val="2"/>
          </w:tcPr>
          <w:p>
            <w:pPr>
              <w:jc w:val="right"/>
              <w:ind w:right="100"/>
              <w:spacing w:after="0" w:line="142" w:lineRule="exact"/>
              <w:rPr>
                <w:sz w:val="20"/>
                <w:szCs w:val="20"/>
                <w:color w:val="auto"/>
              </w:rPr>
            </w:pPr>
            <w:r>
              <w:rPr>
                <w:rFonts w:ascii="Arial" w:cs="Arial" w:eastAsia="Arial" w:hAnsi="Arial"/>
                <w:sz w:val="14"/>
                <w:szCs w:val="14"/>
                <w:color w:val="auto"/>
              </w:rPr>
              <w:t>3.77%</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4,185,030</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71,313</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3.43%</w:t>
            </w: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18,526</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2,572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21,098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Cash and due from banks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77,516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66,246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Premises and equipment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78,505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69,148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(48,986)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(47,475)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271,342</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191,133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5,325,723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4,464,082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Interest-bearing transaction deposits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1,019,185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613</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773,504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Savings and money market deposits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1,474,562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1,371,709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Time deposits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760,829</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2,338</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606,785</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ind w:left="360"/>
              <w:spacing w:after="0" w:line="130" w:lineRule="exact"/>
              <w:rPr>
                <w:sz w:val="20"/>
                <w:szCs w:val="20"/>
                <w:color w:val="auto"/>
              </w:rPr>
            </w:pPr>
            <w:r>
              <w:rPr>
                <w:rFonts w:ascii="Arial" w:cs="Arial" w:eastAsia="Arial" w:hAnsi="Arial"/>
                <w:sz w:val="14"/>
                <w:szCs w:val="14"/>
                <w:color w:val="auto"/>
              </w:rPr>
              <w:t>Repurchase agreements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540"/>
              <w:spacing w:after="0"/>
              <w:rPr>
                <w:sz w:val="20"/>
                <w:szCs w:val="20"/>
                <w:color w:val="auto"/>
              </w:rPr>
            </w:pPr>
            <w:r>
              <w:rPr>
                <w:rFonts w:ascii="Arial" w:cs="Arial" w:eastAsia="Arial" w:hAnsi="Arial"/>
                <w:sz w:val="14"/>
                <w:szCs w:val="14"/>
                <w:color w:val="auto"/>
              </w:rPr>
              <w:t>federal funds purchased</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171,290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327</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171,270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Other(4)</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11,188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66,834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Long-term debt(5)</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100,181</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80,000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0.25%</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Junior subordinated debt owed to</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unconsolidated trusts</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70,887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60,203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Total interest-bearing liabilities</w:t>
            </w:r>
          </w:p>
        </w:tc>
        <w:tc>
          <w:tcPr>
            <w:tcW w:w="140" w:type="dxa"/>
            <w:vAlign w:val="bottom"/>
            <w:tcBorders>
              <w:top w:val="single" w:sz="8" w:color="auto"/>
              <w:bottom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3,608,122</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6,557</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gridSpan w:val="2"/>
          </w:tcPr>
          <w:p>
            <w:pPr>
              <w:jc w:val="right"/>
              <w:ind w:right="100"/>
              <w:spacing w:after="0" w:line="142" w:lineRule="exact"/>
              <w:rPr>
                <w:sz w:val="20"/>
                <w:szCs w:val="20"/>
                <w:color w:val="auto"/>
              </w:rPr>
            </w:pPr>
            <w:r>
              <w:rPr>
                <w:rFonts w:ascii="Arial" w:cs="Arial" w:eastAsia="Arial" w:hAnsi="Arial"/>
                <w:sz w:val="14"/>
                <w:szCs w:val="14"/>
                <w:color w:val="auto"/>
              </w:rPr>
              <w:t>0.37%</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3,130,305</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4,168</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0.27%</w:t>
            </w: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559</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1,830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2,389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Net interest spread(1)</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1,079,405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855,412</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38,020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33,574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600,176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444,791</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Total Liabilities and Stockholders’</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5,325,723</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4,464,082</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ind w:left="160"/>
              <w:spacing w:after="0" w:line="154" w:lineRule="exact"/>
              <w:rPr>
                <w:sz w:val="20"/>
                <w:szCs w:val="20"/>
                <w:color w:val="auto"/>
              </w:rPr>
            </w:pPr>
            <w:r>
              <w:rPr>
                <w:rFonts w:ascii="Arial" w:cs="Arial" w:eastAsia="Arial" w:hAnsi="Arial"/>
                <w:sz w:val="14"/>
                <w:szCs w:val="14"/>
                <w:color w:val="auto"/>
              </w:rPr>
              <w:t>Equity</w:t>
            </w: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Interest income / earning assets(1)(3)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4,947,346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92,411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4,185,030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71,313</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4,947,346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6,557</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4,185,030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4,168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27" w:right="239" w:bottom="0" w:gutter="0" w:footer="0" w:header="0"/>
        </w:sectPr>
      </w:pPr>
    </w:p>
    <w:bookmarkStart w:id="32" w:name="page33"/>
    <w:bookmarkEnd w:id="32"/>
    <w:p>
      <w:pPr>
        <w:spacing w:after="0"/>
        <w:tabs>
          <w:tab w:leader="none" w:pos="3620" w:val="left"/>
          <w:tab w:leader="none" w:pos="4040" w:val="left"/>
          <w:tab w:leader="none" w:pos="4980" w:val="left"/>
          <w:tab w:leader="none" w:pos="6640" w:val="left"/>
          <w:tab w:leader="none" w:pos="7040" w:val="left"/>
          <w:tab w:leader="none" w:pos="7960" w:val="left"/>
          <w:tab w:leader="none" w:pos="8500" w:val="left"/>
          <w:tab w:leader="none" w:pos="8880" w:val="left"/>
          <w:tab w:leader="none" w:pos="9440" w:val="left"/>
          <w:tab w:leader="none" w:pos="10140" w:val="left"/>
          <w:tab w:leader="none" w:pos="10500" w:val="left"/>
          <w:tab w:leader="none" w:pos="10900" w:val="left"/>
        </w:tabs>
        <w:rPr>
          <w:sz w:val="20"/>
          <w:szCs w:val="20"/>
          <w:color w:val="auto"/>
        </w:rPr>
      </w:pPr>
      <w:r>
        <w:rPr>
          <w:rFonts w:ascii="Arial" w:cs="Arial" w:eastAsia="Arial" w:hAnsi="Arial"/>
          <w:sz w:val="28"/>
          <w:szCs w:val="28"/>
          <w:color w:val="auto"/>
          <w:vertAlign w:val="superscript"/>
        </w:rPr>
        <w:t>Net interest margin(1)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85,854</w:t>
      </w:r>
      <w:r>
        <w:rPr>
          <w:sz w:val="20"/>
          <w:szCs w:val="20"/>
          <w:color w:val="auto"/>
        </w:rPr>
        <w:tab/>
      </w:r>
      <w:r>
        <w:rPr>
          <w:rFonts w:ascii="Arial" w:cs="Arial" w:eastAsia="Arial" w:hAnsi="Arial"/>
          <w:sz w:val="14"/>
          <w:szCs w:val="14"/>
          <w:color w:val="auto"/>
        </w:rPr>
        <w:t>3.50</w:t>
      </w:r>
      <w:r>
        <w:rPr>
          <w:rFonts w:ascii="Arial" w:cs="Arial" w:eastAsia="Arial" w:hAnsi="Arial"/>
          <w:sz w:val="28"/>
          <w:szCs w:val="28"/>
          <w:color w:val="auto"/>
          <w:vertAlign w:val="superscript"/>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67,145</w:t>
      </w:r>
      <w:r>
        <w:rPr>
          <w:sz w:val="20"/>
          <w:szCs w:val="20"/>
          <w:color w:val="auto"/>
        </w:rPr>
        <w:tab/>
      </w:r>
      <w:r>
        <w:rPr>
          <w:rFonts w:ascii="Arial" w:cs="Arial" w:eastAsia="Arial" w:hAnsi="Arial"/>
          <w:sz w:val="14"/>
          <w:szCs w:val="14"/>
          <w:color w:val="auto"/>
        </w:rPr>
        <w:t>3.23</w:t>
      </w:r>
      <w:r>
        <w:rPr>
          <w:rFonts w:ascii="Arial" w:cs="Arial" w:eastAsia="Arial" w:hAnsi="Arial"/>
          <w:sz w:val="28"/>
          <w:szCs w:val="28"/>
          <w:color w:val="auto"/>
          <w:vertAlign w:val="superscript"/>
        </w:rPr>
        <w:t>%</w:t>
      </w:r>
      <w:r>
        <w:rPr>
          <w:rFonts w:ascii="Arial" w:cs="Arial" w:eastAsia="Arial" w:hAnsi="Arial"/>
          <w:sz w:val="14"/>
          <w:szCs w:val="14"/>
          <w:color w:val="auto"/>
        </w:rPr>
        <w:tab/>
        <w:t>$</w:t>
      </w:r>
      <w:r>
        <w:rPr>
          <w:sz w:val="20"/>
          <w:szCs w:val="20"/>
          <w:color w:val="auto"/>
        </w:rPr>
        <w:tab/>
      </w:r>
      <w:r>
        <w:rPr>
          <w:rFonts w:ascii="Arial" w:cs="Arial" w:eastAsia="Arial" w:hAnsi="Arial"/>
          <w:sz w:val="14"/>
          <w:szCs w:val="14"/>
          <w:color w:val="auto"/>
        </w:rPr>
        <w:t>17,967</w:t>
        <w:tab/>
        <w:t>$</w:t>
      </w:r>
      <w:r>
        <w:rPr>
          <w:sz w:val="20"/>
          <w:szCs w:val="20"/>
          <w:color w:val="auto"/>
        </w:rPr>
        <w:tab/>
      </w:r>
      <w:r>
        <w:rPr>
          <w:rFonts w:ascii="Arial" w:cs="Arial" w:eastAsia="Arial" w:hAnsi="Arial"/>
          <w:sz w:val="14"/>
          <w:szCs w:val="14"/>
          <w:color w:val="auto"/>
        </w:rPr>
        <w:t>742</w:t>
        <w:tab/>
        <w:t>$</w:t>
      </w:r>
      <w:r>
        <w:rPr>
          <w:sz w:val="20"/>
          <w:szCs w:val="20"/>
          <w:color w:val="auto"/>
        </w:rPr>
        <w:tab/>
      </w:r>
      <w:r>
        <w:rPr>
          <w:rFonts w:ascii="Arial" w:cs="Arial" w:eastAsia="Arial" w:hAnsi="Arial"/>
          <w:sz w:val="13"/>
          <w:szCs w:val="13"/>
          <w:color w:val="auto"/>
        </w:rPr>
        <w:t>18,709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a tax-equivalent basis assuming a federal income tax rate of 35%.</w:t>
      </w:r>
    </w:p>
    <w:p>
      <w:pPr>
        <w:ind w:left="320" w:hanging="312"/>
        <w:spacing w:after="0" w:line="221"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Non-accrual loans have been included in average portfolio loans.</w:t>
      </w:r>
    </w:p>
    <w:p>
      <w:pPr>
        <w:ind w:left="320" w:hanging="312"/>
        <w:spacing w:after="0" w:line="221"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income includes a tax-equivalent adjustment of $1.5 million and $1.3 million at June 30, 2017 and 2016, respectively.</w:t>
      </w:r>
    </w:p>
    <w:p>
      <w:pPr>
        <w:ind w:left="320" w:hanging="312"/>
        <w:spacing w:after="0" w:line="221"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FHLB advances and revolving loan. Interest expense includes a non-usage fee on the revolving loan.</w:t>
      </w:r>
    </w:p>
    <w:p>
      <w:pPr>
        <w:ind w:left="320" w:hanging="312"/>
        <w:spacing w:after="0" w:line="221"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FHLB long-term debt, senior notes and subordinated notes.</w:t>
      </w: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Annualized.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Consolidated Average Balance Sheets and interest rates were impacted by the April 30, 2016 Pulaski acquisition. Total average interest-earning assets increased $311.9 million, or 6.7%, to $5.0 billion for the three month period ended June 30, 2017, as compared to $4.7 billion for the same period in 2016. Total average interest-earning assets increased $762.3 million, or 18.2%, to $4.9 billion for the six month period ended June 30, 2017, as compared to $4.2 billion for the same period in 2016. Total average interest-bearing liability balances increased $101.3 million, or 2.9%, to $3.6 billion for the three month period ended June 30, 2017, as compared to $3.5 billion for the same period in 2016. Total average interest-bearing liability balances increased $477.8 million, or 15.3%, to $3.6 billion for the six month period ended June 30, 2017, as compared to $3.1 billion for the same period in 2016.</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interest income, on a tax-equivalent basis, increased $4.5 million for the three month period ended June 30, 2017, as compared to the same period of 2016. Net interest income, on a tax-equivalent basis, increased $18.7 million for the six month period ended June 30, 2017, as compared to the same period of 2016. The Federal Open Market Committee announced on March 15, 2017 that the federal funds rate increased from 0.75% to 1.00%, and then announced another rate increase on June 15, 2017 from 1.00% to 1.25%. The Company expects these increases in interest rates to be modestly favorable to net interest income in 2017. However, rising interest rates could result in decreased demand for first mortgages as well as mortgage refinancing, activities which contribute to a portion of the Company’s mortgage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increased to 3.47% for the three month period ended June 30, 2017, compared to 3.32% for the same period in 2016 and increased to 3.50% for the six month period ended June 30, 2017 compared to 3.23% for the same period in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were as follows:</w:t>
      </w:r>
    </w:p>
    <w:p>
      <w:pPr>
        <w:spacing w:after="0" w:line="217" w:lineRule="exact"/>
        <w:rPr>
          <w:sz w:val="20"/>
          <w:szCs w:val="20"/>
          <w:color w:val="auto"/>
        </w:rPr>
      </w:pPr>
    </w:p>
    <w:tbl>
      <w:tblPr>
        <w:tblLayout w:type="fixed"/>
        <w:tblInd w:w="2280" w:type="dxa"/>
        <w:tblCellMar>
          <w:top w:w="0" w:type="dxa"/>
          <w:left w:w="0" w:type="dxa"/>
          <w:bottom w:w="0" w:type="dxa"/>
          <w:right w:w="0" w:type="dxa"/>
        </w:tblCellMar>
      </w:tblPr>
      <w:tr>
        <w:trPr>
          <w:trHeight w:val="171"/>
        </w:trPr>
        <w:tc>
          <w:tcPr>
            <w:tcW w:w="38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r>
    </w:tbl>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also on a tax-equivalent basis, was 3.36% for the three month period ended June 30, 2017, compared to 3.26% for the same period in 2016 and was 3.40% for the six month period ended June 30, 2017, compared to 3.16% for the same period in 2016.</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attempts to mitigate the effects of the interest rate environment through effective portfolio management, prudent loan underwriting and operational efficiencies. Please refer to the Notes to Consolidated Financial Statements in the Company’s Annual Report on Form 10-K for the year ended December 31, 2016 for accounting policies underlying the recognition of interest income and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4"/>
              </w:rPr>
              <w:t>Six Months Ended June 30,</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2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Commissions and brokers’ fees, net</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1,473</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Fees for customer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5,873</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12,081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10,579</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1,502</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Security (losses) gains, net</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184.1%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3040" w:type="dxa"/>
            <w:vAlign w:val="bottom"/>
          </w:tcPr>
          <w:p>
            <w:pPr>
              <w:ind w:left="18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18,577</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40,076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35,423</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non-interest income of $20.1 million for the three month period ended June 30, 2017 increased by 8.0% as compared to $18.6 million for the same period in 2016. Total non-interest income of $40.1 million for the six month period ended June 30,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2017 increased by 13.1% as compared to $35.4 million for the same period in 2016. Results were impacted by the April 30, 2016 Pulaski acquisition.</w:t>
      </w:r>
    </w:p>
    <w:p>
      <w:pPr>
        <w:spacing w:after="0" w:line="23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Combined Wealth Management revenue, consisting of trust fees and commissions and brokers’ fees, net, increased to $6.6 million for the three months ended June 30, 2017 compared to $5.7 million for the three months ended June 30, 2016 and increased to $13.5 million for the six months ended June 30, 2017 compared to $11.9 million for the six months ended June 30, 2016. As Pulaski and First Community had no legacy trust fee income, the addition of this service offering in their markets is expected to provide attractive growth opportunities in future periods.</w:t>
      </w:r>
    </w:p>
    <w:p>
      <w:pPr>
        <w:sectPr>
          <w:pgSz w:w="11900" w:h="16838" w:orient="portrait"/>
          <w:cols w:equalWidth="0" w:num="1">
            <w:col w:w="11420"/>
          </w:cols>
          <w:pgMar w:left="240" w:top="269" w:right="239" w:bottom="0" w:gutter="0" w:footer="0" w:header="0"/>
        </w:sectPr>
      </w:pPr>
    </w:p>
    <w:bookmarkStart w:id="33" w:name="page34"/>
    <w:bookmarkEnd w:id="33"/>
    <w:p>
      <w:pPr>
        <w:ind w:right="80"/>
        <w:spacing w:after="0" w:line="259" w:lineRule="auto"/>
        <w:rPr>
          <w:sz w:val="20"/>
          <w:szCs w:val="20"/>
          <w:color w:val="auto"/>
        </w:rPr>
      </w:pPr>
      <w:r>
        <w:rPr>
          <w:rFonts w:ascii="Arial" w:cs="Arial" w:eastAsia="Arial" w:hAnsi="Arial"/>
          <w:sz w:val="18"/>
          <w:szCs w:val="18"/>
          <w:color w:val="auto"/>
        </w:rPr>
        <w:t>Remittance processing revenue of $2.9 million for the three months ended June 30, 2017 increased slightly compared to $2.8 million for the same period of 2016. For the first six months of 2017, remittance processing revenue remained relatively stable at $5.7 million compared to $5.8 million for the same period of 2016. Remittance processing adds important diversity to our revenue stream while widening our array of service offerings to larger commercial clients within our footprint and nationally.</w:t>
      </w:r>
    </w:p>
    <w:p>
      <w:pPr>
        <w:spacing w:after="0" w:line="1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Fees for customer services increased to $6.1 million for the three month period ended June 30, 2017 as compared to $5.9 million for the same period of 2016 and increased to $12.1 million for the six month period ended June 30, 2017 as compared to $10.6 million for the same period of 2016. Evolving regulation, product changes and changing behaviors by our client base may impact the fees for customer services in future periods.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Mortgage revenue decreased to $2.8 million for the three month period ended June 30, 2017 compared to $3.4 million for the same period of 2016. Mortgage revenue increased to $4.9 million for the six month period ended June 30, 2017 compared to $4.2 million for the same period of 2016. The Company has historically held a leading position in its primary residential loan markets in Central Illinois, while the operations acquired from Pulaski have been ranked among the top residential mortgage loan producers in the St. Louis and Kansas City markets. Results for the first six months of 2017 were influenced by an increase in mortgage rates and associated costs, as well as declines in purchase inventory.</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Security (losses) gains, net, decreased for the three and six month periods ended June 30, 2017 compared to the same period of 2016. Security (losses) gains, net, vary based on the Company’s decisions around selling securities. In the first quarter of 2017, the Company sold 100% risk weighted investments and reinvested in 20% risk weighted investments at higher yields to produce higher future returns.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Other income increased to $1.8 million for the three month period ended June 30, 2017 as compared to $0.6 million for the same period of 2016 and increased to $3.0 million for the six month period ended June 30, 2017 as compared to $1.7 million for the same period of 2016. The other income increase is across multiple revenue sources, with swap origination fee income and fluctuations in private equity investments driving the increase.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4"/>
              </w:rPr>
              <w:t>Six Months Ended 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2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5"/>
              </w:rPr>
              <w:t>Salaries, wages and employee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occupancy expense of premises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2,732</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6,311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4,899</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1,412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Data processing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5,015</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(1,076)</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7,537</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8,247</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Regulatory expense</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(451)</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(447)</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160"/>
              <w:spacing w:after="0"/>
              <w:rPr>
                <w:sz w:val="20"/>
                <w:szCs w:val="20"/>
                <w:color w:val="auto"/>
              </w:rPr>
            </w:pPr>
            <w:r>
              <w:rPr>
                <w:rFonts w:ascii="Arial" w:cs="Arial" w:eastAsia="Arial" w:hAnsi="Arial"/>
                <w:sz w:val="18"/>
                <w:szCs w:val="18"/>
                <w:color w:val="auto"/>
              </w:rPr>
              <w:t>Total non-interest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36,768</w:t>
            </w:r>
          </w:p>
        </w:tc>
        <w:tc>
          <w:tcPr>
            <w:tcW w:w="180" w:type="dxa"/>
            <w:vAlign w:val="bottom"/>
            <w:vMerge w:val="continue"/>
          </w:tcPr>
          <w:p>
            <w:pPr>
              <w:spacing w:after="0"/>
              <w:rPr>
                <w:sz w:val="21"/>
                <w:szCs w:val="21"/>
                <w:color w:val="auto"/>
              </w:rPr>
            </w:pPr>
          </w:p>
        </w:tc>
        <w:tc>
          <w:tcPr>
            <w:tcW w:w="40" w:type="dxa"/>
            <w:vAlign w:val="bottom"/>
            <w:vMerge w:val="continue"/>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36,348</w:t>
            </w:r>
          </w:p>
        </w:tc>
        <w:tc>
          <w:tcPr>
            <w:tcW w:w="22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vMerge w:val="continue"/>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74,387</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64,036</w:t>
            </w:r>
          </w:p>
        </w:tc>
        <w:tc>
          <w:tcPr>
            <w:tcW w:w="22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10,351</w:t>
            </w:r>
          </w:p>
        </w:tc>
        <w:tc>
          <w:tcPr>
            <w:tcW w:w="220" w:type="dxa"/>
            <w:vAlign w:val="bottom"/>
            <w:vMerge w:val="continue"/>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8,681</w:t>
            </w:r>
          </w:p>
        </w:tc>
        <w:tc>
          <w:tcPr>
            <w:tcW w:w="18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6,698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1,983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17,419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12,364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5,055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Effective rate on income taxes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Full-time equivalent employees as of</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period-end</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Total non-interest expense of $36.8 million for the three month period ended June 30, 2017 slightly increased as compared to $36.3 million for the same period in 2016. Total non-interest expense of $74.4 million for the six month period ended June 30, 2017 increased as compared to $64.0 million for the same period in 2016. Acquisition expenses relating to the acquisition of First Community and planned acquisition of Mid Illinois have impacted and are expected to continue to impact non-interest expense throughout 2017, while acquisition expenses related to the Pulaski acquisition impacted 2016.</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Salaries, wages and employee benefits expense of $20.1 million increased $1.6 million for the three month period ended June 30, 2017 as compared to the same period in 2016 and increased $8.1 million, to $42.0 million, for the six month period ended June 30, 2017 as compared to the same period of 2016, as a result of the Pulaski acquisition during the second quarter of 2016.</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Combined net occupancy expense of premises and furniture and equipment expenses of $4.8 million and $9.6 million for the three and six month periods ended June 30, 2017, respectively, increased compared to the same periods in 2016. The Pulaski acquisition added 13 banking centers and several loan production offices. We continue to evaluate our branch network and operations for appropriate cost control measures while seeking improvements in service delivery to our customers. The July 2, 2017 acquisition with First Community added nine additional Illinois banking centers.</w:t>
      </w:r>
    </w:p>
    <w:p>
      <w:pPr>
        <w:spacing w:after="0" w:line="171"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Data processing expense for the three month period ended June 30, 2017 of $3.9 million decreased from $5.0 million for the same period of 2016. Data processing expense for the six month period ended June 30, 2017 of $7.5 million decreased from $8.2 million for the same period of 2016. Higher data processing expense in 2016 primarily related to software conversion expenses in connection with the Pulaski acquisition.</w:t>
      </w:r>
    </w:p>
    <w:p>
      <w:pPr>
        <w:spacing w:after="0" w:line="16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Amortization of intangible assets increased for the three and six month periods ended June 30, 2017 compared to the same periods in 2016 as a result of the Pulaski acquisition. Amortization of intangible assets is expected to increase in future periods related to the First Community acquisition and planned Mid Illinois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Regulatory expense decreased 51.0% and 30.4% for the three and six month periods ended June 30, 2017, respectively, compared to the same period in 2016.</w:t>
      </w:r>
    </w:p>
    <w:p>
      <w:pPr>
        <w:spacing w:after="0" w:line="24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Other expense of $6.3 million for the three month period ended June 30, 2017 decreased $0.2 million compared to the same period in 2016. Other expense of $11.8 million for the six month period ended June 30, 2017 increased $0.9 million compared to the same period in 2016 across multiple expense categories.</w:t>
      </w:r>
    </w:p>
    <w:p>
      <w:pPr>
        <w:sectPr>
          <w:pgSz w:w="11900" w:h="16838" w:orient="portrait"/>
          <w:cols w:equalWidth="0" w:num="1">
            <w:col w:w="11460"/>
          </w:cols>
          <w:pgMar w:left="240" w:top="125" w:right="199" w:bottom="106" w:gutter="0" w:footer="0" w:header="0"/>
        </w:sectPr>
      </w:pPr>
    </w:p>
    <w:bookmarkStart w:id="34" w:name="page35"/>
    <w:bookmarkEnd w:id="34"/>
    <w:p>
      <w:pPr>
        <w:ind w:right="80"/>
        <w:spacing w:after="0" w:line="255" w:lineRule="auto"/>
        <w:rPr>
          <w:sz w:val="20"/>
          <w:szCs w:val="20"/>
          <w:color w:val="auto"/>
        </w:rPr>
      </w:pPr>
      <w:r>
        <w:rPr>
          <w:rFonts w:ascii="Arial" w:cs="Arial" w:eastAsia="Arial" w:hAnsi="Arial"/>
          <w:sz w:val="18"/>
          <w:szCs w:val="18"/>
          <w:color w:val="auto"/>
        </w:rPr>
        <w:t>The effective rate on income taxes, or income taxes divided by income before taxes, of 34.5% and 35.5% for the three and six months ended June 30, 2017, respectively, was lower than the combined federal and state statutory rate of approximately 40% due to tax preferred interest income, such as municipal bond interest and bank owned life insurance income, accounting for a portion of our taxable income. As taxable income increases, we expect our effective tax rate to increase. The Company continues to monitor evolving federal and state tax legislation and its potential impact on operations on an ongoing basis. Effective July 1, 2017, the combined Illinois corporate income tax rate and replacement tax rate increased from 7.75% to 9.50%, which will have an impact on the Company’s tax expense in future periods.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efficiency ratio represents total non-interest expense, less amortization charges, as a percentage of tax-equivalent net interest income plus non-interest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56.3% for the three month period ended June 30, 2017 improved from 61.7% in the comparable period in 2016 and the efficiency ratio of 57.6% for the six month period ended June 30, 2017 improved from 60.3% in the comparable period in 2016. Expenses relating to the First Community acquisition and planned Mid Illinois acquisition may have a negative impact on the efficiency ratio for the remainder of 2017; however, the Company expects to realize operating efficiencies creating a positive impact in future years. We will continue to examine appropriate avenues to improve efficiency.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646,349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759,811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(113,462)</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208,634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47,820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160,814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168,415</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256,319</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(87,904)</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3,871,263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3,831,105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40,158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5,531,367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5,425,170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106,197</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1,134,133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(29,092)</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3,289,171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3,240,165</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49,006</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4,394,212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4,374,298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19,914</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178,597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189,157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(10,560)</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Senior notes, net of unamortized issuance costs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39,351</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39,351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 of unamortized issuance costs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59,022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70,938</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70,868</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4,918,252</w:t>
            </w:r>
          </w:p>
        </w:tc>
        <w:tc>
          <w:tcPr>
            <w:tcW w:w="3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4,830,856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87,396</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613,115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594,314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18,801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priorities continue to focus around balance sheet strength, profitability and growth, in that order.</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25, 2017, the Company completed an offering of $40.0 million of 3.75% senior notes due May 25, 2022 and $60.0 million of 4.75% fixed-to-floating rate subordinated notes due May 25, 2027. The Company used the net proceeds from the offering to finance a portion of the consideration for its acquisition of First Community and to redeem a portion of First Community’s subordinated debentures in July 2017, and intends to use a portion to finance the planned acquisition of Mid Illinois, with the remaining proceeds to be used for general corporate purposes. Notably, the pricing was relatively favorable to other long-term debt issuances by community banks with similar credit profiles.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With our strong capital position, an attractive core funding base, a sound credit foundation, and an active growth plan, we are well positioned for the second half of 2017. New partnerships with talented bankers in St. Louis, Peoria and the Chicagoland area bring an expanding pool of business opportunities to generate value and diversity across new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originates conforming, residential mortgage loans directly through commission-based sales staffs in its market areas and through mortgage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loan application leads purchased from internet-based sources. Loans held for sale totaled $168.4 million and $256.3 million at June 30, 2017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respectively. The amount of loans held for sale decreased from December 31, 2016, due to lower origination volumes in 2017 driven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influences. The Company has historically held a leading position in its primary residential loan markets in Central Illinois, while the operations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acquired from Pulaski have been ranked among the top residential mortgage loan producers in the St. Louis and Kansas City markets. Loans held for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generate net interest income until loans are delivered to investors, at which point mortgage revenue will be recognized.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Portfolio Loans</w:t>
      </w:r>
    </w:p>
    <w:p>
      <w:pPr>
        <w:sectPr>
          <w:pgSz w:w="11900" w:h="16838" w:orient="portrait"/>
          <w:cols w:equalWidth="0" w:num="1">
            <w:col w:w="11420"/>
          </w:cols>
          <w:pgMar w:left="240" w:top="125" w:right="239" w:bottom="0" w:gutter="0" w:footer="0" w:header="0"/>
          <w:type w:val="continuous"/>
        </w:sectPr>
      </w:pPr>
    </w:p>
    <w:bookmarkStart w:id="35" w:name="page36"/>
    <w:bookmarkEnd w:id="35"/>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554,507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355,982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18,476</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29,674</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865,910</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523,655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145,517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152,628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1,687,710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28,416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465,336</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498,267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99,375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17,073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10,686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1,924,855</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3,920,464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565,853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346,204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19,207</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28,624</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878,018</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470,126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155,080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479,026</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468,212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105,620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16,202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12,250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1,988,289</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Portfolio loans increased $41.6 million, or 1.1%, as of June 30, 2017 compared to December 31, 2016. Commercial balances (consisting of commercial, commercial real estate and real estate construction loans) increased $32.1 million from December 31, 2016. Retail real estate and retail other loans increased $9.5 million from December 31, 2016. Relationship banking, rather than transactional banking, remains a focus for the Company during 2017. Relationship banking implies a primary banking relationship with the borrower that includes, at minimum, an active deposit banking relationship in addition to the lending relationship.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Our allowance for loan losses was $49.2 million, or 1.3% of portfolio loans, and $47.8 million, or 1.2% of portfolio loans, at June 30, 2017 and December 31, 2016, respectively.</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As of June 30, 2017,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 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 The provision for loan losses decreased to $0.5 million for the second quarter of 2017 compared to $1.1 million in the same period of 2016. The provision for loan losses for the six months ended June 30, 2017 decreased to $1.0 million compared to $2.1 million in the same period of 2016.</w:t>
      </w:r>
    </w:p>
    <w:p>
      <w:pPr>
        <w:spacing w:after="0" w:line="1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16,253</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3,830</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ectPr>
          <w:pgSz w:w="11900" w:h="16900" w:orient="portrait"/>
          <w:cols w:equalWidth="0" w:num="1">
            <w:col w:w="11420"/>
          </w:cols>
          <w:pgMar w:left="240" w:top="341"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20,855</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21,554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20,538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21,594</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48,442</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47,795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w w:val="97"/>
              </w:rPr>
              <w:t>Non-performing loans to portfolio loans, before allowance for</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loan losses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loans and OREO to portfolio loans, before</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4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Total non-performing assets were $20.5 million at June 30, 2017, compared to $24.1 million at December 31, 2016. Non-performing assets as a percentage of total loans and non-performing assets continued to be favorably low at 0.5% on June 30, 2017. Asset quality metrics can be generally influenced by market-specific economic conditions beyond the control of the Company, and specific measures may fluctuate from quarter to quarter.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$48.7 million at June 30, 2017, compared to $50.2 million at December 31, 2016. Management continues to monitor these credits and anticipates that restructurings, guarantees, additional collateral or other planned actions will result in full repayment of the debts. As of June 30, 2017, management identified no other loans that represent or result from trends or uncertainties which management reasonably expected to materially impact future operating results, liquidity or capital resources. As of June 30, 2017, management was not aware of any information about any other credits which caused management to have serious doubts as to the ability of such borrower(s) to comply with the loan repayment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and the Federal Reserve and brokered deposits.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June 30, 2017,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At June 30, 2017, the Company had outstanding standby letters of credit of $19.2 million and commitments to extend credit of $953.2 million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June 30, 2017, no amounts were recorded as liabilities for the Company’s potential obligations under these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For 2017, the guidelines, including the capital conservation buffer, required bank holding companies and their subsidiary banks to maintain a total capital to total risk-weighted asset ratio of not less than 9.25%, Tier 1 capital to total risk-weighted asset ratio of not less than 7.25%, Common Equity Tier 1 capital to total risk-weighted asset ratio of not less than 5.75% and a Tier 1 leverage ratio of not less than 4.00%. These minimum capital requirements will increase annually until the Basel III Rule is fully phased-in on January 1, 2019. As of June 30, 2017, First Busey had a total capital to total risk-weighted asset ratio of 16.18%, a Tier 1 capital to risk-weighted asset ratio of 13.60%, Common Equity Tier 1 capital to risk-weighted asset ratio of 11.86% and a Tier 1 leverage ratio of 10.98%; Busey Bank had ratios of 13.94%, 12.76%, 12.76% and 10.25%,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This Quarterly Report on Form 10-Q contains certain financial information determined by methods other than in accordance with GAAP. These measures include acquisition and other notable pre-tax items, operating earnings and efficiency ratios. Management uses these non-GAAP measures, together with the</w:t>
      </w:r>
    </w:p>
    <w:p>
      <w:pPr>
        <w:sectPr>
          <w:pgSz w:w="11900" w:h="16838" w:orient="portrait"/>
          <w:cols w:equalWidth="0" w:num="1">
            <w:col w:w="11420"/>
          </w:cols>
          <w:pgMar w:left="240" w:top="140" w:right="239" w:bottom="0" w:gutter="0" w:footer="0" w:header="0"/>
        </w:sectPr>
      </w:pPr>
    </w:p>
    <w:bookmarkStart w:id="37" w:name="page38"/>
    <w:bookmarkEnd w:id="37"/>
    <w:p>
      <w:pPr>
        <w:ind w:right="600"/>
        <w:spacing w:after="0" w:line="277" w:lineRule="auto"/>
        <w:rPr>
          <w:sz w:val="20"/>
          <w:szCs w:val="20"/>
          <w:color w:val="auto"/>
        </w:rPr>
      </w:pPr>
      <w:r>
        <w:rPr>
          <w:rFonts w:ascii="Arial" w:cs="Arial" w:eastAsia="Arial" w:hAnsi="Arial"/>
          <w:sz w:val="18"/>
          <w:szCs w:val="18"/>
          <w:color w:val="auto"/>
        </w:rPr>
        <w:t>related GAAP measures, in analysis of the Company’s performance and in making business decisions. Management also uses these measures for peer comparisons.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believes that operating earnings, adjusted for acquisition and other notable pre-tax items, is useful in assessing our core operating performance and in understanding the primary drivers of our non-interest income and non-interest expense when comparing periods. Management believes that operating earnings is a useful measure because it excludes expenses that can significantly fluctuate from acquisition to acquisition. In addition, management believes that excluding these expenses provides investors and analysts a measure to better understand the Company’s primary operations when comparing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Operating earnings reconciliation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2017</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MIB Pending acquisition</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First Community acquisition</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Pulaski acquisition</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Related tax benefit</w:t>
            </w:r>
          </w:p>
        </w:tc>
        <w:tc>
          <w:tcPr>
            <w:tcW w:w="14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(486)</w:t>
            </w:r>
          </w:p>
        </w:tc>
      </w:tr>
      <w:tr>
        <w:trPr>
          <w:trHeight w:val="21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efficiency ratios are standard financial measures used in the banking industry to evaluate performance.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non-GAAP disclosures contained herein should not be viewed as substitutes for the results determined to be in accordance with GAAP, nor are they necessarily comparable to non-GAAP performance measures that may be presented by other companies.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national and international economy; (ii) the economic impact of any future terrorist threats or attacks; (iii) changes in state and federal laws, regulations and governmental policies concerning First Busey’s general business; (iv) changes in interest rates and prepayment rates of First Busey’s assets; (v) increased competition in the financial services sector and the inability to attract new customers; (vi) changes in technology and the ability to develop and maintain secure and reliable electronic systems; (vii) the loss of key executives or employees; (viii) changes in consumer spending; (ix) unexpected results of current and/or future acquisitions, which may include termination of the merger agreement, failure to realize the anticipated benefits of the acquisition and the possibility that the transaction costs may be greater than anticipated; (x) unexpected outcomes of existing or new litigation involving First Busey; (xi) changes in accounting policies and practices;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2016.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Fair Value of Investment Securities. </w:t>
      </w:r>
      <w:r>
        <w:rPr>
          <w:rFonts w:ascii="Arial" w:cs="Arial" w:eastAsia="Arial" w:hAnsi="Arial"/>
          <w:sz w:val="17"/>
          <w:szCs w:val="17"/>
          <w:color w:val="auto"/>
        </w:rPr>
        <w:t>Securities are classified as held to maturity when First Busey has the ability and management has the intent to hold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securities to maturity. Accordingly, they are stated at cost, adjusted for amortization of premiums and accretion of discounts. First Busey had $208.6 million of securities classified as held to maturity at June 30, 2017. First Busey had no securities classified as trading at June 30, 2017.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As of June 30, 2017, First Busey had $646.4 million of securities classified as available for sale. For equity securities, unadjusted quoted prices in active markets for identical assets are utilized to determine fair value at the measurement date. For all other securities, we obtain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security’s terms and conditions, among other things. Due to the limited nature of the market for certain securities, the fair value and potential sale proceeds could be materially different in the event of a sale.</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Realized securities gains or losses are reported in security gains (losses), net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more-likely-than-not be required to sell the debt security before its anticipated</w:t>
      </w:r>
    </w:p>
    <w:p>
      <w:pPr>
        <w:sectPr>
          <w:pgSz w:w="11900" w:h="16838" w:orient="portrait"/>
          <w:cols w:equalWidth="0" w:num="1">
            <w:col w:w="11380"/>
          </w:cols>
          <w:pgMar w:left="240" w:top="125" w:right="279" w:bottom="0" w:gutter="0" w:footer="0" w:header="0"/>
        </w:sectPr>
      </w:pPr>
    </w:p>
    <w:bookmarkStart w:id="38" w:name="page39"/>
    <w:bookmarkEnd w:id="38"/>
    <w:p>
      <w:pPr>
        <w:spacing w:after="0" w:line="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recovery, then the Company recognizes the entire unrealized loss in earnings as an OTTI loss. If neither of these conditions are met, the Company evaluates whether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credit loss exists. The impairment is separated into the amount of the total impairment related to the credit loss and the amount of total impairment related to all other factors. The amount of the total OTTI related to the credit loss is recognized in earnings, and the amount related to all other factors is recognized in other comprehensive income.</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Fair Value of Assets Acquired and Liabilities Assumed in Business Combinations. </w:t>
      </w:r>
      <w:r>
        <w:rPr>
          <w:rFonts w:ascii="Arial" w:cs="Arial" w:eastAsia="Arial" w:hAnsi="Arial"/>
          <w:sz w:val="16"/>
          <w:szCs w:val="16"/>
          <w:color w:val="auto"/>
        </w:rPr>
        <w:t>Business combinations are accounted for using the acquisition method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Under the acquisition method of accounting, assets acquired and liabilities assumed are recorded at their estimated fair value on the date of acquisition. Analysis is conducted under the standard of fair value which is defined in ASC Topic 820, Fair Value Measurement, as “the price that would be received to sell an asset or paid to transfer a liability in an orderly transaction between market participants at the measurement date.” The fair value of a loan portfolio acquired in a business combination generally requires greater levels of management estimates and judgment than the remainder of assets acquired or liabilities assumed. At the date of acquisition, when the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The Company must estimate expected cash flows at each future reporting date. Subsequent decreases in the expected cash flows will generally result in a provision for loan losses. Subsequent increases in the expected cash flows will generally be offset against the allowance for loan losses to the extent an allowance has been established or recognized as interest income prospectively.</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 probable losses inherent in the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8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First Busey has an asset-liability committee, whose policy is to meet at least quarterly, to review current market conditions and attempts to structure the Consolidated Balance Sheets to ensure stable net interest income despite potential changes in interest rates with all other variables constant.</w:t>
      </w:r>
    </w:p>
    <w:p>
      <w:pPr>
        <w:spacing w:after="0" w:line="1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w:t>
      </w:r>
    </w:p>
    <w:p>
      <w:pPr>
        <w:sectPr>
          <w:pgSz w:w="11900" w:h="16933" w:orient="portrait"/>
          <w:cols w:equalWidth="0" w:num="1">
            <w:col w:w="11420"/>
          </w:cols>
          <w:pgMar w:left="240" w:top="125" w:right="239" w:bottom="0" w:gutter="0" w:footer="0" w:header="0"/>
        </w:sectPr>
      </w:pPr>
    </w:p>
    <w:bookmarkStart w:id="39" w:name="page40"/>
    <w:bookmarkEnd w:id="39"/>
    <w:p>
      <w:pPr>
        <w:ind w:right="20"/>
        <w:spacing w:after="0" w:line="259" w:lineRule="auto"/>
        <w:rPr>
          <w:sz w:val="20"/>
          <w:szCs w:val="20"/>
          <w:color w:val="auto"/>
        </w:rPr>
      </w:pPr>
      <w:r>
        <w:rPr>
          <w:rFonts w:ascii="Arial" w:cs="Arial" w:eastAsia="Arial" w:hAnsi="Arial"/>
          <w:sz w:val="18"/>
          <w:szCs w:val="18"/>
          <w:color w:val="auto"/>
        </w:rPr>
        <w:t>As of June 30, 2017, due to the current interest rate environment, a downward adjustment below -100 basis points in federal fund rates was not meaningful. As of December 31, 2016, a downward adjustment in federal fund rates was not meaningful. 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79"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Year-One: Basis Point Changes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0" w:type="dxa"/>
            <w:vAlign w:val="bottom"/>
            <w:gridSpan w:val="2"/>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-100</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7"/>
              </w:rPr>
              <w:t>Year-Two: Basis Point Changes</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0" w:type="dxa"/>
            <w:vAlign w:val="bottom"/>
            <w:gridSpan w:val="2"/>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-100</w:t>
            </w:r>
          </w:p>
        </w:tc>
        <w:tc>
          <w:tcPr>
            <w:tcW w:w="30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would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June 30, 2017, under the supervision and with the participation of our Chief Executive Officer, Chief Financial Officer and several other members of our senior management. Based on this evaluation, our Chief Executive Officer and Chief Financial Officer concluded that, as of June 30, 2017,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quarter ended June 30, 2017, First Busey did not make any changes in its internal control over financial reporting or other factors that have materially affected, or are reasonably likely to materially affect, its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I of the Company’s Annual Report on Form 10-K for the year ended December 31,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June 30, 2017. At June 30, 2017, the Company had 333,334 shares that may still be purchased under the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ectPr>
          <w:pgSz w:w="11900" w:h="16838" w:orient="portrait"/>
          <w:cols w:equalWidth="0" w:num="1">
            <w:col w:w="11420"/>
          </w:cols>
          <w:pgMar w:left="240" w:top="341" w:right="239" w:bottom="0" w:gutter="0" w:footer="0" w:header="0"/>
        </w:sectPr>
      </w:pPr>
    </w:p>
    <w:bookmarkStart w:id="40" w:name="page41"/>
    <w:bookmarkEnd w:id="40"/>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500" w:hanging="651"/>
        <w:spacing w:after="0" w:line="264" w:lineRule="auto"/>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Underwriting Agreement, dated May 18, 2017, between the Company and U.S. Bancorp Investments, Inc. and Sandler O’Neill &amp; Partners, L.P., as representatives of the several underwriters named therein (filed as Exhibit 1.1 to the Company’s Form 8-K filed with the Commission on May 24, 2017).</w:t>
      </w:r>
    </w:p>
    <w:p>
      <w:pPr>
        <w:spacing w:after="0" w:line="181" w:lineRule="exact"/>
        <w:rPr>
          <w:sz w:val="20"/>
          <w:szCs w:val="20"/>
          <w:color w:val="auto"/>
        </w:rPr>
      </w:pPr>
    </w:p>
    <w:p>
      <w:pPr>
        <w:ind w:left="1500" w:right="180" w:hanging="562"/>
        <w:spacing w:after="0" w:line="277" w:lineRule="auto"/>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May 25, 2017, between the Company and U.S. Bank National Association (filed as Exhibit 4.1 to the Company’s Form 8-K filed with the Commission on May 25, 2017).</w:t>
      </w:r>
    </w:p>
    <w:p>
      <w:pPr>
        <w:spacing w:after="0" w:line="170" w:lineRule="exact"/>
        <w:rPr>
          <w:sz w:val="20"/>
          <w:szCs w:val="20"/>
          <w:color w:val="auto"/>
        </w:rPr>
      </w:pPr>
    </w:p>
    <w:p>
      <w:pPr>
        <w:ind w:left="1500" w:right="80" w:hanging="562"/>
        <w:spacing w:after="0" w:line="277" w:lineRule="auto"/>
        <w:tabs>
          <w:tab w:leader="none" w:pos="1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as of May 25, 2017, between the Company and U.S. Bank National Association (filed as Exhibit 4.2 to the Company’s Form 8-K filed with the Commission on May 25, 2017).</w:t>
      </w:r>
    </w:p>
    <w:p>
      <w:pPr>
        <w:spacing w:after="0" w:line="170" w:lineRule="exact"/>
        <w:rPr>
          <w:sz w:val="20"/>
          <w:szCs w:val="20"/>
          <w:color w:val="auto"/>
        </w:rPr>
      </w:pPr>
    </w:p>
    <w:p>
      <w:pPr>
        <w:ind w:left="1500" w:right="720" w:hanging="562"/>
        <w:spacing w:after="0" w:line="277" w:lineRule="auto"/>
        <w:tabs>
          <w:tab w:leader="none" w:pos="14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Second Supplemental Indenture, dated as of May 25, 2017, between the Company and U.S. Bank National Association (filed as Exhibit 4.3 to the Company’s Form 8-K filed with the Commission on May 25, 2017).</w:t>
      </w:r>
    </w:p>
    <w:p>
      <w:pPr>
        <w:spacing w:after="0" w:line="170"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3.75% Senior Notes due 2022 (included in Exhibit 4.4 to the Company’s Form 8-K filed with the Commission on May 25,</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1500" w:right="640" w:hanging="562"/>
        <w:spacing w:after="0" w:line="277" w:lineRule="auto"/>
        <w:tabs>
          <w:tab w:leader="none" w:pos="14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Fixed-to-Floating Rate Subordinated Notes due 2027 (included in Exhibit 4.5 to the Company’s Form 8-K filed with the Commission on May 25, 2017).</w:t>
      </w:r>
    </w:p>
    <w:p>
      <w:pPr>
        <w:spacing w:after="0" w:line="17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 13a-14(a) and Rule 15d-14(a).</w:t>
      </w:r>
    </w:p>
    <w:p>
      <w:pPr>
        <w:spacing w:after="0" w:line="225"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 13a-14(a) and Rule 15d-14(a).</w:t>
      </w:r>
    </w:p>
    <w:p>
      <w:pPr>
        <w:spacing w:after="0" w:line="225" w:lineRule="exact"/>
        <w:rPr>
          <w:sz w:val="20"/>
          <w:szCs w:val="20"/>
          <w:color w:val="auto"/>
        </w:rPr>
      </w:pPr>
    </w:p>
    <w:p>
      <w:pPr>
        <w:ind w:left="1500" w:right="560" w:hanging="742"/>
        <w:spacing w:after="0" w:line="277" w:lineRule="auto"/>
        <w:tabs>
          <w:tab w:leader="none" w:pos="1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from the Company’s Chief Executive Officer.</w:t>
      </w:r>
    </w:p>
    <w:p>
      <w:pPr>
        <w:spacing w:after="0" w:line="170" w:lineRule="exact"/>
        <w:rPr>
          <w:sz w:val="20"/>
          <w:szCs w:val="20"/>
          <w:color w:val="auto"/>
        </w:rPr>
      </w:pPr>
    </w:p>
    <w:p>
      <w:pPr>
        <w:ind w:left="1500" w:right="560" w:hanging="742"/>
        <w:spacing w:after="0" w:line="277" w:lineRule="auto"/>
        <w:tabs>
          <w:tab w:leader="none" w:pos="1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from the Company’s Chief Financial Officer.</w:t>
      </w:r>
    </w:p>
    <w:p>
      <w:pPr>
        <w:spacing w:after="0" w:line="170"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Interactive data files pursuant to Rule 405 of Regulation S-T: (i) Consolidated Balance Sheets at June 30, 2017 and December 31, 2016;</w:t>
      </w:r>
    </w:p>
    <w:p>
      <w:pPr>
        <w:spacing w:after="0" w:line="46" w:lineRule="exact"/>
        <w:rPr>
          <w:sz w:val="20"/>
          <w:szCs w:val="20"/>
          <w:color w:val="auto"/>
        </w:rPr>
      </w:pPr>
    </w:p>
    <w:p>
      <w:pPr>
        <w:ind w:left="1500" w:right="180" w:hanging="6"/>
        <w:spacing w:after="0" w:line="273" w:lineRule="auto"/>
        <w:tabs>
          <w:tab w:leader="none" w:pos="176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Consolidated Statements of Income for the three and six months ended June 30, 2017 and 2016; (iii) Consolidated Statements of Comprehensive Income for the three and six months ended June 30, 2017 and 2016; (iv) Consolidated Statements of Stockholders’ Equity for the six months ended June 30, 2017 and 2016; (v) Consolidated Statements of Cash Flows for the six months ended June 30, 2017 and 2016;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41" w:right="239" w:bottom="0" w:gutter="0" w:footer="0" w:header="0"/>
        </w:sectPr>
      </w:pPr>
    </w:p>
    <w:bookmarkStart w:id="41" w:name="page42"/>
    <w:bookmarkEnd w:id="41"/>
    <w:p>
      <w:pPr>
        <w:ind w:left="5720"/>
        <w:spacing w:after="0"/>
        <w:tabs>
          <w:tab w:leader="none" w:pos="6160" w:val="left"/>
        </w:tabs>
        <w:rPr>
          <w:sz w:val="20"/>
          <w:szCs w:val="20"/>
          <w:color w:val="auto"/>
        </w:rPr>
      </w:pPr>
      <w:r>
        <w:rPr>
          <w:rFonts w:ascii="Arial" w:cs="Arial" w:eastAsia="Arial" w:hAnsi="Arial"/>
          <w:sz w:val="18"/>
          <w:szCs w:val="18"/>
          <w:color w:val="auto"/>
        </w:rPr>
        <w:t>By:</w:t>
        <w:tab/>
        <w:t>/s/ SUSAN 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Susan K. Miller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Deputy Chief Financial Officer and Chief Accounting Officer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20"/>
          </w:cols>
          <w:pgMar w:left="240" w:top="341" w:right="10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June 30, 2017,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June 30, 2017,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718"/>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2020-01-17T23:44:46Z</dcterms:created>
  <dcterms:modified xsi:type="dcterms:W3CDTF">2020-01-17T23:44:46Z</dcterms:modified>
</cp:coreProperties>
</file>