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18, 2025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FIRST BUSEY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0-15950</w:t>
            </w:r>
          </w:p>
        </w:tc>
        <w:tc>
          <w:tcPr>
            <w:tcW w:w="17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37-1078406</w:t>
            </w:r>
          </w:p>
        </w:tc>
      </w:tr>
      <w:tr>
        <w:trPr>
          <w:trHeight w:val="216"/>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7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3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7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2220" w:type="dxa"/>
            <w:vAlign w:val="bottom"/>
          </w:tcPr>
          <w:p>
            <w:pPr>
              <w:spacing w:after="0"/>
              <w:rPr>
                <w:sz w:val="24"/>
                <w:szCs w:val="24"/>
                <w:color w:val="auto"/>
              </w:rPr>
            </w:pPr>
          </w:p>
        </w:tc>
        <w:tc>
          <w:tcPr>
            <w:tcW w:w="5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100 West University Avenue</w:t>
            </w:r>
          </w:p>
        </w:tc>
        <w:tc>
          <w:tcPr>
            <w:tcW w:w="174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3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Champaign, Illinois 61820</w:t>
            </w:r>
          </w:p>
        </w:tc>
        <w:tc>
          <w:tcPr>
            <w:tcW w:w="1740" w:type="dxa"/>
            <w:vAlign w:val="bottom"/>
          </w:tcPr>
          <w:p>
            <w:pPr>
              <w:spacing w:after="0"/>
              <w:rPr>
                <w:sz w:val="18"/>
                <w:szCs w:val="18"/>
                <w:color w:val="auto"/>
              </w:rPr>
            </w:pPr>
          </w:p>
        </w:tc>
      </w:tr>
      <w:tr>
        <w:trPr>
          <w:trHeight w:val="238"/>
        </w:trPr>
        <w:tc>
          <w:tcPr>
            <w:tcW w:w="2220" w:type="dxa"/>
            <w:vAlign w:val="bottom"/>
          </w:tcPr>
          <w:p>
            <w:pPr>
              <w:spacing w:after="0"/>
              <w:rPr>
                <w:sz w:val="20"/>
                <w:szCs w:val="20"/>
                <w:color w:val="auto"/>
              </w:rPr>
            </w:pPr>
          </w:p>
        </w:tc>
        <w:tc>
          <w:tcPr>
            <w:tcW w:w="53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740" w:type="dxa"/>
            <w:vAlign w:val="bottom"/>
          </w:tcPr>
          <w:p>
            <w:pPr>
              <w:spacing w:after="0"/>
              <w:rPr>
                <w:sz w:val="20"/>
                <w:szCs w:val="20"/>
                <w:color w:val="auto"/>
              </w:rPr>
            </w:pPr>
          </w:p>
        </w:tc>
      </w:tr>
      <w:tr>
        <w:trPr>
          <w:trHeight w:val="410"/>
        </w:trPr>
        <w:tc>
          <w:tcPr>
            <w:tcW w:w="2220" w:type="dxa"/>
            <w:vAlign w:val="bottom"/>
          </w:tcPr>
          <w:p>
            <w:pPr>
              <w:spacing w:after="0"/>
              <w:rPr>
                <w:sz w:val="24"/>
                <w:szCs w:val="24"/>
                <w:color w:val="auto"/>
              </w:rPr>
            </w:pPr>
          </w:p>
        </w:tc>
        <w:tc>
          <w:tcPr>
            <w:tcW w:w="5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(217) 365-4544</w:t>
            </w:r>
          </w:p>
        </w:tc>
        <w:tc>
          <w:tcPr>
            <w:tcW w:w="174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3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740" w:type="dxa"/>
            <w:vAlign w:val="bottom"/>
          </w:tcPr>
          <w:p>
            <w:pPr>
              <w:spacing w:after="0"/>
              <w:rPr>
                <w:sz w:val="20"/>
                <w:szCs w:val="20"/>
                <w:color w:val="auto"/>
              </w:rPr>
            </w:pPr>
          </w:p>
        </w:tc>
      </w:tr>
      <w:tr>
        <w:trPr>
          <w:trHeight w:val="410"/>
        </w:trPr>
        <w:tc>
          <w:tcPr>
            <w:tcW w:w="2220" w:type="dxa"/>
            <w:vAlign w:val="bottom"/>
          </w:tcPr>
          <w:p>
            <w:pPr>
              <w:spacing w:after="0"/>
              <w:rPr>
                <w:sz w:val="24"/>
                <w:szCs w:val="24"/>
                <w:color w:val="auto"/>
              </w:rPr>
            </w:pPr>
          </w:p>
        </w:tc>
        <w:tc>
          <w:tcPr>
            <w:tcW w:w="5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N/A</w:t>
            </w:r>
          </w:p>
        </w:tc>
        <w:tc>
          <w:tcPr>
            <w:tcW w:w="174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40" w:type="dxa"/>
            <w:vAlign w:val="bottom"/>
          </w:tcPr>
          <w:p>
            <w:pPr>
              <w:spacing w:after="0"/>
              <w:rPr>
                <w:sz w:val="20"/>
                <w:szCs w:val="20"/>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506"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symbol(s)</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BUSE</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Stock Market LLC</w:t>
            </w:r>
          </w:p>
        </w:tc>
      </w:tr>
    </w:tbl>
    <w:p>
      <w:pPr>
        <w:spacing w:after="0" w:line="17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under the Securities Act (17 CFR 230.405) or Rule 12b-2 under the Exchange Act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 w:name="page2"/>
    <w:bookmarkEnd w:id="1"/>
    <w:p>
      <w:pPr>
        <w:ind w:left="1120" w:right="160" w:hanging="1119"/>
        <w:spacing w:after="0" w:line="286" w:lineRule="auto"/>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Departure of Jeffrey D. Jones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February 19, 2025, First Busey Corporation (the “Company”) entered into a Separation Agreement (the “Separation Agreement”) with Jeffrey D. Jones, the former Executive Vice President, Chief Financial Officer of the Company and Busey Bank, confirming the separation of Mr. Jones from his employment with the Company and its subsidiaries effective February 18, 2025. Mr. Jones’ separation from the Company was not related in any way to, and did not involve any disagreement with respect to, the Company’s financial reporting or financial condition, operations, or financial policies or practices, including the Company’s controls, or the pending acquisition of CrossFirst Bankshares, Inc.</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Under the terms of the Separation Agreement, subject to the effectiveness of a release of claims, Mr. Jones will receive (a) cash severance in the amount of $1,045,935, representing the sum of one year of base salary and the amount of his last annual bonus from 2024, (b) a pro-rated annual bonus for 2025, determined based on actual performance for the 2025 performance year, (c) one year of continued health insurance coverage under COBRA and (d) a cash amount in the amount of $637,712, reflecting the pro rata value of restricted stock units granted in 2020 that were scheduled to vest in 2025. Mr. Jones’ outstanding unvested equity awards will otherwise be forfeited pursuant to the terms of the relevant plan and award agreements. In addition, Mr. Jones continues to be bound by his post-employment non-competition, non-solicitation, and non-disclosure covenants and obligations under his employment agreement.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summary of the Separation Agreement is qualified in its entirety by reference to the full text of the Separation Agreement, a copy of which is attached hereto as Exhibit 10.1 and is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Scott A. Phillips as Interim Chief Financial Officer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February 18, 2025, the Board of Directors of the Company appointed Scott A. Phillips, CPA, as Interim Chief Financial Officer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Phillips also will serve as the Interim Chief Financial Officer of Busey Bank, the Company’s principal subsidiary.</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Mr. Phillips, age 46, has served as the Company’s Senior Vice President, Corporate Controller and Principal Accounting Officer since 2023 and as the Company’s Senior Vice President, Corporate Controller since 2019. In his capacity as Senior Vice President, Corporate Controller and Principal Accounting Officer of the Company, Mr. Phillips also oversees the Company’s accounting department, accounting policy, income taxes and U.S. Securities and Exchange Commission (“SEC”), Sarbanes-Oxley and regulatory reporting and will retain this oversight responsibility while serving as Interim Chief Financial Officer.</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With more than 20 years professional experience—15 of which are in banking—Mr. Phillips started his career spending nearly five years as a Senior Auditor at Deloitte and Touche, performing operational and financial audits for public and private companies in the financial services, real estate, manufacturing, transportation and consumer products industries. He went on to become the SEC Reporting Project Manager at BB&amp;T Corporation—now Truist Financial—where he was responsible for quarterly and annual SEC reporting. From there, Mr. Phillips spent five years at Florida Community Bank, first as the Director of Financial Reporting and then as the Chief Accounting Officer.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right="80"/>
        <w:spacing w:after="0" w:line="266" w:lineRule="auto"/>
        <w:rPr>
          <w:sz w:val="20"/>
          <w:szCs w:val="20"/>
          <w:color w:val="auto"/>
        </w:rPr>
      </w:pPr>
      <w:r>
        <w:rPr>
          <w:rFonts w:ascii="Times New Roman" w:cs="Times New Roman" w:eastAsia="Times New Roman" w:hAnsi="Times New Roman"/>
          <w:sz w:val="18"/>
          <w:szCs w:val="18"/>
          <w:color w:val="auto"/>
        </w:rPr>
        <w:t>Mr. Phillips has a Master of Business Administration degree from Webster University, a Bachelor of Science in Accounting from the University of North Florida and a Bachelor of Science in Business Administration from Coastal Carolina University. Mr. Phillips is an active member of the American Institute of Certified Public Accountants (AICPA).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this time, Mr. Phillips will continue to be compensated according to the terms of his existing compensation arrangements with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(d)            Exhibits</w:t>
            </w:r>
          </w:p>
        </w:tc>
        <w:tc>
          <w:tcPr>
            <w:tcW w:w="3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14"/>
        </w:trPr>
        <w:tc>
          <w:tcPr>
            <w:tcW w:w="320" w:type="dxa"/>
            <w:vAlign w:val="bottom"/>
          </w:tcPr>
          <w:p>
            <w:pPr>
              <w:spacing w:after="0"/>
              <w:rPr>
                <w:sz w:val="24"/>
                <w:szCs w:val="24"/>
                <w:color w:val="auto"/>
              </w:rPr>
            </w:pP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Exhibit</w:t>
            </w:r>
          </w:p>
        </w:tc>
        <w:tc>
          <w:tcPr>
            <w:tcW w:w="3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Number</w:t>
            </w:r>
          </w:p>
        </w:tc>
        <w:tc>
          <w:tcPr>
            <w:tcW w:w="380" w:type="dxa"/>
            <w:vAlign w:val="bottom"/>
          </w:tcPr>
          <w:p>
            <w:pPr>
              <w:spacing w:after="0"/>
              <w:rPr>
                <w:sz w:val="18"/>
                <w:szCs w:val="18"/>
                <w:color w:val="auto"/>
              </w:rPr>
            </w:pPr>
          </w:p>
        </w:tc>
        <w:tc>
          <w:tcPr>
            <w:tcW w:w="9660" w:type="dxa"/>
            <w:vAlign w:val="bottom"/>
            <w:gridSpan w:val="2"/>
          </w:tcPr>
          <w:p>
            <w:pPr>
              <w:ind w:left="4420"/>
              <w:spacing w:after="0"/>
              <w:rPr>
                <w:sz w:val="20"/>
                <w:szCs w:val="20"/>
                <w:color w:val="auto"/>
              </w:rPr>
            </w:pPr>
            <w:r>
              <w:rPr>
                <w:rFonts w:ascii="Times New Roman" w:cs="Times New Roman" w:eastAsia="Times New Roman" w:hAnsi="Times New Roman"/>
                <w:sz w:val="18"/>
                <w:szCs w:val="18"/>
                <w:color w:val="auto"/>
              </w:rPr>
              <w:t>Description</w:t>
            </w:r>
          </w:p>
        </w:tc>
      </w:tr>
      <w:tr>
        <w:trPr>
          <w:trHeight w:val="194"/>
        </w:trPr>
        <w:tc>
          <w:tcPr>
            <w:tcW w:w="1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040" w:type="dxa"/>
            <w:vAlign w:val="bottom"/>
            <w:gridSpan w:val="3"/>
          </w:tcPr>
          <w:p>
            <w:pPr>
              <w:ind w:left="380"/>
              <w:spacing w:after="0" w:line="194" w:lineRule="exact"/>
              <w:rPr>
                <w:sz w:val="20"/>
                <w:szCs w:val="20"/>
                <w:color w:val="auto"/>
              </w:rPr>
            </w:pPr>
            <w:r>
              <w:rPr>
                <w:rFonts w:ascii="Times New Roman" w:cs="Times New Roman" w:eastAsia="Times New Roman" w:hAnsi="Times New Roman"/>
                <w:sz w:val="18"/>
                <w:szCs w:val="18"/>
                <w:color w:val="0000EE"/>
              </w:rPr>
              <w:t>Separation Agreement between First Busey Corporation and Jeffrey D. Jones, dated February 18, 2025</w:t>
            </w:r>
          </w:p>
        </w:tc>
      </w:tr>
      <w:tr>
        <w:trPr>
          <w:trHeight w:val="20"/>
        </w:trPr>
        <w:tc>
          <w:tcPr>
            <w:tcW w:w="3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in the Inline XBRL document)</w:t>
            </w:r>
          </w:p>
        </w:tc>
      </w:tr>
      <w:tr>
        <w:trPr>
          <w:trHeight w:val="648"/>
        </w:trPr>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gridSpan w:val="2"/>
          </w:tcPr>
          <w:p>
            <w:pPr>
              <w:jc w:val="right"/>
              <w:ind w:right="3230"/>
              <w:spacing w:after="0"/>
              <w:rPr>
                <w:sz w:val="20"/>
                <w:szCs w:val="20"/>
                <w:color w:val="auto"/>
              </w:rPr>
            </w:pPr>
            <w:r>
              <w:rPr>
                <w:rFonts w:ascii="Times New Roman" w:cs="Times New Roman" w:eastAsia="Times New Roman" w:hAnsi="Times New Roman"/>
                <w:sz w:val="18"/>
                <w:szCs w:val="18"/>
                <w:color w:val="auto"/>
              </w:rPr>
              <w:t>2</w:t>
            </w: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February 21, 2025</w:t>
      </w:r>
      <w:r>
        <w:rPr>
          <w:sz w:val="20"/>
          <w:szCs w:val="20"/>
          <w:color w:val="auto"/>
        </w:rPr>
        <w:tab/>
      </w:r>
      <w:r>
        <w:rPr>
          <w:rFonts w:ascii="Times New Roman" w:cs="Times New Roman" w:eastAsia="Times New Roman" w:hAnsi="Times New Roman"/>
          <w:sz w:val="17"/>
          <w:szCs w:val="17"/>
          <w:color w:val="auto"/>
        </w:rPr>
        <w:t>Van A. Dukeman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Van A. Dukeman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385269"/>
        </w:rPr>
        <w:t>FIRST BUSEY CORPORATION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62626"/>
        </w:rPr>
        <w:t>100 W. UNIVERSITY AVE.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62626"/>
        </w:rPr>
        <w:t>CHAMPAIGN, IL 61820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Jeffrey D. Jones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1607 Mullikin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Champaign, IL 61822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Jeff:</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discussed, your employment with First Busey Corporation (“</w:t>
      </w:r>
      <w:r>
        <w:rPr>
          <w:rFonts w:ascii="Times New Roman" w:cs="Times New Roman" w:eastAsia="Times New Roman" w:hAnsi="Times New Roman"/>
          <w:sz w:val="18"/>
          <w:szCs w:val="18"/>
          <w:b w:val="1"/>
          <w:bCs w:val="1"/>
          <w:color w:val="auto"/>
        </w:rPr>
        <w:t>First Busey</w:t>
      </w:r>
      <w:r>
        <w:rPr>
          <w:rFonts w:ascii="Times New Roman" w:cs="Times New Roman" w:eastAsia="Times New Roman" w:hAnsi="Times New Roman"/>
          <w:sz w:val="18"/>
          <w:szCs w:val="18"/>
          <w:color w:val="auto"/>
        </w:rPr>
        <w:t>”) and its subsidiaries (collectively with First Busey, “</w:t>
      </w:r>
      <w:r>
        <w:rPr>
          <w:rFonts w:ascii="Times New Roman" w:cs="Times New Roman" w:eastAsia="Times New Roman" w:hAnsi="Times New Roman"/>
          <w:sz w:val="18"/>
          <w:szCs w:val="18"/>
          <w:b w:val="1"/>
          <w:bCs w:val="1"/>
          <w:color w:val="auto"/>
        </w:rPr>
        <w:t>Employer</w:t>
      </w:r>
      <w:r>
        <w:rPr>
          <w:rFonts w:ascii="Times New Roman" w:cs="Times New Roman" w:eastAsia="Times New Roman" w:hAnsi="Times New Roman"/>
          <w:sz w:val="18"/>
          <w:szCs w:val="18"/>
          <w:color w:val="auto"/>
        </w:rPr>
        <w:t>”) will end on February 18, 2025 (the “</w:t>
      </w:r>
      <w:r>
        <w:rPr>
          <w:rFonts w:ascii="Times New Roman" w:cs="Times New Roman" w:eastAsia="Times New Roman" w:hAnsi="Times New Roman"/>
          <w:sz w:val="18"/>
          <w:szCs w:val="18"/>
          <w:b w:val="1"/>
          <w:bCs w:val="1"/>
          <w:color w:val="auto"/>
        </w:rPr>
        <w:t>Separation Date</w:t>
      </w:r>
      <w:r>
        <w:rPr>
          <w:rFonts w:ascii="Times New Roman" w:cs="Times New Roman" w:eastAsia="Times New Roman" w:hAnsi="Times New Roman"/>
          <w:sz w:val="18"/>
          <w:szCs w:val="18"/>
          <w:color w:val="auto"/>
        </w:rPr>
        <w:t>”). This letter is being provided to you to describe amounts and the conditions on which severance payments and benefits will be provided to you pursuant to your employment agreement with First Busey and Busey Bank effective August 19, 2019, as amended effective December 5, 2019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Separation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of the Separation Date, you are (i) terminated from, and deemed to resign from, your role as Executive Vice President, Chief Financial Officer of First Busey and Busey Bank, and (ii) are deemed to resign from all boards, board committees, and other administrative positions you hold at or on behalf of Employer. At the close of business on the Separation Date, your employment with Employer will end automatically without further action by you or Employer, and this letter shall constitute the Notice of Termination for purposes of your Employment Agreement, which termination is pursuant to </w:t>
      </w:r>
      <w:r>
        <w:rPr>
          <w:rFonts w:ascii="Times New Roman" w:cs="Times New Roman" w:eastAsia="Times New Roman" w:hAnsi="Times New Roman"/>
          <w:sz w:val="18"/>
          <w:szCs w:val="18"/>
          <w:b w:val="1"/>
          <w:bCs w:val="1"/>
          <w:color w:val="auto"/>
        </w:rPr>
        <w:t xml:space="preserve">Section 4(e) </w:t>
      </w:r>
      <w:r>
        <w:rPr>
          <w:rFonts w:ascii="Times New Roman" w:cs="Times New Roman" w:eastAsia="Times New Roman" w:hAnsi="Times New Roman"/>
          <w:sz w:val="18"/>
          <w:szCs w:val="18"/>
          <w:color w:val="auto"/>
        </w:rPr>
        <w:t>of your Employment Agreement. You agree to execute any further documentation Employer reasonably may request to evidence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resignation and termination of employment.</w:t>
      </w:r>
    </w:p>
    <w:p>
      <w:pPr>
        <w:spacing w:after="0" w:line="183"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Payments and Benefits on Separation; Conditions to Payments and Benefits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termination of your employment and subject to the terms and conditions described herein, you will be entitled to receive the payments and benefits described in Schedule 1 attached to the Release (as defined below) in full satisfaction of all of Employer’s obligations to you under </w:t>
      </w:r>
      <w:r>
        <w:rPr>
          <w:rFonts w:ascii="Times New Roman" w:cs="Times New Roman" w:eastAsia="Times New Roman" w:hAnsi="Times New Roman"/>
          <w:sz w:val="18"/>
          <w:szCs w:val="18"/>
          <w:b w:val="1"/>
          <w:bCs w:val="1"/>
          <w:color w:val="auto"/>
        </w:rPr>
        <w:t xml:space="preserve">Section 6(b) </w:t>
      </w:r>
      <w:r>
        <w:rPr>
          <w:rFonts w:ascii="Times New Roman" w:cs="Times New Roman" w:eastAsia="Times New Roman" w:hAnsi="Times New Roman"/>
          <w:sz w:val="18"/>
          <w:szCs w:val="18"/>
          <w:color w:val="auto"/>
        </w:rPr>
        <w:t>of the Employment Agreement and any other severance-related terms set forth therein or in any agreement with Employer to which you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subject as of the Separation Date (collectively, the “</w:t>
      </w:r>
      <w:r>
        <w:rPr>
          <w:rFonts w:ascii="Times New Roman" w:cs="Times New Roman" w:eastAsia="Times New Roman" w:hAnsi="Times New Roman"/>
          <w:sz w:val="18"/>
          <w:szCs w:val="18"/>
          <w:b w:val="1"/>
          <w:bCs w:val="1"/>
          <w:color w:val="auto"/>
        </w:rPr>
        <w:t>Separation Payments</w:t>
      </w:r>
      <w:r>
        <w:rPr>
          <w:rFonts w:ascii="Times New Roman" w:cs="Times New Roman" w:eastAsia="Times New Roman" w:hAnsi="Times New Roman"/>
          <w:sz w:val="18"/>
          <w:szCs w:val="18"/>
          <w:color w:val="auto"/>
        </w:rPr>
        <w:t xml:space="preserve">”). Employer also will pay you the “Accrued Benefits” (as defined in the Employment Agreement) in accordance with </w:t>
      </w:r>
      <w:r>
        <w:rPr>
          <w:rFonts w:ascii="Times New Roman" w:cs="Times New Roman" w:eastAsia="Times New Roman" w:hAnsi="Times New Roman"/>
          <w:sz w:val="18"/>
          <w:szCs w:val="18"/>
          <w:b w:val="1"/>
          <w:bCs w:val="1"/>
          <w:color w:val="auto"/>
        </w:rPr>
        <w:t>Section 6(a)</w:t>
      </w:r>
      <w:r>
        <w:rPr>
          <w:rFonts w:ascii="Times New Roman" w:cs="Times New Roman" w:eastAsia="Times New Roman" w:hAnsi="Times New Roman"/>
          <w:sz w:val="18"/>
          <w:szCs w:val="18"/>
          <w:color w:val="auto"/>
        </w:rPr>
        <w:t xml:space="preserve"> of the Employment Agreement, including your annual incentive bonus in respect of 2024, which will be paid to you when such bonuses are paid to similarly situated employees of Employer in such amount as previously determined by the Compensation and Succession Committee on January 31, 2025. Your equity awards will be forfeited in accordance with the applicable award agreements under First Busey’s Amended 2020 Equity Incentive Plan (except as otherwise set forth in Schedule 1 attached to the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Mr. Jeffrey D. Jones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Separation Payments are conditioned on and subject to your timely execution, after the Separation Date, and non-revocation of a general release and waiver of claims in the form set forth on Exhibit A hereto (the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xml:space="preserve">”) and your ongoing compliance with all other terms and conditions of the Release and the Employment Agreement, including the confidentiality, non-competition and non-solicitation provisions set forth in </w:t>
      </w:r>
      <w:r>
        <w:rPr>
          <w:rFonts w:ascii="Times New Roman" w:cs="Times New Roman" w:eastAsia="Times New Roman" w:hAnsi="Times New Roman"/>
          <w:sz w:val="18"/>
          <w:szCs w:val="18"/>
          <w:b w:val="1"/>
          <w:bCs w:val="1"/>
          <w:color w:val="auto"/>
        </w:rPr>
        <w:t>Sections 9 and 10</w:t>
      </w:r>
      <w:r>
        <w:rPr>
          <w:rFonts w:ascii="Times New Roman" w:cs="Times New Roman" w:eastAsia="Times New Roman" w:hAnsi="Times New Roman"/>
          <w:sz w:val="18"/>
          <w:szCs w:val="18"/>
          <w:color w:val="auto"/>
        </w:rPr>
        <w:t xml:space="preserve"> of the Employment Agreement. Notwithstanding the foregoing, nothing in the Employment Agreement, including in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thereof, or in the Release shall limit your Protected Rights (as defined in the Release).</w:t>
      </w:r>
    </w:p>
    <w:p>
      <w:pPr>
        <w:spacing w:after="0" w:line="179"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 Other Benefits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 xml:space="preserve">You acknowledge and agree that, except as set forth in </w:t>
      </w:r>
      <w:r>
        <w:rPr>
          <w:rFonts w:ascii="Times New Roman" w:cs="Times New Roman" w:eastAsia="Times New Roman" w:hAnsi="Times New Roman"/>
          <w:sz w:val="18"/>
          <w:szCs w:val="18"/>
          <w:b w:val="1"/>
          <w:bCs w:val="1"/>
          <w:color w:val="auto"/>
        </w:rPr>
        <w:t>Section 2</w:t>
      </w:r>
      <w:r>
        <w:rPr>
          <w:rFonts w:ascii="Times New Roman" w:cs="Times New Roman" w:eastAsia="Times New Roman" w:hAnsi="Times New Roman"/>
          <w:sz w:val="18"/>
          <w:szCs w:val="18"/>
          <w:color w:val="auto"/>
        </w:rPr>
        <w:t xml:space="preserve"> of this letter, you are not entitled to any severance or other payments or benefits under the Employment Agreement, equity award agreements or otherwise in connection with your termination of employment with Employer.</w:t>
      </w:r>
    </w:p>
    <w:p>
      <w:pPr>
        <w:spacing w:after="0" w:line="155"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Additional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letter will be governed by and construed in accordance with the laws of the State of Illinois without reference to the law regarding of conflicts of law.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specifically provided herein, the terms of the Employment Agreement shall continue to apply.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If you agree that this letter correctly memorializes our understandings, please sign and return this letter, which will become a binding agreement on our receipt.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FIRST BUSEY CORPORATION and BUSEY BANK</w:t>
            </w:r>
          </w:p>
        </w:tc>
        <w:tc>
          <w:tcPr>
            <w:tcW w:w="5500" w:type="dxa"/>
            <w:vAlign w:val="bottom"/>
          </w:tcPr>
          <w:p>
            <w:pPr>
              <w:spacing w:after="0"/>
              <w:rPr>
                <w:sz w:val="20"/>
                <w:szCs w:val="20"/>
                <w:color w:val="auto"/>
              </w:rPr>
            </w:pPr>
          </w:p>
        </w:tc>
      </w:tr>
      <w:tr>
        <w:trPr>
          <w:trHeight w:val="432"/>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Van A. Dukeman</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 Jeffrey D. Jones</w:t>
            </w:r>
          </w:p>
        </w:tc>
      </w:tr>
      <w:tr>
        <w:trPr>
          <w:trHeight w:val="211"/>
        </w:trPr>
        <w:tc>
          <w:tcPr>
            <w:tcW w:w="340" w:type="dxa"/>
            <w:vAlign w:val="bottom"/>
          </w:tcPr>
          <w:p>
            <w:pPr>
              <w:spacing w:after="0"/>
              <w:rPr>
                <w:sz w:val="18"/>
                <w:szCs w:val="18"/>
                <w:color w:val="auto"/>
              </w:rPr>
            </w:pPr>
          </w:p>
        </w:tc>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Van A. Dukeman</w:t>
            </w:r>
          </w:p>
        </w:tc>
        <w:tc>
          <w:tcPr>
            <w:tcW w:w="220" w:type="dxa"/>
            <w:vAlign w:val="bottom"/>
          </w:tcPr>
          <w:p>
            <w:pPr>
              <w:spacing w:after="0"/>
              <w:rPr>
                <w:sz w:val="18"/>
                <w:szCs w:val="18"/>
                <w:color w:val="auto"/>
              </w:rPr>
            </w:pPr>
          </w:p>
        </w:tc>
        <w:tc>
          <w:tcPr>
            <w:tcW w:w="5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Jeffrey D. Jones</w:t>
            </w:r>
          </w:p>
        </w:tc>
      </w:tr>
    </w:tbl>
    <w:p>
      <w:pPr>
        <w:ind w:left="340"/>
        <w:spacing w:after="0"/>
        <w:rPr>
          <w:sz w:val="20"/>
          <w:szCs w:val="20"/>
          <w:color w:val="auto"/>
        </w:rPr>
      </w:pPr>
      <w:r>
        <w:rPr>
          <w:rFonts w:ascii="Times New Roman" w:cs="Times New Roman" w:eastAsia="Times New Roman" w:hAnsi="Times New Roman"/>
          <w:sz w:val="18"/>
          <w:szCs w:val="18"/>
          <w:color w:val="auto"/>
        </w:rPr>
        <w:t>Chairman, President and Chief Executive Officer of First Busey</w:t>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Corporation and Busey Bank</w:t>
      </w:r>
    </w:p>
    <w:p>
      <w:pPr>
        <w:spacing w:after="0" w:line="9" w:lineRule="exact"/>
        <w:rPr>
          <w:sz w:val="20"/>
          <w:szCs w:val="20"/>
          <w:color w:val="auto"/>
        </w:rPr>
      </w:pPr>
    </w:p>
    <w:p>
      <w:pPr>
        <w:ind w:left="5740"/>
        <w:spacing w:after="0"/>
        <w:tabs>
          <w:tab w:leader="none" w:pos="62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February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5715</wp:posOffset>
            </wp:positionV>
            <wp:extent cx="31375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Jones Separation Letter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 AND RELEASE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Agreement and Release (this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is made and entered into by Jeffrey D. Jones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in favor of First Busey Corporation (“</w:t>
      </w:r>
      <w:r>
        <w:rPr>
          <w:rFonts w:ascii="Times New Roman" w:cs="Times New Roman" w:eastAsia="Times New Roman" w:hAnsi="Times New Roman"/>
          <w:sz w:val="18"/>
          <w:szCs w:val="18"/>
          <w:b w:val="1"/>
          <w:bCs w:val="1"/>
          <w:color w:val="auto"/>
        </w:rPr>
        <w:t>First Busey</w:t>
      </w:r>
      <w:r>
        <w:rPr>
          <w:rFonts w:ascii="Times New Roman" w:cs="Times New Roman" w:eastAsia="Times New Roman" w:hAnsi="Times New Roman"/>
          <w:sz w:val="18"/>
          <w:szCs w:val="18"/>
          <w:color w:val="auto"/>
        </w:rPr>
        <w:t>”) and its subsidiaries (collectively with First Busey, “</w:t>
      </w:r>
      <w:r>
        <w:rPr>
          <w:rFonts w:ascii="Times New Roman" w:cs="Times New Roman" w:eastAsia="Times New Roman" w:hAnsi="Times New Roman"/>
          <w:sz w:val="18"/>
          <w:szCs w:val="18"/>
          <w:b w:val="1"/>
          <w:bCs w:val="1"/>
          <w:color w:val="auto"/>
        </w:rPr>
        <w:t>Employer</w:t>
      </w:r>
      <w:r>
        <w:rPr>
          <w:rFonts w:ascii="Times New Roman" w:cs="Times New Roman" w:eastAsia="Times New Roman" w:hAnsi="Times New Roman"/>
          <w:sz w:val="18"/>
          <w:szCs w:val="18"/>
          <w:color w:val="auto"/>
        </w:rPr>
        <w:t>”) and its affiliates, stockholders, beneficial owners of its stock, its current or former officers, directors, employees, members, attorneys and agents, and their predecessors, successors and assigns, individually and in their official capacities (together, the “</w:t>
      </w:r>
      <w:r>
        <w:rPr>
          <w:rFonts w:ascii="Times New Roman" w:cs="Times New Roman" w:eastAsia="Times New Roman" w:hAnsi="Times New Roman"/>
          <w:sz w:val="18"/>
          <w:szCs w:val="18"/>
          <w:b w:val="1"/>
          <w:bCs w:val="1"/>
          <w:color w:val="auto"/>
        </w:rPr>
        <w:t>Released Parties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Employee has been employed as Executive Vice President &amp; Chief Financial Officer of First Busey and Busey Bank;</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Employee’s employment with Employer will be terminated, effective as of February 18, 2025 (the “</w:t>
      </w:r>
      <w:r>
        <w:rPr>
          <w:rFonts w:ascii="Times New Roman" w:cs="Times New Roman" w:eastAsia="Times New Roman" w:hAnsi="Times New Roman"/>
          <w:sz w:val="18"/>
          <w:szCs w:val="18"/>
          <w:b w:val="1"/>
          <w:bCs w:val="1"/>
          <w:color w:val="auto"/>
        </w:rPr>
        <w:t>Separation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WHEREAS, Employee is seeking certain payments under </w:t>
      </w:r>
      <w:r>
        <w:rPr>
          <w:rFonts w:ascii="Times New Roman" w:cs="Times New Roman" w:eastAsia="Times New Roman" w:hAnsi="Times New Roman"/>
          <w:sz w:val="18"/>
          <w:szCs w:val="18"/>
          <w:b w:val="1"/>
          <w:bCs w:val="1"/>
          <w:color w:val="auto"/>
        </w:rPr>
        <w:t>Section 6(b)</w:t>
      </w:r>
      <w:r>
        <w:rPr>
          <w:rFonts w:ascii="Times New Roman" w:cs="Times New Roman" w:eastAsia="Times New Roman" w:hAnsi="Times New Roman"/>
          <w:sz w:val="18"/>
          <w:szCs w:val="18"/>
          <w:color w:val="auto"/>
        </w:rPr>
        <w:t xml:space="preserve"> of the employment agreement entered into with First Busey and Busey Bank effective August 19, 2019, as amended effective December 5, 2019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 that are conditioned on the effectiveness of this Release;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covenants and agreements hereinafter set forth, the parties agree as follows:</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1.          </w:t>
      </w:r>
      <w:r>
        <w:rPr>
          <w:rFonts w:ascii="Times New Roman" w:cs="Times New Roman" w:eastAsia="Times New Roman" w:hAnsi="Times New Roman"/>
          <w:sz w:val="18"/>
          <w:szCs w:val="18"/>
          <w:b w:val="1"/>
          <w:bCs w:val="1"/>
          <w:u w:val="single" w:color="auto"/>
          <w:color w:val="auto"/>
        </w:rPr>
        <w:t>  General Release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knowingly and voluntarily waives, terminates, cancels, releases and discharges forever the Released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any and all suits, actions, causes of action, claims, allegations, rights, obligations, liabilities, demands, entitlements or charges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that Employee (or Employee’s heirs, executors, administrators, successors and assigns) has or may have, whether known, unknown or unforeseen, vested or contingent, by reason of any matter, cause or thing occurring at any time before and including the date of this Release, arising under or in connection with Employee’s employment or termination of employment with Employer, including, without limitation: Claims under United States federal, state or local law and the national or local law of any foreign country (statutory or decisional), for wrongful, abusive, constructive or unlawful discharge or dismissal, for breach of any contract, or for discrimination based upon race, color, ethnicity, sex, age, national origin, religion, disability, sexual orientation, or any other unlawful criterion or circumstance, including, without limitation, rights or Claims under the Age Discrimination in Employment Act of 1967, the Older Workers Benefit Protection Act of 1990, violations of the Equal Pay Act, Title VII of the Civil Rights Act of 1964, the Civil Rights Act of 1991, the Americans with Disabilities Act of 1991, the Employee Retirement Income Security Act of 1974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the Fair Labor Standards Act, the Worker Adjustment Retraining and Notification Act, the Family Medical Leave Act, including all amendments to any of the aforementioned acts; and violations of any other federal, state, or municipal fair employment statutes or laws, including, without limitation, violations of any other law, rule, regulation, or ordinance pertaining to employment, wages, compensation, hours worked, or any other Claims for compensation or bonuses, whether or not paid under any compensation plan or arrangement; breach of contract; tort and other common law Claims; defamation; libel; slander; impairment of economic opportunity defamation; sexual harassment; retaliation; attorneys’ fees; emotional distress; intentional infliction of emotional distress; assault; battery, pain and suffering; and punitive or exemplary damages (the “</w:t>
      </w:r>
      <w:r>
        <w:rPr>
          <w:rFonts w:ascii="Times New Roman" w:cs="Times New Roman" w:eastAsia="Times New Roman" w:hAnsi="Times New Roman"/>
          <w:sz w:val="18"/>
          <w:szCs w:val="18"/>
          <w:b w:val="1"/>
          <w:bCs w:val="1"/>
          <w:color w:val="auto"/>
        </w:rPr>
        <w:t>Released Matters</w:t>
      </w:r>
      <w:r>
        <w:rPr>
          <w:rFonts w:ascii="Times New Roman" w:cs="Times New Roman" w:eastAsia="Times New Roman" w:hAnsi="Times New Roman"/>
          <w:sz w:val="18"/>
          <w:szCs w:val="18"/>
          <w:color w:val="auto"/>
        </w:rPr>
        <w:t>”). In addition, in consideration of the provisions of this Release, Employee further agrees to waive any and all rights under the laws of any jurisdiction in the United States, or any other country, that limit a general release to those Claims that are known or suspected to exist in Employee’s favor as of the Effective Date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8"/>
          <w:szCs w:val="18"/>
          <w:b w:val="1"/>
          <w:bCs w:val="1"/>
          <w:color w:val="auto"/>
        </w:rPr>
        <w:t>2.          </w:t>
      </w:r>
      <w:r>
        <w:rPr>
          <w:rFonts w:ascii="Times New Roman" w:cs="Times New Roman" w:eastAsia="Times New Roman" w:hAnsi="Times New Roman"/>
          <w:sz w:val="18"/>
          <w:szCs w:val="18"/>
          <w:b w:val="1"/>
          <w:bCs w:val="1"/>
          <w:u w:val="single" w:color="auto"/>
          <w:color w:val="auto"/>
        </w:rPr>
        <w:t>  Surviving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herein to the contrary, this Release shall not:</w:t>
      </w:r>
    </w:p>
    <w:p>
      <w:pPr>
        <w:spacing w:after="0" w:line="225" w:lineRule="exact"/>
        <w:rPr>
          <w:sz w:val="20"/>
          <w:szCs w:val="20"/>
          <w:color w:val="auto"/>
        </w:rPr>
      </w:pPr>
    </w:p>
    <w:p>
      <w:pPr>
        <w:ind w:left="644" w:hanging="644"/>
        <w:spacing w:after="0" w:line="286" w:lineRule="auto"/>
        <w:tabs>
          <w:tab w:leader="none" w:pos="6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any Claims for payment of amounts payable under the Employment Agreement (including under </w:t>
      </w:r>
      <w:r>
        <w:rPr>
          <w:rFonts w:ascii="Times New Roman" w:cs="Times New Roman" w:eastAsia="Times New Roman" w:hAnsi="Times New Roman"/>
          <w:sz w:val="18"/>
          <w:szCs w:val="18"/>
          <w:b w:val="1"/>
          <w:bCs w:val="1"/>
          <w:color w:val="auto"/>
        </w:rPr>
        <w:t>Section 6(b)</w:t>
      </w:r>
      <w:r>
        <w:rPr>
          <w:rFonts w:ascii="Times New Roman" w:cs="Times New Roman" w:eastAsia="Times New Roman" w:hAnsi="Times New Roman"/>
          <w:sz w:val="18"/>
          <w:szCs w:val="18"/>
          <w:color w:val="auto"/>
        </w:rPr>
        <w:t xml:space="preserve"> thereof) as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w:t>
      </w:r>
    </w:p>
    <w:p>
      <w:pPr>
        <w:spacing w:after="0" w:line="158"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Claim for employee benefits under plans covered by ERISA to the extent any such Claim may not lawfully be waived or for any payments or benefits under any Employer plans that have vested according to the terms of those plans;</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Claim that may not lawfully be waived;</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Claim for indemnification and D&amp;O insurance in accordance with the Employment Agreement and with applicable laws and the corporate governance documents of Employer; or</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52" w:lineRule="auto"/>
        <w:tabs>
          <w:tab w:leader="none" w:pos="6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limit Employee’s rights under applicable law to initiate communications directly with, provide information to, respond to any inquiries from, or report possible violations of law or regulation to any governmental entity or self-regulatory authority, or to file a charge with or participate in an investigation conducted by any governmental entity or self-regulatory authority, and Employee does not need Employer’s permission to do so. In addition, it is understood that this Release shall not require Employee to notify Employer of a request for information from any governmental entity or self-regulatory authority that is not directed to Employer or of Employee’s decision to file a charge or complaint with or participate in an investigation conducted by any governmental entity or self-regulatory authority. Notwithstanding the foregoing, Employee recognizes that, in connection with the provision of information to any governmental entity or self-regulatory authority, Employee must inform such governmental entity or self-regulatory authority that the information Employee is providing is confidential. Despite the foregoing, Employer does not waive any applicable privileges or the right to continue to protect its privileged attorney-client information, attorney work product, and other privileged information. In addition, Employee agrees to waive Employee’s right to recover monetary damages in connection with any charge, complaint or lawsuit pertaining to the Released Matters filed by Employee or anyone else on Employee’s behalf (whether involving a governmental entity or not);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Employee is not agreeing to waive, and this Release shall not be read as requiring Employee to waive, any right Employee may have to receive any bounty or monetary award from any governmental entity or regulatory or law enforcement authority in connection with the information provided to any governmental entity or other protected “whistleblower” activity. The rights set forth in this </w:t>
      </w:r>
      <w:r>
        <w:rPr>
          <w:rFonts w:ascii="Times New Roman" w:cs="Times New Roman" w:eastAsia="Times New Roman" w:hAnsi="Times New Roman"/>
          <w:sz w:val="18"/>
          <w:szCs w:val="18"/>
          <w:b w:val="1"/>
          <w:bCs w:val="1"/>
          <w:color w:val="auto"/>
        </w:rPr>
        <w:t>Section 2(e)</w:t>
      </w:r>
      <w:r>
        <w:rPr>
          <w:rFonts w:ascii="Times New Roman" w:cs="Times New Roman" w:eastAsia="Times New Roman" w:hAnsi="Times New Roman"/>
          <w:sz w:val="18"/>
          <w:szCs w:val="18"/>
          <w:color w:val="auto"/>
        </w:rPr>
        <w:t xml:space="preserve"> are referred to collectively as the “</w:t>
      </w:r>
      <w:r>
        <w:rPr>
          <w:rFonts w:ascii="Times New Roman" w:cs="Times New Roman" w:eastAsia="Times New Roman" w:hAnsi="Times New Roman"/>
          <w:sz w:val="18"/>
          <w:szCs w:val="18"/>
          <w:b w:val="1"/>
          <w:bCs w:val="1"/>
          <w:color w:val="auto"/>
        </w:rPr>
        <w:t>Protected Rights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ind w:left="4544"/>
        <w:spacing w:after="0"/>
        <w:rPr>
          <w:sz w:val="20"/>
          <w:szCs w:val="20"/>
          <w:color w:val="auto"/>
        </w:rPr>
      </w:pPr>
      <w:r>
        <w:rPr>
          <w:rFonts w:ascii="Times New Roman" w:cs="Times New Roman" w:eastAsia="Times New Roman" w:hAnsi="Times New Roman"/>
          <w:sz w:val="18"/>
          <w:szCs w:val="18"/>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9" w:name="page10"/>
    <w:bookmarkEnd w:id="9"/>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3.          </w:t>
      </w:r>
      <w:r>
        <w:rPr>
          <w:rFonts w:ascii="Times New Roman" w:cs="Times New Roman" w:eastAsia="Times New Roman" w:hAnsi="Times New Roman"/>
          <w:sz w:val="18"/>
          <w:szCs w:val="18"/>
          <w:b w:val="1"/>
          <w:bCs w:val="1"/>
          <w:u w:val="single" w:color="auto"/>
          <w:color w:val="auto"/>
        </w:rPr>
        <w:t>  Additional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further represents and warrants that Employee has not filed any civil action, suit, arbitration,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proceeding pertaining to private claims against any Released Party, nor has Employee assigned, pledged, or hypothecated as of the Effective Date any Claim to any person and no other person has an interest in the Claims that Employee is releasing.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          </w:t>
      </w:r>
      <w:r>
        <w:rPr>
          <w:rFonts w:ascii="Times New Roman" w:cs="Times New Roman" w:eastAsia="Times New Roman" w:hAnsi="Times New Roman"/>
          <w:sz w:val="18"/>
          <w:szCs w:val="18"/>
          <w:b w:val="1"/>
          <w:bCs w:val="1"/>
          <w:u w:val="single" w:color="auto"/>
          <w:color w:val="auto"/>
        </w:rPr>
        <w:t>  Acknowledgements by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acknowledges and agrees that Employee has read this Release in its entirety and that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 is a general release of all known and unknown Claims. Employee further acknowledges and agrees that:</w:t>
      </w:r>
    </w:p>
    <w:p>
      <w:pPr>
        <w:spacing w:after="0" w:line="207" w:lineRule="exact"/>
        <w:rPr>
          <w:sz w:val="20"/>
          <w:szCs w:val="20"/>
          <w:color w:val="auto"/>
        </w:rPr>
      </w:pPr>
    </w:p>
    <w:p>
      <w:pPr>
        <w:jc w:val="both"/>
        <w:ind w:left="1300" w:hanging="644"/>
        <w:spacing w:after="0" w:line="26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Release does not release, waive or discharge any rights or Claims that may arise for actions or omissions after the Effective Date of this Release and Employee acknowledges that he is not releasing, waiving or discharging any Claims under the Age Discrimination in Employment Act of 1967 that may arise after the Effective Date of this Release;</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is entering into this Release and releasing, waiving and discharging rights or Claims only in exchange for consideration which Employee is not already entitled to receive;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has been advised, and is being advised by the Release, to consult with an attorney before executing this Release; Employee acknowledges that Employee has consulted with counsel of Employee’s choice concerning the terms and conditions of this Release;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has been advised, and is being advised by this Release, that Employee has been given at least twenty-one (21) days within which to consider the Release, but Employee can execute this Release at any time following the Separation Date prior to the expiration of such review period; any changes to this Release will not restart the twenty-one (21) day review period; and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is aware that this Release shall become null and void if Employee revokes Employee’s agreement to this Release within seven</w:t>
      </w:r>
    </w:p>
    <w:p>
      <w:pPr>
        <w:spacing w:after="0" w:line="27" w:lineRule="exact"/>
        <w:rPr>
          <w:rFonts w:ascii="Times New Roman" w:cs="Times New Roman" w:eastAsia="Times New Roman" w:hAnsi="Times New Roman"/>
          <w:sz w:val="18"/>
          <w:szCs w:val="18"/>
          <w:color w:val="auto"/>
        </w:rPr>
      </w:pPr>
    </w:p>
    <w:p>
      <w:pPr>
        <w:jc w:val="both"/>
        <w:ind w:left="13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days following the date of execution of this Release. Employee may revoke this Release at any time during such seven-day period by delivering (or causing to be delivered) to Employer’s General Counsel written notice of Employee’s revocation of this Release no later</w:t>
      </w:r>
    </w:p>
    <w:p>
      <w:pPr>
        <w:spacing w:after="0" w:line="1" w:lineRule="exact"/>
        <w:rPr>
          <w:sz w:val="20"/>
          <w:szCs w:val="20"/>
          <w:color w:val="auto"/>
        </w:rPr>
      </w:pPr>
    </w:p>
    <w:p>
      <w:pPr>
        <w:jc w:val="both"/>
        <w:ind w:left="1300" w:right="20"/>
        <w:spacing w:after="0" w:line="221" w:lineRule="auto"/>
        <w:rPr>
          <w:sz w:val="20"/>
          <w:szCs w:val="20"/>
          <w:color w:val="auto"/>
        </w:rPr>
      </w:pPr>
      <w:r>
        <w:rPr>
          <w:rFonts w:ascii="Times New Roman" w:cs="Times New Roman" w:eastAsia="Times New Roman" w:hAnsi="Times New Roman"/>
          <w:sz w:val="18"/>
          <w:szCs w:val="18"/>
          <w:color w:val="auto"/>
        </w:rPr>
        <w:t>than 5:00 p.m. Central time on the seventh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full day following the date of execution of this Release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Employee agrees and acknowledges that a letter of revocation that is not received by such date and time will be invalid and will not revoke this Release.</w:t>
      </w:r>
    </w:p>
    <w:p>
      <w:pPr>
        <w:spacing w:after="0" w:line="19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          </w:t>
      </w:r>
      <w:r>
        <w:rPr>
          <w:rFonts w:ascii="Times New Roman" w:cs="Times New Roman" w:eastAsia="Times New Roman" w:hAnsi="Times New Roman"/>
          <w:sz w:val="18"/>
          <w:szCs w:val="18"/>
          <w:b w:val="1"/>
          <w:bCs w:val="1"/>
          <w:u w:val="single" w:color="auto"/>
          <w:color w:val="auto"/>
        </w:rPr>
        <w:t>  Confidentiality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understands and agrees that the existence and terms of this Release may be publicly disclosed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provided, however, that the negotiations and discussions leading up to this Release are confidential and that neither Employee, nor Employee’s attorney, nor any individual acting on Employee’s behalf shall disclose any of these matters to any person or entity, except as expressly required by law.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          </w:t>
      </w:r>
      <w:r>
        <w:rPr>
          <w:rFonts w:ascii="Times New Roman" w:cs="Times New Roman" w:eastAsia="Times New Roman" w:hAnsi="Times New Roman"/>
          <w:sz w:val="18"/>
          <w:szCs w:val="18"/>
          <w:b w:val="1"/>
          <w:bCs w:val="1"/>
          <w:u w:val="single" w:color="auto"/>
          <w:color w:val="auto"/>
        </w:rPr>
        <w:t>  Non-Waiver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Employer’s waiver of a breach of this Release by Employee shall not be construed or operate as a waiver of any subsequent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breach by Employee of the same or of any other provision of this Release.</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7.          </w:t>
      </w:r>
      <w:r>
        <w:rPr>
          <w:rFonts w:ascii="Times New Roman" w:cs="Times New Roman" w:eastAsia="Times New Roman" w:hAnsi="Times New Roman"/>
          <w:sz w:val="18"/>
          <w:szCs w:val="18"/>
          <w:b w:val="1"/>
          <w:bCs w:val="1"/>
          <w:u w:val="single" w:color="auto"/>
          <w:color w:val="auto"/>
        </w:rPr>
        <w:t>  Non-Disparagement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Employer shall instruct in writing each member of the Board of Directors of First Busey and each executive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First Busey (each as in place as of the Separation Date and immediately following the pending merger with CrossFirst Bankshares, Inc.) that at all times following the Separation Date, such individual shall not engage in any vilification of the Employee, and shall refrain from making any false, negative, critical or disparaging statements, implied or expressed, concerning Employee, including Employee’s management style, methods of doing business, the quality of Employee’s work or Employee’s role in the community. To the fullest extent permitted by law and subject to Employee’s Protected Rights under </w:t>
      </w:r>
      <w:r>
        <w:rPr>
          <w:rFonts w:ascii="Times New Roman" w:cs="Times New Roman" w:eastAsia="Times New Roman" w:hAnsi="Times New Roman"/>
          <w:sz w:val="18"/>
          <w:szCs w:val="18"/>
          <w:b w:val="1"/>
          <w:bCs w:val="1"/>
          <w:color w:val="auto"/>
        </w:rPr>
        <w:t xml:space="preserve">Section 2(e) </w:t>
      </w:r>
      <w:r>
        <w:rPr>
          <w:rFonts w:ascii="Times New Roman" w:cs="Times New Roman" w:eastAsia="Times New Roman" w:hAnsi="Times New Roman"/>
          <w:sz w:val="18"/>
          <w:szCs w:val="18"/>
          <w:color w:val="auto"/>
        </w:rPr>
        <w:t>hereof, at all times following the Separation Date, Employee shall not engage in any vilification of Employer and its officers and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Employee shall refrain from making any false, negative, critical or disparaging statements, implied or expressed, concerning Employer and its officers and directors, including management style, methods of doing business, the quality of products and services, or role in the community. Employee shall do nothing that would damage Employer’s business reputation or good will. Nothing in this section is intended to, and shall not, restrict or limit Employee from exercising his Protected Rights under </w:t>
      </w:r>
      <w:r>
        <w:rPr>
          <w:rFonts w:ascii="Times New Roman" w:cs="Times New Roman" w:eastAsia="Times New Roman" w:hAnsi="Times New Roman"/>
          <w:sz w:val="18"/>
          <w:szCs w:val="18"/>
          <w:b w:val="1"/>
          <w:bCs w:val="1"/>
          <w:color w:val="auto"/>
        </w:rPr>
        <w:t>Section 2(e)</w:t>
      </w:r>
      <w:r>
        <w:rPr>
          <w:rFonts w:ascii="Times New Roman" w:cs="Times New Roman" w:eastAsia="Times New Roman" w:hAnsi="Times New Roman"/>
          <w:sz w:val="18"/>
          <w:szCs w:val="18"/>
          <w:color w:val="auto"/>
        </w:rPr>
        <w:t xml:space="preserve"> hereof or restrict or limit Employer from complying with applicable law to provide information to or respond to any inquiries from any governmental entity, self-regulatory authority or auditing firm.</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8.          </w:t>
      </w:r>
      <w:r>
        <w:rPr>
          <w:rFonts w:ascii="Times New Roman" w:cs="Times New Roman" w:eastAsia="Times New Roman" w:hAnsi="Times New Roman"/>
          <w:sz w:val="18"/>
          <w:szCs w:val="18"/>
          <w:b w:val="1"/>
          <w:bCs w:val="1"/>
          <w:u w:val="single" w:color="auto"/>
          <w:color w:val="auto"/>
        </w:rPr>
        <w:t>  Restrictive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Employee’s Protected Rights under</w:t>
      </w:r>
      <w:r>
        <w:rPr>
          <w:rFonts w:ascii="Times New Roman" w:cs="Times New Roman" w:eastAsia="Times New Roman" w:hAnsi="Times New Roman"/>
          <w:sz w:val="18"/>
          <w:szCs w:val="18"/>
          <w:b w:val="1"/>
          <w:bCs w:val="1"/>
          <w:color w:val="auto"/>
        </w:rPr>
        <w:t xml:space="preserve"> Section 2(e) </w:t>
      </w:r>
      <w:r>
        <w:rPr>
          <w:rFonts w:ascii="Times New Roman" w:cs="Times New Roman" w:eastAsia="Times New Roman" w:hAnsi="Times New Roman"/>
          <w:sz w:val="18"/>
          <w:szCs w:val="18"/>
          <w:color w:val="auto"/>
        </w:rPr>
        <w:t>hereof, Employee shall abide by the terms set forth in</w:t>
      </w:r>
      <w:r>
        <w:rPr>
          <w:rFonts w:ascii="Times New Roman" w:cs="Times New Roman" w:eastAsia="Times New Roman" w:hAnsi="Times New Roman"/>
          <w:sz w:val="18"/>
          <w:szCs w:val="18"/>
          <w:b w:val="1"/>
          <w:bCs w:val="1"/>
          <w:color w:val="auto"/>
        </w:rPr>
        <w:t xml:space="preserve"> Sections 9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10 </w:t>
      </w:r>
      <w:r>
        <w:rPr>
          <w:rFonts w:ascii="Times New Roman" w:cs="Times New Roman" w:eastAsia="Times New Roman" w:hAnsi="Times New Roman"/>
          <w:sz w:val="18"/>
          <w:szCs w:val="18"/>
          <w:color w:val="auto"/>
        </w:rPr>
        <w:t>of the Employment Agreement.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9.          </w:t>
      </w:r>
      <w:r>
        <w:rPr>
          <w:rFonts w:ascii="Times New Roman" w:cs="Times New Roman" w:eastAsia="Times New Roman" w:hAnsi="Times New Roman"/>
          <w:sz w:val="18"/>
          <w:szCs w:val="18"/>
          <w:b w:val="1"/>
          <w:bCs w:val="1"/>
          <w:u w:val="single" w:color="auto"/>
          <w:color w:val="auto"/>
        </w:rPr>
        <w:t>  Governing Law and Enforcement;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not subject to federal law, this Release shall be construed and the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relations of Employee and Employer shall be determined in accordance with the laws of the State of Illinois without reference to the law regarding conflicts of law. The provisions of </w:t>
      </w:r>
      <w:r>
        <w:rPr>
          <w:rFonts w:ascii="Times New Roman" w:cs="Times New Roman" w:eastAsia="Times New Roman" w:hAnsi="Times New Roman"/>
          <w:sz w:val="18"/>
          <w:szCs w:val="18"/>
          <w:b w:val="1"/>
          <w:bCs w:val="1"/>
          <w:color w:val="auto"/>
        </w:rPr>
        <w:t>Section 15(f)</w:t>
      </w:r>
      <w:r>
        <w:rPr>
          <w:rFonts w:ascii="Times New Roman" w:cs="Times New Roman" w:eastAsia="Times New Roman" w:hAnsi="Times New Roman"/>
          <w:sz w:val="18"/>
          <w:szCs w:val="18"/>
          <w:color w:val="auto"/>
        </w:rPr>
        <w:t xml:space="preserve"> of the Employment Agreement shall apply to this Release,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word “Release” shall take the place of the word “Agreement” in such </w:t>
      </w:r>
      <w:r>
        <w:rPr>
          <w:rFonts w:ascii="Times New Roman" w:cs="Times New Roman" w:eastAsia="Times New Roman" w:hAnsi="Times New Roman"/>
          <w:sz w:val="18"/>
          <w:szCs w:val="18"/>
          <w:b w:val="1"/>
          <w:bCs w:val="1"/>
          <w:color w:val="auto"/>
        </w:rPr>
        <w:t>Section 15(f)</w:t>
      </w:r>
      <w:r>
        <w:rPr>
          <w:rFonts w:ascii="Times New Roman" w:cs="Times New Roman" w:eastAsia="Times New Roman" w:hAnsi="Times New Roman"/>
          <w:sz w:val="18"/>
          <w:szCs w:val="18"/>
          <w:color w:val="auto"/>
        </w:rPr>
        <w:t xml:space="preserve"> of the Employment Agreement.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10.          </w:t>
      </w:r>
      <w:r>
        <w:rPr>
          <w:rFonts w:ascii="Times New Roman" w:cs="Times New Roman" w:eastAsia="Times New Roman" w:hAnsi="Times New Roman"/>
          <w:sz w:val="18"/>
          <w:szCs w:val="18"/>
          <w:b w:val="1"/>
          <w:bCs w:val="1"/>
          <w:u w:val="single" w:color="auto"/>
          <w:color w:val="auto"/>
        </w:rPr>
        <w:t>  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Release may be executed in any number of counterparts, each of which shall be deemed an original, but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constitute one and the same Release. This Release will become binding when one or more counterparts hereof, individually or taken together, will bear the signatures of all of the parties reflected hereon as the signatories. Any signature on this Release delivered by photographic, facsimile or PDF copy shall be deemed to be an original signature hereto.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11.          </w:t>
      </w:r>
      <w:r>
        <w:rPr>
          <w:rFonts w:ascii="Times New Roman" w:cs="Times New Roman" w:eastAsia="Times New Roman" w:hAnsi="Times New Roman"/>
          <w:sz w:val="18"/>
          <w:szCs w:val="18"/>
          <w:b w:val="1"/>
          <w:bCs w:val="1"/>
          <w:u w:val="single" w:color="auto"/>
          <w:color w:val="auto"/>
        </w:rPr>
        <w:t>  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provision of this Release should be declared to be unenforceable by any administrative agency or court of law,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remainder of this Release shall remain in full force and effect. Notwithstanding the foregoing, the waiver of demands and claims arising out of Employee’s employment may not be severed from Employer’s obligation to pay the amounts payable under the Employment Agreement (including under </w:t>
      </w:r>
      <w:r>
        <w:rPr>
          <w:rFonts w:ascii="Times New Roman" w:cs="Times New Roman" w:eastAsia="Times New Roman" w:hAnsi="Times New Roman"/>
          <w:sz w:val="18"/>
          <w:szCs w:val="18"/>
          <w:b w:val="1"/>
          <w:bCs w:val="1"/>
          <w:color w:val="auto"/>
        </w:rPr>
        <w:t xml:space="preserve">Section 6(b) </w:t>
      </w:r>
      <w:r>
        <w:rPr>
          <w:rFonts w:ascii="Times New Roman" w:cs="Times New Roman" w:eastAsia="Times New Roman" w:hAnsi="Times New Roman"/>
          <w:sz w:val="18"/>
          <w:szCs w:val="18"/>
          <w:color w:val="auto"/>
        </w:rPr>
        <w:t>thereof)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12.          </w:t>
      </w:r>
      <w:r>
        <w:rPr>
          <w:rFonts w:ascii="Times New Roman" w:cs="Times New Roman" w:eastAsia="Times New Roman" w:hAnsi="Times New Roman"/>
          <w:sz w:val="18"/>
          <w:szCs w:val="18"/>
          <w:b w:val="1"/>
          <w:bCs w:val="1"/>
          <w:u w:val="single" w:color="auto"/>
          <w:color w:val="auto"/>
        </w:rPr>
        <w:t>  Construction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w:t>
      </w:r>
      <w:r>
        <w:rPr>
          <w:rFonts w:ascii="Times New Roman" w:cs="Times New Roman" w:eastAsia="Times New Roman" w:hAnsi="Times New Roman"/>
          <w:sz w:val="18"/>
          <w:szCs w:val="18"/>
          <w:b w:val="1"/>
          <w:bCs w:val="1"/>
          <w:color w:val="auto"/>
        </w:rPr>
        <w:t xml:space="preserve"> Section 15(l) </w:t>
      </w:r>
      <w:r>
        <w:rPr>
          <w:rFonts w:ascii="Times New Roman" w:cs="Times New Roman" w:eastAsia="Times New Roman" w:hAnsi="Times New Roman"/>
          <w:sz w:val="18"/>
          <w:szCs w:val="18"/>
          <w:color w:val="auto"/>
        </w:rPr>
        <w:t>of the Employment Agreement shall apply to this Release,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word “Release”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take the place of the word “Agreement” in such </w:t>
      </w:r>
      <w:r>
        <w:rPr>
          <w:rFonts w:ascii="Times New Roman" w:cs="Times New Roman" w:eastAsia="Times New Roman" w:hAnsi="Times New Roman"/>
          <w:sz w:val="18"/>
          <w:szCs w:val="18"/>
          <w:b w:val="1"/>
          <w:bCs w:val="1"/>
          <w:color w:val="auto"/>
        </w:rPr>
        <w:t>Section 15(l)</w:t>
      </w:r>
      <w:r>
        <w:rPr>
          <w:rFonts w:ascii="Times New Roman" w:cs="Times New Roman" w:eastAsia="Times New Roman" w:hAnsi="Times New Roman"/>
          <w:sz w:val="18"/>
          <w:szCs w:val="18"/>
          <w:color w:val="auto"/>
        </w:rPr>
        <w:t>, where applicable.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executed this Release as of the date last set forth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FIRST BUSEY CORPORATION and BUSEY BANK</w:t>
            </w: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EMPLOYEE</w:t>
            </w:r>
          </w:p>
        </w:tc>
      </w:tr>
      <w:tr>
        <w:trPr>
          <w:trHeight w:val="432"/>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1"/>
        </w:trPr>
        <w:tc>
          <w:tcPr>
            <w:tcW w:w="340" w:type="dxa"/>
            <w:vAlign w:val="bottom"/>
          </w:tcPr>
          <w:p>
            <w:pPr>
              <w:spacing w:after="0"/>
              <w:rPr>
                <w:sz w:val="18"/>
                <w:szCs w:val="18"/>
                <w:color w:val="auto"/>
              </w:rPr>
            </w:pPr>
          </w:p>
        </w:tc>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Van A. Dukeman</w:t>
            </w:r>
          </w:p>
        </w:tc>
        <w:tc>
          <w:tcPr>
            <w:tcW w:w="220" w:type="dxa"/>
            <w:vAlign w:val="bottom"/>
          </w:tcPr>
          <w:p>
            <w:pPr>
              <w:spacing w:after="0"/>
              <w:rPr>
                <w:sz w:val="18"/>
                <w:szCs w:val="18"/>
                <w:color w:val="auto"/>
              </w:rPr>
            </w:pPr>
          </w:p>
        </w:tc>
        <w:tc>
          <w:tcPr>
            <w:tcW w:w="5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Jeffrey D. Jones</w:t>
            </w:r>
          </w:p>
        </w:tc>
      </w:tr>
    </w:tbl>
    <w:p>
      <w:pPr>
        <w:ind w:left="340"/>
        <w:spacing w:after="0"/>
        <w:rPr>
          <w:sz w:val="20"/>
          <w:szCs w:val="20"/>
          <w:color w:val="auto"/>
        </w:rPr>
      </w:pPr>
      <w:r>
        <w:rPr>
          <w:rFonts w:ascii="Times New Roman" w:cs="Times New Roman" w:eastAsia="Times New Roman" w:hAnsi="Times New Roman"/>
          <w:sz w:val="18"/>
          <w:szCs w:val="18"/>
          <w:color w:val="auto"/>
        </w:rPr>
        <w:t>Chairman, President and Chief Executive Officer of First Busey</w:t>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Corporation and Busey Bank</w:t>
      </w:r>
    </w:p>
    <w:p>
      <w:pPr>
        <w:spacing w:after="0" w:line="207" w:lineRule="exact"/>
        <w:rPr>
          <w:sz w:val="20"/>
          <w:szCs w:val="20"/>
          <w:color w:val="auto"/>
        </w:rPr>
      </w:pPr>
    </w:p>
    <w:p>
      <w:pPr>
        <w:ind w:left="5740"/>
        <w:spacing w:after="0"/>
        <w:tabs>
          <w:tab w:leader="none" w:pos="62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3"/>
          <w:szCs w:val="1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Jones Release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SCHEDULE 1</w:t>
            </w:r>
          </w:p>
        </w:tc>
        <w:tc>
          <w:tcPr>
            <w:tcW w:w="1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18"/>
        </w:trPr>
        <w:tc>
          <w:tcPr>
            <w:tcW w:w="45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Type of Payment or Benefit</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92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Payment</w:t>
            </w:r>
          </w:p>
        </w:tc>
      </w:tr>
      <w:tr>
        <w:trPr>
          <w:trHeight w:val="48"/>
        </w:trPr>
        <w:tc>
          <w:tcPr>
            <w:tcW w:w="100" w:type="dxa"/>
            <w:vAlign w:val="bottom"/>
            <w:tcBorders>
              <w:bottom w:val="single" w:sz="8" w:color="auto"/>
            </w:tcBorders>
          </w:tcPr>
          <w:p>
            <w:pPr>
              <w:spacing w:after="0"/>
              <w:rPr>
                <w:sz w:val="4"/>
                <w:szCs w:val="4"/>
                <w:color w:val="auto"/>
              </w:rPr>
            </w:pPr>
          </w:p>
        </w:tc>
        <w:tc>
          <w:tcPr>
            <w:tcW w:w="2120" w:type="dxa"/>
            <w:vAlign w:val="bottom"/>
            <w:tcBorders>
              <w:top w:val="single" w:sz="8" w:color="auto"/>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20" w:type="dxa"/>
            <w:vAlign w:val="bottom"/>
            <w:tcBorders>
              <w:top w:val="single" w:sz="8" w:color="auto"/>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680" w:type="dxa"/>
            <w:vAlign w:val="bottom"/>
            <w:tcBorders>
              <w:top w:val="single" w:sz="8" w:color="auto"/>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r>
      <w:tr>
        <w:trPr>
          <w:trHeight w:val="218"/>
        </w:trPr>
        <w:tc>
          <w:tcPr>
            <w:tcW w:w="4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Cash severance equal to 100% of the sum of (A) annual</w:t>
            </w:r>
          </w:p>
        </w:tc>
        <w:tc>
          <w:tcPr>
            <w:tcW w:w="22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$1,045,935</w:t>
            </w:r>
          </w:p>
        </w:tc>
        <w:tc>
          <w:tcPr>
            <w:tcW w:w="4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Payable in substantially equal installments over a one (1)-</w:t>
            </w:r>
          </w:p>
        </w:tc>
      </w:tr>
      <w:tr>
        <w:trPr>
          <w:trHeight w:val="212"/>
        </w:trPr>
        <w:tc>
          <w:tcPr>
            <w:tcW w:w="4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base salary ($495,000) plus (B) the amount of the most</w:t>
            </w: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year period in accordance with Employer’s regular payroll</w:t>
            </w:r>
          </w:p>
        </w:tc>
      </w:tr>
      <w:tr>
        <w:trPr>
          <w:trHeight w:val="220"/>
        </w:trPr>
        <w:tc>
          <w:tcPr>
            <w:tcW w:w="4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recent performance bonus ($550,935) (</w:t>
            </w:r>
            <w:r>
              <w:rPr>
                <w:rFonts w:ascii="Times New Roman" w:cs="Times New Roman" w:eastAsia="Times New Roman" w:hAnsi="Times New Roman"/>
                <w:sz w:val="18"/>
                <w:szCs w:val="18"/>
                <w:b w:val="1"/>
                <w:bCs w:val="1"/>
                <w:color w:val="auto"/>
              </w:rPr>
              <w:t>Section 6(b)(i)</w:t>
            </w: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practices then in effect, commencing within 60 days</w:t>
            </w:r>
          </w:p>
        </w:tc>
      </w:tr>
      <w:tr>
        <w:trPr>
          <w:trHeight w:val="216"/>
        </w:trPr>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following the Separation Date, subject to the effectiveness</w:t>
            </w:r>
          </w:p>
        </w:tc>
      </w:tr>
      <w:tr>
        <w:trPr>
          <w:trHeight w:val="234"/>
        </w:trPr>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of the Release</w:t>
            </w:r>
          </w:p>
        </w:tc>
      </w:tr>
      <w:tr>
        <w:trPr>
          <w:trHeight w:val="27"/>
        </w:trPr>
        <w:tc>
          <w:tcPr>
            <w:tcW w:w="1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8"/>
        </w:trPr>
        <w:tc>
          <w:tcPr>
            <w:tcW w:w="4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 amount equal to the annual performance bonus earned</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Determined based on actual</w:t>
            </w:r>
          </w:p>
        </w:tc>
        <w:tc>
          <w:tcPr>
            <w:tcW w:w="4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Paid in a lump sum at the time such awards are paid in</w:t>
            </w:r>
          </w:p>
        </w:tc>
      </w:tr>
      <w:tr>
        <w:trPr>
          <w:trHeight w:val="216"/>
        </w:trPr>
        <w:tc>
          <w:tcPr>
            <w:tcW w:w="4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by Employee in respect of 2025 based on actual</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performance through</w:t>
            </w:r>
          </w:p>
        </w:tc>
        <w:tc>
          <w:tcPr>
            <w:tcW w:w="4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2026, subject to the effectiveness of the Release</w:t>
            </w:r>
          </w:p>
        </w:tc>
      </w:tr>
      <w:tr>
        <w:trPr>
          <w:trHeight w:val="212"/>
        </w:trPr>
        <w:tc>
          <w:tcPr>
            <w:tcW w:w="4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performance, prorated based upon the number of days</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December 31, 2025</w:t>
            </w:r>
          </w:p>
        </w:tc>
        <w:tc>
          <w:tcPr>
            <w:tcW w:w="1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4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elapsed in 2025 prior to the Separation Date (</w:t>
            </w:r>
            <w:r>
              <w:rPr>
                <w:rFonts w:ascii="Times New Roman" w:cs="Times New Roman" w:eastAsia="Times New Roman" w:hAnsi="Times New Roman"/>
                <w:sz w:val="18"/>
                <w:szCs w:val="18"/>
                <w:b w:val="1"/>
                <w:bCs w:val="1"/>
                <w:color w:val="auto"/>
              </w:rPr>
              <w:t>Section 6(b)</w:t>
            </w: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8"/>
        </w:trPr>
        <w:tc>
          <w:tcPr>
            <w:tcW w:w="45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1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8"/>
        </w:trPr>
        <w:tc>
          <w:tcPr>
            <w:tcW w:w="4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Reimbursement for up to twelve (12) months for</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Determined based on actual</w:t>
            </w:r>
          </w:p>
        </w:tc>
        <w:tc>
          <w:tcPr>
            <w:tcW w:w="4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Payable follow receipt of appropriate documentation</w:t>
            </w:r>
          </w:p>
        </w:tc>
      </w:tr>
      <w:tr>
        <w:trPr>
          <w:trHeight w:val="216"/>
        </w:trPr>
        <w:tc>
          <w:tcPr>
            <w:tcW w:w="4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continuing coverage under Employer’s health insurance</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payments</w:t>
            </w:r>
          </w:p>
        </w:tc>
        <w:tc>
          <w:tcPr>
            <w:tcW w:w="1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4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pursuant to the health care continuation rules of the</w:t>
            </w: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4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Consolidated Omnibus Budget Reconciliation Act of 1985</w:t>
            </w: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4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(“COBRA”), provided that Employee remains eligible for,</w:t>
            </w: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2"/>
        </w:trPr>
        <w:tc>
          <w:tcPr>
            <w:tcW w:w="4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and elects, such COBRA continuation for such period</w:t>
            </w: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8"/>
        </w:trPr>
        <w:tc>
          <w:tcPr>
            <w:tcW w:w="4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following the Separation Date (</w:t>
            </w:r>
            <w:r>
              <w:rPr>
                <w:rFonts w:ascii="Times New Roman" w:cs="Times New Roman" w:eastAsia="Times New Roman" w:hAnsi="Times New Roman"/>
                <w:sz w:val="18"/>
                <w:szCs w:val="18"/>
                <w:b w:val="1"/>
                <w:bCs w:val="1"/>
                <w:color w:val="auto"/>
              </w:rPr>
              <w:t>Section 6(b)(iii)</w:t>
            </w: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1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8"/>
        </w:trPr>
        <w:tc>
          <w:tcPr>
            <w:tcW w:w="4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Additional cash payment reflecting the pro rata value of</w:t>
            </w:r>
          </w:p>
        </w:tc>
        <w:tc>
          <w:tcPr>
            <w:tcW w:w="224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$637,712</w:t>
            </w:r>
          </w:p>
        </w:tc>
        <w:tc>
          <w:tcPr>
            <w:tcW w:w="4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Payable in substantially equal installments over a one (1)-</w:t>
            </w:r>
          </w:p>
        </w:tc>
      </w:tr>
      <w:tr>
        <w:trPr>
          <w:trHeight w:val="216"/>
        </w:trPr>
        <w:tc>
          <w:tcPr>
            <w:tcW w:w="4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restricted stock units granted in 2020 and scheduled to vest</w:t>
            </w: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year period in accordance with Employer’s regular payroll</w:t>
            </w:r>
          </w:p>
        </w:tc>
      </w:tr>
      <w:tr>
        <w:trPr>
          <w:trHeight w:val="216"/>
        </w:trPr>
        <w:tc>
          <w:tcPr>
            <w:tcW w:w="4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 2025</w:t>
            </w: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practices then in effect, commencing within 60 days</w:t>
            </w:r>
          </w:p>
        </w:tc>
      </w:tr>
      <w:tr>
        <w:trPr>
          <w:trHeight w:val="216"/>
        </w:trPr>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following the Separation Date, subject to the effectiveness</w:t>
            </w:r>
          </w:p>
        </w:tc>
      </w:tr>
      <w:tr>
        <w:trPr>
          <w:trHeight w:val="234"/>
        </w:trPr>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of the Release</w:t>
            </w:r>
          </w:p>
        </w:tc>
      </w:tr>
      <w:tr>
        <w:trPr>
          <w:trHeight w:val="27"/>
        </w:trPr>
        <w:tc>
          <w:tcPr>
            <w:tcW w:w="1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ind w:left="660"/>
        <w:spacing w:after="0" w:line="257" w:lineRule="auto"/>
        <w:rPr>
          <w:sz w:val="20"/>
          <w:szCs w:val="20"/>
          <w:color w:val="auto"/>
        </w:rPr>
      </w:pPr>
      <w:r>
        <w:rPr>
          <w:rFonts w:ascii="Times New Roman" w:cs="Times New Roman" w:eastAsia="Times New Roman" w:hAnsi="Times New Roman"/>
          <w:sz w:val="18"/>
          <w:szCs w:val="18"/>
          <w:color w:val="343434"/>
        </w:rPr>
        <w:t xml:space="preserve">The provisions of </w:t>
      </w:r>
      <w:r>
        <w:rPr>
          <w:rFonts w:ascii="Times New Roman" w:cs="Times New Roman" w:eastAsia="Times New Roman" w:hAnsi="Times New Roman"/>
          <w:sz w:val="18"/>
          <w:szCs w:val="18"/>
          <w:b w:val="1"/>
          <w:bCs w:val="1"/>
          <w:color w:val="343434"/>
        </w:rPr>
        <w:t>Section 3(h)</w:t>
      </w:r>
      <w:r>
        <w:rPr>
          <w:rFonts w:ascii="Times New Roman" w:cs="Times New Roman" w:eastAsia="Times New Roman" w:hAnsi="Times New Roman"/>
          <w:sz w:val="18"/>
          <w:szCs w:val="18"/>
          <w:color w:val="343434"/>
        </w:rPr>
        <w:t xml:space="preserve"> of the Employment Agreement, regarding tax withholding, </w:t>
      </w:r>
      <w:r>
        <w:rPr>
          <w:rFonts w:ascii="Times New Roman" w:cs="Times New Roman" w:eastAsia="Times New Roman" w:hAnsi="Times New Roman"/>
          <w:sz w:val="18"/>
          <w:szCs w:val="18"/>
          <w:b w:val="1"/>
          <w:bCs w:val="1"/>
          <w:color w:val="343434"/>
        </w:rPr>
        <w:t>Section 15(j)</w:t>
      </w:r>
      <w:r>
        <w:rPr>
          <w:rFonts w:ascii="Times New Roman" w:cs="Times New Roman" w:eastAsia="Times New Roman" w:hAnsi="Times New Roman"/>
          <w:sz w:val="18"/>
          <w:szCs w:val="18"/>
          <w:color w:val="343434"/>
        </w:rPr>
        <w:t xml:space="preserve"> of the Employment Agreement, regarding Section 409A of the Internal Revenue Code of 1986, as amended (together with the applicable regulations thereunder, “</w:t>
      </w:r>
      <w:r>
        <w:rPr>
          <w:rFonts w:ascii="Times New Roman" w:cs="Times New Roman" w:eastAsia="Times New Roman" w:hAnsi="Times New Roman"/>
          <w:sz w:val="18"/>
          <w:szCs w:val="18"/>
          <w:b w:val="1"/>
          <w:bCs w:val="1"/>
          <w:color w:val="343434"/>
        </w:rPr>
        <w:t>Section 409A</w:t>
      </w:r>
      <w:r>
        <w:rPr>
          <w:rFonts w:ascii="Times New Roman" w:cs="Times New Roman" w:eastAsia="Times New Roman" w:hAnsi="Times New Roman"/>
          <w:sz w:val="18"/>
          <w:szCs w:val="18"/>
          <w:color w:val="343434"/>
        </w:rPr>
        <w:t xml:space="preserve">”), and </w:t>
      </w:r>
      <w:r>
        <w:rPr>
          <w:rFonts w:ascii="Times New Roman" w:cs="Times New Roman" w:eastAsia="Times New Roman" w:hAnsi="Times New Roman"/>
          <w:sz w:val="18"/>
          <w:szCs w:val="18"/>
          <w:b w:val="1"/>
          <w:bCs w:val="1"/>
          <w:color w:val="343434"/>
        </w:rPr>
        <w:t xml:space="preserve">Section 15(k) </w:t>
      </w:r>
      <w:r>
        <w:rPr>
          <w:rFonts w:ascii="Times New Roman" w:cs="Times New Roman" w:eastAsia="Times New Roman" w:hAnsi="Times New Roman"/>
          <w:sz w:val="18"/>
          <w:szCs w:val="18"/>
          <w:color w:val="343434"/>
        </w:rPr>
        <w:t>of the Employment Agreement, regarding the application, implementation, and enforcement of any applicable Employer clawback</w:t>
      </w:r>
      <w:r>
        <w:rPr>
          <w:rFonts w:ascii="Times New Roman" w:cs="Times New Roman" w:eastAsia="Times New Roman" w:hAnsi="Times New Roman"/>
          <w:sz w:val="18"/>
          <w:szCs w:val="18"/>
          <w:b w:val="1"/>
          <w:bCs w:val="1"/>
          <w:color w:val="343434"/>
        </w:rPr>
        <w:t xml:space="preserve"> </w:t>
      </w:r>
      <w:r>
        <w:rPr>
          <w:rFonts w:ascii="Times New Roman" w:cs="Times New Roman" w:eastAsia="Times New Roman" w:hAnsi="Times New Roman"/>
          <w:sz w:val="18"/>
          <w:szCs w:val="18"/>
          <w:color w:val="343434"/>
        </w:rPr>
        <w:t xml:space="preserve">policy and any related provision of applicable law, shall apply to this </w:t>
      </w:r>
      <w:r>
        <w:rPr>
          <w:rFonts w:ascii="Times New Roman" w:cs="Times New Roman" w:eastAsia="Times New Roman" w:hAnsi="Times New Roman"/>
          <w:sz w:val="18"/>
          <w:szCs w:val="18"/>
          <w:u w:val="single" w:color="auto"/>
          <w:color w:val="343434"/>
        </w:rPr>
        <w:t>Schedule 1</w:t>
      </w:r>
      <w:r>
        <w:rPr>
          <w:rFonts w:ascii="Times New Roman" w:cs="Times New Roman" w:eastAsia="Times New Roman" w:hAnsi="Times New Roman"/>
          <w:sz w:val="18"/>
          <w:szCs w:val="18"/>
          <w:color w:val="343434"/>
        </w:rPr>
        <w:t xml:space="preserve">. Each payment made under this </w:t>
      </w:r>
      <w:r>
        <w:rPr>
          <w:rFonts w:ascii="Times New Roman" w:cs="Times New Roman" w:eastAsia="Times New Roman" w:hAnsi="Times New Roman"/>
          <w:sz w:val="18"/>
          <w:szCs w:val="18"/>
          <w:u w:val="single" w:color="auto"/>
          <w:color w:val="343434"/>
        </w:rPr>
        <w:t>Schedule 1</w:t>
      </w:r>
      <w:r>
        <w:rPr>
          <w:rFonts w:ascii="Times New Roman" w:cs="Times New Roman" w:eastAsia="Times New Roman" w:hAnsi="Times New Roman"/>
          <w:sz w:val="18"/>
          <w:szCs w:val="18"/>
          <w:color w:val="343434"/>
        </w:rPr>
        <w:t xml:space="preserve"> will be treated as a separate payment for purposes of purposes of Section 409A. In no event may Employee, directly or indirectly, designate the calendar year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2025-02-21T16:19:20Z</dcterms:created>
  <dcterms:modified xsi:type="dcterms:W3CDTF">2025-02-21T16:19:20Z</dcterms:modified>
</cp:coreProperties>
</file>