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41"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2025</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or</w:t>
      </w:r>
    </w:p>
    <w:p>
      <w:pPr>
        <w:spacing w:after="0" w:line="30" w:lineRule="exact"/>
        <w:rPr>
          <w:sz w:val="24"/>
          <w:szCs w:val="24"/>
          <w:color w:val="auto"/>
        </w:rPr>
      </w:pPr>
    </w:p>
    <w:p>
      <w:pPr>
        <w:ind w:left="580" w:hanging="554"/>
        <w:spacing w:after="0"/>
        <w:tabs>
          <w:tab w:leader="none" w:pos="5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w:t>
      </w:r>
    </w:p>
    <w:p>
      <w:pPr>
        <w:spacing w:after="0" w:line="207" w:lineRule="exact"/>
        <w:rPr>
          <w:rFonts w:ascii="MS PGothic" w:cs="MS PGothic" w:eastAsia="MS PGothic" w:hAnsi="MS PGothic"/>
          <w:sz w:val="16"/>
          <w:szCs w:val="16"/>
          <w:color w:val="auto"/>
        </w:rPr>
      </w:pPr>
    </w:p>
    <w:p>
      <w:pPr>
        <w:ind w:left="45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No. 0-15950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123825</wp:posOffset>
            </wp:positionV>
            <wp:extent cx="125158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158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FIRST BUSEY CORPORATION</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07" w:lineRule="exact"/>
        <w:rPr>
          <w:sz w:val="24"/>
          <w:szCs w:val="24"/>
          <w:color w:val="auto"/>
        </w:rPr>
      </w:pPr>
    </w:p>
    <w:tbl>
      <w:tblPr>
        <w:tblLayout w:type="fixed"/>
        <w:tblInd w:w="1200" w:type="dxa"/>
        <w:tblCellMar>
          <w:top w:w="0" w:type="dxa"/>
          <w:left w:w="0" w:type="dxa"/>
          <w:bottom w:w="0" w:type="dxa"/>
          <w:right w:w="0" w:type="dxa"/>
        </w:tblCellMar>
      </w:tblPr>
      <w:tr>
        <w:trPr>
          <w:trHeight w:val="223"/>
        </w:trPr>
        <w:tc>
          <w:tcPr>
            <w:tcW w:w="4760" w:type="dxa"/>
            <w:vAlign w:val="bottom"/>
          </w:tcPr>
          <w:p>
            <w:pPr>
              <w:jc w:val="center"/>
              <w:ind w:right="1466"/>
              <w:spacing w:after="0"/>
              <w:rPr>
                <w:sz w:val="20"/>
                <w:szCs w:val="20"/>
                <w:color w:val="auto"/>
              </w:rPr>
            </w:pPr>
            <w:r>
              <w:rPr>
                <w:rFonts w:ascii="Arial" w:cs="Arial" w:eastAsia="Arial" w:hAnsi="Arial"/>
                <w:sz w:val="16"/>
                <w:szCs w:val="16"/>
                <w:b w:val="1"/>
                <w:bCs w:val="1"/>
                <w:color w:val="auto"/>
              </w:rPr>
              <w:t>Nevada</w:t>
            </w:r>
          </w:p>
        </w:tc>
        <w:tc>
          <w:tcPr>
            <w:tcW w:w="3440" w:type="dxa"/>
            <w:vAlign w:val="bottom"/>
          </w:tcPr>
          <w:p>
            <w:pPr>
              <w:jc w:val="right"/>
              <w:ind w:right="468"/>
              <w:spacing w:after="0"/>
              <w:rPr>
                <w:sz w:val="20"/>
                <w:szCs w:val="20"/>
                <w:color w:val="auto"/>
              </w:rPr>
            </w:pPr>
            <w:r>
              <w:rPr>
                <w:rFonts w:ascii="Arial" w:cs="Arial" w:eastAsia="Arial" w:hAnsi="Arial"/>
                <w:sz w:val="16"/>
                <w:szCs w:val="16"/>
                <w:b w:val="1"/>
                <w:bCs w:val="1"/>
                <w:color w:val="auto"/>
              </w:rPr>
              <w:t>37-1078406</w:t>
            </w:r>
          </w:p>
        </w:tc>
        <w:tc>
          <w:tcPr>
            <w:tcW w:w="0" w:type="dxa"/>
            <w:vAlign w:val="bottom"/>
          </w:tcPr>
          <w:p>
            <w:pPr>
              <w:spacing w:after="0"/>
              <w:rPr>
                <w:sz w:val="1"/>
                <w:szCs w:val="1"/>
                <w:color w:val="auto"/>
              </w:rPr>
            </w:pPr>
          </w:p>
        </w:tc>
      </w:tr>
      <w:tr>
        <w:trPr>
          <w:trHeight w:val="169"/>
        </w:trPr>
        <w:tc>
          <w:tcPr>
            <w:tcW w:w="4760" w:type="dxa"/>
            <w:vAlign w:val="bottom"/>
          </w:tcPr>
          <w:p>
            <w:pPr>
              <w:jc w:val="center"/>
              <w:ind w:right="1446"/>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3440" w:type="dxa"/>
            <w:vAlign w:val="bottom"/>
          </w:tcPr>
          <w:p>
            <w:pPr>
              <w:jc w:val="center"/>
              <w:ind w:left="1428"/>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176"/>
        </w:trPr>
        <w:tc>
          <w:tcPr>
            <w:tcW w:w="4760" w:type="dxa"/>
            <w:vAlign w:val="bottom"/>
          </w:tcPr>
          <w:p>
            <w:pPr>
              <w:jc w:val="center"/>
              <w:ind w:right="1446"/>
              <w:spacing w:after="0" w:line="176" w:lineRule="exact"/>
              <w:rPr>
                <w:sz w:val="20"/>
                <w:szCs w:val="20"/>
                <w:color w:val="auto"/>
              </w:rPr>
            </w:pPr>
            <w:r>
              <w:rPr>
                <w:rFonts w:ascii="Arial" w:cs="Arial" w:eastAsia="Arial" w:hAnsi="Arial"/>
                <w:sz w:val="16"/>
                <w:szCs w:val="16"/>
                <w:b w:val="1"/>
                <w:bCs w:val="1"/>
                <w:color w:val="auto"/>
              </w:rPr>
              <w:t>11440 Tomahawk Creek Parkway</w:t>
            </w:r>
          </w:p>
        </w:tc>
        <w:tc>
          <w:tcPr>
            <w:tcW w:w="3440" w:type="dxa"/>
            <w:vAlign w:val="bottom"/>
            <w:vMerge w:val="restart"/>
          </w:tcPr>
          <w:p>
            <w:pPr>
              <w:jc w:val="right"/>
              <w:ind w:right="668"/>
              <w:spacing w:after="0"/>
              <w:rPr>
                <w:sz w:val="20"/>
                <w:szCs w:val="20"/>
                <w:color w:val="auto"/>
              </w:rPr>
            </w:pPr>
            <w:r>
              <w:rPr>
                <w:rFonts w:ascii="Arial" w:cs="Arial" w:eastAsia="Arial" w:hAnsi="Arial"/>
                <w:sz w:val="16"/>
                <w:szCs w:val="16"/>
                <w:b w:val="1"/>
                <w:bCs w:val="1"/>
                <w:color w:val="auto"/>
              </w:rPr>
              <w:t>66211</w:t>
            </w:r>
          </w:p>
        </w:tc>
        <w:tc>
          <w:tcPr>
            <w:tcW w:w="0" w:type="dxa"/>
            <w:vAlign w:val="bottom"/>
          </w:tcPr>
          <w:p>
            <w:pPr>
              <w:spacing w:after="0"/>
              <w:rPr>
                <w:sz w:val="1"/>
                <w:szCs w:val="1"/>
                <w:color w:val="auto"/>
              </w:rPr>
            </w:pPr>
          </w:p>
        </w:tc>
      </w:tr>
      <w:tr>
        <w:trPr>
          <w:trHeight w:val="212"/>
        </w:trPr>
        <w:tc>
          <w:tcPr>
            <w:tcW w:w="4760" w:type="dxa"/>
            <w:vAlign w:val="bottom"/>
          </w:tcPr>
          <w:p>
            <w:pPr>
              <w:jc w:val="center"/>
              <w:ind w:right="1446"/>
              <w:spacing w:after="0"/>
              <w:rPr>
                <w:sz w:val="20"/>
                <w:szCs w:val="20"/>
                <w:color w:val="auto"/>
              </w:rPr>
            </w:pPr>
            <w:r>
              <w:rPr>
                <w:rFonts w:ascii="Arial" w:cs="Arial" w:eastAsia="Arial" w:hAnsi="Arial"/>
                <w:sz w:val="16"/>
                <w:szCs w:val="16"/>
                <w:b w:val="1"/>
                <w:bCs w:val="1"/>
                <w:color w:val="auto"/>
              </w:rPr>
              <w:t>Leawood, Kansas</w:t>
            </w:r>
          </w:p>
        </w:tc>
        <w:tc>
          <w:tcPr>
            <w:tcW w:w="3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60" w:type="dxa"/>
            <w:vAlign w:val="bottom"/>
          </w:tcPr>
          <w:p>
            <w:pPr>
              <w:jc w:val="center"/>
              <w:ind w:right="1446"/>
              <w:spacing w:after="0"/>
              <w:rPr>
                <w:sz w:val="20"/>
                <w:szCs w:val="20"/>
                <w:color w:val="auto"/>
              </w:rPr>
            </w:pPr>
            <w:r>
              <w:rPr>
                <w:rFonts w:ascii="Arial" w:cs="Arial" w:eastAsia="Arial" w:hAnsi="Arial"/>
                <w:sz w:val="13"/>
                <w:szCs w:val="13"/>
                <w:color w:val="auto"/>
                <w:w w:val="97"/>
              </w:rPr>
              <w:t>(Address of principal executive offices)</w:t>
            </w:r>
          </w:p>
        </w:tc>
        <w:tc>
          <w:tcPr>
            <w:tcW w:w="3440" w:type="dxa"/>
            <w:vAlign w:val="bottom"/>
          </w:tcPr>
          <w:p>
            <w:pPr>
              <w:jc w:val="center"/>
              <w:ind w:left="1428"/>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8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6"/>
          <w:szCs w:val="16"/>
          <w:b w:val="1"/>
          <w:bCs w:val="1"/>
          <w:color w:val="auto"/>
        </w:rPr>
        <w:t>(217) 365-4544</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ind w:left="332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12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7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Title of each class</w:t>
            </w: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75"/>
        </w:trPr>
        <w:tc>
          <w:tcPr>
            <w:tcW w:w="7300" w:type="dxa"/>
            <w:vAlign w:val="bottom"/>
            <w:gridSpan w:val="2"/>
            <w:vMerge w:val="continue"/>
          </w:tcPr>
          <w:p>
            <w:pPr>
              <w:spacing w:after="0"/>
              <w:rPr>
                <w:sz w:val="15"/>
                <w:szCs w:val="15"/>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Symbol (s)</w:t>
            </w: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82"/>
        </w:trPr>
        <w:tc>
          <w:tcPr>
            <w:tcW w:w="720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6"/>
                <w:szCs w:val="16"/>
                <w:color w:val="auto"/>
              </w:rPr>
              <w:t>Common Stock, $0.001 par value</w:t>
            </w:r>
          </w:p>
        </w:tc>
        <w:tc>
          <w:tcPr>
            <w:tcW w:w="100" w:type="dxa"/>
            <w:vAlign w:val="bottom"/>
          </w:tcPr>
          <w:p>
            <w:pPr>
              <w:spacing w:after="0"/>
              <w:rPr>
                <w:sz w:val="15"/>
                <w:szCs w:val="15"/>
                <w:color w:val="auto"/>
              </w:rPr>
            </w:pPr>
          </w:p>
        </w:tc>
        <w:tc>
          <w:tcPr>
            <w:tcW w:w="10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rPr>
              <w:t>BUSE</w:t>
            </w:r>
          </w:p>
        </w:tc>
        <w:tc>
          <w:tcPr>
            <w:tcW w:w="80" w:type="dxa"/>
            <w:vAlign w:val="bottom"/>
          </w:tcPr>
          <w:p>
            <w:pPr>
              <w:spacing w:after="0"/>
              <w:rPr>
                <w:sz w:val="15"/>
                <w:szCs w:val="15"/>
                <w:color w:val="auto"/>
              </w:rPr>
            </w:pPr>
          </w:p>
        </w:tc>
        <w:tc>
          <w:tcPr>
            <w:tcW w:w="28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163"/>
        </w:trPr>
        <w:tc>
          <w:tcPr>
            <w:tcW w:w="7300" w:type="dxa"/>
            <w:vAlign w:val="bottom"/>
            <w:gridSpan w:val="2"/>
          </w:tcPr>
          <w:p>
            <w:pPr>
              <w:ind w:left="20"/>
              <w:spacing w:after="0" w:line="163" w:lineRule="exact"/>
              <w:rPr>
                <w:sz w:val="20"/>
                <w:szCs w:val="20"/>
                <w:color w:val="auto"/>
              </w:rPr>
            </w:pPr>
            <w:r>
              <w:rPr>
                <w:rFonts w:ascii="Arial" w:cs="Arial" w:eastAsia="Arial" w:hAnsi="Arial"/>
                <w:sz w:val="16"/>
                <w:szCs w:val="16"/>
                <w:color w:val="auto"/>
              </w:rPr>
              <w:t>Depositary Shares, each representing a 1/40th interest in a share of 8.25% Fixed-Rate Series B</w:t>
            </w:r>
          </w:p>
        </w:tc>
        <w:tc>
          <w:tcPr>
            <w:tcW w:w="1100" w:type="dxa"/>
            <w:vAlign w:val="bottom"/>
            <w:gridSpan w:val="2"/>
          </w:tcPr>
          <w:p>
            <w:pPr>
              <w:jc w:val="center"/>
              <w:ind w:right="100"/>
              <w:spacing w:after="0" w:line="163" w:lineRule="exact"/>
              <w:rPr>
                <w:sz w:val="20"/>
                <w:szCs w:val="20"/>
                <w:color w:val="auto"/>
              </w:rPr>
            </w:pPr>
            <w:r>
              <w:rPr>
                <w:rFonts w:ascii="Arial" w:cs="Arial" w:eastAsia="Arial" w:hAnsi="Arial"/>
                <w:sz w:val="16"/>
                <w:szCs w:val="16"/>
                <w:color w:val="auto"/>
              </w:rPr>
              <w:t>BUSEP</w:t>
            </w:r>
          </w:p>
        </w:tc>
        <w:tc>
          <w:tcPr>
            <w:tcW w:w="2840" w:type="dxa"/>
            <w:vAlign w:val="bottom"/>
          </w:tcPr>
          <w:p>
            <w:pPr>
              <w:jc w:val="center"/>
              <w:spacing w:after="0" w:line="163" w:lineRule="exact"/>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5"/>
        </w:trPr>
        <w:tc>
          <w:tcPr>
            <w:tcW w:w="7300" w:type="dxa"/>
            <w:vAlign w:val="bottom"/>
            <w:gridSpan w:val="2"/>
          </w:tcPr>
          <w:p>
            <w:pPr>
              <w:ind w:left="20"/>
              <w:spacing w:after="0"/>
              <w:rPr>
                <w:sz w:val="20"/>
                <w:szCs w:val="20"/>
                <w:color w:val="auto"/>
              </w:rPr>
            </w:pPr>
            <w:r>
              <w:rPr>
                <w:rFonts w:ascii="Arial" w:cs="Arial" w:eastAsia="Arial" w:hAnsi="Arial"/>
                <w:sz w:val="16"/>
                <w:szCs w:val="16"/>
                <w:color w:val="auto"/>
              </w:rPr>
              <w:t>Non-Cumulative Perpetual Preferred Stock, $0.001 par value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4"/>
          <w:szCs w:val="24"/>
          <w:color w:val="auto"/>
        </w:rPr>
      </w:pPr>
    </w:p>
    <w:p>
      <w:pPr>
        <w:jc w:val="both"/>
        <w:spacing w:after="0" w:line="21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96" w:lineRule="exact"/>
        <w:rPr>
          <w:sz w:val="20"/>
          <w:szCs w:val="20"/>
          <w:color w:val="auto"/>
        </w:rPr>
      </w:pPr>
      <w:r>
        <w:rPr>
          <w:rFonts w:ascii="Arial" w:cs="Arial" w:eastAsia="Arial" w:hAnsi="Arial"/>
          <w:sz w:val="16"/>
          <w:szCs w:val="16"/>
          <w:color w:val="auto"/>
        </w:rPr>
        <w:t xml:space="preserve">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119" w:lineRule="exact"/>
        <w:rPr>
          <w:sz w:val="24"/>
          <w:szCs w:val="24"/>
          <w:color w:val="auto"/>
        </w:rPr>
      </w:pPr>
    </w:p>
    <w:p>
      <w:pPr>
        <w:jc w:val="both"/>
        <w:spacing w:after="0" w:line="21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96"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Wingdings" w:cs="Wingdings" w:eastAsia="Wingdings" w:hAnsi="Wingdings"/>
          <w:sz w:val="17"/>
          <w:szCs w:val="17"/>
          <w:b w:val="1"/>
          <w:bCs w:val="1"/>
          <w:color w:val="auto"/>
        </w:rPr>
        <w:t>o</w:t>
      </w:r>
    </w:p>
    <w:p>
      <w:pPr>
        <w:spacing w:after="0" w:line="119" w:lineRule="exact"/>
        <w:rPr>
          <w:sz w:val="24"/>
          <w:szCs w:val="24"/>
          <w:color w:val="auto"/>
        </w:rPr>
      </w:pPr>
    </w:p>
    <w:p>
      <w:pPr>
        <w:jc w:val="both"/>
        <w:spacing w:after="0" w:line="23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6" w:right="339" w:bottom="1440" w:gutter="0" w:footer="0" w:header="0"/>
        </w:sectPr>
      </w:pPr>
    </w:p>
    <w:p>
      <w:pPr>
        <w:spacing w:after="0" w:line="101" w:lineRule="exact"/>
        <w:rPr>
          <w:sz w:val="24"/>
          <w:szCs w:val="24"/>
          <w:color w:val="auto"/>
        </w:rPr>
      </w:pPr>
    </w:p>
    <w:p>
      <w:pPr>
        <w:ind w:left="36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3">
            <w:col w:w="3240" w:space="720"/>
            <w:col w:w="2940" w:space="720"/>
            <w:col w:w="3620"/>
          </w:cols>
          <w:pgMar w:left="320" w:top="296" w:right="339" w:bottom="1440" w:gutter="0" w:footer="0" w:header="0"/>
          <w:type w:val="continuous"/>
        </w:sectPr>
      </w:pPr>
    </w:p>
    <w:p>
      <w:pPr>
        <w:ind w:left="3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3240" w:space="720"/>
            <w:col w:w="7280"/>
          </w:cols>
          <w:pgMar w:left="320" w:top="296" w:right="339" w:bottom="1440" w:gutter="0" w:footer="0" w:header="0"/>
          <w:type w:val="continuous"/>
        </w:sectPr>
      </w:pPr>
    </w:p>
    <w:p>
      <w:pPr>
        <w:ind w:right="20"/>
        <w:spacing w:after="0" w:line="25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auto"/>
        </w:rPr>
        <w:t>o</w:t>
      </w:r>
    </w:p>
    <w:p>
      <w:pPr>
        <w:spacing w:after="0" w:line="41" w:lineRule="exact"/>
        <w:rPr>
          <w:sz w:val="24"/>
          <w:szCs w:val="24"/>
          <w:color w:val="auto"/>
        </w:rPr>
      </w:pPr>
    </w:p>
    <w:p>
      <w:pPr>
        <w:ind w:right="210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Wingdings" w:cs="Wingdings" w:eastAsia="Wingdings" w:hAnsi="Wingdings"/>
          <w:sz w:val="17"/>
          <w:szCs w:val="17"/>
          <w:b w:val="1"/>
          <w:bCs w:val="1"/>
          <w:color w:val="auto"/>
        </w:rPr>
        <w:t>o</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380" w:type="dxa"/>
            <w:vAlign w:val="bottom"/>
            <w:gridSpan w:val="2"/>
          </w:tcPr>
          <w:p>
            <w:pPr>
              <w:spacing w:after="0"/>
              <w:rPr>
                <w:sz w:val="20"/>
                <w:szCs w:val="20"/>
                <w:color w:val="auto"/>
              </w:rPr>
            </w:pPr>
            <w:r>
              <w:rPr>
                <w:rFonts w:ascii="Arial" w:cs="Arial" w:eastAsia="Arial" w:hAnsi="Arial"/>
                <w:sz w:val="14"/>
                <w:szCs w:val="14"/>
                <w:b w:val="1"/>
                <w:bCs w:val="1"/>
                <w:color w:val="auto"/>
              </w:rPr>
              <w:t>Class</w:t>
            </w:r>
          </w:p>
        </w:tc>
        <w:tc>
          <w:tcPr>
            <w:tcW w:w="2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Outstanding at August 5, 2025</w:t>
            </w:r>
          </w:p>
        </w:tc>
      </w:tr>
      <w:tr>
        <w:trPr>
          <w:trHeight w:val="208"/>
        </w:trPr>
        <w:tc>
          <w:tcPr>
            <w:tcW w:w="20" w:type="dxa"/>
            <w:vAlign w:val="bottom"/>
            <w:tcBorders>
              <w:top w:val="single" w:sz="8" w:color="auto"/>
            </w:tcBorders>
          </w:tcPr>
          <w:p>
            <w:pPr>
              <w:spacing w:after="0"/>
              <w:rPr>
                <w:sz w:val="18"/>
                <w:szCs w:val="18"/>
                <w:color w:val="auto"/>
              </w:rPr>
            </w:pPr>
          </w:p>
        </w:tc>
        <w:tc>
          <w:tcPr>
            <w:tcW w:w="82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Common Stock, $0.001 par value</w:t>
            </w:r>
          </w:p>
        </w:tc>
        <w:tc>
          <w:tcPr>
            <w:tcW w:w="100" w:type="dxa"/>
            <w:vAlign w:val="bottom"/>
          </w:tcPr>
          <w:p>
            <w:pPr>
              <w:spacing w:after="0"/>
              <w:rPr>
                <w:sz w:val="18"/>
                <w:szCs w:val="18"/>
                <w:color w:val="auto"/>
              </w:rPr>
            </w:pPr>
          </w:p>
        </w:tc>
        <w:tc>
          <w:tcPr>
            <w:tcW w:w="2820" w:type="dxa"/>
            <w:vAlign w:val="bottom"/>
            <w:tcBorders>
              <w:top w:val="single" w:sz="8" w:color="auto"/>
            </w:tcBorders>
          </w:tcPr>
          <w:p>
            <w:pPr>
              <w:jc w:val="right"/>
              <w:ind w:right="924"/>
              <w:spacing w:after="0"/>
              <w:rPr>
                <w:sz w:val="20"/>
                <w:szCs w:val="20"/>
                <w:color w:val="auto"/>
              </w:rPr>
            </w:pPr>
            <w:r>
              <w:rPr>
                <w:rFonts w:ascii="Arial" w:cs="Arial" w:eastAsia="Arial" w:hAnsi="Arial"/>
                <w:sz w:val="16"/>
                <w:szCs w:val="16"/>
                <w:color w:val="auto"/>
              </w:rPr>
              <w:t>89,065,910</w:t>
            </w:r>
          </w:p>
        </w:tc>
        <w:tc>
          <w:tcPr>
            <w:tcW w:w="20" w:type="dxa"/>
            <w:vAlign w:val="bottom"/>
            <w:tcBorders>
              <w:top w:val="single" w:sz="8" w:color="auto"/>
            </w:tcBorders>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8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8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29"/>
        </w:trPr>
        <w:tc>
          <w:tcPr>
            <w:tcW w:w="20" w:type="dxa"/>
            <w:vAlign w:val="bottom"/>
            <w:tcBorders>
              <w:bottom w:val="single" w:sz="8" w:color="9A9A9A"/>
            </w:tcBorders>
          </w:tcPr>
          <w:p>
            <w:pPr>
              <w:spacing w:after="0"/>
              <w:rPr>
                <w:sz w:val="24"/>
                <w:szCs w:val="24"/>
                <w:color w:val="auto"/>
              </w:rPr>
            </w:pPr>
          </w:p>
        </w:tc>
        <w:tc>
          <w:tcPr>
            <w:tcW w:w="8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2025</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0560" w:type="dxa"/>
            <w:vAlign w:val="bottom"/>
          </w:tcPr>
          <w:p>
            <w:pPr>
              <w:spacing w:after="0"/>
              <w:rPr>
                <w:sz w:val="20"/>
                <w:szCs w:val="20"/>
                <w:color w:val="auto"/>
              </w:rPr>
            </w:pPr>
            <w:r>
              <w:rPr>
                <w:rFonts w:ascii="Arial" w:cs="Arial" w:eastAsia="Arial" w:hAnsi="Arial"/>
                <w:sz w:val="18"/>
                <w:szCs w:val="18"/>
                <w:b w:val="1"/>
                <w:bCs w:val="1"/>
                <w:color w:val="auto"/>
              </w:rPr>
              <w:t>GLOSSARY</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10560" w:type="dxa"/>
            <w:vAlign w:val="bottom"/>
          </w:tcPr>
          <w:p>
            <w:pPr>
              <w:spacing w:after="0"/>
              <w:rPr>
                <w:sz w:val="20"/>
                <w:szCs w:val="20"/>
                <w:color w:val="auto"/>
              </w:rPr>
            </w:pPr>
            <w:r>
              <w:rPr>
                <w:rFonts w:ascii="Arial" w:cs="Arial" w:eastAsia="Arial" w:hAnsi="Arial"/>
                <w:sz w:val="18"/>
                <w:szCs w:val="18"/>
                <w:b w:val="1"/>
                <w:bCs w:val="1"/>
                <w:color w:val="auto"/>
              </w:rPr>
              <w:t>PART I—FINANCIAL INFORMATION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70"/>
        </w:trPr>
        <w:tc>
          <w:tcPr>
            <w:tcW w:w="10560" w:type="dxa"/>
            <w:vAlign w:val="bottom"/>
          </w:tcPr>
          <w:p>
            <w:pPr>
              <w:ind w:left="160"/>
              <w:spacing w:after="0"/>
              <w:rPr>
                <w:sz w:val="20"/>
                <w:szCs w:val="20"/>
                <w:color w:val="auto"/>
              </w:rPr>
            </w:pPr>
            <w:r>
              <w:rPr>
                <w:rFonts w:ascii="Arial" w:cs="Arial" w:eastAsia="Arial" w:hAnsi="Arial"/>
                <w:sz w:val="18"/>
                <w:szCs w:val="18"/>
                <w:b w:val="1"/>
                <w:bCs w:val="1"/>
                <w:color w:val="auto"/>
              </w:rPr>
              <w:t>ITEM 1. FINANCIAL STATEMENTS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w:t>
            </w:r>
          </w:p>
        </w:tc>
      </w:tr>
      <w:tr>
        <w:trPr>
          <w:trHeight w:val="262"/>
        </w:trPr>
        <w:tc>
          <w:tcPr>
            <w:tcW w:w="10560" w:type="dxa"/>
            <w:vAlign w:val="bottom"/>
          </w:tcPr>
          <w:p>
            <w:pPr>
              <w:ind w:left="340"/>
              <w:spacing w:after="0"/>
              <w:rPr>
                <w:sz w:val="20"/>
                <w:szCs w:val="20"/>
                <w:color w:val="auto"/>
              </w:rPr>
            </w:pPr>
            <w:r>
              <w:rPr>
                <w:rFonts w:ascii="Arial" w:cs="Arial" w:eastAsia="Arial" w:hAnsi="Arial"/>
                <w:sz w:val="18"/>
                <w:szCs w:val="18"/>
                <w:color w:val="auto"/>
              </w:rPr>
              <w:t>CONSOLIDATED BALANCE SHEETS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CONSOLIDATED STATEMENTS OF INCOME (LOSS)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CONSOLIDATED STATEMENTS OF COMPREHENSIVE INCOME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CONSOLIDATED STATEMENTS OF STOCKHOLDERS’ EQUITY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CONSOLIDATED STATEMENTS OF CASH FLOWS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NOTES TO CONSOLIDATED FINANCIAL STATEMENTS (Unaudited)</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 Significant Accounting Policies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2. Mergers and Acquisitions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3. Debt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4. Portfolio Loans</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5. Leases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6. Deposits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7. Borrowings</w:t>
            </w:r>
          </w:p>
        </w:tc>
        <w:tc>
          <w:tcPr>
            <w:tcW w:w="6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8. Regulatory Capital</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9. Tax Credit Investments and Other Investments in Unconsolidated Entities</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10. 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11. Outstanding Commitments and Contingent Liabilities</w:t>
            </w:r>
          </w:p>
        </w:tc>
        <w:tc>
          <w:tcPr>
            <w:tcW w:w="6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12. Derivative Financial Instruments</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13. Fair Value Measurements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14. Earnings Per Common Share</w:t>
            </w:r>
          </w:p>
        </w:tc>
        <w:tc>
          <w:tcPr>
            <w:tcW w:w="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15. Accumulated Other Comprehensive Income (Loss)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Note 16. Operating Segments and Related Information</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8"/>
        </w:trPr>
        <w:tc>
          <w:tcPr>
            <w:tcW w:w="10560" w:type="dxa"/>
            <w:vAlign w:val="bottom"/>
          </w:tcPr>
          <w:p>
            <w:pPr>
              <w:ind w:left="1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62"/>
        </w:trPr>
        <w:tc>
          <w:tcPr>
            <w:tcW w:w="10560" w:type="dxa"/>
            <w:vAlign w:val="bottom"/>
          </w:tcPr>
          <w:p>
            <w:pPr>
              <w:ind w:left="340"/>
              <w:spacing w:after="0"/>
              <w:rPr>
                <w:sz w:val="20"/>
                <w:szCs w:val="20"/>
                <w:color w:val="auto"/>
              </w:rPr>
            </w:pPr>
            <w:r>
              <w:rPr>
                <w:rFonts w:ascii="Arial" w:cs="Arial" w:eastAsia="Arial" w:hAnsi="Arial"/>
                <w:sz w:val="18"/>
                <w:szCs w:val="18"/>
                <w:color w:val="auto"/>
              </w:rPr>
              <w:t>SCOPE OF DISCUSSION</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BUSINESS</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Banking Center Markets</w:t>
            </w:r>
          </w:p>
        </w:tc>
        <w:tc>
          <w:tcPr>
            <w:tcW w:w="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Busey’s Conservative Banking Strategy</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Mergers and Acquisitions</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0560" w:type="dxa"/>
            <w:vAlign w:val="bottom"/>
          </w:tcPr>
          <w:p>
            <w:pPr>
              <w:ind w:left="340"/>
              <w:spacing w:after="0"/>
              <w:rPr>
                <w:sz w:val="20"/>
                <w:szCs w:val="20"/>
                <w:color w:val="auto"/>
              </w:rPr>
            </w:pPr>
            <w:r>
              <w:rPr>
                <w:rFonts w:ascii="Arial" w:cs="Arial" w:eastAsia="Arial" w:hAnsi="Arial"/>
                <w:sz w:val="18"/>
                <w:szCs w:val="18"/>
                <w:color w:val="auto"/>
              </w:rPr>
              <w:t>RESULTS OF OPERATIONS — THREE AND SIX MONTHS ENDED JUNE 30, 2025</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Non-Operating Expenses and Non-GAAP Measures</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Operating Performance Metrics</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Net 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Noninterest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70"/>
        </w:trPr>
        <w:tc>
          <w:tcPr>
            <w:tcW w:w="10560" w:type="dxa"/>
            <w:vAlign w:val="bottom"/>
          </w:tcPr>
          <w:p>
            <w:pPr>
              <w:ind w:left="500"/>
              <w:spacing w:after="0"/>
              <w:rPr>
                <w:sz w:val="20"/>
                <w:szCs w:val="20"/>
                <w:color w:val="auto"/>
              </w:rPr>
            </w:pPr>
            <w:r>
              <w:rPr>
                <w:rFonts w:ascii="Arial" w:cs="Arial" w:eastAsia="Arial" w:hAnsi="Arial"/>
                <w:sz w:val="18"/>
                <w:szCs w:val="18"/>
                <w:color w:val="auto"/>
              </w:rPr>
              <w:t>Noninterest Expense</w:t>
            </w:r>
          </w:p>
        </w:tc>
        <w:tc>
          <w:tcPr>
            <w:tcW w:w="64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304" w:lineRule="exact"/>
        <w:rPr>
          <w:sz w:val="20"/>
          <w:szCs w:val="20"/>
          <w:color w:val="auto"/>
        </w:rPr>
      </w:pPr>
    </w:p>
    <w:p>
      <w:pPr>
        <w:ind w:left="84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10240" w:type="dxa"/>
            <w:vAlign w:val="bottom"/>
          </w:tcPr>
          <w:p>
            <w:pPr>
              <w:ind w:left="4340"/>
              <w:spacing w:after="0"/>
              <w:rPr>
                <w:sz w:val="20"/>
                <w:szCs w:val="20"/>
                <w:color w:val="auto"/>
              </w:rPr>
            </w:pPr>
            <w:r>
              <w:rPr>
                <w:rFonts w:ascii="Arial" w:cs="Arial" w:eastAsia="Arial" w:hAnsi="Arial"/>
                <w:sz w:val="18"/>
                <w:szCs w:val="18"/>
                <w:b w:val="1"/>
                <w:bCs w:val="1"/>
                <w:color w:val="auto"/>
              </w:rPr>
              <w:t>Table of Contents (continued)</w:t>
            </w:r>
          </w:p>
        </w:tc>
        <w:tc>
          <w:tcPr>
            <w:tcW w:w="960" w:type="dxa"/>
            <w:vAlign w:val="bottom"/>
          </w:tcPr>
          <w:p>
            <w:pPr>
              <w:spacing w:after="0"/>
              <w:rPr>
                <w:sz w:val="21"/>
                <w:szCs w:val="21"/>
                <w:color w:val="auto"/>
              </w:rPr>
            </w:pPr>
          </w:p>
        </w:tc>
      </w:tr>
      <w:tr>
        <w:trPr>
          <w:trHeight w:val="532"/>
        </w:trPr>
        <w:tc>
          <w:tcPr>
            <w:tcW w:w="10240" w:type="dxa"/>
            <w:vAlign w:val="bottom"/>
          </w:tcPr>
          <w:p>
            <w:pPr>
              <w:ind w:left="340"/>
              <w:spacing w:after="0"/>
              <w:rPr>
                <w:sz w:val="20"/>
                <w:szCs w:val="20"/>
                <w:color w:val="auto"/>
              </w:rPr>
            </w:pPr>
            <w:r>
              <w:rPr>
                <w:rFonts w:ascii="Arial" w:cs="Arial" w:eastAsia="Arial" w:hAnsi="Arial"/>
                <w:sz w:val="18"/>
                <w:szCs w:val="18"/>
                <w:color w:val="auto"/>
              </w:rPr>
              <w:t>FINANCIAL CONDITION</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Balance Sheet</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Portfolio Loans</w:t>
            </w: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Deposits</w:t>
            </w:r>
          </w:p>
        </w:tc>
        <w:tc>
          <w:tcPr>
            <w:tcW w:w="9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Liquidity</w:t>
            </w: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Off-Balance-Sheet Arrangements</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Capital Resources</w:t>
            </w: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NON-GAAP FINANCIAL INFORMATION</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FORWARD-LOOKING STATEMENTS</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10240" w:type="dxa"/>
            <w:vAlign w:val="bottom"/>
          </w:tcPr>
          <w:p>
            <w:pPr>
              <w:ind w:left="340"/>
              <w:spacing w:after="0"/>
              <w:rPr>
                <w:sz w:val="20"/>
                <w:szCs w:val="20"/>
                <w:color w:val="auto"/>
              </w:rPr>
            </w:pPr>
            <w:r>
              <w:rPr>
                <w:rFonts w:ascii="Arial" w:cs="Arial" w:eastAsia="Arial" w:hAnsi="Arial"/>
                <w:sz w:val="18"/>
                <w:szCs w:val="18"/>
                <w:color w:val="auto"/>
              </w:rPr>
              <w:t>CRITICAL ACCOUNTING ESTIMATES</w:t>
            </w:r>
          </w:p>
        </w:tc>
        <w:tc>
          <w:tcPr>
            <w:tcW w:w="9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Fair Value of Assets Acquired and Liabilities Assumed in Business Combinations</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Goodwill</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96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10240" w:type="dxa"/>
            <w:vAlign w:val="bottom"/>
          </w:tcPr>
          <w:p>
            <w:pPr>
              <w:ind w:left="500"/>
              <w:spacing w:after="0"/>
              <w:rPr>
                <w:sz w:val="20"/>
                <w:szCs w:val="20"/>
                <w:color w:val="auto"/>
              </w:rPr>
            </w:pPr>
            <w:r>
              <w:rPr>
                <w:rFonts w:ascii="Arial" w:cs="Arial" w:eastAsia="Arial" w:hAnsi="Arial"/>
                <w:sz w:val="18"/>
                <w:szCs w:val="18"/>
                <w:color w:val="auto"/>
              </w:rPr>
              <w:t>Allowance for Credit Losses</w:t>
            </w:r>
          </w:p>
        </w:tc>
        <w:tc>
          <w:tcPr>
            <w:tcW w:w="96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78"/>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108</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4. CONTROLS AND PROCEDURES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PART II—OTHER INFORMATION—OTHER INFORMATION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1. LEGAL PROCEEDINGS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1A. RISK FACTORS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39"/>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w:t>
            </w:r>
          </w:p>
        </w:tc>
        <w:tc>
          <w:tcPr>
            <w:tcW w:w="960" w:type="dxa"/>
            <w:vAlign w:val="bottom"/>
          </w:tcPr>
          <w:p>
            <w:pPr>
              <w:spacing w:after="0"/>
              <w:rPr>
                <w:sz w:val="20"/>
                <w:szCs w:val="20"/>
                <w:color w:val="auto"/>
              </w:rPr>
            </w:pPr>
          </w:p>
        </w:tc>
      </w:tr>
      <w:tr>
        <w:trPr>
          <w:trHeight w:val="247"/>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EQUITY SECURITIES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3. DEFAULTS UPON SENIOR SECURITIES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4. MINE SAFETY DISCLOSURES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5. OTHER INFORMATION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270"/>
        </w:trPr>
        <w:tc>
          <w:tcPr>
            <w:tcW w:w="10240" w:type="dxa"/>
            <w:vAlign w:val="bottom"/>
          </w:tcPr>
          <w:p>
            <w:pPr>
              <w:ind w:left="160"/>
              <w:spacing w:after="0"/>
              <w:rPr>
                <w:sz w:val="20"/>
                <w:szCs w:val="20"/>
                <w:color w:val="auto"/>
              </w:rPr>
            </w:pPr>
            <w:r>
              <w:rPr>
                <w:rFonts w:ascii="Arial" w:cs="Arial" w:eastAsia="Arial" w:hAnsi="Arial"/>
                <w:sz w:val="18"/>
                <w:szCs w:val="18"/>
                <w:b w:val="1"/>
                <w:bCs w:val="1"/>
                <w:color w:val="auto"/>
              </w:rPr>
              <w:t>ITEM 6. EXHIBITS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112</w:t>
            </w:r>
          </w:p>
        </w:tc>
      </w:tr>
      <w:tr>
        <w:trPr>
          <w:trHeight w:val="270"/>
        </w:trPr>
        <w:tc>
          <w:tcPr>
            <w:tcW w:w="1024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113</w:t>
            </w:r>
          </w:p>
        </w:tc>
      </w:tr>
    </w:tbl>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Busey uses acronyms, abbreviations, and other terms throughout this Quarterly Report, as defined in the glossary below:</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Term</w:t>
            </w: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43"/>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2020 Equity Plan</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First Busey Corporation Amended 2020 Equity Incentive Plan</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ACL</w:t>
            </w:r>
          </w:p>
        </w:tc>
        <w:tc>
          <w:tcPr>
            <w:tcW w:w="888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Annual Report</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Annual report filed with the SEC on Form 10-K pursuant to Section 13 or 15(d) of the Exchange Act</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AOCI</w:t>
            </w:r>
          </w:p>
        </w:tc>
        <w:tc>
          <w:tcPr>
            <w:tcW w:w="88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ASC</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Accounting Standards Codification</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8880" w:type="dxa"/>
            <w:vAlign w:val="bottom"/>
          </w:tcPr>
          <w:p>
            <w:pPr>
              <w:ind w:left="20"/>
              <w:spacing w:after="0"/>
              <w:rPr>
                <w:sz w:val="20"/>
                <w:szCs w:val="20"/>
                <w:color w:val="auto"/>
              </w:rPr>
            </w:pPr>
            <w:r>
              <w:rPr>
                <w:rFonts w:ascii="Arial" w:cs="Arial" w:eastAsia="Arial" w:hAnsi="Arial"/>
                <w:sz w:val="18"/>
                <w:szCs w:val="18"/>
                <w:color w:val="auto"/>
              </w:rPr>
              <w:t>Accounting Standards Update</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Basel III</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2010 capital accord adopted by the international Basel Committee on Banking Supervision</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Basel III Rule</w:t>
            </w:r>
          </w:p>
        </w:tc>
        <w:tc>
          <w:tcPr>
            <w:tcW w:w="8880" w:type="dxa"/>
            <w:vAlign w:val="bottom"/>
          </w:tcPr>
          <w:p>
            <w:pPr>
              <w:ind w:left="20"/>
              <w:spacing w:after="0"/>
              <w:rPr>
                <w:sz w:val="20"/>
                <w:szCs w:val="20"/>
                <w:color w:val="auto"/>
              </w:rPr>
            </w:pPr>
            <w:r>
              <w:rPr>
                <w:rFonts w:ascii="Arial" w:cs="Arial" w:eastAsia="Arial" w:hAnsi="Arial"/>
                <w:sz w:val="18"/>
                <w:szCs w:val="18"/>
                <w:color w:val="auto"/>
              </w:rPr>
              <w:t>Regulations promulgated by U.S. federal banking agencies—the OCC, the Federal Reserve, and the FDIC—to</w:t>
            </w:r>
          </w:p>
        </w:tc>
      </w:tr>
      <w:tr>
        <w:trPr>
          <w:trHeight w:val="216"/>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both enforce implementation of certain aspects of the Basel III capital reforms and effect certain changes</w:t>
            </w:r>
          </w:p>
        </w:tc>
      </w:tr>
      <w:tr>
        <w:trPr>
          <w:trHeight w:val="239"/>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required by the Dodd-Frank Wall Street Reform and Consumer Protection Act</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bps</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basis points</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Busey</w:t>
            </w:r>
          </w:p>
        </w:tc>
        <w:tc>
          <w:tcPr>
            <w:tcW w:w="8880" w:type="dxa"/>
            <w:vAlign w:val="bottom"/>
          </w:tcPr>
          <w:p>
            <w:pPr>
              <w:ind w:left="20"/>
              <w:spacing w:after="0"/>
              <w:rPr>
                <w:sz w:val="20"/>
                <w:szCs w:val="20"/>
                <w:color w:val="auto"/>
              </w:rPr>
            </w:pPr>
            <w:r>
              <w:rPr>
                <w:rFonts w:ascii="Arial" w:cs="Arial" w:eastAsia="Arial" w:hAnsi="Arial"/>
                <w:sz w:val="18"/>
                <w:szCs w:val="18"/>
                <w:color w:val="auto"/>
              </w:rPr>
              <w:t>First Busey Corporation, together with its wholly-owned consolidated subsidiaries; also, “First Busey,” and the</w:t>
            </w:r>
          </w:p>
        </w:tc>
      </w:tr>
      <w:tr>
        <w:trPr>
          <w:trHeight w:val="239"/>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24"/>
        </w:trPr>
        <w:tc>
          <w:tcPr>
            <w:tcW w:w="23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Busey Series A Preferred</w:t>
            </w:r>
          </w:p>
        </w:tc>
        <w:tc>
          <w:tcPr>
            <w:tcW w:w="8880" w:type="dxa"/>
            <w:vAlign w:val="bottom"/>
            <w:shd w:val="clear" w:color="auto" w:fill="E0E7ED"/>
          </w:tcPr>
          <w:p>
            <w:pPr>
              <w:ind w:left="20"/>
              <w:spacing w:after="0"/>
              <w:rPr>
                <w:sz w:val="20"/>
                <w:szCs w:val="20"/>
                <w:color w:val="auto"/>
              </w:rPr>
            </w:pPr>
            <w:r>
              <w:rPr>
                <w:rFonts w:ascii="Arial" w:cs="Arial" w:eastAsia="Arial" w:hAnsi="Arial"/>
                <w:sz w:val="18"/>
                <w:szCs w:val="18"/>
                <w:color w:val="auto"/>
              </w:rPr>
              <w:t>Series A Non-Cumulative Perpetual Preferred Stock, $0.001 par value</w:t>
            </w:r>
          </w:p>
        </w:tc>
      </w:tr>
      <w:tr>
        <w:trPr>
          <w:trHeight w:val="242"/>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Stock</w:t>
            </w:r>
          </w:p>
        </w:tc>
        <w:tc>
          <w:tcPr>
            <w:tcW w:w="8880" w:type="dxa"/>
            <w:vAlign w:val="bottom"/>
            <w:tcBorders>
              <w:bottom w:val="single" w:sz="8" w:color="E0E7ED"/>
            </w:tcBorders>
            <w:shd w:val="clear" w:color="auto" w:fill="E0E7ED"/>
          </w:tcPr>
          <w:p>
            <w:pPr>
              <w:spacing w:after="0"/>
              <w:rPr>
                <w:sz w:val="21"/>
                <w:szCs w:val="21"/>
                <w:color w:val="auto"/>
              </w:rPr>
            </w:pP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Busey Series B Preferred</w:t>
            </w:r>
          </w:p>
        </w:tc>
        <w:tc>
          <w:tcPr>
            <w:tcW w:w="8880" w:type="dxa"/>
            <w:vAlign w:val="bottom"/>
          </w:tcPr>
          <w:p>
            <w:pPr>
              <w:ind w:left="20"/>
              <w:spacing w:after="0"/>
              <w:rPr>
                <w:sz w:val="20"/>
                <w:szCs w:val="20"/>
                <w:color w:val="auto"/>
              </w:rPr>
            </w:pPr>
            <w:r>
              <w:rPr>
                <w:rFonts w:ascii="Arial" w:cs="Arial" w:eastAsia="Arial" w:hAnsi="Arial"/>
                <w:sz w:val="18"/>
                <w:szCs w:val="18"/>
                <w:color w:val="auto"/>
              </w:rPr>
              <w:t>8.25% Fixed-Rate Series B Non-Cumulative Perpetual Preferred Stock, $0.001 par value</w:t>
            </w:r>
          </w:p>
        </w:tc>
      </w:tr>
      <w:tr>
        <w:trPr>
          <w:trHeight w:val="239"/>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Stock</w:t>
            </w:r>
          </w:p>
        </w:tc>
        <w:tc>
          <w:tcPr>
            <w:tcW w:w="8880" w:type="dxa"/>
            <w:vAlign w:val="bottom"/>
          </w:tcPr>
          <w:p>
            <w:pPr>
              <w:spacing w:after="0"/>
              <w:rPr>
                <w:sz w:val="20"/>
                <w:szCs w:val="20"/>
                <w:color w:val="auto"/>
              </w:rPr>
            </w:pP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C&amp;I</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Commercial and industrial</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CECL</w:t>
            </w:r>
          </w:p>
        </w:tc>
        <w:tc>
          <w:tcPr>
            <w:tcW w:w="8880" w:type="dxa"/>
            <w:vAlign w:val="bottom"/>
          </w:tcPr>
          <w:p>
            <w:pPr>
              <w:ind w:left="20"/>
              <w:spacing w:after="0"/>
              <w:rPr>
                <w:sz w:val="20"/>
                <w:szCs w:val="20"/>
                <w:color w:val="auto"/>
              </w:rPr>
            </w:pPr>
            <w:r>
              <w:rPr>
                <w:rFonts w:ascii="Arial" w:cs="Arial" w:eastAsia="Arial" w:hAnsi="Arial"/>
                <w:sz w:val="18"/>
                <w:szCs w:val="18"/>
                <w:color w:val="auto"/>
              </w:rPr>
              <w:t>ASC Topic 326 “Financial Instruments-Credit Losses,” which established the Current Expected Credit Losses</w:t>
            </w:r>
          </w:p>
        </w:tc>
      </w:tr>
      <w:tr>
        <w:trPr>
          <w:trHeight w:val="239"/>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methodology for measuring credit losses on financial instruments</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CrossFirst</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CrossFirst Bankshares, Inc.</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Current Report</w:t>
            </w:r>
          </w:p>
        </w:tc>
        <w:tc>
          <w:tcPr>
            <w:tcW w:w="8880" w:type="dxa"/>
            <w:vAlign w:val="bottom"/>
          </w:tcPr>
          <w:p>
            <w:pPr>
              <w:ind w:left="20"/>
              <w:spacing w:after="0"/>
              <w:rPr>
                <w:sz w:val="20"/>
                <w:szCs w:val="20"/>
                <w:color w:val="auto"/>
              </w:rPr>
            </w:pPr>
            <w:r>
              <w:rPr>
                <w:rFonts w:ascii="Arial" w:cs="Arial" w:eastAsia="Arial" w:hAnsi="Arial"/>
                <w:sz w:val="18"/>
                <w:szCs w:val="18"/>
                <w:color w:val="auto"/>
              </w:rPr>
              <w:t>Current report filed with the SEC on Form 8-K pursuant to Section 13 or 15(d) of the Securities Exchange Act</w:t>
            </w:r>
          </w:p>
        </w:tc>
      </w:tr>
      <w:tr>
        <w:trPr>
          <w:trHeight w:val="239"/>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of 1934</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DSU</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Deferred stock unit</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ESPP</w:t>
            </w:r>
          </w:p>
        </w:tc>
        <w:tc>
          <w:tcPr>
            <w:tcW w:w="8880" w:type="dxa"/>
            <w:vAlign w:val="bottom"/>
          </w:tcPr>
          <w:p>
            <w:pPr>
              <w:ind w:left="20"/>
              <w:spacing w:after="0"/>
              <w:rPr>
                <w:sz w:val="20"/>
                <w:szCs w:val="20"/>
                <w:color w:val="auto"/>
              </w:rPr>
            </w:pPr>
            <w:r>
              <w:rPr>
                <w:rFonts w:ascii="Arial" w:cs="Arial" w:eastAsia="Arial" w:hAnsi="Arial"/>
                <w:sz w:val="18"/>
                <w:szCs w:val="18"/>
                <w:color w:val="auto"/>
              </w:rPr>
              <w:t>First Busey Corporation Employee Stock Purchase Plan</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Exchange Act</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Securities Exchange Act of 1934, as amended</w:t>
            </w:r>
          </w:p>
        </w:tc>
      </w:tr>
      <w:tr>
        <w:trPr>
          <w:trHeight w:val="224"/>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c>
          <w:tcPr>
            <w:tcW w:w="8880" w:type="dxa"/>
            <w:vAlign w:val="bottom"/>
          </w:tcPr>
          <w:p>
            <w:pPr>
              <w:ind w:left="20"/>
              <w:spacing w:after="0"/>
              <w:rPr>
                <w:sz w:val="20"/>
                <w:szCs w:val="20"/>
                <w:color w:val="auto"/>
              </w:rPr>
            </w:pPr>
            <w:r>
              <w:rPr>
                <w:rFonts w:ascii="Arial" w:cs="Arial" w:eastAsia="Arial" w:hAnsi="Arial"/>
                <w:sz w:val="18"/>
                <w:szCs w:val="18"/>
                <w:color w:val="auto"/>
                <w:w w:val="99"/>
              </w:rPr>
              <w:t>The price that would be received to sell an asset, or paid to transfer a liability, in an orderly transaction between</w:t>
            </w:r>
          </w:p>
        </w:tc>
      </w:tr>
      <w:tr>
        <w:trPr>
          <w:trHeight w:val="239"/>
        </w:trPr>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market participants at the measurement date, as defined in ASC Topic 820 “Fair Value Measurement”</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FASB</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Financial Accounting Standards Board</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FDIC</w:t>
            </w:r>
          </w:p>
        </w:tc>
        <w:tc>
          <w:tcPr>
            <w:tcW w:w="8880" w:type="dxa"/>
            <w:vAlign w:val="bottom"/>
          </w:tcPr>
          <w:p>
            <w:pPr>
              <w:ind w:left="20"/>
              <w:spacing w:after="0"/>
              <w:rPr>
                <w:sz w:val="20"/>
                <w:szCs w:val="20"/>
                <w:color w:val="auto"/>
              </w:rPr>
            </w:pPr>
            <w:r>
              <w:rPr>
                <w:rFonts w:ascii="Arial" w:cs="Arial" w:eastAsia="Arial" w:hAnsi="Arial"/>
                <w:sz w:val="18"/>
                <w:szCs w:val="18"/>
                <w:color w:val="auto"/>
              </w:rPr>
              <w:t>Federal Deposit Insurance Corporation</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Federal Reserve</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Board of Governors of the Federal Reserve System</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FHLB</w:t>
            </w:r>
          </w:p>
        </w:tc>
        <w:tc>
          <w:tcPr>
            <w:tcW w:w="8880" w:type="dxa"/>
            <w:vAlign w:val="bottom"/>
          </w:tcPr>
          <w:p>
            <w:pPr>
              <w:ind w:left="20"/>
              <w:spacing w:after="0"/>
              <w:rPr>
                <w:sz w:val="20"/>
                <w:szCs w:val="20"/>
                <w:color w:val="auto"/>
              </w:rPr>
            </w:pPr>
            <w:r>
              <w:rPr>
                <w:rFonts w:ascii="Arial" w:cs="Arial" w:eastAsia="Arial" w:hAnsi="Arial"/>
                <w:sz w:val="18"/>
                <w:szCs w:val="18"/>
                <w:color w:val="auto"/>
              </w:rPr>
              <w:t>Federal Home Loan Bank</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FirsTech</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FirsTech, Inc.</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GAAP</w:t>
            </w:r>
          </w:p>
        </w:tc>
        <w:tc>
          <w:tcPr>
            <w:tcW w:w="8880" w:type="dxa"/>
            <w:vAlign w:val="bottom"/>
          </w:tcPr>
          <w:p>
            <w:pPr>
              <w:ind w:left="20"/>
              <w:spacing w:after="0"/>
              <w:rPr>
                <w:sz w:val="20"/>
                <w:szCs w:val="20"/>
                <w:color w:val="auto"/>
              </w:rPr>
            </w:pPr>
            <w:r>
              <w:rPr>
                <w:rFonts w:ascii="Arial" w:cs="Arial" w:eastAsia="Arial" w:hAnsi="Arial"/>
                <w:sz w:val="18"/>
                <w:szCs w:val="18"/>
                <w:color w:val="auto"/>
              </w:rPr>
              <w:t>U.S. Generally Accepted Accounting Principles</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M&amp;M</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Merchants and Manufacturers Bank Corporation</w:t>
            </w:r>
          </w:p>
        </w:tc>
      </w:tr>
      <w:tr>
        <w:trPr>
          <w:trHeight w:val="24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M&amp;M Bank</w:t>
            </w:r>
          </w:p>
        </w:tc>
        <w:tc>
          <w:tcPr>
            <w:tcW w:w="8880" w:type="dxa"/>
            <w:vAlign w:val="bottom"/>
          </w:tcPr>
          <w:p>
            <w:pPr>
              <w:ind w:left="20"/>
              <w:spacing w:after="0"/>
              <w:rPr>
                <w:sz w:val="20"/>
                <w:szCs w:val="20"/>
                <w:color w:val="auto"/>
              </w:rPr>
            </w:pPr>
            <w:r>
              <w:rPr>
                <w:rFonts w:ascii="Arial" w:cs="Arial" w:eastAsia="Arial" w:hAnsi="Arial"/>
                <w:sz w:val="18"/>
                <w:szCs w:val="18"/>
                <w:color w:val="auto"/>
              </w:rPr>
              <w:t>Merchants and Manufacturers Bank</w:t>
            </w:r>
          </w:p>
        </w:tc>
      </w:tr>
      <w:tr>
        <w:trPr>
          <w:trHeight w:val="23"/>
        </w:trPr>
        <w:tc>
          <w:tcPr>
            <w:tcW w:w="2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MSA</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Metropolitan Statistical Area</w:t>
            </w:r>
          </w:p>
        </w:tc>
      </w:tr>
      <w:tr>
        <w:trPr>
          <w:trHeight w:val="903"/>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6080"/>
              <w:spacing w:after="0"/>
              <w:rPr>
                <w:sz w:val="20"/>
                <w:szCs w:val="20"/>
                <w:color w:val="auto"/>
              </w:rPr>
            </w:pPr>
            <w:r>
              <w:rPr>
                <w:rFonts w:ascii="Arial" w:cs="Arial" w:eastAsia="Arial" w:hAnsi="Arial"/>
                <w:sz w:val="18"/>
                <w:szCs w:val="18"/>
                <w:color w:val="808285"/>
                <w:w w:val="99"/>
              </w:rPr>
              <w:t xml:space="preserve">First Busey Corporation (BUSE) | </w:t>
            </w:r>
            <w:r>
              <w:rPr>
                <w:rFonts w:ascii="Arial" w:cs="Arial" w:eastAsia="Arial" w:hAnsi="Arial"/>
                <w:sz w:val="18"/>
                <w:szCs w:val="18"/>
                <w:b w:val="1"/>
                <w:bCs w:val="1"/>
                <w:color w:val="376484"/>
                <w:w w:val="99"/>
              </w:rPr>
              <w:t>4</w:t>
            </w:r>
          </w:p>
        </w:tc>
      </w:tr>
      <w:tr>
        <w:trPr>
          <w:trHeight w:val="292"/>
        </w:trPr>
        <w:tc>
          <w:tcPr>
            <w:tcW w:w="2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236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8880" w:type="dxa"/>
            <w:vAlign w:val="bottom"/>
          </w:tcPr>
          <w:p>
            <w:pPr>
              <w:spacing w:after="0"/>
              <w:rPr>
                <w:sz w:val="17"/>
                <w:szCs w:val="17"/>
                <w:color w:val="auto"/>
              </w:rPr>
            </w:pPr>
          </w:p>
        </w:tc>
      </w:tr>
      <w:tr>
        <w:trPr>
          <w:trHeight w:val="1104"/>
        </w:trPr>
        <w:tc>
          <w:tcPr>
            <w:tcW w:w="1400" w:type="dxa"/>
            <w:vAlign w:val="bottom"/>
            <w:tcBorders>
              <w:top w:val="single" w:sz="8" w:color="0000FF"/>
            </w:tcBorders>
          </w:tcPr>
          <w:p>
            <w:pPr>
              <w:ind w:left="20"/>
              <w:spacing w:after="0"/>
              <w:rPr>
                <w:sz w:val="20"/>
                <w:szCs w:val="20"/>
                <w:color w:val="auto"/>
              </w:rPr>
            </w:pPr>
            <w:r>
              <w:rPr>
                <w:rFonts w:ascii="Arial" w:cs="Arial" w:eastAsia="Arial" w:hAnsi="Arial"/>
                <w:sz w:val="18"/>
                <w:szCs w:val="18"/>
                <w:color w:val="auto"/>
              </w:rPr>
              <w:t>Term</w:t>
            </w:r>
          </w:p>
        </w:tc>
        <w:tc>
          <w:tcPr>
            <w:tcW w:w="960" w:type="dxa"/>
            <w:vAlign w:val="bottom"/>
            <w:gridSpan w:val="2"/>
          </w:tcPr>
          <w:p>
            <w:pPr>
              <w:spacing w:after="0"/>
              <w:rPr>
                <w:sz w:val="24"/>
                <w:szCs w:val="24"/>
                <w:color w:val="auto"/>
              </w:rPr>
            </w:pPr>
          </w:p>
        </w:tc>
        <w:tc>
          <w:tcPr>
            <w:tcW w:w="8880" w:type="dxa"/>
            <w:vAlign w:val="bottom"/>
          </w:tcPr>
          <w:p>
            <w:pPr>
              <w:ind w:left="20"/>
              <w:spacing w:after="0"/>
              <w:rPr>
                <w:sz w:val="20"/>
                <w:szCs w:val="20"/>
                <w:color w:val="auto"/>
              </w:rPr>
            </w:pPr>
            <w:r>
              <w:rPr>
                <w:rFonts w:ascii="Arial" w:cs="Arial" w:eastAsia="Arial" w:hAnsi="Arial"/>
                <w:sz w:val="18"/>
                <w:szCs w:val="18"/>
                <w:color w:val="auto"/>
              </w:rPr>
              <w:t>Definition</w:t>
            </w:r>
          </w:p>
        </w:tc>
      </w:tr>
      <w:tr>
        <w:trPr>
          <w:trHeight w:val="23"/>
        </w:trPr>
        <w:tc>
          <w:tcPr>
            <w:tcW w:w="2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Borders>
              <w:bottom w:val="single" w:sz="8" w:color="auto"/>
            </w:tcBorders>
          </w:tcPr>
          <w:p>
            <w:pPr>
              <w:spacing w:after="0"/>
              <w:rPr>
                <w:sz w:val="2"/>
                <w:szCs w:val="2"/>
                <w:color w:val="auto"/>
              </w:rPr>
            </w:pPr>
          </w:p>
        </w:tc>
      </w:tr>
      <w:tr>
        <w:trPr>
          <w:trHeight w:val="241"/>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Nasdaq</w:t>
            </w:r>
          </w:p>
        </w:tc>
        <w:tc>
          <w:tcPr>
            <w:tcW w:w="8880" w:type="dxa"/>
            <w:vAlign w:val="bottom"/>
          </w:tcPr>
          <w:p>
            <w:pPr>
              <w:ind w:left="20"/>
              <w:spacing w:after="0"/>
              <w:rPr>
                <w:sz w:val="20"/>
                <w:szCs w:val="20"/>
                <w:color w:val="auto"/>
              </w:rPr>
            </w:pPr>
            <w:r>
              <w:rPr>
                <w:rFonts w:ascii="Arial" w:cs="Arial" w:eastAsia="Arial" w:hAnsi="Arial"/>
                <w:sz w:val="18"/>
                <w:szCs w:val="18"/>
                <w:color w:val="auto"/>
              </w:rPr>
              <w:t>National Association of Securities Dealers Automated Quotations</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N/A</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Not applicable</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NM</w:t>
            </w:r>
          </w:p>
        </w:tc>
        <w:tc>
          <w:tcPr>
            <w:tcW w:w="8880" w:type="dxa"/>
            <w:vAlign w:val="bottom"/>
          </w:tcPr>
          <w:p>
            <w:pPr>
              <w:ind w:left="20"/>
              <w:spacing w:after="0"/>
              <w:rPr>
                <w:sz w:val="20"/>
                <w:szCs w:val="20"/>
                <w:color w:val="auto"/>
              </w:rPr>
            </w:pPr>
            <w:r>
              <w:rPr>
                <w:rFonts w:ascii="Arial" w:cs="Arial" w:eastAsia="Arial" w:hAnsi="Arial"/>
                <w:sz w:val="18"/>
                <w:szCs w:val="18"/>
                <w:color w:val="auto"/>
              </w:rPr>
              <w:t>Not meaningful</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OCI</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Other comprehensive income (loss)</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OREO</w:t>
            </w:r>
          </w:p>
        </w:tc>
        <w:tc>
          <w:tcPr>
            <w:tcW w:w="8880" w:type="dxa"/>
            <w:vAlign w:val="bottom"/>
          </w:tcPr>
          <w:p>
            <w:pPr>
              <w:ind w:left="20"/>
              <w:spacing w:after="0"/>
              <w:rPr>
                <w:sz w:val="20"/>
                <w:szCs w:val="20"/>
                <w:color w:val="auto"/>
              </w:rPr>
            </w:pPr>
            <w:r>
              <w:rPr>
                <w:rFonts w:ascii="Arial" w:cs="Arial" w:eastAsia="Arial" w:hAnsi="Arial"/>
                <w:sz w:val="18"/>
                <w:szCs w:val="18"/>
                <w:color w:val="auto"/>
              </w:rPr>
              <w:t>Other real estate owned</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PCD</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Purchased credit deteriorated</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PSU</w:t>
            </w:r>
          </w:p>
        </w:tc>
        <w:tc>
          <w:tcPr>
            <w:tcW w:w="8880" w:type="dxa"/>
            <w:vAlign w:val="bottom"/>
          </w:tcPr>
          <w:p>
            <w:pPr>
              <w:ind w:left="20"/>
              <w:spacing w:after="0"/>
              <w:rPr>
                <w:sz w:val="20"/>
                <w:szCs w:val="20"/>
                <w:color w:val="auto"/>
              </w:rPr>
            </w:pPr>
            <w:r>
              <w:rPr>
                <w:rFonts w:ascii="Arial" w:cs="Arial" w:eastAsia="Arial" w:hAnsi="Arial"/>
                <w:sz w:val="18"/>
                <w:szCs w:val="18"/>
                <w:color w:val="auto"/>
              </w:rPr>
              <w:t>Performance stock unit</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Quarterly Report</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Quarterly report filed with the SEC on Form 10-Q pursuant to Section 13 or 15(d) of the Exchange Act</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RSU</w:t>
            </w:r>
          </w:p>
        </w:tc>
        <w:tc>
          <w:tcPr>
            <w:tcW w:w="8880" w:type="dxa"/>
            <w:vAlign w:val="bottom"/>
          </w:tcPr>
          <w:p>
            <w:pPr>
              <w:ind w:left="20"/>
              <w:spacing w:after="0"/>
              <w:rPr>
                <w:sz w:val="20"/>
                <w:szCs w:val="20"/>
                <w:color w:val="auto"/>
              </w:rPr>
            </w:pPr>
            <w:r>
              <w:rPr>
                <w:rFonts w:ascii="Arial" w:cs="Arial" w:eastAsia="Arial" w:hAnsi="Arial"/>
                <w:sz w:val="18"/>
                <w:szCs w:val="18"/>
                <w:color w:val="auto"/>
              </w:rPr>
              <w:t>Restricted stock unit</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SBA</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U.S. Small Business Administration</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SEC</w:t>
            </w:r>
          </w:p>
        </w:tc>
        <w:tc>
          <w:tcPr>
            <w:tcW w:w="8880" w:type="dxa"/>
            <w:vAlign w:val="bottom"/>
          </w:tcPr>
          <w:p>
            <w:pPr>
              <w:ind w:left="20"/>
              <w:spacing w:after="0"/>
              <w:rPr>
                <w:sz w:val="20"/>
                <w:szCs w:val="20"/>
                <w:color w:val="auto"/>
              </w:rPr>
            </w:pPr>
            <w:r>
              <w:rPr>
                <w:rFonts w:ascii="Arial" w:cs="Arial" w:eastAsia="Arial" w:hAnsi="Arial"/>
                <w:sz w:val="18"/>
                <w:szCs w:val="18"/>
                <w:color w:val="auto"/>
              </w:rPr>
              <w:t>U.S. Securities and Exchange Commission</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SOFR</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Secured Overnight Financing Rate published by the Federal Reserve</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SSAR</w:t>
            </w:r>
          </w:p>
        </w:tc>
        <w:tc>
          <w:tcPr>
            <w:tcW w:w="8880" w:type="dxa"/>
            <w:vAlign w:val="bottom"/>
          </w:tcPr>
          <w:p>
            <w:pPr>
              <w:ind w:left="20"/>
              <w:spacing w:after="0"/>
              <w:rPr>
                <w:sz w:val="20"/>
                <w:szCs w:val="20"/>
                <w:color w:val="auto"/>
              </w:rPr>
            </w:pPr>
            <w:r>
              <w:rPr>
                <w:rFonts w:ascii="Arial" w:cs="Arial" w:eastAsia="Arial" w:hAnsi="Arial"/>
                <w:sz w:val="18"/>
                <w:szCs w:val="18"/>
                <w:color w:val="auto"/>
              </w:rPr>
              <w:t>Stock-settled stock appreciation right</w:t>
            </w:r>
          </w:p>
        </w:tc>
      </w:tr>
      <w:tr>
        <w:trPr>
          <w:trHeight w:val="23"/>
        </w:trPr>
        <w:tc>
          <w:tcPr>
            <w:tcW w:w="22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880" w:type="dxa"/>
            <w:vAlign w:val="bottom"/>
          </w:tcPr>
          <w:p>
            <w:pPr>
              <w:spacing w:after="0"/>
              <w:rPr>
                <w:sz w:val="2"/>
                <w:szCs w:val="2"/>
                <w:color w:val="auto"/>
              </w:rPr>
            </w:pPr>
          </w:p>
        </w:tc>
      </w:tr>
      <w:tr>
        <w:trPr>
          <w:trHeight w:val="250"/>
        </w:trPr>
        <w:tc>
          <w:tcPr>
            <w:tcW w:w="236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U.S.</w:t>
            </w:r>
          </w:p>
        </w:tc>
        <w:tc>
          <w:tcPr>
            <w:tcW w:w="88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United States of America</w:t>
            </w:r>
          </w:p>
        </w:tc>
      </w:tr>
      <w:tr>
        <w:trPr>
          <w:trHeight w:val="247"/>
        </w:trPr>
        <w:tc>
          <w:tcPr>
            <w:tcW w:w="2360" w:type="dxa"/>
            <w:vAlign w:val="bottom"/>
            <w:gridSpan w:val="3"/>
          </w:tcPr>
          <w:p>
            <w:pPr>
              <w:ind w:left="20"/>
              <w:spacing w:after="0"/>
              <w:rPr>
                <w:sz w:val="20"/>
                <w:szCs w:val="20"/>
                <w:color w:val="auto"/>
              </w:rPr>
            </w:pPr>
            <w:r>
              <w:rPr>
                <w:rFonts w:ascii="Arial" w:cs="Arial" w:eastAsia="Arial" w:hAnsi="Arial"/>
                <w:sz w:val="18"/>
                <w:szCs w:val="18"/>
                <w:color w:val="auto"/>
              </w:rPr>
              <w:t>U.S. Treasury</w:t>
            </w:r>
          </w:p>
        </w:tc>
        <w:tc>
          <w:tcPr>
            <w:tcW w:w="8880" w:type="dxa"/>
            <w:vAlign w:val="bottom"/>
          </w:tcPr>
          <w:p>
            <w:pPr>
              <w:ind w:left="20"/>
              <w:spacing w:after="0"/>
              <w:rPr>
                <w:sz w:val="20"/>
                <w:szCs w:val="20"/>
                <w:color w:val="auto"/>
              </w:rPr>
            </w:pPr>
            <w:r>
              <w:rPr>
                <w:rFonts w:ascii="Arial" w:cs="Arial" w:eastAsia="Arial" w:hAnsi="Arial"/>
                <w:sz w:val="18"/>
                <w:szCs w:val="18"/>
                <w:color w:val="auto"/>
              </w:rPr>
              <w:t>U.S. Department of the Treasury</w:t>
            </w:r>
          </w:p>
        </w:tc>
      </w:tr>
      <w:tr>
        <w:trPr>
          <w:trHeight w:val="939"/>
        </w:trPr>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80" w:type="dxa"/>
            <w:vAlign w:val="bottom"/>
          </w:tcPr>
          <w:p>
            <w:pPr>
              <w:ind w:left="6080"/>
              <w:spacing w:after="0"/>
              <w:rPr>
                <w:sz w:val="20"/>
                <w:szCs w:val="20"/>
                <w:color w:val="auto"/>
              </w:rPr>
            </w:pPr>
            <w:r>
              <w:rPr>
                <w:rFonts w:ascii="Arial" w:cs="Arial" w:eastAsia="Arial" w:hAnsi="Arial"/>
                <w:sz w:val="18"/>
                <w:szCs w:val="18"/>
                <w:color w:val="808285"/>
                <w:w w:val="99"/>
              </w:rPr>
              <w:t xml:space="preserve">First Busey Corporation (BUSE) | </w:t>
            </w:r>
            <w:r>
              <w:rPr>
                <w:rFonts w:ascii="Arial" w:cs="Arial" w:eastAsia="Arial" w:hAnsi="Arial"/>
                <w:sz w:val="18"/>
                <w:szCs w:val="18"/>
                <w:b w:val="1"/>
                <w:bCs w:val="1"/>
                <w:color w:val="376484"/>
                <w:w w:val="99"/>
              </w:rPr>
              <w:t>5</w:t>
            </w:r>
          </w:p>
        </w:tc>
      </w:tr>
      <w:tr>
        <w:trPr>
          <w:trHeight w:val="278"/>
        </w:trPr>
        <w:tc>
          <w:tcPr>
            <w:tcW w:w="14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4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380" w:type="dxa"/>
            <w:vAlign w:val="bottom"/>
            <w:gridSpan w:val="5"/>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18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380" w:type="dxa"/>
            <w:vAlign w:val="bottom"/>
            <w:tcBorders>
              <w:bottom w:val="single" w:sz="8" w:color="E0E7ED"/>
            </w:tcBorders>
            <w:gridSpan w:val="5"/>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9"/>
        </w:trPr>
        <w:tc>
          <w:tcPr>
            <w:tcW w:w="8380" w:type="dxa"/>
            <w:vAlign w:val="bottom"/>
            <w:gridSpan w:val="5"/>
            <w:shd w:val="clear" w:color="auto" w:fill="E0E7ED"/>
          </w:tcPr>
          <w:p>
            <w:pPr>
              <w:ind w:left="20"/>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Cash and due from banks</w:t>
            </w:r>
          </w:p>
        </w:tc>
        <w:tc>
          <w:tcPr>
            <w:tcW w:w="260" w:type="dxa"/>
            <w:vAlign w:val="bottom"/>
            <w:shd w:val="clear" w:color="auto" w:fill="E0E7ED"/>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216,106</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129,444</w:t>
            </w:r>
          </w:p>
        </w:tc>
        <w:tc>
          <w:tcPr>
            <w:tcW w:w="0" w:type="dxa"/>
            <w:vAlign w:val="bottom"/>
          </w:tcPr>
          <w:p>
            <w:pPr>
              <w:spacing w:after="0"/>
              <w:rPr>
                <w:sz w:val="1"/>
                <w:szCs w:val="1"/>
                <w:color w:val="auto"/>
              </w:rPr>
            </w:pPr>
          </w:p>
        </w:tc>
      </w:tr>
      <w:tr>
        <w:trPr>
          <w:trHeight w:val="189"/>
        </w:trPr>
        <w:tc>
          <w:tcPr>
            <w:tcW w:w="8380" w:type="dxa"/>
            <w:vAlign w:val="bottom"/>
            <w:tcBorders>
              <w:bottom w:val="single" w:sz="8" w:color="E0E7ED"/>
            </w:tcBorders>
            <w:gridSpan w:val="5"/>
          </w:tcPr>
          <w:p>
            <w:pPr>
              <w:ind w:left="340"/>
              <w:spacing w:after="0"/>
              <w:rPr>
                <w:sz w:val="20"/>
                <w:szCs w:val="20"/>
                <w:color w:val="auto"/>
              </w:rPr>
            </w:pPr>
            <w:r>
              <w:rPr>
                <w:rFonts w:ascii="Arial" w:cs="Arial" w:eastAsia="Arial" w:hAnsi="Arial"/>
                <w:sz w:val="14"/>
                <w:szCs w:val="14"/>
                <w:color w:val="auto"/>
              </w:rPr>
              <w:t>Interest-bearing deposits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536,246</w:t>
            </w:r>
          </w:p>
        </w:tc>
        <w:tc>
          <w:tcPr>
            <w:tcW w:w="10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568,215</w:t>
            </w:r>
          </w:p>
        </w:tc>
        <w:tc>
          <w:tcPr>
            <w:tcW w:w="0" w:type="dxa"/>
            <w:vAlign w:val="bottom"/>
          </w:tcPr>
          <w:p>
            <w:pPr>
              <w:spacing w:after="0"/>
              <w:rPr>
                <w:sz w:val="1"/>
                <w:szCs w:val="1"/>
                <w:color w:val="auto"/>
              </w:rPr>
            </w:pPr>
          </w:p>
        </w:tc>
      </w:tr>
      <w:tr>
        <w:trPr>
          <w:trHeight w:val="183"/>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Total cash and cash equivalents</w:t>
            </w:r>
          </w:p>
        </w:tc>
        <w:tc>
          <w:tcPr>
            <w:tcW w:w="260" w:type="dxa"/>
            <w:vAlign w:val="bottom"/>
            <w:shd w:val="clear" w:color="auto" w:fill="E0E7ED"/>
          </w:tcPr>
          <w:p>
            <w:pPr>
              <w:spacing w:after="0"/>
              <w:rPr>
                <w:sz w:val="15"/>
                <w:szCs w:val="15"/>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752,352</w:t>
            </w: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697,659</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Debt securities available for sale</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2,217,788</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1,810,221</w:t>
            </w: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Debt securities held to maturity</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802,965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826,630</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Equity securities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16,171</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15,862</w:t>
            </w: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Loans held for sale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10,497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3,657</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Portfolio loans (net of ACL of $183,334 at June 30, 2025, and $83,404 at December 31, 2024)</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13,625,285</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7,613,683</w:t>
            </w: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Restricted bank stock</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77,112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49,930</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Premises and equipment, net</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181,394</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118,820</w:t>
            </w: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Right of use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10,608</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Goodwill</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381,794</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333,695</w:t>
            </w: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Other intangible assets, net</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106,387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32,280</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180"/>
              <w:spacing w:after="0"/>
              <w:rPr>
                <w:sz w:val="20"/>
                <w:szCs w:val="20"/>
                <w:color w:val="auto"/>
              </w:rPr>
            </w:pPr>
            <w:r>
              <w:rPr>
                <w:rFonts w:ascii="Arial" w:cs="Arial" w:eastAsia="Arial" w:hAnsi="Arial"/>
                <w:sz w:val="14"/>
                <w:szCs w:val="14"/>
                <w:color w:val="auto"/>
              </w:rPr>
              <w:t>Cash surrender value of bank owned life insurance</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257,148</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185,087</w:t>
            </w:r>
          </w:p>
        </w:tc>
        <w:tc>
          <w:tcPr>
            <w:tcW w:w="0" w:type="dxa"/>
            <w:vAlign w:val="bottom"/>
          </w:tcPr>
          <w:p>
            <w:pPr>
              <w:spacing w:after="0"/>
              <w:rPr>
                <w:sz w:val="1"/>
                <w:szCs w:val="1"/>
                <w:color w:val="auto"/>
              </w:rPr>
            </w:pPr>
          </w:p>
        </w:tc>
      </w:tr>
      <w:tr>
        <w:trPr>
          <w:trHeight w:val="189"/>
        </w:trPr>
        <w:tc>
          <w:tcPr>
            <w:tcW w:w="8380" w:type="dxa"/>
            <w:vAlign w:val="bottom"/>
            <w:tcBorders>
              <w:bottom w:val="single" w:sz="8" w:color="E0E7ED"/>
            </w:tcBorders>
            <w:gridSpan w:val="5"/>
          </w:tcPr>
          <w:p>
            <w:pPr>
              <w:ind w:left="180"/>
              <w:spacing w:after="0"/>
              <w:rPr>
                <w:sz w:val="20"/>
                <w:szCs w:val="20"/>
                <w:color w:val="auto"/>
              </w:rPr>
            </w:pPr>
            <w:r>
              <w:rPr>
                <w:rFonts w:ascii="Arial" w:cs="Arial" w:eastAsia="Arial" w:hAnsi="Arial"/>
                <w:sz w:val="14"/>
                <w:szCs w:val="14"/>
                <w:color w:val="auto"/>
              </w:rPr>
              <w:t>Other assets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451,782</w:t>
            </w:r>
          </w:p>
        </w:tc>
        <w:tc>
          <w:tcPr>
            <w:tcW w:w="10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348,590</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E0E7ED"/>
            </w:tcBorders>
            <w:gridSpan w:val="5"/>
            <w:shd w:val="clear" w:color="auto" w:fill="E0E7ED"/>
          </w:tcPr>
          <w:p>
            <w:pPr>
              <w:ind w:left="20"/>
              <w:spacing w:after="0"/>
              <w:rPr>
                <w:sz w:val="20"/>
                <w:szCs w:val="20"/>
                <w:color w:val="auto"/>
              </w:rPr>
            </w:pPr>
            <w:r>
              <w:rPr>
                <w:rFonts w:ascii="Arial" w:cs="Arial" w:eastAsia="Arial" w:hAnsi="Arial"/>
                <w:sz w:val="14"/>
                <w:szCs w:val="14"/>
                <w:color w:val="auto"/>
              </w:rPr>
              <w:t>Total assets</w:t>
            </w:r>
          </w:p>
        </w:tc>
        <w:tc>
          <w:tcPr>
            <w:tcW w:w="260" w:type="dxa"/>
            <w:vAlign w:val="bottom"/>
            <w:tcBorders>
              <w:bottom w:val="single" w:sz="8" w:color="auto"/>
            </w:tcBorders>
            <w:shd w:val="clear" w:color="auto" w:fill="E0E7ED"/>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18,918,740</w:t>
            </w:r>
          </w:p>
        </w:tc>
        <w:tc>
          <w:tcPr>
            <w:tcW w:w="10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12,046,722</w:t>
            </w:r>
          </w:p>
        </w:tc>
        <w:tc>
          <w:tcPr>
            <w:tcW w:w="0" w:type="dxa"/>
            <w:vAlign w:val="bottom"/>
          </w:tcPr>
          <w:p>
            <w:pPr>
              <w:spacing w:after="0"/>
              <w:rPr>
                <w:sz w:val="1"/>
                <w:szCs w:val="1"/>
                <w:color w:val="auto"/>
              </w:rPr>
            </w:pPr>
          </w:p>
        </w:tc>
      </w:tr>
      <w:tr>
        <w:trPr>
          <w:trHeight w:val="20"/>
        </w:trPr>
        <w:tc>
          <w:tcPr>
            <w:tcW w:w="42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tcBorders>
          </w:tcPr>
          <w:p>
            <w:pPr>
              <w:spacing w:after="0" w:line="20" w:lineRule="exact"/>
              <w:rPr>
                <w:sz w:val="1"/>
                <w:szCs w:val="1"/>
                <w:color w:val="auto"/>
              </w:rPr>
            </w:pPr>
          </w:p>
        </w:tc>
        <w:tc>
          <w:tcPr>
            <w:tcW w:w="364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Deposits: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380" w:type="dxa"/>
            <w:vAlign w:val="bottom"/>
            <w:gridSpan w:val="5"/>
          </w:tcPr>
          <w:p>
            <w:pPr>
              <w:ind w:left="500"/>
              <w:spacing w:after="0"/>
              <w:rPr>
                <w:sz w:val="20"/>
                <w:szCs w:val="20"/>
                <w:color w:val="auto"/>
              </w:rPr>
            </w:pPr>
            <w:r>
              <w:rPr>
                <w:rFonts w:ascii="Arial" w:cs="Arial" w:eastAsia="Arial" w:hAnsi="Arial"/>
                <w:sz w:val="14"/>
                <w:szCs w:val="14"/>
                <w:color w:val="auto"/>
              </w:rPr>
              <w:t>Noninterest-bearing</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3,590,363</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2,719,907</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500"/>
              <w:spacing w:after="0"/>
              <w:rPr>
                <w:sz w:val="20"/>
                <w:szCs w:val="20"/>
                <w:color w:val="auto"/>
              </w:rPr>
            </w:pPr>
            <w:r>
              <w:rPr>
                <w:rFonts w:ascii="Arial" w:cs="Arial" w:eastAsia="Arial" w:hAnsi="Arial"/>
                <w:sz w:val="14"/>
                <w:szCs w:val="14"/>
                <w:color w:val="auto"/>
              </w:rPr>
              <w:t>Interest-bearing</w:t>
            </w:r>
          </w:p>
        </w:tc>
        <w:tc>
          <w:tcPr>
            <w:tcW w:w="26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12,211,409</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7,262,583</w:t>
            </w:r>
          </w:p>
        </w:tc>
        <w:tc>
          <w:tcPr>
            <w:tcW w:w="0" w:type="dxa"/>
            <w:vAlign w:val="bottom"/>
          </w:tcPr>
          <w:p>
            <w:pPr>
              <w:spacing w:after="0"/>
              <w:rPr>
                <w:sz w:val="1"/>
                <w:szCs w:val="1"/>
                <w:color w:val="auto"/>
              </w:rPr>
            </w:pPr>
          </w:p>
        </w:tc>
      </w:tr>
      <w:tr>
        <w:trPr>
          <w:trHeight w:val="182"/>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Total deposits</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15,801,772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9,982,490</w:t>
            </w:r>
          </w:p>
        </w:tc>
        <w:tc>
          <w:tcPr>
            <w:tcW w:w="0" w:type="dxa"/>
            <w:vAlign w:val="bottom"/>
          </w:tcPr>
          <w:p>
            <w:pPr>
              <w:spacing w:after="0"/>
              <w:rPr>
                <w:sz w:val="1"/>
                <w:szCs w:val="1"/>
                <w:color w:val="auto"/>
              </w:rPr>
            </w:pPr>
          </w:p>
        </w:tc>
      </w:tr>
      <w:tr>
        <w:trPr>
          <w:trHeight w:val="162"/>
        </w:trPr>
        <w:tc>
          <w:tcPr>
            <w:tcW w:w="4200" w:type="dxa"/>
            <w:vAlign w:val="bottom"/>
            <w:shd w:val="clear" w:color="auto" w:fill="E0E7ED"/>
          </w:tcPr>
          <w:p>
            <w:pPr>
              <w:spacing w:after="0"/>
              <w:rPr>
                <w:sz w:val="14"/>
                <w:szCs w:val="14"/>
                <w:color w:val="auto"/>
              </w:rPr>
            </w:pPr>
          </w:p>
        </w:tc>
        <w:tc>
          <w:tcPr>
            <w:tcW w:w="8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40" w:type="dxa"/>
            <w:vAlign w:val="bottom"/>
            <w:shd w:val="clear" w:color="auto" w:fill="E0E7ED"/>
          </w:tcPr>
          <w:p>
            <w:pPr>
              <w:spacing w:after="0"/>
              <w:rPr>
                <w:sz w:val="14"/>
                <w:szCs w:val="14"/>
                <w:color w:val="auto"/>
              </w:rPr>
            </w:pPr>
          </w:p>
        </w:tc>
        <w:tc>
          <w:tcPr>
            <w:tcW w:w="364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Securities sold under agreements to repurchase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158,030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155,610</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Long-term debt</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86,557</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Subordinated notes, net of unamortized issuance costs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103,169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227,723</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Junior subordinated debt owed to unconsolidated trusts</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77,187</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74,815</w:t>
            </w:r>
          </w:p>
        </w:tc>
        <w:tc>
          <w:tcPr>
            <w:tcW w:w="0" w:type="dxa"/>
            <w:vAlign w:val="bottom"/>
          </w:tcPr>
          <w:p>
            <w:pPr>
              <w:spacing w:after="0"/>
              <w:rPr>
                <w:sz w:val="1"/>
                <w:szCs w:val="1"/>
                <w:color w:val="auto"/>
              </w:rPr>
            </w:pPr>
          </w:p>
        </w:tc>
      </w:tr>
      <w:tr>
        <w:trPr>
          <w:trHeight w:val="189"/>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Lease liabilities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39,235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11,040</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Other liabilities</w:t>
            </w:r>
          </w:p>
        </w:tc>
        <w:tc>
          <w:tcPr>
            <w:tcW w:w="26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240,244</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211,775</w:t>
            </w:r>
          </w:p>
        </w:tc>
        <w:tc>
          <w:tcPr>
            <w:tcW w:w="0" w:type="dxa"/>
            <w:vAlign w:val="bottom"/>
          </w:tcPr>
          <w:p>
            <w:pPr>
              <w:spacing w:after="0"/>
              <w:rPr>
                <w:sz w:val="1"/>
                <w:szCs w:val="1"/>
                <w:color w:val="auto"/>
              </w:rPr>
            </w:pPr>
          </w:p>
        </w:tc>
      </w:tr>
      <w:tr>
        <w:trPr>
          <w:trHeight w:val="183"/>
        </w:trPr>
        <w:tc>
          <w:tcPr>
            <w:tcW w:w="8380" w:type="dxa"/>
            <w:vAlign w:val="bottom"/>
            <w:tcBorders>
              <w:bottom w:val="single" w:sz="8" w:color="E0E7ED"/>
            </w:tcBorders>
            <w:gridSpan w:val="5"/>
          </w:tcPr>
          <w:p>
            <w:pPr>
              <w:ind w:left="180"/>
              <w:spacing w:after="0"/>
              <w:rPr>
                <w:sz w:val="20"/>
                <w:szCs w:val="20"/>
                <w:color w:val="auto"/>
              </w:rPr>
            </w:pPr>
            <w:r>
              <w:rPr>
                <w:rFonts w:ascii="Arial" w:cs="Arial" w:eastAsia="Arial" w:hAnsi="Arial"/>
                <w:sz w:val="14"/>
                <w:szCs w:val="14"/>
                <w:color w:val="auto"/>
              </w:rPr>
              <w:t>Total liabilities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16,506,194</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10,663,453</w:t>
            </w:r>
          </w:p>
        </w:tc>
        <w:tc>
          <w:tcPr>
            <w:tcW w:w="0" w:type="dxa"/>
            <w:vAlign w:val="bottom"/>
          </w:tcPr>
          <w:p>
            <w:pPr>
              <w:spacing w:after="0"/>
              <w:rPr>
                <w:sz w:val="1"/>
                <w:szCs w:val="1"/>
                <w:color w:val="auto"/>
              </w:rPr>
            </w:pPr>
          </w:p>
        </w:tc>
      </w:tr>
      <w:tr>
        <w:trPr>
          <w:trHeight w:val="142"/>
        </w:trPr>
        <w:tc>
          <w:tcPr>
            <w:tcW w:w="42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40" w:type="dxa"/>
            <w:vAlign w:val="bottom"/>
            <w:shd w:val="clear" w:color="auto" w:fill="E0E7ED"/>
          </w:tcPr>
          <w:p>
            <w:pPr>
              <w:spacing w:after="0"/>
              <w:rPr>
                <w:sz w:val="12"/>
                <w:szCs w:val="12"/>
                <w:color w:val="auto"/>
              </w:rPr>
            </w:pPr>
          </w:p>
        </w:tc>
        <w:tc>
          <w:tcPr>
            <w:tcW w:w="3640" w:type="dxa"/>
            <w:vAlign w:val="bottom"/>
            <w:shd w:val="clear" w:color="auto" w:fill="E0E7ED"/>
          </w:tcPr>
          <w:p>
            <w:pPr>
              <w:spacing w:after="0"/>
              <w:rPr>
                <w:sz w:val="12"/>
                <w:szCs w:val="12"/>
                <w:color w:val="auto"/>
              </w:rPr>
            </w:pPr>
          </w:p>
        </w:tc>
        <w:tc>
          <w:tcPr>
            <w:tcW w:w="260" w:type="dxa"/>
            <w:vAlign w:val="bottom"/>
            <w:shd w:val="clear" w:color="auto" w:fill="E0E7ED"/>
          </w:tcPr>
          <w:p>
            <w:pPr>
              <w:spacing w:after="0"/>
              <w:rPr>
                <w:sz w:val="12"/>
                <w:szCs w:val="12"/>
                <w:color w:val="auto"/>
              </w:rPr>
            </w:pPr>
          </w:p>
        </w:tc>
        <w:tc>
          <w:tcPr>
            <w:tcW w:w="110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118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8380" w:type="dxa"/>
            <w:vAlign w:val="bottom"/>
            <w:gridSpan w:val="5"/>
          </w:tcPr>
          <w:p>
            <w:pPr>
              <w:ind w:left="180"/>
              <w:spacing w:after="0"/>
              <w:rPr>
                <w:sz w:val="20"/>
                <w:szCs w:val="20"/>
                <w:color w:val="auto"/>
              </w:rPr>
            </w:pPr>
            <w:r>
              <w:rPr>
                <w:rFonts w:ascii="Arial" w:cs="Arial" w:eastAsia="Arial" w:hAnsi="Arial"/>
                <w:sz w:val="14"/>
                <w:szCs w:val="14"/>
                <w:color w:val="auto"/>
              </w:rPr>
              <w:t xml:space="preserve">Outstanding commitments and contingent liabilities (see Notes </w:t>
            </w:r>
            <w:r>
              <w:rPr>
                <w:rFonts w:ascii="Arial" w:cs="Arial" w:eastAsia="Arial" w:hAnsi="Arial"/>
                <w:sz w:val="14"/>
                <w:szCs w:val="14"/>
                <w:color w:val="0000FF"/>
              </w:rPr>
              <w:t>5</w:t>
            </w:r>
            <w:r>
              <w:rPr>
                <w:rFonts w:ascii="Arial" w:cs="Arial" w:eastAsia="Arial" w:hAnsi="Arial"/>
                <w:sz w:val="14"/>
                <w:szCs w:val="14"/>
                <w:color w:val="auto"/>
              </w:rPr>
              <w:t xml:space="preserve"> and </w:t>
            </w:r>
            <w:r>
              <w:rPr>
                <w:rFonts w:ascii="Arial" w:cs="Arial" w:eastAsia="Arial" w:hAnsi="Arial"/>
                <w:sz w:val="14"/>
                <w:szCs w:val="14"/>
                <w:color w:val="0000FF"/>
              </w:rPr>
              <w:t>11</w:t>
            </w: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shd w:val="clear" w:color="auto" w:fill="E0E7ED"/>
          </w:tcPr>
          <w:p>
            <w:pPr>
              <w:spacing w:after="0"/>
              <w:rPr>
                <w:sz w:val="14"/>
                <w:szCs w:val="14"/>
                <w:color w:val="auto"/>
              </w:rPr>
            </w:pPr>
          </w:p>
        </w:tc>
        <w:tc>
          <w:tcPr>
            <w:tcW w:w="80" w:type="dxa"/>
            <w:vAlign w:val="bottom"/>
            <w:tcBorders>
              <w:top w:val="single" w:sz="8" w:color="0000FF"/>
            </w:tcBorders>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40" w:type="dxa"/>
            <w:vAlign w:val="bottom"/>
            <w:tcBorders>
              <w:top w:val="single" w:sz="8" w:color="0000FF"/>
            </w:tcBorders>
            <w:shd w:val="clear" w:color="auto" w:fill="E0E7ED"/>
          </w:tcPr>
          <w:p>
            <w:pPr>
              <w:spacing w:after="0"/>
              <w:rPr>
                <w:sz w:val="14"/>
                <w:szCs w:val="14"/>
                <w:color w:val="auto"/>
              </w:rPr>
            </w:pPr>
          </w:p>
        </w:tc>
        <w:tc>
          <w:tcPr>
            <w:tcW w:w="3640" w:type="dxa"/>
            <w:vAlign w:val="bottom"/>
            <w:shd w:val="clear" w:color="auto" w:fill="E0E7ED"/>
          </w:tcPr>
          <w:p>
            <w:pPr>
              <w:spacing w:after="0"/>
              <w:rPr>
                <w:sz w:val="14"/>
                <w:szCs w:val="14"/>
                <w:color w:val="auto"/>
              </w:rPr>
            </w:pPr>
          </w:p>
        </w:tc>
        <w:tc>
          <w:tcPr>
            <w:tcW w:w="260" w:type="dxa"/>
            <w:vAlign w:val="bottom"/>
            <w:shd w:val="clear" w:color="auto" w:fill="E0E7ED"/>
          </w:tcPr>
          <w:p>
            <w:pPr>
              <w:spacing w:after="0"/>
              <w:rPr>
                <w:sz w:val="14"/>
                <w:szCs w:val="14"/>
                <w:color w:val="auto"/>
              </w:rPr>
            </w:pPr>
          </w:p>
        </w:tc>
        <w:tc>
          <w:tcPr>
            <w:tcW w:w="110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180" w:type="dxa"/>
            <w:vAlign w:val="bottom"/>
            <w:shd w:val="clear" w:color="auto" w:fill="E0E7ED"/>
          </w:tcPr>
          <w:p>
            <w:pPr>
              <w:spacing w:after="0"/>
              <w:rPr>
                <w:sz w:val="14"/>
                <w:szCs w:val="14"/>
                <w:color w:val="auto"/>
              </w:rPr>
            </w:pPr>
          </w:p>
        </w:tc>
        <w:tc>
          <w:tcPr>
            <w:tcW w:w="118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380" w:type="dxa"/>
            <w:vAlign w:val="bottom"/>
            <w:gridSpan w:val="5"/>
          </w:tcPr>
          <w:p>
            <w:pPr>
              <w:ind w:left="180"/>
              <w:spacing w:after="0"/>
              <w:rPr>
                <w:sz w:val="20"/>
                <w:szCs w:val="20"/>
                <w:color w:val="auto"/>
              </w:rPr>
            </w:pPr>
            <w:r>
              <w:rPr>
                <w:rFonts w:ascii="Arial" w:cs="Arial" w:eastAsia="Arial" w:hAnsi="Arial"/>
                <w:sz w:val="14"/>
                <w:szCs w:val="14"/>
                <w:b w:val="1"/>
                <w:bCs w:val="1"/>
                <w:color w:val="auto"/>
              </w:rPr>
              <w:t>Stockholders’ equity</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80" w:type="dxa"/>
            <w:vAlign w:val="bottom"/>
            <w:gridSpan w:val="5"/>
            <w:shd w:val="clear" w:color="auto" w:fill="E0E7ED"/>
          </w:tcPr>
          <w:p>
            <w:pPr>
              <w:ind w:left="340"/>
              <w:spacing w:after="0" w:line="149" w:lineRule="exact"/>
              <w:rPr>
                <w:sz w:val="20"/>
                <w:szCs w:val="20"/>
                <w:color w:val="auto"/>
              </w:rPr>
            </w:pPr>
            <w:r>
              <w:rPr>
                <w:rFonts w:ascii="Arial" w:cs="Arial" w:eastAsia="Arial" w:hAnsi="Arial"/>
                <w:sz w:val="14"/>
                <w:szCs w:val="14"/>
                <w:color w:val="auto"/>
              </w:rPr>
              <w:t>Preferred stock, $0.001 par value: Shares - 1,000,000 authorized; 222,750 issued and outstanding, liquidation preference</w:t>
            </w:r>
          </w:p>
        </w:tc>
        <w:tc>
          <w:tcPr>
            <w:tcW w:w="260" w:type="dxa"/>
            <w:vAlign w:val="bottom"/>
            <w:shd w:val="clear" w:color="auto" w:fill="E0E7ED"/>
          </w:tcPr>
          <w:p>
            <w:pPr>
              <w:spacing w:after="0"/>
              <w:rPr>
                <w:sz w:val="12"/>
                <w:szCs w:val="12"/>
                <w:color w:val="auto"/>
              </w:rPr>
            </w:pPr>
          </w:p>
        </w:tc>
        <w:tc>
          <w:tcPr>
            <w:tcW w:w="12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11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$222,750, at June 30, 2025; and zero issued and outstanding at December 31, 2024.</w:t>
            </w:r>
          </w:p>
        </w:tc>
        <w:tc>
          <w:tcPr>
            <w:tcW w:w="260" w:type="dxa"/>
            <w:vAlign w:val="bottom"/>
            <w:shd w:val="clear" w:color="auto" w:fill="E0E7ED"/>
          </w:tcPr>
          <w:p>
            <w:pPr>
              <w:spacing w:after="0"/>
              <w:rPr>
                <w:sz w:val="15"/>
                <w:szCs w:val="15"/>
                <w:color w:val="auto"/>
              </w:rPr>
            </w:pPr>
          </w:p>
        </w:tc>
        <w:tc>
          <w:tcPr>
            <w:tcW w:w="120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118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8380" w:type="dxa"/>
            <w:vAlign w:val="bottom"/>
            <w:gridSpan w:val="5"/>
          </w:tcPr>
          <w:p>
            <w:pPr>
              <w:ind w:left="340"/>
              <w:spacing w:after="0" w:line="149" w:lineRule="exact"/>
              <w:rPr>
                <w:sz w:val="20"/>
                <w:szCs w:val="20"/>
                <w:color w:val="auto"/>
              </w:rPr>
            </w:pPr>
            <w:r>
              <w:rPr>
                <w:rFonts w:ascii="Arial" w:cs="Arial" w:eastAsia="Arial" w:hAnsi="Arial"/>
                <w:sz w:val="14"/>
                <w:szCs w:val="14"/>
                <w:color w:val="auto"/>
              </w:rPr>
              <w:t>Common stock, $0.001 par value: Shares - 200,000,000 authorized, 92,694,541 issued, and 89,104,678 outstanding at</w:t>
            </w:r>
          </w:p>
        </w:tc>
        <w:tc>
          <w:tcPr>
            <w:tcW w:w="2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75"/>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June 30, 2025; and 100,000,000 authorized, 59,546,273 issued, and 56,895,981 outstanding at December 31, 2024</w:t>
            </w:r>
          </w:p>
        </w:tc>
        <w:tc>
          <w:tcPr>
            <w:tcW w:w="2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Additional paid-in capital</w:t>
            </w:r>
          </w:p>
        </w:tc>
        <w:tc>
          <w:tcPr>
            <w:tcW w:w="260" w:type="dxa"/>
            <w:vAlign w:val="bottom"/>
            <w:shd w:val="clear" w:color="auto" w:fill="E0E7ED"/>
          </w:tcPr>
          <w:p>
            <w:pPr>
              <w:spacing w:after="0"/>
              <w:rPr>
                <w:sz w:val="16"/>
                <w:szCs w:val="16"/>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2,377,560</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1,360,530</w:t>
            </w:r>
          </w:p>
        </w:tc>
        <w:tc>
          <w:tcPr>
            <w:tcW w:w="0" w:type="dxa"/>
            <w:vAlign w:val="bottom"/>
          </w:tcPr>
          <w:p>
            <w:pPr>
              <w:spacing w:after="0"/>
              <w:rPr>
                <w:sz w:val="1"/>
                <w:szCs w:val="1"/>
                <w:color w:val="auto"/>
              </w:rPr>
            </w:pPr>
          </w:p>
        </w:tc>
      </w:tr>
      <w:tr>
        <w:trPr>
          <w:trHeight w:val="189"/>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Retained earnings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273,799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294,054</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AOCI</w:t>
            </w:r>
          </w:p>
        </w:tc>
        <w:tc>
          <w:tcPr>
            <w:tcW w:w="26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(155,311)</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(207,039)</w:t>
            </w:r>
          </w:p>
        </w:tc>
        <w:tc>
          <w:tcPr>
            <w:tcW w:w="0" w:type="dxa"/>
            <w:vAlign w:val="bottom"/>
          </w:tcPr>
          <w:p>
            <w:pPr>
              <w:spacing w:after="0"/>
              <w:rPr>
                <w:sz w:val="1"/>
                <w:szCs w:val="1"/>
                <w:color w:val="auto"/>
              </w:rPr>
            </w:pPr>
          </w:p>
        </w:tc>
      </w:tr>
      <w:tr>
        <w:trPr>
          <w:trHeight w:val="183"/>
        </w:trPr>
        <w:tc>
          <w:tcPr>
            <w:tcW w:w="8380" w:type="dxa"/>
            <w:vAlign w:val="bottom"/>
            <w:gridSpan w:val="5"/>
          </w:tcPr>
          <w:p>
            <w:pPr>
              <w:ind w:left="340"/>
              <w:spacing w:after="0"/>
              <w:rPr>
                <w:sz w:val="20"/>
                <w:szCs w:val="20"/>
                <w:color w:val="auto"/>
              </w:rPr>
            </w:pPr>
            <w:r>
              <w:rPr>
                <w:rFonts w:ascii="Arial" w:cs="Arial" w:eastAsia="Arial" w:hAnsi="Arial"/>
                <w:sz w:val="14"/>
                <w:szCs w:val="14"/>
                <w:color w:val="auto"/>
              </w:rPr>
              <w:t>Total stockholders’ equity before treasury stock</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2,496,141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1,447,605</w:t>
            </w:r>
          </w:p>
        </w:tc>
        <w:tc>
          <w:tcPr>
            <w:tcW w:w="0" w:type="dxa"/>
            <w:vAlign w:val="bottom"/>
          </w:tcPr>
          <w:p>
            <w:pPr>
              <w:spacing w:after="0"/>
              <w:rPr>
                <w:sz w:val="1"/>
                <w:szCs w:val="1"/>
                <w:color w:val="auto"/>
              </w:rPr>
            </w:pPr>
          </w:p>
        </w:tc>
      </w:tr>
      <w:tr>
        <w:trPr>
          <w:trHeight w:val="189"/>
        </w:trPr>
        <w:tc>
          <w:tcPr>
            <w:tcW w:w="8380" w:type="dxa"/>
            <w:vAlign w:val="bottom"/>
            <w:gridSpan w:val="5"/>
            <w:shd w:val="clear" w:color="auto" w:fill="E0E7ED"/>
          </w:tcPr>
          <w:p>
            <w:pPr>
              <w:ind w:left="340"/>
              <w:spacing w:after="0"/>
              <w:rPr>
                <w:sz w:val="20"/>
                <w:szCs w:val="20"/>
                <w:color w:val="auto"/>
              </w:rPr>
            </w:pPr>
            <w:r>
              <w:rPr>
                <w:rFonts w:ascii="Arial" w:cs="Arial" w:eastAsia="Arial" w:hAnsi="Arial"/>
                <w:sz w:val="14"/>
                <w:szCs w:val="14"/>
                <w:color w:val="auto"/>
              </w:rPr>
              <w:t>Treasury stock at cost</w:t>
            </w:r>
          </w:p>
        </w:tc>
        <w:tc>
          <w:tcPr>
            <w:tcW w:w="260" w:type="dxa"/>
            <w:vAlign w:val="bottom"/>
            <w:tcBorders>
              <w:bottom w:val="single" w:sz="8" w:color="auto"/>
            </w:tcBorders>
            <w:shd w:val="clear" w:color="auto" w:fill="E0E7ED"/>
          </w:tcPr>
          <w:p>
            <w:pPr>
              <w:spacing w:after="0"/>
              <w:rPr>
                <w:sz w:val="16"/>
                <w:szCs w:val="16"/>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(83,595)</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(64,336)</w:t>
            </w:r>
          </w:p>
        </w:tc>
        <w:tc>
          <w:tcPr>
            <w:tcW w:w="0" w:type="dxa"/>
            <w:vAlign w:val="bottom"/>
          </w:tcPr>
          <w:p>
            <w:pPr>
              <w:spacing w:after="0"/>
              <w:rPr>
                <w:sz w:val="1"/>
                <w:szCs w:val="1"/>
                <w:color w:val="auto"/>
              </w:rPr>
            </w:pPr>
          </w:p>
        </w:tc>
      </w:tr>
      <w:tr>
        <w:trPr>
          <w:trHeight w:val="183"/>
        </w:trPr>
        <w:tc>
          <w:tcPr>
            <w:tcW w:w="8380" w:type="dxa"/>
            <w:vAlign w:val="bottom"/>
            <w:tcBorders>
              <w:bottom w:val="single" w:sz="8" w:color="E0E7ED"/>
            </w:tcBorders>
            <w:gridSpan w:val="5"/>
          </w:tcPr>
          <w:p>
            <w:pPr>
              <w:ind w:left="180"/>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2,412,546</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1,383,269</w:t>
            </w:r>
          </w:p>
        </w:tc>
        <w:tc>
          <w:tcPr>
            <w:tcW w:w="0" w:type="dxa"/>
            <w:vAlign w:val="bottom"/>
          </w:tcPr>
          <w:p>
            <w:pPr>
              <w:spacing w:after="0"/>
              <w:rPr>
                <w:sz w:val="1"/>
                <w:szCs w:val="1"/>
                <w:color w:val="auto"/>
              </w:rPr>
            </w:pPr>
          </w:p>
        </w:tc>
      </w:tr>
      <w:tr>
        <w:trPr>
          <w:trHeight w:val="208"/>
        </w:trPr>
        <w:tc>
          <w:tcPr>
            <w:tcW w:w="8380" w:type="dxa"/>
            <w:vAlign w:val="bottom"/>
            <w:tcBorders>
              <w:bottom w:val="single" w:sz="8" w:color="E0E7ED"/>
            </w:tcBorders>
            <w:gridSpan w:val="5"/>
            <w:shd w:val="clear" w:color="auto" w:fill="E0E7ED"/>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60" w:type="dxa"/>
            <w:vAlign w:val="bottom"/>
            <w:tcBorders>
              <w:bottom w:val="single" w:sz="8" w:color="auto"/>
            </w:tcBorders>
            <w:shd w:val="clear" w:color="auto" w:fill="E0E7ED"/>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18,918,740</w:t>
            </w:r>
          </w:p>
        </w:tc>
        <w:tc>
          <w:tcPr>
            <w:tcW w:w="10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12,046,722</w:t>
            </w:r>
          </w:p>
        </w:tc>
        <w:tc>
          <w:tcPr>
            <w:tcW w:w="0" w:type="dxa"/>
            <w:vAlign w:val="bottom"/>
          </w:tcPr>
          <w:p>
            <w:pPr>
              <w:spacing w:after="0"/>
              <w:rPr>
                <w:sz w:val="1"/>
                <w:szCs w:val="1"/>
                <w:color w:val="auto"/>
              </w:rPr>
            </w:pPr>
          </w:p>
        </w:tc>
      </w:tr>
      <w:tr>
        <w:trPr>
          <w:trHeight w:val="20"/>
        </w:trPr>
        <w:tc>
          <w:tcPr>
            <w:tcW w:w="420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tcBorders>
          </w:tcPr>
          <w:p>
            <w:pPr>
              <w:spacing w:after="0" w:line="20" w:lineRule="exact"/>
              <w:rPr>
                <w:sz w:val="1"/>
                <w:szCs w:val="1"/>
                <w:color w:val="auto"/>
              </w:rPr>
            </w:pPr>
          </w:p>
        </w:tc>
        <w:tc>
          <w:tcPr>
            <w:tcW w:w="364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(LOSS)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4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24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69"/>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Interest income</w:t>
            </w:r>
          </w:p>
        </w:tc>
        <w:tc>
          <w:tcPr>
            <w:tcW w:w="24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0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Interest and fees on loans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214,409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109,641</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353,942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208,966</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Taxable interest income</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23,393</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18,878</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41,690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38,475</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Non-taxable interest income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Dividend income on bank stock</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98</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Other interest income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3,027</w:t>
            </w:r>
          </w:p>
        </w:tc>
        <w:tc>
          <w:tcPr>
            <w:tcW w:w="10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15,045</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9,498</w:t>
            </w:r>
          </w:p>
        </w:tc>
        <w:tc>
          <w:tcPr>
            <w:tcW w:w="0" w:type="dxa"/>
            <w:vAlign w:val="bottom"/>
          </w:tcPr>
          <w:p>
            <w:pPr>
              <w:spacing w:after="0"/>
              <w:rPr>
                <w:sz w:val="1"/>
                <w:szCs w:val="1"/>
                <w:color w:val="auto"/>
              </w:rPr>
            </w:pPr>
          </w:p>
        </w:tc>
      </w:tr>
      <w:tr>
        <w:trPr>
          <w:trHeight w:val="183"/>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interest income</w:t>
            </w:r>
          </w:p>
        </w:tc>
        <w:tc>
          <w:tcPr>
            <w:tcW w:w="24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247,446</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131,939</w:t>
            </w:r>
          </w:p>
        </w:tc>
        <w:tc>
          <w:tcPr>
            <w:tcW w:w="10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414,261</w:t>
            </w:r>
          </w:p>
        </w:tc>
        <w:tc>
          <w:tcPr>
            <w:tcW w:w="100" w:type="dxa"/>
            <w:vAlign w:val="bottom"/>
            <w:shd w:val="clear" w:color="auto" w:fill="E0E7ED"/>
          </w:tcPr>
          <w:p>
            <w:pPr>
              <w:spacing w:after="0"/>
              <w:rPr>
                <w:sz w:val="15"/>
                <w:szCs w:val="15"/>
                <w:color w:val="auto"/>
              </w:rPr>
            </w:pPr>
          </w:p>
        </w:tc>
        <w:tc>
          <w:tcPr>
            <w:tcW w:w="3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257,759</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Interest expense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Deposits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88,147</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43,709</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145,459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87,677</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Federal funds purchased and securities sold under agreements to repurchase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1,762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2,412</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Short-term borrowings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496</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563</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650</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743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Subordinated notes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2,599</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3,177</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5,786</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6,286</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Junior subordinated debt owed to unconsolidated trusts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1,392</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2,048</w:t>
            </w:r>
          </w:p>
        </w:tc>
        <w:tc>
          <w:tcPr>
            <w:tcW w:w="0" w:type="dxa"/>
            <w:vAlign w:val="bottom"/>
          </w:tcPr>
          <w:p>
            <w:pPr>
              <w:spacing w:after="0"/>
              <w:rPr>
                <w:sz w:val="1"/>
                <w:szCs w:val="1"/>
                <w:color w:val="auto"/>
              </w:rPr>
            </w:pPr>
          </w:p>
        </w:tc>
      </w:tr>
      <w:tr>
        <w:trPr>
          <w:trHeight w:val="183"/>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interest expense</w:t>
            </w:r>
          </w:p>
        </w:tc>
        <w:tc>
          <w:tcPr>
            <w:tcW w:w="24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94,263</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49,407</w:t>
            </w:r>
          </w:p>
        </w:tc>
        <w:tc>
          <w:tcPr>
            <w:tcW w:w="10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157,347</w:t>
            </w:r>
          </w:p>
        </w:tc>
        <w:tc>
          <w:tcPr>
            <w:tcW w:w="100" w:type="dxa"/>
            <w:vAlign w:val="bottom"/>
            <w:shd w:val="clear" w:color="auto" w:fill="E0E7ED"/>
          </w:tcPr>
          <w:p>
            <w:pPr>
              <w:spacing w:after="0"/>
              <w:rPr>
                <w:sz w:val="15"/>
                <w:szCs w:val="15"/>
                <w:color w:val="auto"/>
              </w:rPr>
            </w:pPr>
          </w:p>
        </w:tc>
        <w:tc>
          <w:tcPr>
            <w:tcW w:w="3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99,373</w:t>
            </w:r>
          </w:p>
        </w:tc>
        <w:tc>
          <w:tcPr>
            <w:tcW w:w="0" w:type="dxa"/>
            <w:vAlign w:val="bottom"/>
          </w:tcPr>
          <w:p>
            <w:pPr>
              <w:spacing w:after="0"/>
              <w:rPr>
                <w:sz w:val="1"/>
                <w:szCs w:val="1"/>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Net interest income</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153,183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82,532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256,914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158,386</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Provision for credit losses</w:t>
            </w:r>
          </w:p>
        </w:tc>
        <w:tc>
          <w:tcPr>
            <w:tcW w:w="24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5,700</w:t>
            </w:r>
          </w:p>
        </w:tc>
        <w:tc>
          <w:tcPr>
            <w:tcW w:w="100" w:type="dxa"/>
            <w:vAlign w:val="bottom"/>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1,908</w:t>
            </w:r>
          </w:p>
        </w:tc>
        <w:tc>
          <w:tcPr>
            <w:tcW w:w="100" w:type="dxa"/>
            <w:vAlign w:val="bottom"/>
            <w:shd w:val="clear" w:color="auto" w:fill="E0E7ED"/>
          </w:tcPr>
          <w:p>
            <w:pPr>
              <w:spacing w:after="0"/>
              <w:rPr>
                <w:sz w:val="16"/>
                <w:szCs w:val="16"/>
                <w:color w:val="auto"/>
              </w:rPr>
            </w:pPr>
          </w:p>
        </w:tc>
        <w:tc>
          <w:tcPr>
            <w:tcW w:w="280" w:type="dxa"/>
            <w:vAlign w:val="bottom"/>
            <w:tcBorders>
              <w:bottom w:val="single" w:sz="8" w:color="auto"/>
            </w:tcBorders>
            <w:shd w:val="clear" w:color="auto" w:fill="E0E7ED"/>
          </w:tcPr>
          <w:p>
            <w:pPr>
              <w:spacing w:after="0"/>
              <w:rPr>
                <w:sz w:val="16"/>
                <w:szCs w:val="16"/>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51,293</w:t>
            </w:r>
          </w:p>
        </w:tc>
        <w:tc>
          <w:tcPr>
            <w:tcW w:w="10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6,268</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Net interest income after provision for credit losses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147,483</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80,624</w:t>
            </w: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205,621</w:t>
            </w: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152,118</w:t>
            </w:r>
          </w:p>
        </w:tc>
        <w:tc>
          <w:tcPr>
            <w:tcW w:w="0" w:type="dxa"/>
            <w:vAlign w:val="bottom"/>
          </w:tcPr>
          <w:p>
            <w:pPr>
              <w:spacing w:after="0"/>
              <w:rPr>
                <w:sz w:val="1"/>
                <w:szCs w:val="1"/>
                <w:color w:val="auto"/>
              </w:rPr>
            </w:pPr>
          </w:p>
        </w:tc>
      </w:tr>
      <w:tr>
        <w:trPr>
          <w:trHeight w:val="169"/>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Noninterest income</w:t>
            </w:r>
          </w:p>
        </w:tc>
        <w:tc>
          <w:tcPr>
            <w:tcW w:w="240" w:type="dxa"/>
            <w:vAlign w:val="bottom"/>
            <w:shd w:val="clear" w:color="auto" w:fill="E0E7ED"/>
          </w:tcPr>
          <w:p>
            <w:pPr>
              <w:spacing w:after="0"/>
              <w:rPr>
                <w:sz w:val="14"/>
                <w:szCs w:val="14"/>
                <w:color w:val="auto"/>
              </w:rPr>
            </w:pPr>
          </w:p>
        </w:tc>
        <w:tc>
          <w:tcPr>
            <w:tcW w:w="112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20" w:type="dxa"/>
            <w:vAlign w:val="bottom"/>
            <w:shd w:val="clear" w:color="auto" w:fill="E0E7ED"/>
          </w:tcPr>
          <w:p>
            <w:pPr>
              <w:spacing w:after="0"/>
              <w:rPr>
                <w:sz w:val="14"/>
                <w:szCs w:val="14"/>
                <w:color w:val="auto"/>
              </w:rPr>
            </w:pPr>
          </w:p>
        </w:tc>
        <w:tc>
          <w:tcPr>
            <w:tcW w:w="104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2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Wealth management fees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16,777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15,917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34,141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31,466</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Payment technology solutions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4,956</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5,915</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10,029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11,624</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Treasury management services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4,981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4,046</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Card services and ATM fees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4,880</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3,430</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8,589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6,390</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Other service charges on deposit accounts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1,513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4,669</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Mortgage revenue</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776</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478</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1,224</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Income on bank owned life insurance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2,861</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Realized net gains (losses) on the sale of mortgage servicing rights</w:t>
            </w:r>
          </w:p>
        </w:tc>
        <w:tc>
          <w:tcPr>
            <w:tcW w:w="240" w:type="dxa"/>
            <w:vAlign w:val="bottom"/>
            <w:shd w:val="clear" w:color="auto" w:fill="E0E7ED"/>
          </w:tcPr>
          <w:p>
            <w:pPr>
              <w:spacing w:after="0"/>
              <w:rPr>
                <w:sz w:val="16"/>
                <w:szCs w:val="16"/>
                <w:color w:val="auto"/>
              </w:rPr>
            </w:pPr>
          </w:p>
        </w:tc>
        <w:tc>
          <w:tcPr>
            <w:tcW w:w="12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7,742</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Realized net gains (losses) on securities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(6,806)</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Unrealized net gains (losses) recognized on equity securities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5,996</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(349)</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5,765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Other noninterest income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2,131</w:t>
            </w:r>
          </w:p>
        </w:tc>
        <w:tc>
          <w:tcPr>
            <w:tcW w:w="10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7,758</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5,322</w:t>
            </w:r>
          </w:p>
        </w:tc>
        <w:tc>
          <w:tcPr>
            <w:tcW w:w="0" w:type="dxa"/>
            <w:vAlign w:val="bottom"/>
          </w:tcPr>
          <w:p>
            <w:pPr>
              <w:spacing w:after="0"/>
              <w:rPr>
                <w:sz w:val="1"/>
                <w:szCs w:val="1"/>
                <w:color w:val="auto"/>
              </w:rPr>
            </w:pPr>
          </w:p>
        </w:tc>
      </w:tr>
      <w:tr>
        <w:trPr>
          <w:trHeight w:val="183"/>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noninterest income</w:t>
            </w:r>
          </w:p>
        </w:tc>
        <w:tc>
          <w:tcPr>
            <w:tcW w:w="24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44,863</w:t>
            </w:r>
          </w:p>
        </w:tc>
        <w:tc>
          <w:tcPr>
            <w:tcW w:w="10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33,703</w:t>
            </w:r>
          </w:p>
        </w:tc>
        <w:tc>
          <w:tcPr>
            <w:tcW w:w="10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66,086</w:t>
            </w:r>
          </w:p>
        </w:tc>
        <w:tc>
          <w:tcPr>
            <w:tcW w:w="100" w:type="dxa"/>
            <w:vAlign w:val="bottom"/>
            <w:shd w:val="clear" w:color="auto" w:fill="E0E7ED"/>
          </w:tcPr>
          <w:p>
            <w:pPr>
              <w:spacing w:after="0"/>
              <w:rPr>
                <w:sz w:val="15"/>
                <w:szCs w:val="15"/>
                <w:color w:val="auto"/>
              </w:rPr>
            </w:pPr>
          </w:p>
        </w:tc>
        <w:tc>
          <w:tcPr>
            <w:tcW w:w="3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68,616</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Salaries, wages, and employee benefits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78,360</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43,478</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145,923</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85,568</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Data processing</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23,596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13,650</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Net occupancy expense of premises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7,832</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4,590</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13,631</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9,310</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Furniture and equipment expenses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4,153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3,508</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Professional fees</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2,874</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2,495</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12,385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4,748</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Amortization of intangible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5,038</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Interchange expense</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1,297</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1,733</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2,640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3,344</w:t>
            </w: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FDIC insurance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4,591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2,860</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Other noninterest expense</w:t>
            </w:r>
          </w:p>
        </w:tc>
        <w:tc>
          <w:tcPr>
            <w:tcW w:w="24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14,024</w:t>
            </w:r>
          </w:p>
        </w:tc>
        <w:tc>
          <w:tcPr>
            <w:tcW w:w="100" w:type="dxa"/>
            <w:vAlign w:val="bottom"/>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10,726</w:t>
            </w:r>
          </w:p>
        </w:tc>
        <w:tc>
          <w:tcPr>
            <w:tcW w:w="100" w:type="dxa"/>
            <w:vAlign w:val="bottom"/>
            <w:shd w:val="clear" w:color="auto" w:fill="E0E7ED"/>
          </w:tcPr>
          <w:p>
            <w:pPr>
              <w:spacing w:after="0"/>
              <w:rPr>
                <w:sz w:val="16"/>
                <w:szCs w:val="16"/>
                <w:color w:val="auto"/>
              </w:rPr>
            </w:pPr>
          </w:p>
        </w:tc>
        <w:tc>
          <w:tcPr>
            <w:tcW w:w="280" w:type="dxa"/>
            <w:vAlign w:val="bottom"/>
            <w:tcBorders>
              <w:bottom w:val="single" w:sz="8" w:color="auto"/>
            </w:tcBorders>
            <w:shd w:val="clear" w:color="auto" w:fill="E0E7ED"/>
          </w:tcPr>
          <w:p>
            <w:pPr>
              <w:spacing w:after="0"/>
              <w:rPr>
                <w:sz w:val="16"/>
                <w:szCs w:val="16"/>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25,269</w:t>
            </w:r>
          </w:p>
        </w:tc>
        <w:tc>
          <w:tcPr>
            <w:tcW w:w="10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19,327</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noninterest expense</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127,833</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75,906</w:t>
            </w: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239,863</w:t>
            </w: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147,353</w:t>
            </w:r>
          </w:p>
        </w:tc>
        <w:tc>
          <w:tcPr>
            <w:tcW w:w="0" w:type="dxa"/>
            <w:vAlign w:val="bottom"/>
          </w:tcPr>
          <w:p>
            <w:pPr>
              <w:spacing w:after="0"/>
              <w:rPr>
                <w:sz w:val="1"/>
                <w:szCs w:val="1"/>
                <w:color w:val="auto"/>
              </w:rPr>
            </w:pPr>
          </w:p>
        </w:tc>
      </w:tr>
      <w:tr>
        <w:trPr>
          <w:trHeight w:val="183"/>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240" w:type="dxa"/>
            <w:vAlign w:val="bottom"/>
            <w:shd w:val="clear" w:color="auto" w:fill="E0E7ED"/>
          </w:tcPr>
          <w:p>
            <w:pPr>
              <w:spacing w:after="0"/>
              <w:rPr>
                <w:sz w:val="15"/>
                <w:szCs w:val="15"/>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64,513</w:t>
            </w:r>
          </w:p>
        </w:tc>
        <w:tc>
          <w:tcPr>
            <w:tcW w:w="10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38,421</w:t>
            </w:r>
          </w:p>
        </w:tc>
        <w:tc>
          <w:tcPr>
            <w:tcW w:w="10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31,844</w:t>
            </w:r>
          </w:p>
        </w:tc>
        <w:tc>
          <w:tcPr>
            <w:tcW w:w="10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73,381</w:t>
            </w:r>
          </w:p>
        </w:tc>
        <w:tc>
          <w:tcPr>
            <w:tcW w:w="0" w:type="dxa"/>
            <w:vAlign w:val="bottom"/>
          </w:tcPr>
          <w:p>
            <w:pPr>
              <w:spacing w:after="0"/>
              <w:rPr>
                <w:sz w:val="1"/>
                <w:szCs w:val="1"/>
                <w:color w:val="auto"/>
              </w:rPr>
            </w:pPr>
          </w:p>
        </w:tc>
      </w:tr>
      <w:tr>
        <w:trPr>
          <w:trHeight w:val="189"/>
        </w:trPr>
        <w:tc>
          <w:tcPr>
            <w:tcW w:w="550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Income taxes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17,109</w:t>
            </w:r>
          </w:p>
        </w:tc>
        <w:tc>
          <w:tcPr>
            <w:tcW w:w="10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11,064</w:t>
            </w:r>
          </w:p>
        </w:tc>
        <w:tc>
          <w:tcPr>
            <w:tcW w:w="10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14,430</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19,799</w:t>
            </w:r>
          </w:p>
        </w:tc>
        <w:tc>
          <w:tcPr>
            <w:tcW w:w="0" w:type="dxa"/>
            <w:vAlign w:val="bottom"/>
          </w:tcPr>
          <w:p>
            <w:pPr>
              <w:spacing w:after="0"/>
              <w:rPr>
                <w:sz w:val="1"/>
                <w:szCs w:val="1"/>
                <w:color w:val="auto"/>
              </w:rPr>
            </w:pPr>
          </w:p>
        </w:tc>
      </w:tr>
      <w:tr>
        <w:trPr>
          <w:trHeight w:val="208"/>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Net income</w:t>
            </w:r>
          </w:p>
        </w:tc>
        <w:tc>
          <w:tcPr>
            <w:tcW w:w="240" w:type="dxa"/>
            <w:vAlign w:val="bottom"/>
            <w:tcBorders>
              <w:bottom w:val="single" w:sz="8" w:color="auto"/>
            </w:tcBorders>
            <w:shd w:val="clear" w:color="auto" w:fill="E0E7ED"/>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47,404</w:t>
            </w:r>
          </w:p>
        </w:tc>
        <w:tc>
          <w:tcPr>
            <w:tcW w:w="10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27,357</w:t>
            </w:r>
          </w:p>
        </w:tc>
        <w:tc>
          <w:tcPr>
            <w:tcW w:w="100" w:type="dxa"/>
            <w:vAlign w:val="bottom"/>
            <w:tcBorders>
              <w:bottom w:val="single" w:sz="8" w:color="E0E7ED"/>
            </w:tcBorders>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tcBorders>
              <w:bottom w:val="single" w:sz="8" w:color="E0E7ED"/>
            </w:tcBorders>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53,582</w:t>
            </w:r>
          </w:p>
        </w:tc>
        <w:tc>
          <w:tcPr>
            <w:tcW w:w="0" w:type="dxa"/>
            <w:vAlign w:val="bottom"/>
          </w:tcPr>
          <w:p>
            <w:pPr>
              <w:spacing w:after="0"/>
              <w:rPr>
                <w:sz w:val="1"/>
                <w:szCs w:val="1"/>
                <w:color w:val="auto"/>
              </w:rPr>
            </w:pPr>
          </w:p>
        </w:tc>
      </w:tr>
      <w:tr>
        <w:trPr>
          <w:trHeight w:val="20"/>
        </w:trPr>
        <w:tc>
          <w:tcPr>
            <w:tcW w:w="5500" w:type="dxa"/>
            <w:vAlign w:val="bottom"/>
            <w:tcBorders>
              <w:top w:val="single" w:sz="8" w:color="E0E7ED"/>
              <w:bottom w:val="single" w:sz="8" w:color="E0E7ED"/>
            </w:tcBorders>
            <w:vMerge w:val="restart"/>
          </w:tcPr>
          <w:p>
            <w:pPr>
              <w:ind w:left="180"/>
              <w:spacing w:after="0"/>
              <w:rPr>
                <w:sz w:val="20"/>
                <w:szCs w:val="20"/>
                <w:color w:val="auto"/>
              </w:rPr>
            </w:pPr>
            <w:r>
              <w:rPr>
                <w:rFonts w:ascii="Arial" w:cs="Arial" w:eastAsia="Arial" w:hAnsi="Arial"/>
                <w:sz w:val="14"/>
                <w:szCs w:val="14"/>
                <w:color w:val="auto"/>
              </w:rPr>
              <w:t>Dividends on preferred stock</w:t>
            </w: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500" w:type="dxa"/>
            <w:vAlign w:val="bottom"/>
            <w:vMerge w:val="continue"/>
          </w:tcPr>
          <w:p>
            <w:pPr>
              <w:spacing w:after="0"/>
              <w:rPr>
                <w:sz w:val="14"/>
                <w:szCs w:val="1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4"/>
                <w:szCs w:val="14"/>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5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Net income available to common stockholders</w:t>
            </w:r>
          </w:p>
        </w:tc>
        <w:tc>
          <w:tcPr>
            <w:tcW w:w="240" w:type="dxa"/>
            <w:vAlign w:val="bottom"/>
            <w:tcBorders>
              <w:top w:val="single" w:sz="8" w:color="auto"/>
              <w:bottom w:val="single" w:sz="8" w:color="auto"/>
            </w:tcBorders>
            <w:shd w:val="clear" w:color="auto" w:fill="E0E7ED"/>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47,249</w:t>
            </w:r>
          </w:p>
        </w:tc>
        <w:tc>
          <w:tcPr>
            <w:tcW w:w="100" w:type="dxa"/>
            <w:vAlign w:val="bottom"/>
            <w:tcBorders>
              <w:top w:val="single" w:sz="8" w:color="E0E7ED"/>
              <w:bottom w:val="single" w:sz="8" w:color="E0E7ED"/>
            </w:tcBorders>
            <w:shd w:val="clear" w:color="auto" w:fill="E0E7ED"/>
          </w:tcPr>
          <w:p>
            <w:pPr>
              <w:spacing w:after="0"/>
              <w:rPr>
                <w:sz w:val="17"/>
                <w:szCs w:val="17"/>
                <w:color w:val="auto"/>
              </w:rPr>
            </w:pPr>
          </w:p>
        </w:tc>
        <w:tc>
          <w:tcPr>
            <w:tcW w:w="320" w:type="dxa"/>
            <w:vAlign w:val="bottom"/>
            <w:tcBorders>
              <w:top w:val="single" w:sz="8" w:color="auto"/>
              <w:bottom w:val="single" w:sz="8" w:color="auto"/>
            </w:tcBorders>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27,357</w:t>
            </w:r>
          </w:p>
        </w:tc>
        <w:tc>
          <w:tcPr>
            <w:tcW w:w="100" w:type="dxa"/>
            <w:vAlign w:val="bottom"/>
            <w:tcBorders>
              <w:top w:val="single" w:sz="8" w:color="E0E7ED"/>
              <w:bottom w:val="single" w:sz="8" w:color="E0E7ED"/>
            </w:tcBorders>
            <w:shd w:val="clear" w:color="auto" w:fill="E0E7ED"/>
          </w:tcPr>
          <w:p>
            <w:pPr>
              <w:spacing w:after="0"/>
              <w:rPr>
                <w:sz w:val="17"/>
                <w:szCs w:val="17"/>
                <w:color w:val="auto"/>
              </w:rPr>
            </w:pPr>
          </w:p>
        </w:tc>
        <w:tc>
          <w:tcPr>
            <w:tcW w:w="280" w:type="dxa"/>
            <w:vAlign w:val="bottom"/>
            <w:tcBorders>
              <w:top w:val="single" w:sz="8" w:color="auto"/>
              <w:bottom w:val="single" w:sz="8" w:color="auto"/>
            </w:tcBorders>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17,259</w:t>
            </w:r>
          </w:p>
        </w:tc>
        <w:tc>
          <w:tcPr>
            <w:tcW w:w="100" w:type="dxa"/>
            <w:vAlign w:val="bottom"/>
            <w:tcBorders>
              <w:top w:val="single" w:sz="8" w:color="E0E7ED"/>
              <w:bottom w:val="single" w:sz="8" w:color="E0E7ED"/>
            </w:tcBorders>
            <w:shd w:val="clear" w:color="auto" w:fill="E0E7ED"/>
          </w:tcPr>
          <w:p>
            <w:pPr>
              <w:spacing w:after="0"/>
              <w:rPr>
                <w:sz w:val="17"/>
                <w:szCs w:val="17"/>
                <w:color w:val="auto"/>
              </w:rPr>
            </w:pPr>
          </w:p>
        </w:tc>
        <w:tc>
          <w:tcPr>
            <w:tcW w:w="300" w:type="dxa"/>
            <w:vAlign w:val="bottom"/>
            <w:tcBorders>
              <w:top w:val="single" w:sz="8" w:color="auto"/>
              <w:bottom w:val="single" w:sz="8" w:color="auto"/>
            </w:tcBorders>
            <w:shd w:val="clear" w:color="auto" w:fill="E0E7ED"/>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53,582</w:t>
            </w:r>
          </w:p>
        </w:tc>
        <w:tc>
          <w:tcPr>
            <w:tcW w:w="0" w:type="dxa"/>
            <w:vAlign w:val="bottom"/>
          </w:tcPr>
          <w:p>
            <w:pPr>
              <w:spacing w:after="0"/>
              <w:rPr>
                <w:sz w:val="1"/>
                <w:szCs w:val="1"/>
                <w:color w:val="auto"/>
              </w:rPr>
            </w:pP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Weighted average number of common shares outstanding</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tcPr>
          <w:p>
            <w:pPr>
              <w:ind w:left="180"/>
              <w:spacing w:after="0"/>
              <w:rPr>
                <w:sz w:val="20"/>
                <w:szCs w:val="20"/>
                <w:color w:val="auto"/>
              </w:rPr>
            </w:pPr>
            <w:r>
              <w:rPr>
                <w:rFonts w:ascii="Arial" w:cs="Arial" w:eastAsia="Arial" w:hAnsi="Arial"/>
                <w:sz w:val="14"/>
                <w:szCs w:val="14"/>
                <w:color w:val="auto"/>
              </w:rPr>
              <w:t>Basic</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89,645,040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56,919,025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79,139,706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56,167,807</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180"/>
              <w:spacing w:after="0"/>
              <w:rPr>
                <w:sz w:val="20"/>
                <w:szCs w:val="20"/>
                <w:color w:val="auto"/>
              </w:rPr>
            </w:pPr>
            <w:r>
              <w:rPr>
                <w:rFonts w:ascii="Arial" w:cs="Arial" w:eastAsia="Arial" w:hAnsi="Arial"/>
                <w:sz w:val="14"/>
                <w:szCs w:val="14"/>
                <w:color w:val="auto"/>
              </w:rPr>
              <w:t>Diluted</w:t>
            </w:r>
          </w:p>
        </w:tc>
        <w:tc>
          <w:tcPr>
            <w:tcW w:w="240" w:type="dxa"/>
            <w:vAlign w:val="bottom"/>
            <w:shd w:val="clear" w:color="auto" w:fill="E0E7ED"/>
          </w:tcPr>
          <w:p>
            <w:pPr>
              <w:spacing w:after="0"/>
              <w:rPr>
                <w:sz w:val="16"/>
                <w:szCs w:val="16"/>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90,883,711</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57,853,231</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80,251,577</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57,129,865</w:t>
            </w:r>
          </w:p>
        </w:tc>
        <w:tc>
          <w:tcPr>
            <w:tcW w:w="0" w:type="dxa"/>
            <w:vAlign w:val="bottom"/>
          </w:tcPr>
          <w:p>
            <w:pPr>
              <w:spacing w:after="0"/>
              <w:rPr>
                <w:sz w:val="1"/>
                <w:szCs w:val="1"/>
                <w:color w:val="auto"/>
              </w:rPr>
            </w:pPr>
          </w:p>
        </w:tc>
      </w:tr>
      <w:tr>
        <w:trPr>
          <w:trHeight w:val="189"/>
        </w:trPr>
        <w:tc>
          <w:tcPr>
            <w:tcW w:w="5500" w:type="dxa"/>
            <w:vAlign w:val="bottom"/>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0.53</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0.48</w:t>
            </w:r>
          </w:p>
        </w:tc>
        <w:tc>
          <w:tcPr>
            <w:tcW w:w="1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0.22</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0.95</w:t>
            </w:r>
          </w:p>
        </w:tc>
        <w:tc>
          <w:tcPr>
            <w:tcW w:w="0" w:type="dxa"/>
            <w:vAlign w:val="bottom"/>
          </w:tcPr>
          <w:p>
            <w:pPr>
              <w:spacing w:after="0"/>
              <w:rPr>
                <w:sz w:val="1"/>
                <w:szCs w:val="1"/>
                <w:color w:val="auto"/>
              </w:rPr>
            </w:pPr>
          </w:p>
        </w:tc>
      </w:tr>
      <w:tr>
        <w:trPr>
          <w:trHeight w:val="189"/>
        </w:trPr>
        <w:tc>
          <w:tcPr>
            <w:tcW w:w="550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240" w:type="dxa"/>
            <w:vAlign w:val="bottom"/>
            <w:shd w:val="clear" w:color="auto" w:fill="E0E7ED"/>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0.52</w:t>
            </w:r>
          </w:p>
        </w:tc>
        <w:tc>
          <w:tcPr>
            <w:tcW w:w="100" w:type="dxa"/>
            <w:vAlign w:val="bottom"/>
            <w:shd w:val="clear" w:color="auto" w:fill="E0E7ED"/>
          </w:tcPr>
          <w:p>
            <w:pPr>
              <w:spacing w:after="0"/>
              <w:rPr>
                <w:sz w:val="16"/>
                <w:szCs w:val="16"/>
                <w:color w:val="auto"/>
              </w:rPr>
            </w:pPr>
          </w:p>
        </w:tc>
        <w:tc>
          <w:tcPr>
            <w:tcW w:w="320" w:type="dxa"/>
            <w:vAlign w:val="bottom"/>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0.47</w:t>
            </w:r>
          </w:p>
        </w:tc>
        <w:tc>
          <w:tcPr>
            <w:tcW w:w="100" w:type="dxa"/>
            <w:vAlign w:val="bottom"/>
            <w:shd w:val="clear" w:color="auto" w:fill="E0E7ED"/>
          </w:tcPr>
          <w:p>
            <w:pPr>
              <w:spacing w:after="0"/>
              <w:rPr>
                <w:sz w:val="16"/>
                <w:szCs w:val="16"/>
                <w:color w:val="auto"/>
              </w:rPr>
            </w:pPr>
          </w:p>
        </w:tc>
        <w:tc>
          <w:tcPr>
            <w:tcW w:w="280" w:type="dxa"/>
            <w:vAlign w:val="bottom"/>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0.22</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0.94</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52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83"/>
        </w:trPr>
        <w:tc>
          <w:tcPr>
            <w:tcW w:w="5520" w:type="dxa"/>
            <w:vAlign w:val="bottom"/>
            <w:shd w:val="clear" w:color="auto" w:fill="E0E7ED"/>
          </w:tcPr>
          <w:p>
            <w:pPr>
              <w:ind w:left="20"/>
              <w:spacing w:after="0"/>
              <w:rPr>
                <w:sz w:val="20"/>
                <w:szCs w:val="20"/>
                <w:color w:val="auto"/>
              </w:rPr>
            </w:pPr>
            <w:r>
              <w:rPr>
                <w:rFonts w:ascii="Arial" w:cs="Arial" w:eastAsia="Arial" w:hAnsi="Arial"/>
                <w:sz w:val="14"/>
                <w:szCs w:val="14"/>
                <w:color w:val="auto"/>
              </w:rPr>
              <w:t>Net income</w:t>
            </w:r>
          </w:p>
        </w:tc>
        <w:tc>
          <w:tcPr>
            <w:tcW w:w="260" w:type="dxa"/>
            <w:vAlign w:val="bottom"/>
            <w:shd w:val="clear" w:color="auto" w:fill="E0E7ED"/>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47,404</w:t>
            </w: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27,357</w:t>
            </w: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17,414</w:t>
            </w: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53,582</w:t>
            </w:r>
          </w:p>
        </w:tc>
        <w:tc>
          <w:tcPr>
            <w:tcW w:w="0" w:type="dxa"/>
            <w:vAlign w:val="bottom"/>
          </w:tcPr>
          <w:p>
            <w:pPr>
              <w:spacing w:after="0"/>
              <w:rPr>
                <w:sz w:val="1"/>
                <w:szCs w:val="1"/>
                <w:color w:val="auto"/>
              </w:rPr>
            </w:pPr>
          </w:p>
        </w:tc>
      </w:tr>
      <w:tr>
        <w:trPr>
          <w:trHeight w:val="189"/>
        </w:trPr>
        <w:tc>
          <w:tcPr>
            <w:tcW w:w="5520" w:type="dxa"/>
            <w:vAlign w:val="bottom"/>
          </w:tcPr>
          <w:p>
            <w:pPr>
              <w:ind w:left="20"/>
              <w:spacing w:after="0"/>
              <w:rPr>
                <w:sz w:val="20"/>
                <w:szCs w:val="20"/>
                <w:color w:val="auto"/>
              </w:rPr>
            </w:pPr>
            <w:r>
              <w:rPr>
                <w:rFonts w:ascii="Arial" w:cs="Arial" w:eastAsia="Arial" w:hAnsi="Arial"/>
                <w:sz w:val="14"/>
                <w:szCs w:val="14"/>
                <w:color w:val="auto"/>
              </w:rPr>
              <w:t>OCI:</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Unrealized/Unrecognized gains (losses) on debt securities:</w:t>
            </w:r>
          </w:p>
        </w:tc>
        <w:tc>
          <w:tcPr>
            <w:tcW w:w="2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Net unrealized holding gains (losses) on debt securities available for sale</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13,492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1,685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37,319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(6,262)</w:t>
            </w:r>
          </w:p>
        </w:tc>
        <w:tc>
          <w:tcPr>
            <w:tcW w:w="0" w:type="dxa"/>
            <w:vAlign w:val="bottom"/>
          </w:tcPr>
          <w:p>
            <w:pPr>
              <w:spacing w:after="0"/>
              <w:rPr>
                <w:sz w:val="1"/>
                <w:szCs w:val="1"/>
                <w:color w:val="auto"/>
              </w:rPr>
            </w:pPr>
          </w:p>
        </w:tc>
      </w:tr>
      <w:tr>
        <w:trPr>
          <w:trHeight w:val="148"/>
        </w:trPr>
        <w:tc>
          <w:tcPr>
            <w:tcW w:w="5520" w:type="dxa"/>
            <w:vAlign w:val="bottom"/>
            <w:shd w:val="clear" w:color="auto" w:fill="E0E7ED"/>
          </w:tcPr>
          <w:p>
            <w:pPr>
              <w:ind w:left="360"/>
              <w:spacing w:after="0" w:line="149" w:lineRule="exact"/>
              <w:rPr>
                <w:sz w:val="20"/>
                <w:szCs w:val="20"/>
                <w:color w:val="auto"/>
              </w:rPr>
            </w:pPr>
            <w:r>
              <w:rPr>
                <w:rFonts w:ascii="Arial" w:cs="Arial" w:eastAsia="Arial" w:hAnsi="Arial"/>
                <w:sz w:val="14"/>
                <w:szCs w:val="14"/>
                <w:color w:val="auto"/>
              </w:rPr>
              <w:t>Reclassification adjustment for realized (gains) losses on debt securities</w:t>
            </w:r>
          </w:p>
        </w:tc>
        <w:tc>
          <w:tcPr>
            <w:tcW w:w="260" w:type="dxa"/>
            <w:vAlign w:val="bottom"/>
            <w:shd w:val="clear" w:color="auto" w:fill="E0E7ED"/>
          </w:tcPr>
          <w:p>
            <w:pPr>
              <w:spacing w:after="0"/>
              <w:rPr>
                <w:sz w:val="12"/>
                <w:szCs w:val="12"/>
                <w:color w:val="auto"/>
              </w:rPr>
            </w:pPr>
          </w:p>
        </w:tc>
        <w:tc>
          <w:tcPr>
            <w:tcW w:w="112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E0E7ED"/>
          </w:tcPr>
          <w:p>
            <w:pPr>
              <w:spacing w:after="0"/>
              <w:rPr>
                <w:sz w:val="12"/>
                <w:szCs w:val="12"/>
                <w:color w:val="auto"/>
              </w:rPr>
            </w:pPr>
          </w:p>
        </w:tc>
        <w:tc>
          <w:tcPr>
            <w:tcW w:w="280" w:type="dxa"/>
            <w:vAlign w:val="bottom"/>
            <w:shd w:val="clear" w:color="auto" w:fill="E0E7ED"/>
          </w:tcPr>
          <w:p>
            <w:pPr>
              <w:spacing w:after="0"/>
              <w:rPr>
                <w:sz w:val="12"/>
                <w:szCs w:val="12"/>
                <w:color w:val="auto"/>
              </w:rPr>
            </w:pPr>
          </w:p>
        </w:tc>
        <w:tc>
          <w:tcPr>
            <w:tcW w:w="108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15,536</w:t>
            </w: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6,806</w:t>
            </w:r>
          </w:p>
        </w:tc>
        <w:tc>
          <w:tcPr>
            <w:tcW w:w="0" w:type="dxa"/>
            <w:vAlign w:val="bottom"/>
          </w:tcPr>
          <w:p>
            <w:pPr>
              <w:spacing w:after="0"/>
              <w:rPr>
                <w:sz w:val="1"/>
                <w:szCs w:val="1"/>
                <w:color w:val="auto"/>
              </w:rPr>
            </w:pPr>
          </w:p>
        </w:tc>
      </w:tr>
      <w:tr>
        <w:trPr>
          <w:trHeight w:val="176"/>
        </w:trPr>
        <w:tc>
          <w:tcPr>
            <w:tcW w:w="5520" w:type="dxa"/>
            <w:vAlign w:val="bottom"/>
            <w:shd w:val="clear" w:color="auto" w:fill="E0E7ED"/>
          </w:tcPr>
          <w:p>
            <w:pPr>
              <w:ind w:left="360"/>
              <w:spacing w:after="0"/>
              <w:rPr>
                <w:sz w:val="20"/>
                <w:szCs w:val="20"/>
                <w:color w:val="auto"/>
              </w:rPr>
            </w:pPr>
            <w:r>
              <w:rPr>
                <w:rFonts w:ascii="Arial" w:cs="Arial" w:eastAsia="Arial" w:hAnsi="Arial"/>
                <w:sz w:val="14"/>
                <w:szCs w:val="14"/>
                <w:color w:val="auto"/>
              </w:rPr>
              <w:t>available for sale included in net income</w:t>
            </w:r>
          </w:p>
        </w:tc>
        <w:tc>
          <w:tcPr>
            <w:tcW w:w="260" w:type="dxa"/>
            <w:vAlign w:val="bottom"/>
            <w:shd w:val="clear" w:color="auto" w:fill="E0E7ED"/>
          </w:tcPr>
          <w:p>
            <w:pPr>
              <w:spacing w:after="0"/>
              <w:rPr>
                <w:sz w:val="15"/>
                <w:szCs w:val="15"/>
                <w:color w:val="auto"/>
              </w:rPr>
            </w:pPr>
          </w:p>
        </w:tc>
        <w:tc>
          <w:tcPr>
            <w:tcW w:w="11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520" w:type="dxa"/>
            <w:vAlign w:val="bottom"/>
          </w:tcPr>
          <w:p>
            <w:pPr>
              <w:ind w:left="360"/>
              <w:spacing w:after="0" w:line="149" w:lineRule="exact"/>
              <w:rPr>
                <w:sz w:val="20"/>
                <w:szCs w:val="20"/>
                <w:color w:val="auto"/>
              </w:rPr>
            </w:pPr>
            <w:r>
              <w:rPr>
                <w:rFonts w:ascii="Arial" w:cs="Arial" w:eastAsia="Arial" w:hAnsi="Arial"/>
                <w:sz w:val="14"/>
                <w:szCs w:val="14"/>
                <w:color w:val="auto"/>
              </w:rPr>
              <w:t>Amortization of unrecognized losses on securities transferred to held to</w:t>
            </w:r>
          </w:p>
        </w:tc>
        <w:tc>
          <w:tcPr>
            <w:tcW w:w="260" w:type="dxa"/>
            <w:vAlign w:val="bottom"/>
          </w:tcPr>
          <w:p>
            <w:pPr>
              <w:spacing w:after="0"/>
              <w:rPr>
                <w:sz w:val="12"/>
                <w:szCs w:val="12"/>
                <w:color w:val="auto"/>
              </w:rPr>
            </w:pPr>
          </w:p>
        </w:tc>
        <w:tc>
          <w:tcPr>
            <w:tcW w:w="1120" w:type="dxa"/>
            <w:vAlign w:val="bottom"/>
            <w:vMerge w:val="restart"/>
          </w:tcPr>
          <w:p>
            <w:pPr>
              <w:jc w:val="right"/>
              <w:ind w:right="8"/>
              <w:spacing w:after="0"/>
              <w:rPr>
                <w:sz w:val="20"/>
                <w:szCs w:val="20"/>
                <w:color w:val="auto"/>
              </w:rPr>
            </w:pPr>
            <w:r>
              <w:rPr>
                <w:rFonts w:ascii="Arial" w:cs="Arial" w:eastAsia="Arial" w:hAnsi="Arial"/>
                <w:sz w:val="14"/>
                <w:szCs w:val="14"/>
                <w:color w:val="auto"/>
              </w:rPr>
              <w:t>1,132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8"/>
              <w:spacing w:after="0"/>
              <w:rPr>
                <w:sz w:val="20"/>
                <w:szCs w:val="20"/>
                <w:color w:val="auto"/>
              </w:rPr>
            </w:pPr>
            <w:r>
              <w:rPr>
                <w:rFonts w:ascii="Arial" w:cs="Arial" w:eastAsia="Arial" w:hAnsi="Arial"/>
                <w:sz w:val="14"/>
                <w:szCs w:val="14"/>
                <w:color w:val="auto"/>
              </w:rPr>
              <w:t>1,399</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2,265</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2,810</w:t>
            </w:r>
          </w:p>
        </w:tc>
        <w:tc>
          <w:tcPr>
            <w:tcW w:w="0" w:type="dxa"/>
            <w:vAlign w:val="bottom"/>
          </w:tcPr>
          <w:p>
            <w:pPr>
              <w:spacing w:after="0"/>
              <w:rPr>
                <w:sz w:val="1"/>
                <w:szCs w:val="1"/>
                <w:color w:val="auto"/>
              </w:rPr>
            </w:pPr>
          </w:p>
        </w:tc>
      </w:tr>
      <w:tr>
        <w:trPr>
          <w:trHeight w:val="176"/>
        </w:trPr>
        <w:tc>
          <w:tcPr>
            <w:tcW w:w="5520" w:type="dxa"/>
            <w:vAlign w:val="bottom"/>
          </w:tcPr>
          <w:p>
            <w:pPr>
              <w:ind w:left="360"/>
              <w:spacing w:after="0"/>
              <w:rPr>
                <w:sz w:val="20"/>
                <w:szCs w:val="20"/>
                <w:color w:val="auto"/>
              </w:rPr>
            </w:pPr>
            <w:r>
              <w:rPr>
                <w:rFonts w:ascii="Arial" w:cs="Arial" w:eastAsia="Arial" w:hAnsi="Arial"/>
                <w:sz w:val="14"/>
                <w:szCs w:val="14"/>
                <w:color w:val="auto"/>
              </w:rPr>
              <w:t>maturity</w:t>
            </w:r>
          </w:p>
        </w:tc>
        <w:tc>
          <w:tcPr>
            <w:tcW w:w="26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shd w:val="clear" w:color="auto" w:fill="E0E7ED"/>
          </w:tcPr>
          <w:p>
            <w:pPr>
              <w:ind w:left="360"/>
              <w:spacing w:after="0"/>
              <w:rPr>
                <w:sz w:val="20"/>
                <w:szCs w:val="20"/>
                <w:color w:val="auto"/>
              </w:rPr>
            </w:pPr>
            <w:r>
              <w:rPr>
                <w:rFonts w:ascii="Arial" w:cs="Arial" w:eastAsia="Arial" w:hAnsi="Arial"/>
                <w:sz w:val="14"/>
                <w:szCs w:val="14"/>
                <w:color w:val="auto"/>
              </w:rPr>
              <w:t>Tax effect</w:t>
            </w:r>
          </w:p>
        </w:tc>
        <w:tc>
          <w:tcPr>
            <w:tcW w:w="260" w:type="dxa"/>
            <w:vAlign w:val="bottom"/>
            <w:tcBorders>
              <w:bottom w:val="single" w:sz="8" w:color="auto"/>
            </w:tcBorders>
            <w:shd w:val="clear" w:color="auto" w:fill="E0E7ED"/>
          </w:tcPr>
          <w:p>
            <w:pPr>
              <w:spacing w:after="0"/>
              <w:rPr>
                <w:sz w:val="16"/>
                <w:szCs w:val="16"/>
                <w:color w:val="auto"/>
              </w:rPr>
            </w:pPr>
          </w:p>
        </w:tc>
        <w:tc>
          <w:tcPr>
            <w:tcW w:w="1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(1,415)</w:t>
            </w:r>
          </w:p>
        </w:tc>
        <w:tc>
          <w:tcPr>
            <w:tcW w:w="80" w:type="dxa"/>
            <w:vAlign w:val="bottom"/>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(880)</w:t>
            </w:r>
          </w:p>
        </w:tc>
        <w:tc>
          <w:tcPr>
            <w:tcW w:w="80" w:type="dxa"/>
            <w:vAlign w:val="bottom"/>
            <w:shd w:val="clear" w:color="auto" w:fill="E0E7ED"/>
          </w:tcPr>
          <w:p>
            <w:pPr>
              <w:spacing w:after="0"/>
              <w:rPr>
                <w:sz w:val="16"/>
                <w:szCs w:val="16"/>
                <w:color w:val="auto"/>
              </w:rPr>
            </w:pPr>
          </w:p>
        </w:tc>
        <w:tc>
          <w:tcPr>
            <w:tcW w:w="280" w:type="dxa"/>
            <w:vAlign w:val="bottom"/>
            <w:tcBorders>
              <w:bottom w:val="single" w:sz="8" w:color="auto"/>
            </w:tcBorders>
            <w:shd w:val="clear" w:color="auto" w:fill="E0E7ED"/>
          </w:tcPr>
          <w:p>
            <w:pPr>
              <w:spacing w:after="0"/>
              <w:rPr>
                <w:sz w:val="16"/>
                <w:szCs w:val="16"/>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(13,829)</w:t>
            </w:r>
          </w:p>
        </w:tc>
        <w:tc>
          <w:tcPr>
            <w:tcW w:w="80" w:type="dxa"/>
            <w:vAlign w:val="bottom"/>
            <w:shd w:val="clear" w:color="auto" w:fill="E0E7ED"/>
          </w:tcPr>
          <w:p>
            <w:pPr>
              <w:spacing w:after="0"/>
              <w:rPr>
                <w:sz w:val="16"/>
                <w:szCs w:val="16"/>
                <w:color w:val="auto"/>
              </w:rPr>
            </w:pPr>
          </w:p>
        </w:tc>
        <w:tc>
          <w:tcPr>
            <w:tcW w:w="320" w:type="dxa"/>
            <w:vAlign w:val="bottom"/>
            <w:tcBorders>
              <w:bottom w:val="single" w:sz="8" w:color="auto"/>
            </w:tcBorders>
            <w:shd w:val="clear" w:color="auto" w:fill="E0E7ED"/>
          </w:tcPr>
          <w:p>
            <w:pPr>
              <w:spacing w:after="0"/>
              <w:rPr>
                <w:sz w:val="16"/>
                <w:szCs w:val="16"/>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(955)</w:t>
            </w:r>
          </w:p>
        </w:tc>
        <w:tc>
          <w:tcPr>
            <w:tcW w:w="0" w:type="dxa"/>
            <w:vAlign w:val="bottom"/>
          </w:tcPr>
          <w:p>
            <w:pPr>
              <w:spacing w:after="0"/>
              <w:rPr>
                <w:sz w:val="1"/>
                <w:szCs w:val="1"/>
                <w:color w:val="auto"/>
              </w:rPr>
            </w:pPr>
          </w:p>
        </w:tc>
      </w:tr>
      <w:tr>
        <w:trPr>
          <w:trHeight w:val="183"/>
        </w:trPr>
        <w:tc>
          <w:tcPr>
            <w:tcW w:w="5520" w:type="dxa"/>
            <w:vAlign w:val="bottom"/>
          </w:tcPr>
          <w:p>
            <w:pPr>
              <w:ind w:left="180"/>
              <w:spacing w:after="0"/>
              <w:rPr>
                <w:sz w:val="20"/>
                <w:szCs w:val="20"/>
                <w:color w:val="auto"/>
              </w:rPr>
            </w:pPr>
            <w:r>
              <w:rPr>
                <w:rFonts w:ascii="Arial" w:cs="Arial" w:eastAsia="Arial" w:hAnsi="Arial"/>
                <w:sz w:val="14"/>
                <w:szCs w:val="14"/>
                <w:color w:val="auto"/>
              </w:rPr>
              <w:t>Net change in unrealized/unrecognized gains (losses) on debt securities</w:t>
            </w:r>
          </w:p>
        </w:tc>
        <w:tc>
          <w:tcPr>
            <w:tcW w:w="260" w:type="dxa"/>
            <w:vAlign w:val="bottom"/>
          </w:tcPr>
          <w:p>
            <w:pPr>
              <w:spacing w:after="0"/>
              <w:rPr>
                <w:sz w:val="15"/>
                <w:szCs w:val="15"/>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13,208</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2,208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41,291</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2,399</w:t>
            </w:r>
          </w:p>
        </w:tc>
        <w:tc>
          <w:tcPr>
            <w:tcW w:w="0" w:type="dxa"/>
            <w:vAlign w:val="bottom"/>
          </w:tcPr>
          <w:p>
            <w:pPr>
              <w:spacing w:after="0"/>
              <w:rPr>
                <w:sz w:val="1"/>
                <w:szCs w:val="1"/>
                <w:color w:val="auto"/>
              </w:rPr>
            </w:pPr>
          </w:p>
        </w:tc>
      </w:tr>
      <w:tr>
        <w:trPr>
          <w:trHeight w:val="189"/>
        </w:trPr>
        <w:tc>
          <w:tcPr>
            <w:tcW w:w="55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Unrealized gains (losses) on cash flow hedges:</w:t>
            </w:r>
          </w:p>
        </w:tc>
        <w:tc>
          <w:tcPr>
            <w:tcW w:w="260" w:type="dxa"/>
            <w:vAlign w:val="bottom"/>
            <w:shd w:val="clear" w:color="auto" w:fill="E0E7ED"/>
          </w:tcPr>
          <w:p>
            <w:pPr>
              <w:spacing w:after="0"/>
              <w:rPr>
                <w:sz w:val="16"/>
                <w:szCs w:val="16"/>
                <w:color w:val="auto"/>
              </w:rPr>
            </w:pPr>
          </w:p>
        </w:tc>
        <w:tc>
          <w:tcPr>
            <w:tcW w:w="11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320" w:type="dxa"/>
            <w:vAlign w:val="bottom"/>
            <w:shd w:val="clear" w:color="auto" w:fill="E0E7ED"/>
          </w:tcPr>
          <w:p>
            <w:pPr>
              <w:spacing w:after="0"/>
              <w:rPr>
                <w:sz w:val="16"/>
                <w:szCs w:val="16"/>
                <w:color w:val="auto"/>
              </w:rPr>
            </w:pPr>
          </w:p>
        </w:tc>
        <w:tc>
          <w:tcPr>
            <w:tcW w:w="104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tcPr>
          <w:p>
            <w:pPr>
              <w:ind w:left="360"/>
              <w:spacing w:after="0"/>
              <w:rPr>
                <w:sz w:val="20"/>
                <w:szCs w:val="20"/>
                <w:color w:val="auto"/>
              </w:rPr>
            </w:pPr>
            <w:r>
              <w:rPr>
                <w:rFonts w:ascii="Arial" w:cs="Arial" w:eastAsia="Arial" w:hAnsi="Arial"/>
                <w:sz w:val="14"/>
                <w:szCs w:val="14"/>
                <w:color w:val="auto"/>
              </w:rPr>
              <w:t>Net unrealized holding gains (losses) on cash flow hedges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3,463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(2,791)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9,561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(10,109)</w:t>
            </w:r>
          </w:p>
        </w:tc>
        <w:tc>
          <w:tcPr>
            <w:tcW w:w="0" w:type="dxa"/>
            <w:vAlign w:val="bottom"/>
          </w:tcPr>
          <w:p>
            <w:pPr>
              <w:spacing w:after="0"/>
              <w:rPr>
                <w:sz w:val="1"/>
                <w:szCs w:val="1"/>
                <w:color w:val="auto"/>
              </w:rPr>
            </w:pPr>
          </w:p>
        </w:tc>
      </w:tr>
      <w:tr>
        <w:trPr>
          <w:trHeight w:val="148"/>
        </w:trPr>
        <w:tc>
          <w:tcPr>
            <w:tcW w:w="5520" w:type="dxa"/>
            <w:vAlign w:val="bottom"/>
            <w:shd w:val="clear" w:color="auto" w:fill="E0E7ED"/>
          </w:tcPr>
          <w:p>
            <w:pPr>
              <w:ind w:left="360"/>
              <w:spacing w:after="0" w:line="149" w:lineRule="exact"/>
              <w:rPr>
                <w:sz w:val="20"/>
                <w:szCs w:val="20"/>
                <w:color w:val="auto"/>
              </w:rPr>
            </w:pPr>
            <w:r>
              <w:rPr>
                <w:rFonts w:ascii="Arial" w:cs="Arial" w:eastAsia="Arial" w:hAnsi="Arial"/>
                <w:sz w:val="14"/>
                <w:szCs w:val="14"/>
                <w:color w:val="auto"/>
              </w:rPr>
              <w:t>Reclassification adjustment for realized (gains) losses on cash flow hedges</w:t>
            </w:r>
          </w:p>
        </w:tc>
        <w:tc>
          <w:tcPr>
            <w:tcW w:w="260" w:type="dxa"/>
            <w:vAlign w:val="bottom"/>
            <w:shd w:val="clear" w:color="auto" w:fill="E0E7ED"/>
          </w:tcPr>
          <w:p>
            <w:pPr>
              <w:spacing w:after="0"/>
              <w:rPr>
                <w:sz w:val="12"/>
                <w:szCs w:val="12"/>
                <w:color w:val="auto"/>
              </w:rPr>
            </w:pPr>
          </w:p>
        </w:tc>
        <w:tc>
          <w:tcPr>
            <w:tcW w:w="11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2,265</w:t>
            </w: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6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2,311</w:t>
            </w:r>
          </w:p>
        </w:tc>
        <w:tc>
          <w:tcPr>
            <w:tcW w:w="80" w:type="dxa"/>
            <w:vAlign w:val="bottom"/>
            <w:shd w:val="clear" w:color="auto" w:fill="E0E7ED"/>
          </w:tcPr>
          <w:p>
            <w:pPr>
              <w:spacing w:after="0"/>
              <w:rPr>
                <w:sz w:val="12"/>
                <w:szCs w:val="12"/>
                <w:color w:val="auto"/>
              </w:rPr>
            </w:pPr>
          </w:p>
        </w:tc>
        <w:tc>
          <w:tcPr>
            <w:tcW w:w="280" w:type="dxa"/>
            <w:vAlign w:val="bottom"/>
            <w:shd w:val="clear" w:color="auto" w:fill="E0E7ED"/>
          </w:tcPr>
          <w:p>
            <w:pPr>
              <w:spacing w:after="0"/>
              <w:rPr>
                <w:sz w:val="12"/>
                <w:szCs w:val="12"/>
                <w:color w:val="auto"/>
              </w:rPr>
            </w:pPr>
          </w:p>
        </w:tc>
        <w:tc>
          <w:tcPr>
            <w:tcW w:w="108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4,325</w:t>
            </w:r>
          </w:p>
        </w:tc>
        <w:tc>
          <w:tcPr>
            <w:tcW w:w="80" w:type="dxa"/>
            <w:vAlign w:val="bottom"/>
            <w:shd w:val="clear" w:color="auto" w:fill="E0E7ED"/>
          </w:tcPr>
          <w:p>
            <w:pPr>
              <w:spacing w:after="0"/>
              <w:rPr>
                <w:sz w:val="12"/>
                <w:szCs w:val="12"/>
                <w:color w:val="auto"/>
              </w:rPr>
            </w:pPr>
          </w:p>
        </w:tc>
        <w:tc>
          <w:tcPr>
            <w:tcW w:w="320" w:type="dxa"/>
            <w:vAlign w:val="bottom"/>
            <w:shd w:val="clear" w:color="auto" w:fill="E0E7ED"/>
          </w:tcPr>
          <w:p>
            <w:pPr>
              <w:spacing w:after="0"/>
              <w:rPr>
                <w:sz w:val="12"/>
                <w:szCs w:val="12"/>
                <w:color w:val="auto"/>
              </w:rPr>
            </w:pP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4,624</w:t>
            </w:r>
          </w:p>
        </w:tc>
        <w:tc>
          <w:tcPr>
            <w:tcW w:w="0" w:type="dxa"/>
            <w:vAlign w:val="bottom"/>
          </w:tcPr>
          <w:p>
            <w:pPr>
              <w:spacing w:after="0"/>
              <w:rPr>
                <w:sz w:val="1"/>
                <w:szCs w:val="1"/>
                <w:color w:val="auto"/>
              </w:rPr>
            </w:pPr>
          </w:p>
        </w:tc>
      </w:tr>
      <w:tr>
        <w:trPr>
          <w:trHeight w:val="176"/>
        </w:trPr>
        <w:tc>
          <w:tcPr>
            <w:tcW w:w="5520" w:type="dxa"/>
            <w:vAlign w:val="bottom"/>
            <w:shd w:val="clear" w:color="auto" w:fill="E0E7ED"/>
          </w:tcPr>
          <w:p>
            <w:pPr>
              <w:ind w:left="360"/>
              <w:spacing w:after="0"/>
              <w:rPr>
                <w:sz w:val="20"/>
                <w:szCs w:val="20"/>
                <w:color w:val="auto"/>
              </w:rPr>
            </w:pPr>
            <w:r>
              <w:rPr>
                <w:rFonts w:ascii="Arial" w:cs="Arial" w:eastAsia="Arial" w:hAnsi="Arial"/>
                <w:sz w:val="14"/>
                <w:szCs w:val="14"/>
                <w:color w:val="auto"/>
              </w:rPr>
              <w:t>included in net income</w:t>
            </w:r>
          </w:p>
        </w:tc>
        <w:tc>
          <w:tcPr>
            <w:tcW w:w="260" w:type="dxa"/>
            <w:vAlign w:val="bottom"/>
            <w:shd w:val="clear" w:color="auto" w:fill="E0E7ED"/>
          </w:tcPr>
          <w:p>
            <w:pPr>
              <w:spacing w:after="0"/>
              <w:rPr>
                <w:sz w:val="15"/>
                <w:szCs w:val="15"/>
                <w:color w:val="auto"/>
              </w:rPr>
            </w:pPr>
          </w:p>
        </w:tc>
        <w:tc>
          <w:tcPr>
            <w:tcW w:w="11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6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20" w:type="dxa"/>
            <w:vAlign w:val="bottom"/>
            <w:shd w:val="clear" w:color="auto" w:fill="E0E7ED"/>
          </w:tcPr>
          <w:p>
            <w:pPr>
              <w:spacing w:after="0"/>
              <w:rPr>
                <w:sz w:val="15"/>
                <w:szCs w:val="15"/>
                <w:color w:val="auto"/>
              </w:rPr>
            </w:pPr>
          </w:p>
        </w:tc>
        <w:tc>
          <w:tcPr>
            <w:tcW w:w="104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520" w:type="dxa"/>
            <w:vAlign w:val="bottom"/>
            <w:tcBorders>
              <w:bottom w:val="single" w:sz="8" w:color="E0E7ED"/>
            </w:tcBorders>
          </w:tcPr>
          <w:p>
            <w:pPr>
              <w:ind w:left="360"/>
              <w:spacing w:after="0"/>
              <w:rPr>
                <w:sz w:val="20"/>
                <w:szCs w:val="20"/>
                <w:color w:val="auto"/>
              </w:rPr>
            </w:pPr>
            <w:r>
              <w:rPr>
                <w:rFonts w:ascii="Arial" w:cs="Arial" w:eastAsia="Arial" w:hAnsi="Arial"/>
                <w:sz w:val="14"/>
                <w:szCs w:val="14"/>
                <w:color w:val="auto"/>
              </w:rPr>
              <w:t>Tax effect</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(1,437)</w:t>
            </w:r>
          </w:p>
        </w:tc>
        <w:tc>
          <w:tcPr>
            <w:tcW w:w="8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136</w:t>
            </w:r>
          </w:p>
        </w:tc>
        <w:tc>
          <w:tcPr>
            <w:tcW w:w="80" w:type="dxa"/>
            <w:vAlign w:val="bottom"/>
            <w:tcBorders>
              <w:bottom w:val="single" w:sz="8" w:color="E0E7ED"/>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(3,449)</w:t>
            </w:r>
          </w:p>
        </w:tc>
        <w:tc>
          <w:tcPr>
            <w:tcW w:w="80" w:type="dxa"/>
            <w:vAlign w:val="bottom"/>
            <w:tcBorders>
              <w:bottom w:val="single" w:sz="8" w:color="E0E7ED"/>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183"/>
        </w:trPr>
        <w:tc>
          <w:tcPr>
            <w:tcW w:w="55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Net change in unrealized gains (losses) on cash flow hedges</w:t>
            </w:r>
          </w:p>
        </w:tc>
        <w:tc>
          <w:tcPr>
            <w:tcW w:w="260" w:type="dxa"/>
            <w:vAlign w:val="bottom"/>
            <w:tcBorders>
              <w:bottom w:val="single" w:sz="8" w:color="auto"/>
            </w:tcBorders>
            <w:shd w:val="clear" w:color="auto" w:fill="E0E7ED"/>
          </w:tcPr>
          <w:p>
            <w:pPr>
              <w:spacing w:after="0"/>
              <w:rPr>
                <w:sz w:val="15"/>
                <w:szCs w:val="15"/>
                <w:color w:val="auto"/>
              </w:rPr>
            </w:pPr>
          </w:p>
        </w:tc>
        <w:tc>
          <w:tcPr>
            <w:tcW w:w="11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4,291</w:t>
            </w:r>
          </w:p>
        </w:tc>
        <w:tc>
          <w:tcPr>
            <w:tcW w:w="8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(344)</w:t>
            </w:r>
          </w:p>
        </w:tc>
        <w:tc>
          <w:tcPr>
            <w:tcW w:w="80" w:type="dxa"/>
            <w:vAlign w:val="bottom"/>
            <w:shd w:val="clear" w:color="auto" w:fill="E0E7ED"/>
          </w:tcPr>
          <w:p>
            <w:pPr>
              <w:spacing w:after="0"/>
              <w:rPr>
                <w:sz w:val="15"/>
                <w:szCs w:val="15"/>
                <w:color w:val="auto"/>
              </w:rPr>
            </w:pP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10,437</w:t>
            </w:r>
          </w:p>
        </w:tc>
        <w:tc>
          <w:tcPr>
            <w:tcW w:w="80" w:type="dxa"/>
            <w:vAlign w:val="bottom"/>
            <w:shd w:val="clear" w:color="auto" w:fill="E0E7ED"/>
          </w:tcPr>
          <w:p>
            <w:pPr>
              <w:spacing w:after="0"/>
              <w:rPr>
                <w:sz w:val="15"/>
                <w:szCs w:val="15"/>
                <w:color w:val="auto"/>
              </w:rPr>
            </w:pPr>
          </w:p>
        </w:tc>
        <w:tc>
          <w:tcPr>
            <w:tcW w:w="320" w:type="dxa"/>
            <w:vAlign w:val="bottom"/>
            <w:tcBorders>
              <w:bottom w:val="single" w:sz="8" w:color="auto"/>
            </w:tcBorders>
            <w:shd w:val="clear" w:color="auto" w:fill="E0E7ED"/>
          </w:tcPr>
          <w:p>
            <w:pPr>
              <w:spacing w:after="0"/>
              <w:rPr>
                <w:sz w:val="15"/>
                <w:szCs w:val="15"/>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(3,922)</w:t>
            </w:r>
          </w:p>
        </w:tc>
        <w:tc>
          <w:tcPr>
            <w:tcW w:w="0" w:type="dxa"/>
            <w:vAlign w:val="bottom"/>
          </w:tcPr>
          <w:p>
            <w:pPr>
              <w:spacing w:after="0"/>
              <w:rPr>
                <w:sz w:val="1"/>
                <w:szCs w:val="1"/>
                <w:color w:val="auto"/>
              </w:rPr>
            </w:pPr>
          </w:p>
        </w:tc>
      </w:tr>
      <w:tr>
        <w:trPr>
          <w:trHeight w:val="182"/>
        </w:trPr>
        <w:tc>
          <w:tcPr>
            <w:tcW w:w="552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OCI</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17,499</w:t>
            </w:r>
          </w:p>
        </w:tc>
        <w:tc>
          <w:tcPr>
            <w:tcW w:w="8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1,864</w:t>
            </w:r>
          </w:p>
        </w:tc>
        <w:tc>
          <w:tcPr>
            <w:tcW w:w="8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51,728</w:t>
            </w:r>
          </w:p>
        </w:tc>
        <w:tc>
          <w:tcPr>
            <w:tcW w:w="8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208"/>
        </w:trPr>
        <w:tc>
          <w:tcPr>
            <w:tcW w:w="5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comprehensive income</w:t>
            </w:r>
          </w:p>
        </w:tc>
        <w:tc>
          <w:tcPr>
            <w:tcW w:w="260" w:type="dxa"/>
            <w:vAlign w:val="bottom"/>
            <w:tcBorders>
              <w:bottom w:val="single" w:sz="8" w:color="auto"/>
            </w:tcBorders>
            <w:shd w:val="clear" w:color="auto" w:fill="E0E7ED"/>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64,903</w:t>
            </w:r>
          </w:p>
        </w:tc>
        <w:tc>
          <w:tcPr>
            <w:tcW w:w="8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29,221</w:t>
            </w:r>
          </w:p>
        </w:tc>
        <w:tc>
          <w:tcPr>
            <w:tcW w:w="80" w:type="dxa"/>
            <w:vAlign w:val="bottom"/>
            <w:tcBorders>
              <w:bottom w:val="single" w:sz="8" w:color="E0E7ED"/>
            </w:tcBorders>
            <w:shd w:val="clear" w:color="auto" w:fill="E0E7ED"/>
          </w:tcPr>
          <w:p>
            <w:pPr>
              <w:spacing w:after="0"/>
              <w:rPr>
                <w:sz w:val="17"/>
                <w:szCs w:val="17"/>
                <w:color w:val="auto"/>
              </w:rPr>
            </w:pPr>
          </w:p>
        </w:tc>
        <w:tc>
          <w:tcPr>
            <w:tcW w:w="280" w:type="dxa"/>
            <w:vAlign w:val="bottom"/>
            <w:tcBorders>
              <w:bottom w:val="single" w:sz="8" w:color="auto"/>
            </w:tcBorders>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69,142</w:t>
            </w:r>
          </w:p>
        </w:tc>
        <w:tc>
          <w:tcPr>
            <w:tcW w:w="80" w:type="dxa"/>
            <w:vAlign w:val="bottom"/>
            <w:tcBorders>
              <w:bottom w:val="single" w:sz="8" w:color="E0E7ED"/>
            </w:tcBorders>
            <w:shd w:val="clear" w:color="auto" w:fill="E0E7ED"/>
          </w:tcPr>
          <w:p>
            <w:pPr>
              <w:spacing w:after="0"/>
              <w:rPr>
                <w:sz w:val="17"/>
                <w:szCs w:val="17"/>
                <w:color w:val="auto"/>
              </w:rPr>
            </w:pPr>
          </w:p>
        </w:tc>
        <w:tc>
          <w:tcPr>
            <w:tcW w:w="320" w:type="dxa"/>
            <w:vAlign w:val="bottom"/>
            <w:tcBorders>
              <w:bottom w:val="single" w:sz="8" w:color="auto"/>
            </w:tcBorders>
            <w:shd w:val="clear" w:color="auto" w:fill="E0E7ED"/>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52,059</w:t>
            </w:r>
          </w:p>
        </w:tc>
        <w:tc>
          <w:tcPr>
            <w:tcW w:w="0" w:type="dxa"/>
            <w:vAlign w:val="bottom"/>
          </w:tcPr>
          <w:p>
            <w:pPr>
              <w:spacing w:after="0"/>
              <w:rPr>
                <w:sz w:val="1"/>
                <w:szCs w:val="1"/>
                <w:color w:val="auto"/>
              </w:rPr>
            </w:pPr>
          </w:p>
        </w:tc>
      </w:tr>
      <w:tr>
        <w:trPr>
          <w:trHeight w:val="20"/>
        </w:trPr>
        <w:tc>
          <w:tcPr>
            <w:tcW w:w="552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June 30, 2025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4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1"/>
        </w:trPr>
        <w:tc>
          <w:tcPr>
            <w:tcW w:w="24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6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Treasury</w:t>
            </w: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Preferred</w:t>
            </w:r>
          </w:p>
        </w:tc>
        <w:tc>
          <w:tcPr>
            <w:tcW w:w="80" w:type="dxa"/>
            <w:vAlign w:val="bottom"/>
            <w:vMerge w:val="restart"/>
          </w:tcPr>
          <w:p>
            <w:pPr>
              <w:spacing w:after="0"/>
              <w:rPr>
                <w:sz w:val="5"/>
                <w:szCs w:val="5"/>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Common</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440" w:type="dxa"/>
            <w:vAlign w:val="bottom"/>
            <w:tcBorders>
              <w:bottom w:val="single" w:sz="8" w:color="E0E7ED"/>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 March 31, 2025</w:t>
            </w: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7,750</w:t>
            </w:r>
          </w:p>
        </w:tc>
        <w:tc>
          <w:tcPr>
            <w:tcW w:w="80" w:type="dxa"/>
            <w:vAlign w:val="bottom"/>
            <w:shd w:val="clear" w:color="auto" w:fill="E0E7ED"/>
          </w:tcPr>
          <w:p>
            <w:pPr>
              <w:spacing w:after="0"/>
              <w:rPr>
                <w:sz w:val="15"/>
                <w:szCs w:val="15"/>
                <w:color w:val="auto"/>
              </w:rPr>
            </w:pPr>
          </w:p>
        </w:tc>
        <w:tc>
          <w:tcPr>
            <w:tcW w:w="9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90,008,178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93</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2,167,275</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249,484</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(172,810)</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(64,436)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2,179,606</w:t>
            </w: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47,404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47,404</w:t>
            </w: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OCI, net of tax</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17,499</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17,499</w:t>
            </w: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Issuance of preferred stock, net</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215,000</w:t>
            </w:r>
          </w:p>
        </w:tc>
        <w:tc>
          <w:tcPr>
            <w:tcW w:w="8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207,447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207,447</w:t>
            </w:r>
          </w:p>
        </w:tc>
        <w:tc>
          <w:tcPr>
            <w:tcW w:w="0" w:type="dxa"/>
            <w:vAlign w:val="bottom"/>
          </w:tcPr>
          <w:p>
            <w:pPr>
              <w:spacing w:after="0"/>
              <w:rPr>
                <w:sz w:val="1"/>
                <w:szCs w:val="1"/>
                <w:color w:val="auto"/>
              </w:rPr>
            </w:pPr>
          </w:p>
        </w:tc>
      </w:tr>
      <w:tr>
        <w:trPr>
          <w:trHeight w:val="176"/>
        </w:trPr>
        <w:tc>
          <w:tcPr>
            <w:tcW w:w="2440" w:type="dxa"/>
            <w:vAlign w:val="bottom"/>
          </w:tcPr>
          <w:p>
            <w:pPr>
              <w:ind w:left="180"/>
              <w:spacing w:after="0"/>
              <w:rPr>
                <w:sz w:val="20"/>
                <w:szCs w:val="20"/>
                <w:color w:val="auto"/>
              </w:rPr>
            </w:pPr>
            <w:r>
              <w:rPr>
                <w:rFonts w:ascii="Arial" w:cs="Arial" w:eastAsia="Arial" w:hAnsi="Arial"/>
                <w:sz w:val="14"/>
                <w:szCs w:val="14"/>
                <w:color w:val="auto"/>
              </w:rPr>
              <w:t>of issuance costs</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Repurchase of stock</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7ED"/>
          </w:tcPr>
          <w:p>
            <w:pPr>
              <w:ind w:left="160"/>
              <w:spacing w:after="0"/>
              <w:rPr>
                <w:sz w:val="20"/>
                <w:szCs w:val="20"/>
                <w:color w:val="auto"/>
              </w:rPr>
            </w:pPr>
            <w:r>
              <w:rPr>
                <w:rFonts w:ascii="Arial" w:cs="Arial" w:eastAsia="Arial" w:hAnsi="Arial"/>
                <w:sz w:val="14"/>
                <w:szCs w:val="14"/>
                <w:color w:val="auto"/>
              </w:rPr>
              <w:t>(1,012,000)</w:t>
            </w:r>
          </w:p>
        </w:tc>
        <w:tc>
          <w:tcPr>
            <w:tcW w:w="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(21,655)</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(21,655)</w:t>
            </w: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Issuance of treasury stock for</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22,373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506</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ESPP</w:t>
            </w: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8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9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72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shd w:val="clear" w:color="auto" w:fill="E0E7ED"/>
          </w:tcPr>
          <w:p>
            <w:pPr>
              <w:spacing w:after="0"/>
              <w:rPr>
                <w:sz w:val="12"/>
                <w:szCs w:val="12"/>
                <w:color w:val="auto"/>
              </w:rPr>
            </w:pP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shd w:val="clear" w:color="auto" w:fill="E0E7ED"/>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shd w:val="clear" w:color="auto" w:fill="E0E7ED"/>
          </w:tcPr>
          <w:p>
            <w:pPr>
              <w:ind w:left="180"/>
              <w:spacing w:after="0" w:line="135" w:lineRule="exact"/>
              <w:rPr>
                <w:sz w:val="20"/>
                <w:szCs w:val="20"/>
                <w:color w:val="auto"/>
              </w:rPr>
            </w:pPr>
            <w:r>
              <w:rPr>
                <w:rFonts w:ascii="Arial" w:cs="Arial" w:eastAsia="Arial" w:hAnsi="Arial"/>
                <w:sz w:val="14"/>
                <w:szCs w:val="14"/>
                <w:color w:val="auto"/>
              </w:rPr>
              <w:t>RSU/PSU/DSU vesting and</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65,211</w:t>
            </w:r>
          </w:p>
        </w:tc>
        <w:tc>
          <w:tcPr>
            <w:tcW w:w="80" w:type="dxa"/>
            <w:vAlign w:val="bottom"/>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1"/>
                <w:szCs w:val="11"/>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1"/>
                <w:szCs w:val="11"/>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(2,173)</w:t>
            </w:r>
          </w:p>
        </w:tc>
        <w:tc>
          <w:tcPr>
            <w:tcW w:w="80" w:type="dxa"/>
            <w:vAlign w:val="bottom"/>
            <w:shd w:val="clear" w:color="auto" w:fill="E0E7ED"/>
          </w:tcPr>
          <w:p>
            <w:pPr>
              <w:spacing w:after="0"/>
              <w:rPr>
                <w:sz w:val="11"/>
                <w:szCs w:val="11"/>
                <w:color w:val="auto"/>
              </w:rPr>
            </w:pPr>
          </w:p>
        </w:tc>
        <w:tc>
          <w:tcPr>
            <w:tcW w:w="120" w:type="dxa"/>
            <w:vAlign w:val="bottom"/>
            <w:shd w:val="clear" w:color="auto" w:fill="E0E7ED"/>
          </w:tcPr>
          <w:p>
            <w:pPr>
              <w:spacing w:after="0"/>
              <w:rPr>
                <w:sz w:val="11"/>
                <w:szCs w:val="11"/>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1"/>
                <w:szCs w:val="11"/>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1"/>
                <w:szCs w:val="11"/>
                <w:color w:val="auto"/>
              </w:rPr>
            </w:pPr>
          </w:p>
        </w:tc>
        <w:tc>
          <w:tcPr>
            <w:tcW w:w="78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1,507</w:t>
            </w:r>
          </w:p>
        </w:tc>
        <w:tc>
          <w:tcPr>
            <w:tcW w:w="80" w:type="dxa"/>
            <w:vAlign w:val="bottom"/>
            <w:shd w:val="clear" w:color="auto" w:fill="E0E7ED"/>
          </w:tcPr>
          <w:p>
            <w:pPr>
              <w:spacing w:after="0"/>
              <w:rPr>
                <w:sz w:val="11"/>
                <w:szCs w:val="11"/>
                <w:color w:val="auto"/>
              </w:rPr>
            </w:pPr>
          </w:p>
        </w:tc>
        <w:tc>
          <w:tcPr>
            <w:tcW w:w="180" w:type="dxa"/>
            <w:vAlign w:val="bottom"/>
            <w:shd w:val="clear" w:color="auto" w:fill="E0E7ED"/>
          </w:tcPr>
          <w:p>
            <w:pPr>
              <w:spacing w:after="0"/>
              <w:rPr>
                <w:sz w:val="11"/>
                <w:szCs w:val="11"/>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related tax</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20,916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483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(335)</w:t>
            </w:r>
          </w:p>
        </w:tc>
        <w:tc>
          <w:tcPr>
            <w:tcW w:w="0" w:type="dxa"/>
            <w:vAlign w:val="bottom"/>
          </w:tcPr>
          <w:p>
            <w:pPr>
              <w:spacing w:after="0"/>
              <w:rPr>
                <w:sz w:val="1"/>
                <w:szCs w:val="1"/>
                <w:color w:val="auto"/>
              </w:rPr>
            </w:pPr>
          </w:p>
        </w:tc>
      </w:tr>
      <w:tr>
        <w:trPr>
          <w:trHeight w:val="176"/>
        </w:trPr>
        <w:tc>
          <w:tcPr>
            <w:tcW w:w="2440" w:type="dxa"/>
            <w:vAlign w:val="bottom"/>
          </w:tcPr>
          <w:p>
            <w:pPr>
              <w:ind w:left="180"/>
              <w:spacing w:after="0"/>
              <w:rPr>
                <w:sz w:val="20"/>
                <w:szCs w:val="20"/>
                <w:color w:val="auto"/>
              </w:rPr>
            </w:pPr>
            <w:r>
              <w:rPr>
                <w:rFonts w:ascii="Arial" w:cs="Arial" w:eastAsia="Arial" w:hAnsi="Arial"/>
                <w:sz w:val="14"/>
                <w:szCs w:val="14"/>
                <w:color w:val="auto"/>
              </w:rPr>
              <w:t>SSARs exercised and related tax</w:t>
            </w: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Dividends on preferred stock</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80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(22,442)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(22,442)</w:t>
            </w:r>
          </w:p>
        </w:tc>
        <w:tc>
          <w:tcPr>
            <w:tcW w:w="0" w:type="dxa"/>
            <w:vAlign w:val="bottom"/>
          </w:tcPr>
          <w:p>
            <w:pPr>
              <w:spacing w:after="0"/>
              <w:rPr>
                <w:sz w:val="1"/>
                <w:szCs w:val="1"/>
                <w:color w:val="auto"/>
              </w:rPr>
            </w:pPr>
          </w:p>
        </w:tc>
      </w:tr>
      <w:tr>
        <w:trPr>
          <w:trHeight w:val="176"/>
        </w:trPr>
        <w:tc>
          <w:tcPr>
            <w:tcW w:w="2440" w:type="dxa"/>
            <w:vAlign w:val="bottom"/>
          </w:tcPr>
          <w:p>
            <w:pPr>
              <w:ind w:left="180"/>
              <w:spacing w:after="0"/>
              <w:rPr>
                <w:sz w:val="20"/>
                <w:szCs w:val="20"/>
                <w:color w:val="auto"/>
              </w:rPr>
            </w:pPr>
            <w:r>
              <w:rPr>
                <w:rFonts w:ascii="Arial" w:cs="Arial" w:eastAsia="Arial" w:hAnsi="Arial"/>
                <w:sz w:val="14"/>
                <w:szCs w:val="14"/>
                <w:color w:val="auto"/>
              </w:rPr>
              <w:t>at $0.25 per share</w:t>
            </w:r>
          </w:p>
        </w:tc>
        <w:tc>
          <w:tcPr>
            <w:tcW w:w="9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Dividend equivalents on</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492</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(492)</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RSUs/PSUs/DSUs</w:t>
            </w:r>
          </w:p>
        </w:tc>
        <w:tc>
          <w:tcPr>
            <w:tcW w:w="960" w:type="dxa"/>
            <w:vAlign w:val="bottom"/>
            <w:gridSpan w:val="2"/>
            <w:vMerge w:val="continue"/>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5,433</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5,433</w:t>
            </w:r>
          </w:p>
        </w:tc>
        <w:tc>
          <w:tcPr>
            <w:tcW w:w="0" w:type="dxa"/>
            <w:vAlign w:val="bottom"/>
          </w:tcPr>
          <w:p>
            <w:pPr>
              <w:spacing w:after="0"/>
              <w:rPr>
                <w:sz w:val="1"/>
                <w:szCs w:val="1"/>
                <w:color w:val="auto"/>
              </w:rPr>
            </w:pPr>
          </w:p>
        </w:tc>
      </w:tr>
      <w:tr>
        <w:trPr>
          <w:trHeight w:val="203"/>
        </w:trPr>
        <w:tc>
          <w:tcPr>
            <w:tcW w:w="24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Balance, June 30, 2025</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222,750</w:t>
            </w:r>
          </w:p>
        </w:tc>
        <w:tc>
          <w:tcPr>
            <w:tcW w:w="80" w:type="dxa"/>
            <w:vAlign w:val="bottom"/>
            <w:tcBorders>
              <w:bottom w:val="single" w:sz="8" w:color="E0E7ED"/>
            </w:tcBorders>
            <w:shd w:val="clear" w:color="auto" w:fill="E0E7ED"/>
          </w:tcPr>
          <w:p>
            <w:pPr>
              <w:spacing w:after="0"/>
              <w:rPr>
                <w:sz w:val="17"/>
                <w:szCs w:val="17"/>
                <w:color w:val="auto"/>
              </w:rPr>
            </w:pPr>
          </w:p>
        </w:tc>
        <w:tc>
          <w:tcPr>
            <w:tcW w:w="9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89,104,678</w:t>
            </w:r>
          </w:p>
        </w:tc>
        <w:tc>
          <w:tcPr>
            <w:tcW w:w="80" w:type="dxa"/>
            <w:vAlign w:val="bottom"/>
            <w:tcBorders>
              <w:bottom w:val="single" w:sz="8" w:color="E0E7ED"/>
            </w:tcBorders>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93</w:t>
            </w:r>
          </w:p>
        </w:tc>
        <w:tc>
          <w:tcPr>
            <w:tcW w:w="80" w:type="dxa"/>
            <w:vAlign w:val="bottom"/>
            <w:tcBorders>
              <w:bottom w:val="single" w:sz="8" w:color="E0E7ED"/>
            </w:tcBorders>
            <w:shd w:val="clear" w:color="auto" w:fill="E0E7ED"/>
          </w:tcPr>
          <w:p>
            <w:pPr>
              <w:spacing w:after="0"/>
              <w:rPr>
                <w:sz w:val="17"/>
                <w:szCs w:val="17"/>
                <w:color w:val="auto"/>
              </w:rPr>
            </w:pPr>
          </w:p>
        </w:tc>
        <w:tc>
          <w:tcPr>
            <w:tcW w:w="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2,377,560</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273,799</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(155,311)</w:t>
            </w:r>
          </w:p>
        </w:tc>
        <w:tc>
          <w:tcPr>
            <w:tcW w:w="80" w:type="dxa"/>
            <w:vAlign w:val="bottom"/>
            <w:tcBorders>
              <w:bottom w:val="single" w:sz="8" w:color="E0E7ED"/>
            </w:tcBorders>
            <w:shd w:val="clear" w:color="auto" w:fill="E0E7ED"/>
          </w:tcPr>
          <w:p>
            <w:pPr>
              <w:spacing w:after="0"/>
              <w:rPr>
                <w:sz w:val="17"/>
                <w:szCs w:val="17"/>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(83,595)</w:t>
            </w:r>
          </w:p>
        </w:tc>
        <w:tc>
          <w:tcPr>
            <w:tcW w:w="8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2,412,546</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rPr>
              <w:t>Three Months Ended June 30, 2024</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960" w:type="dxa"/>
            <w:vAlign w:val="bottom"/>
            <w:gridSpan w:val="4"/>
          </w:tcPr>
          <w:p>
            <w:pPr>
              <w:ind w:left="32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8"/>
                <w:szCs w:val="18"/>
                <w:color w:val="auto"/>
              </w:rPr>
            </w:pPr>
          </w:p>
        </w:tc>
        <w:tc>
          <w:tcPr>
            <w:tcW w:w="1840" w:type="dxa"/>
            <w:vAlign w:val="bottom"/>
            <w:gridSpan w:val="5"/>
          </w:tcPr>
          <w:p>
            <w:pPr>
              <w:ind w:left="64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8"/>
                <w:szCs w:val="18"/>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0"/>
        </w:trPr>
        <w:tc>
          <w:tcPr>
            <w:tcW w:w="24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gridSpan w:val="2"/>
            <w:vMerge w:val="restart"/>
          </w:tcPr>
          <w:p>
            <w:pPr>
              <w:jc w:val="center"/>
              <w:ind w:right="160"/>
              <w:spacing w:after="0" w:line="122"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6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vMerge w:val="restart"/>
          </w:tcPr>
          <w:p>
            <w:pPr>
              <w:jc w:val="center"/>
              <w:ind w:right="220"/>
              <w:spacing w:after="0" w:line="122" w:lineRule="exact"/>
              <w:rPr>
                <w:sz w:val="20"/>
                <w:szCs w:val="20"/>
                <w:color w:val="auto"/>
              </w:rPr>
            </w:pPr>
            <w:r>
              <w:rPr>
                <w:rFonts w:ascii="Arial" w:cs="Arial" w:eastAsia="Arial" w:hAnsi="Arial"/>
                <w:sz w:val="14"/>
                <w:szCs w:val="14"/>
                <w:b w:val="1"/>
                <w:bCs w:val="1"/>
                <w:color w:val="auto"/>
              </w:rPr>
              <w:t>Treasury</w:t>
            </w:r>
          </w:p>
        </w:tc>
        <w:tc>
          <w:tcPr>
            <w:tcW w:w="980" w:type="dxa"/>
            <w:vAlign w:val="bottom"/>
            <w:gridSpan w:val="2"/>
            <w:vMerge w:val="restart"/>
          </w:tcPr>
          <w:p>
            <w:pPr>
              <w:ind w:left="20"/>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4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Preferred</w:t>
            </w:r>
          </w:p>
        </w:tc>
        <w:tc>
          <w:tcPr>
            <w:tcW w:w="80" w:type="dxa"/>
            <w:vAlign w:val="bottom"/>
            <w:vMerge w:val="restart"/>
          </w:tcPr>
          <w:p>
            <w:pPr>
              <w:spacing w:after="0"/>
              <w:rPr>
                <w:sz w:val="5"/>
                <w:szCs w:val="5"/>
                <w:color w:val="auto"/>
              </w:rPr>
            </w:pPr>
          </w:p>
        </w:tc>
        <w:tc>
          <w:tcPr>
            <w:tcW w:w="92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Common</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8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AOCI</w:t>
            </w:r>
          </w:p>
        </w:tc>
        <w:tc>
          <w:tcPr>
            <w:tcW w:w="8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440" w:type="dxa"/>
            <w:vAlign w:val="bottom"/>
            <w:tcBorders>
              <w:bottom w:val="single" w:sz="8" w:color="E0E7ED"/>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 March 31, 2024</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55,300,008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1,324,999</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248,412</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(222,190)</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(68,628)</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1,282,651</w:t>
            </w: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27,357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27,357</w:t>
            </w: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OCI, net of tax</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1,864</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1,864</w:t>
            </w: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Stock issued in acquisition, net of</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1,429,304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34,232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34,234</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stock issuance costs</w:t>
            </w: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Issuance of treasury stock for</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9,265</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239</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76"/>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ESPP</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180"/>
              <w:spacing w:after="0" w:line="139" w:lineRule="exact"/>
              <w:rPr>
                <w:sz w:val="20"/>
                <w:szCs w:val="20"/>
                <w:color w:val="auto"/>
              </w:rPr>
            </w:pPr>
            <w:r>
              <w:rPr>
                <w:rFonts w:ascii="Arial" w:cs="Arial" w:eastAsia="Arial" w:hAnsi="Arial"/>
                <w:sz w:val="14"/>
                <w:szCs w:val="14"/>
                <w:color w:val="auto"/>
              </w:rPr>
              <w:t>RSU/PSU/DSU vesting and</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8,360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2440" w:type="dxa"/>
            <w:vAlign w:val="bottom"/>
          </w:tcPr>
          <w:p>
            <w:pPr>
              <w:ind w:left="180"/>
              <w:spacing w:after="0"/>
              <w:rPr>
                <w:sz w:val="20"/>
                <w:szCs w:val="20"/>
                <w:color w:val="auto"/>
              </w:rPr>
            </w:pPr>
            <w:r>
              <w:rPr>
                <w:rFonts w:ascii="Arial" w:cs="Arial" w:eastAsia="Arial" w:hAnsi="Arial"/>
                <w:sz w:val="14"/>
                <w:szCs w:val="14"/>
                <w:color w:val="auto"/>
              </w:rPr>
              <w:t>related tax</w:t>
            </w:r>
          </w:p>
        </w:tc>
        <w:tc>
          <w:tcPr>
            <w:tcW w:w="96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8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(13,616)</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(13,616)</w:t>
            </w:r>
          </w:p>
        </w:tc>
        <w:tc>
          <w:tcPr>
            <w:tcW w:w="0" w:type="dxa"/>
            <w:vAlign w:val="bottom"/>
          </w:tcPr>
          <w:p>
            <w:pPr>
              <w:spacing w:after="0"/>
              <w:rPr>
                <w:sz w:val="1"/>
                <w:szCs w:val="1"/>
                <w:color w:val="auto"/>
              </w:rPr>
            </w:pPr>
          </w:p>
        </w:tc>
      </w:tr>
      <w:tr>
        <w:trPr>
          <w:trHeight w:val="176"/>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at $0.24 per share</w:t>
            </w:r>
          </w:p>
        </w:tc>
        <w:tc>
          <w:tcPr>
            <w:tcW w:w="960" w:type="dxa"/>
            <w:vAlign w:val="bottom"/>
            <w:gridSpan w:val="2"/>
            <w:vMerge w:val="continue"/>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8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Dividend equivalents on</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RSUs/PSUs/DSUs</w:t>
            </w:r>
          </w:p>
        </w:tc>
        <w:tc>
          <w:tcPr>
            <w:tcW w:w="9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9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1,134</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7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1,134</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2024</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56,746,937</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1,360,430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261,820</w:t>
            </w:r>
          </w:p>
        </w:tc>
        <w:tc>
          <w:tcPr>
            <w:tcW w:w="8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(220,326)</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(68,174)</w:t>
            </w:r>
          </w:p>
        </w:tc>
        <w:tc>
          <w:tcPr>
            <w:tcW w:w="80" w:type="dxa"/>
            <w:vAlign w:val="bottom"/>
          </w:tcPr>
          <w:p>
            <w:pPr>
              <w:spacing w:after="0"/>
              <w:rPr>
                <w:sz w:val="15"/>
                <w:szCs w:val="15"/>
                <w:color w:val="auto"/>
              </w:rPr>
            </w:pP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1,333,810</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(Unaudited) (Continued)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Six Months Ended June 30, 2025</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18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88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86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Retained</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Treasury</w:t>
            </w:r>
          </w:p>
        </w:tc>
        <w:tc>
          <w:tcPr>
            <w:tcW w:w="98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Preferred</w:t>
            </w:r>
          </w:p>
        </w:tc>
        <w:tc>
          <w:tcPr>
            <w:tcW w:w="80" w:type="dxa"/>
            <w:vAlign w:val="bottom"/>
            <w:tcBorders>
              <w:bottom w:val="single" w:sz="8" w:color="E0E7ED"/>
            </w:tcBorders>
          </w:tcPr>
          <w:p>
            <w:pPr>
              <w:spacing w:after="0"/>
              <w:rPr>
                <w:sz w:val="15"/>
                <w:szCs w:val="15"/>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Preferred</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AOCI</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56,895,981</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1,360,530</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ind w:right="9"/>
              <w:spacing w:after="0"/>
              <w:rPr>
                <w:sz w:val="20"/>
                <w:szCs w:val="20"/>
                <w:color w:val="auto"/>
              </w:rPr>
            </w:pPr>
            <w:r>
              <w:rPr>
                <w:rFonts w:ascii="Arial" w:cs="Arial" w:eastAsia="Arial" w:hAnsi="Arial"/>
                <w:sz w:val="14"/>
                <w:szCs w:val="14"/>
                <w:color w:val="auto"/>
              </w:rPr>
              <w:t>294,054</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(207,039)</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(64,336)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1,383,269</w:t>
            </w: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ind w:right="9"/>
              <w:spacing w:after="0"/>
              <w:rPr>
                <w:sz w:val="20"/>
                <w:szCs w:val="20"/>
                <w:color w:val="auto"/>
              </w:rPr>
            </w:pPr>
            <w:r>
              <w:rPr>
                <w:rFonts w:ascii="Arial" w:cs="Arial" w:eastAsia="Arial" w:hAnsi="Arial"/>
                <w:sz w:val="14"/>
                <w:szCs w:val="14"/>
                <w:color w:val="auto"/>
              </w:rPr>
              <w:t>17,414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17,414</w:t>
            </w: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OCI, net of tax</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51,728</w:t>
            </w:r>
          </w:p>
        </w:tc>
        <w:tc>
          <w:tcPr>
            <w:tcW w:w="80" w:type="dxa"/>
            <w:vAlign w:val="bottom"/>
            <w:shd w:val="clear" w:color="auto" w:fill="E0E7ED"/>
          </w:tcPr>
          <w:p>
            <w:pPr>
              <w:spacing w:after="0"/>
              <w:rPr>
                <w:sz w:val="16"/>
                <w:szCs w:val="16"/>
                <w:color w:val="auto"/>
              </w:rPr>
            </w:pP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51,728</w:t>
            </w: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Stock issued in acquisition, net of</w:t>
            </w: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7,750</w:t>
            </w:r>
          </w:p>
        </w:tc>
        <w:tc>
          <w:tcPr>
            <w:tcW w:w="80" w:type="dxa"/>
            <w:vAlign w:val="bottom"/>
          </w:tcPr>
          <w:p>
            <w:pPr>
              <w:spacing w:after="0"/>
              <w:rPr>
                <w:sz w:val="12"/>
                <w:szCs w:val="12"/>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33,148,268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808,022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808,055</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stock issuance costs</w:t>
            </w:r>
          </w:p>
        </w:tc>
        <w:tc>
          <w:tcPr>
            <w:tcW w:w="8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Issuance of preferred stock, net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215,000</w:t>
            </w:r>
          </w:p>
        </w:tc>
        <w:tc>
          <w:tcPr>
            <w:tcW w:w="80" w:type="dxa"/>
            <w:vAlign w:val="bottom"/>
            <w:shd w:val="clear" w:color="auto" w:fill="E0E7ED"/>
          </w:tcPr>
          <w:p>
            <w:pPr>
              <w:spacing w:after="0"/>
              <w:rPr>
                <w:sz w:val="12"/>
                <w:szCs w:val="12"/>
                <w:color w:val="auto"/>
              </w:rPr>
            </w:pPr>
          </w:p>
        </w:tc>
        <w:tc>
          <w:tcPr>
            <w:tcW w:w="10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207,447</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207,447</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of issuance costs</w:t>
            </w:r>
          </w:p>
        </w:tc>
        <w:tc>
          <w:tcPr>
            <w:tcW w:w="8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Repurchase of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tcPr>
          <w:p>
            <w:pPr>
              <w:ind w:left="160"/>
              <w:spacing w:after="0"/>
              <w:rPr>
                <w:sz w:val="20"/>
                <w:szCs w:val="20"/>
                <w:color w:val="auto"/>
              </w:rPr>
            </w:pPr>
            <w:r>
              <w:rPr>
                <w:rFonts w:ascii="Arial" w:cs="Arial" w:eastAsia="Arial" w:hAnsi="Arial"/>
                <w:sz w:val="14"/>
                <w:szCs w:val="14"/>
                <w:color w:val="auto"/>
              </w:rPr>
              <w:t>(1,232,000)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(26,491)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(26,491)</w:t>
            </w: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Issuance of treasury stock for</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56,101</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(345)</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ind w:right="9"/>
              <w:spacing w:after="0"/>
              <w:rPr>
                <w:sz w:val="20"/>
                <w:szCs w:val="20"/>
                <w:color w:val="auto"/>
              </w:rPr>
            </w:pPr>
            <w:r>
              <w:rPr>
                <w:rFonts w:ascii="Arial" w:cs="Arial" w:eastAsia="Arial" w:hAnsi="Arial"/>
                <w:sz w:val="14"/>
                <w:szCs w:val="14"/>
                <w:color w:val="auto"/>
              </w:rPr>
              <w:t>1,374</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176"/>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ESPP</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40" w:type="dxa"/>
            <w:vAlign w:val="bottom"/>
          </w:tcPr>
          <w:p>
            <w:pPr>
              <w:ind w:left="180"/>
              <w:spacing w:after="0" w:line="135" w:lineRule="exact"/>
              <w:rPr>
                <w:sz w:val="20"/>
                <w:szCs w:val="20"/>
                <w:color w:val="auto"/>
              </w:rPr>
            </w:pPr>
            <w:r>
              <w:rPr>
                <w:rFonts w:ascii="Arial" w:cs="Arial" w:eastAsia="Arial" w:hAnsi="Arial"/>
                <w:sz w:val="14"/>
                <w:szCs w:val="14"/>
                <w:color w:val="auto"/>
              </w:rPr>
              <w:t>RSU/PSU/DSU vesting and</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212,154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(6,838)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5,291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(1,547)</w:t>
            </w:r>
          </w:p>
        </w:tc>
        <w:tc>
          <w:tcPr>
            <w:tcW w:w="0" w:type="dxa"/>
            <w:vAlign w:val="bottom"/>
          </w:tcPr>
          <w:p>
            <w:pPr>
              <w:spacing w:after="0"/>
              <w:rPr>
                <w:sz w:val="1"/>
                <w:szCs w:val="1"/>
                <w:color w:val="auto"/>
              </w:rPr>
            </w:pPr>
          </w:p>
        </w:tc>
      </w:tr>
      <w:tr>
        <w:trPr>
          <w:trHeight w:val="176"/>
        </w:trPr>
        <w:tc>
          <w:tcPr>
            <w:tcW w:w="2440" w:type="dxa"/>
            <w:vAlign w:val="bottom"/>
          </w:tcPr>
          <w:p>
            <w:pPr>
              <w:ind w:left="180"/>
              <w:spacing w:after="0"/>
              <w:rPr>
                <w:sz w:val="20"/>
                <w:szCs w:val="20"/>
                <w:color w:val="auto"/>
              </w:rPr>
            </w:pPr>
            <w:r>
              <w:rPr>
                <w:rFonts w:ascii="Arial" w:cs="Arial" w:eastAsia="Arial" w:hAnsi="Arial"/>
                <w:sz w:val="14"/>
                <w:szCs w:val="14"/>
                <w:color w:val="auto"/>
              </w:rPr>
              <w:t>related tax</w:t>
            </w: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24,174</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(931)</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ind w:right="9"/>
              <w:spacing w:after="0"/>
              <w:rPr>
                <w:sz w:val="20"/>
                <w:szCs w:val="20"/>
                <w:color w:val="auto"/>
              </w:rPr>
            </w:pPr>
            <w:r>
              <w:rPr>
                <w:rFonts w:ascii="Arial" w:cs="Arial" w:eastAsia="Arial" w:hAnsi="Arial"/>
                <w:sz w:val="14"/>
                <w:szCs w:val="14"/>
                <w:color w:val="auto"/>
              </w:rPr>
              <w:t>567</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SSARs exercised and related tax</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Dividends on preferred stock</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8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(36,666)</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(36,666)</w:t>
            </w:r>
          </w:p>
        </w:tc>
        <w:tc>
          <w:tcPr>
            <w:tcW w:w="0" w:type="dxa"/>
            <w:vAlign w:val="bottom"/>
          </w:tcPr>
          <w:p>
            <w:pPr>
              <w:spacing w:after="0"/>
              <w:rPr>
                <w:sz w:val="1"/>
                <w:szCs w:val="1"/>
                <w:color w:val="auto"/>
              </w:rPr>
            </w:pPr>
          </w:p>
        </w:tc>
      </w:tr>
      <w:tr>
        <w:trPr>
          <w:trHeight w:val="176"/>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at $0.50 per share</w:t>
            </w:r>
          </w:p>
        </w:tc>
        <w:tc>
          <w:tcPr>
            <w:tcW w:w="960" w:type="dxa"/>
            <w:vAlign w:val="bottom"/>
            <w:gridSpan w:val="2"/>
            <w:vMerge w:val="continue"/>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8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Dividend equivalents on</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(848)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440" w:type="dxa"/>
            <w:vAlign w:val="bottom"/>
          </w:tcPr>
          <w:p>
            <w:pPr>
              <w:ind w:left="180"/>
              <w:spacing w:after="0"/>
              <w:rPr>
                <w:sz w:val="20"/>
                <w:szCs w:val="20"/>
                <w:color w:val="auto"/>
              </w:rPr>
            </w:pPr>
            <w:r>
              <w:rPr>
                <w:rFonts w:ascii="Arial" w:cs="Arial" w:eastAsia="Arial" w:hAnsi="Arial"/>
                <w:sz w:val="14"/>
                <w:szCs w:val="14"/>
                <w:color w:val="auto"/>
              </w:rPr>
              <w:t>RSUs/PSUs/DSUs</w:t>
            </w:r>
          </w:p>
        </w:tc>
        <w:tc>
          <w:tcPr>
            <w:tcW w:w="9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9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0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8,827</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7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20" w:type="dxa"/>
            <w:vAlign w:val="bottom"/>
            <w:tcBorders>
              <w:bottom w:val="single" w:sz="8" w:color="auto"/>
            </w:tcBorders>
            <w:shd w:val="clear" w:color="auto" w:fill="E0E7ED"/>
          </w:tcPr>
          <w:p>
            <w:pPr>
              <w:spacing w:after="0"/>
              <w:rPr>
                <w:sz w:val="16"/>
                <w:szCs w:val="16"/>
                <w:color w:val="auto"/>
              </w:rPr>
            </w:pPr>
          </w:p>
        </w:tc>
        <w:tc>
          <w:tcPr>
            <w:tcW w:w="780" w:type="dxa"/>
            <w:vAlign w:val="bottom"/>
            <w:tcBorders>
              <w:bottom w:val="single" w:sz="8" w:color="auto"/>
            </w:tcBorders>
            <w:shd w:val="clear" w:color="auto" w:fill="E0E7ED"/>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8,827</w:t>
            </w:r>
          </w:p>
        </w:tc>
        <w:tc>
          <w:tcPr>
            <w:tcW w:w="0" w:type="dxa"/>
            <w:vAlign w:val="bottom"/>
          </w:tcPr>
          <w:p>
            <w:pPr>
              <w:spacing w:after="0"/>
              <w:rPr>
                <w:sz w:val="1"/>
                <w:szCs w:val="1"/>
                <w:color w:val="auto"/>
              </w:rPr>
            </w:pPr>
          </w:p>
        </w:tc>
      </w:tr>
      <w:tr>
        <w:trPr>
          <w:trHeight w:val="183"/>
        </w:trPr>
        <w:tc>
          <w:tcPr>
            <w:tcW w:w="2440" w:type="dxa"/>
            <w:vAlign w:val="bottom"/>
          </w:tcPr>
          <w:p>
            <w:pPr>
              <w:ind w:left="20"/>
              <w:spacing w:after="0"/>
              <w:rPr>
                <w:sz w:val="20"/>
                <w:szCs w:val="20"/>
                <w:color w:val="auto"/>
              </w:rPr>
            </w:pPr>
            <w:r>
              <w:rPr>
                <w:rFonts w:ascii="Arial" w:cs="Arial" w:eastAsia="Arial" w:hAnsi="Arial"/>
                <w:sz w:val="14"/>
                <w:szCs w:val="14"/>
                <w:b w:val="1"/>
                <w:bCs w:val="1"/>
                <w:color w:val="auto"/>
              </w:rPr>
              <w:t>Balance, June 30, 2025</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222,750</w:t>
            </w:r>
          </w:p>
        </w:tc>
        <w:tc>
          <w:tcPr>
            <w:tcW w:w="80" w:type="dxa"/>
            <w:vAlign w:val="bottom"/>
          </w:tcPr>
          <w:p>
            <w:pPr>
              <w:spacing w:after="0"/>
              <w:rPr>
                <w:sz w:val="15"/>
                <w:szCs w:val="15"/>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89,104,678</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2,377,560</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273,799</w:t>
            </w:r>
          </w:p>
        </w:tc>
        <w:tc>
          <w:tcPr>
            <w:tcW w:w="8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(155,311)</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(83,595)</w:t>
            </w:r>
          </w:p>
        </w:tc>
        <w:tc>
          <w:tcPr>
            <w:tcW w:w="80" w:type="dxa"/>
            <w:vAlign w:val="bottom"/>
          </w:tcPr>
          <w:p>
            <w:pPr>
              <w:spacing w:after="0"/>
              <w:rPr>
                <w:sz w:val="15"/>
                <w:szCs w:val="15"/>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2,412,546</w:t>
            </w:r>
          </w:p>
        </w:tc>
        <w:tc>
          <w:tcPr>
            <w:tcW w:w="0" w:type="dxa"/>
            <w:vAlign w:val="bottom"/>
          </w:tcPr>
          <w:p>
            <w:pPr>
              <w:spacing w:after="0"/>
              <w:rPr>
                <w:sz w:val="1"/>
                <w:szCs w:val="1"/>
                <w:color w:val="auto"/>
              </w:rPr>
            </w:pPr>
          </w:p>
        </w:tc>
      </w:tr>
      <w:tr>
        <w:trPr>
          <w:trHeight w:val="21"/>
        </w:trPr>
        <w:tc>
          <w:tcPr>
            <w:tcW w:w="2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44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Six Months Ended June 30, 2024</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40" w:type="dxa"/>
            <w:vAlign w:val="bottom"/>
          </w:tcPr>
          <w:p>
            <w:pPr>
              <w:spacing w:after="0"/>
              <w:rPr>
                <w:sz w:val="17"/>
                <w:szCs w:val="17"/>
                <w:color w:val="auto"/>
              </w:rPr>
            </w:pPr>
          </w:p>
        </w:tc>
        <w:tc>
          <w:tcPr>
            <w:tcW w:w="18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vMerge w:val="restart"/>
          </w:tcPr>
          <w:p>
            <w:pPr>
              <w:ind w:left="64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center"/>
              <w:ind w:right="1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8"/>
        </w:trPr>
        <w:tc>
          <w:tcPr>
            <w:tcW w:w="2440" w:type="dxa"/>
            <w:vAlign w:val="bottom"/>
          </w:tcPr>
          <w:p>
            <w:pPr>
              <w:spacing w:after="0"/>
              <w:rPr>
                <w:sz w:val="9"/>
                <w:szCs w:val="9"/>
                <w:color w:val="auto"/>
              </w:rPr>
            </w:pPr>
          </w:p>
        </w:tc>
        <w:tc>
          <w:tcPr>
            <w:tcW w:w="188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160"/>
              <w:spacing w:after="0" w:line="108"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9"/>
                <w:szCs w:val="9"/>
                <w:color w:val="auto"/>
              </w:rPr>
            </w:pPr>
          </w:p>
        </w:tc>
        <w:tc>
          <w:tcPr>
            <w:tcW w:w="86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Retained</w:t>
            </w: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center"/>
              <w:ind w:right="220"/>
              <w:spacing w:after="0" w:line="108" w:lineRule="exact"/>
              <w:rPr>
                <w:sz w:val="20"/>
                <w:szCs w:val="20"/>
                <w:color w:val="auto"/>
              </w:rPr>
            </w:pPr>
            <w:r>
              <w:rPr>
                <w:rFonts w:ascii="Arial" w:cs="Arial" w:eastAsia="Arial" w:hAnsi="Arial"/>
                <w:sz w:val="12"/>
                <w:szCs w:val="12"/>
                <w:b w:val="1"/>
                <w:bCs w:val="1"/>
                <w:color w:val="auto"/>
              </w:rPr>
              <w:t>Treasury</w:t>
            </w:r>
          </w:p>
        </w:tc>
        <w:tc>
          <w:tcPr>
            <w:tcW w:w="98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83"/>
        </w:trPr>
        <w:tc>
          <w:tcPr>
            <w:tcW w:w="244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Preferred</w:t>
            </w:r>
          </w:p>
        </w:tc>
        <w:tc>
          <w:tcPr>
            <w:tcW w:w="80" w:type="dxa"/>
            <w:vAlign w:val="bottom"/>
            <w:tcBorders>
              <w:bottom w:val="single" w:sz="8" w:color="E0E7ED"/>
            </w:tcBorders>
          </w:tcPr>
          <w:p>
            <w:pPr>
              <w:spacing w:after="0"/>
              <w:rPr>
                <w:sz w:val="15"/>
                <w:szCs w:val="15"/>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Preferred</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Common</w:t>
            </w:r>
          </w:p>
        </w:tc>
        <w:tc>
          <w:tcPr>
            <w:tcW w:w="80" w:type="dxa"/>
            <w:vAlign w:val="bottom"/>
            <w:tcBorders>
              <w:bottom w:val="single" w:sz="8" w:color="E0E7ED"/>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rPr>
              <w:t>Capital</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AOCI</w:t>
            </w:r>
          </w:p>
        </w:tc>
        <w:tc>
          <w:tcPr>
            <w:tcW w:w="80" w:type="dxa"/>
            <w:vAlign w:val="bottom"/>
            <w:tcBorders>
              <w:bottom w:val="single" w:sz="8" w:color="E0E7ED"/>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9"/>
              <w:spacing w:after="0"/>
              <w:rPr>
                <w:sz w:val="20"/>
                <w:szCs w:val="20"/>
                <w:color w:val="auto"/>
              </w:rPr>
            </w:pPr>
            <w:r>
              <w:rPr>
                <w:rFonts w:ascii="Arial" w:cs="Arial" w:eastAsia="Arial" w:hAnsi="Arial"/>
                <w:sz w:val="14"/>
                <w:szCs w:val="14"/>
                <w:b w:val="1"/>
                <w:bCs w:val="1"/>
                <w:color w:val="auto"/>
                <w:w w:val="99"/>
              </w:rPr>
              <w:t>Stock</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3"/>
        </w:trPr>
        <w:tc>
          <w:tcPr>
            <w:tcW w:w="24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55,244,119</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w:t>
            </w: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1,323,595</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ind w:right="9"/>
              <w:spacing w:after="0"/>
              <w:rPr>
                <w:sz w:val="20"/>
                <w:szCs w:val="20"/>
                <w:color w:val="auto"/>
              </w:rPr>
            </w:pPr>
            <w:r>
              <w:rPr>
                <w:rFonts w:ascii="Arial" w:cs="Arial" w:eastAsia="Arial" w:hAnsi="Arial"/>
                <w:sz w:val="14"/>
                <w:szCs w:val="14"/>
                <w:color w:val="auto"/>
              </w:rPr>
              <w:t>237,197</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(218,803)</w:t>
            </w: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(70,066)</w:t>
            </w: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1,271,981</w:t>
            </w:r>
          </w:p>
        </w:tc>
        <w:tc>
          <w:tcPr>
            <w:tcW w:w="0" w:type="dxa"/>
            <w:vAlign w:val="bottom"/>
          </w:tcPr>
          <w:p>
            <w:pPr>
              <w:spacing w:after="0"/>
              <w:rPr>
                <w:sz w:val="1"/>
                <w:szCs w:val="1"/>
                <w:color w:val="auto"/>
              </w:rPr>
            </w:pPr>
          </w:p>
        </w:tc>
      </w:tr>
      <w:tr>
        <w:trPr>
          <w:trHeight w:val="148"/>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Cumulative effect of change in</w:t>
            </w: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440" w:type="dxa"/>
            <w:vAlign w:val="bottom"/>
          </w:tcPr>
          <w:p>
            <w:pPr>
              <w:ind w:left="180"/>
              <w:spacing w:after="0" w:line="139" w:lineRule="exact"/>
              <w:rPr>
                <w:sz w:val="20"/>
                <w:szCs w:val="20"/>
                <w:color w:val="auto"/>
              </w:rPr>
            </w:pPr>
            <w:r>
              <w:rPr>
                <w:rFonts w:ascii="Arial" w:cs="Arial" w:eastAsia="Arial" w:hAnsi="Arial"/>
                <w:sz w:val="14"/>
                <w:szCs w:val="14"/>
                <w:color w:val="auto"/>
              </w:rPr>
              <w:t>accounting principal (ASU 2023-</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(1,391)</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171"/>
        </w:trPr>
        <w:tc>
          <w:tcPr>
            <w:tcW w:w="2440" w:type="dxa"/>
            <w:vAlign w:val="bottom"/>
          </w:tcPr>
          <w:p>
            <w:pPr>
              <w:ind w:left="180"/>
              <w:spacing w:after="0"/>
              <w:rPr>
                <w:sz w:val="20"/>
                <w:szCs w:val="20"/>
                <w:color w:val="auto"/>
              </w:rPr>
            </w:pPr>
            <w:r>
              <w:rPr>
                <w:rFonts w:ascii="Arial" w:cs="Arial" w:eastAsia="Arial" w:hAnsi="Arial"/>
                <w:sz w:val="14"/>
                <w:szCs w:val="14"/>
                <w:color w:val="auto"/>
              </w:rPr>
              <w:t>02)</w:t>
            </w:r>
          </w:p>
        </w:tc>
        <w:tc>
          <w:tcPr>
            <w:tcW w:w="9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Net income</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780" w:type="dxa"/>
            <w:vAlign w:val="bottom"/>
            <w:shd w:val="clear" w:color="auto" w:fill="E0E7ED"/>
          </w:tcPr>
          <w:p>
            <w:pPr>
              <w:jc w:val="right"/>
              <w:ind w:right="9"/>
              <w:spacing w:after="0"/>
              <w:rPr>
                <w:sz w:val="20"/>
                <w:szCs w:val="20"/>
                <w:color w:val="auto"/>
              </w:rPr>
            </w:pPr>
            <w:r>
              <w:rPr>
                <w:rFonts w:ascii="Arial" w:cs="Arial" w:eastAsia="Arial" w:hAnsi="Arial"/>
                <w:sz w:val="14"/>
                <w:szCs w:val="14"/>
                <w:color w:val="auto"/>
              </w:rPr>
              <w:t>53,582</w:t>
            </w:r>
          </w:p>
        </w:tc>
        <w:tc>
          <w:tcPr>
            <w:tcW w:w="8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80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6"/>
                <w:szCs w:val="16"/>
                <w:color w:val="auto"/>
              </w:rPr>
            </w:pPr>
          </w:p>
        </w:tc>
        <w:tc>
          <w:tcPr>
            <w:tcW w:w="8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53,582</w:t>
            </w:r>
          </w:p>
        </w:tc>
        <w:tc>
          <w:tcPr>
            <w:tcW w:w="0" w:type="dxa"/>
            <w:vAlign w:val="bottom"/>
          </w:tcPr>
          <w:p>
            <w:pPr>
              <w:spacing w:after="0"/>
              <w:rPr>
                <w:sz w:val="1"/>
                <w:szCs w:val="1"/>
                <w:color w:val="auto"/>
              </w:rPr>
            </w:pPr>
          </w:p>
        </w:tc>
      </w:tr>
      <w:tr>
        <w:trPr>
          <w:trHeight w:val="189"/>
        </w:trPr>
        <w:tc>
          <w:tcPr>
            <w:tcW w:w="2440" w:type="dxa"/>
            <w:vAlign w:val="bottom"/>
          </w:tcPr>
          <w:p>
            <w:pPr>
              <w:ind w:left="180"/>
              <w:spacing w:after="0"/>
              <w:rPr>
                <w:sz w:val="20"/>
                <w:szCs w:val="20"/>
                <w:color w:val="auto"/>
              </w:rPr>
            </w:pPr>
            <w:r>
              <w:rPr>
                <w:rFonts w:ascii="Arial" w:cs="Arial" w:eastAsia="Arial" w:hAnsi="Arial"/>
                <w:sz w:val="14"/>
                <w:szCs w:val="14"/>
                <w:color w:val="auto"/>
              </w:rPr>
              <w:t>OCI, net of tax</w:t>
            </w:r>
          </w:p>
        </w:tc>
        <w:tc>
          <w:tcPr>
            <w:tcW w:w="9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6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(1,523)</w:t>
            </w: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Stock issued in acquisition, net of</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1,429,304</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34,232</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34,234</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stock issuance costs</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Issuance of treasury stock for</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color w:val="auto"/>
              </w:rPr>
              <w:t>32,570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4"/>
                <w:szCs w:val="14"/>
                <w:color w:val="auto"/>
              </w:rPr>
              <w:t>838</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ESPP</w:t>
            </w:r>
          </w:p>
        </w:tc>
        <w:tc>
          <w:tcPr>
            <w:tcW w:w="9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Net issuance of treasury stock for</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E0E7ED"/>
          </w:tcPr>
          <w:p>
            <w:pPr>
              <w:jc w:val="right"/>
              <w:ind w:right="8"/>
              <w:spacing w:after="0"/>
              <w:rPr>
                <w:sz w:val="20"/>
                <w:szCs w:val="20"/>
                <w:color w:val="auto"/>
              </w:rPr>
            </w:pPr>
            <w:r>
              <w:rPr>
                <w:rFonts w:ascii="Arial" w:cs="Arial" w:eastAsia="Arial" w:hAnsi="Arial"/>
                <w:sz w:val="14"/>
                <w:szCs w:val="14"/>
                <w:color w:val="auto"/>
              </w:rPr>
              <w:t>40,944</w:t>
            </w:r>
          </w:p>
        </w:tc>
        <w:tc>
          <w:tcPr>
            <w:tcW w:w="80" w:type="dxa"/>
            <w:vAlign w:val="bottom"/>
            <w:shd w:val="clear" w:color="auto" w:fill="E0E7ED"/>
          </w:tcPr>
          <w:p>
            <w:pPr>
              <w:spacing w:after="0"/>
              <w:rPr>
                <w:sz w:val="12"/>
                <w:szCs w:val="12"/>
                <w:color w:val="auto"/>
              </w:rPr>
            </w:pP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(1,450)</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ind w:right="9"/>
              <w:spacing w:after="0"/>
              <w:rPr>
                <w:sz w:val="20"/>
                <w:szCs w:val="20"/>
                <w:color w:val="auto"/>
              </w:rPr>
            </w:pPr>
            <w:r>
              <w:rPr>
                <w:rFonts w:ascii="Arial" w:cs="Arial" w:eastAsia="Arial" w:hAnsi="Arial"/>
                <w:sz w:val="14"/>
                <w:szCs w:val="14"/>
                <w:color w:val="auto"/>
              </w:rPr>
              <w:t>1,054</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RSU/DSU vesting and related tax</w:t>
            </w:r>
          </w:p>
        </w:tc>
        <w:tc>
          <w:tcPr>
            <w:tcW w:w="960" w:type="dxa"/>
            <w:vAlign w:val="bottom"/>
            <w:gridSpan w:val="2"/>
            <w:vMerge w:val="continue"/>
            <w:shd w:val="clear" w:color="auto" w:fill="E0E7ED"/>
          </w:tcPr>
          <w:p>
            <w:pPr>
              <w:spacing w:after="0"/>
              <w:rPr>
                <w:sz w:val="15"/>
                <w:szCs w:val="15"/>
                <w:color w:val="auto"/>
              </w:rPr>
            </w:pPr>
          </w:p>
        </w:tc>
        <w:tc>
          <w:tcPr>
            <w:tcW w:w="92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40" w:type="dxa"/>
            <w:vAlign w:val="bottom"/>
          </w:tcPr>
          <w:p>
            <w:pPr>
              <w:ind w:left="180"/>
              <w:spacing w:after="0" w:line="149" w:lineRule="exact"/>
              <w:rPr>
                <w:sz w:val="20"/>
                <w:szCs w:val="20"/>
                <w:color w:val="auto"/>
              </w:rPr>
            </w:pPr>
            <w:r>
              <w:rPr>
                <w:rFonts w:ascii="Arial" w:cs="Arial" w:eastAsia="Arial" w:hAnsi="Arial"/>
                <w:sz w:val="14"/>
                <w:szCs w:val="14"/>
                <w:color w:val="auto"/>
              </w:rPr>
              <w:t>Cash dividends on common stock</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vMerge w:val="restart"/>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(26,875)</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(26,875)</w:t>
            </w:r>
          </w:p>
        </w:tc>
        <w:tc>
          <w:tcPr>
            <w:tcW w:w="0" w:type="dxa"/>
            <w:vAlign w:val="bottom"/>
          </w:tcPr>
          <w:p>
            <w:pPr>
              <w:spacing w:after="0"/>
              <w:rPr>
                <w:sz w:val="1"/>
                <w:szCs w:val="1"/>
                <w:color w:val="auto"/>
              </w:rPr>
            </w:pPr>
          </w:p>
        </w:tc>
      </w:tr>
      <w:tr>
        <w:trPr>
          <w:trHeight w:val="175"/>
        </w:trPr>
        <w:tc>
          <w:tcPr>
            <w:tcW w:w="2440" w:type="dxa"/>
            <w:vAlign w:val="bottom"/>
          </w:tcPr>
          <w:p>
            <w:pPr>
              <w:ind w:left="180"/>
              <w:spacing w:after="0"/>
              <w:rPr>
                <w:sz w:val="20"/>
                <w:szCs w:val="20"/>
                <w:color w:val="auto"/>
              </w:rPr>
            </w:pPr>
            <w:r>
              <w:rPr>
                <w:rFonts w:ascii="Arial" w:cs="Arial" w:eastAsia="Arial" w:hAnsi="Arial"/>
                <w:sz w:val="14"/>
                <w:szCs w:val="14"/>
                <w:color w:val="auto"/>
              </w:rPr>
              <w:t>at $0.48 per share</w:t>
            </w:r>
          </w:p>
        </w:tc>
        <w:tc>
          <w:tcPr>
            <w:tcW w:w="9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440" w:type="dxa"/>
            <w:vAlign w:val="bottom"/>
            <w:shd w:val="clear" w:color="auto" w:fill="E0E7ED"/>
          </w:tcPr>
          <w:p>
            <w:pPr>
              <w:ind w:left="180"/>
              <w:spacing w:after="0" w:line="149" w:lineRule="exact"/>
              <w:rPr>
                <w:sz w:val="20"/>
                <w:szCs w:val="20"/>
                <w:color w:val="auto"/>
              </w:rPr>
            </w:pPr>
            <w:r>
              <w:rPr>
                <w:rFonts w:ascii="Arial" w:cs="Arial" w:eastAsia="Arial" w:hAnsi="Arial"/>
                <w:sz w:val="14"/>
                <w:szCs w:val="14"/>
                <w:color w:val="auto"/>
              </w:rPr>
              <w:t>Dividend equivalents on</w:t>
            </w:r>
          </w:p>
        </w:tc>
        <w:tc>
          <w:tcPr>
            <w:tcW w:w="9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693</w:t>
            </w:r>
          </w:p>
        </w:tc>
        <w:tc>
          <w:tcPr>
            <w:tcW w:w="80" w:type="dxa"/>
            <w:vAlign w:val="bottom"/>
            <w:shd w:val="clear" w:color="auto" w:fill="E0E7ED"/>
          </w:tcPr>
          <w:p>
            <w:pPr>
              <w:spacing w:after="0"/>
              <w:rPr>
                <w:sz w:val="12"/>
                <w:szCs w:val="12"/>
                <w:color w:val="auto"/>
              </w:rPr>
            </w:pPr>
          </w:p>
        </w:tc>
        <w:tc>
          <w:tcPr>
            <w:tcW w:w="120" w:type="dxa"/>
            <w:vAlign w:val="bottom"/>
            <w:shd w:val="clear" w:color="auto" w:fill="E0E7ED"/>
          </w:tcPr>
          <w:p>
            <w:pPr>
              <w:spacing w:after="0"/>
              <w:rPr>
                <w:sz w:val="12"/>
                <w:szCs w:val="12"/>
                <w:color w:val="auto"/>
              </w:rPr>
            </w:pPr>
          </w:p>
        </w:tc>
        <w:tc>
          <w:tcPr>
            <w:tcW w:w="78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(693)</w:t>
            </w:r>
          </w:p>
        </w:tc>
        <w:tc>
          <w:tcPr>
            <w:tcW w:w="80" w:type="dxa"/>
            <w:vAlign w:val="bottom"/>
            <w:shd w:val="clear" w:color="auto" w:fill="E0E7ED"/>
          </w:tcPr>
          <w:p>
            <w:pPr>
              <w:spacing w:after="0"/>
              <w:rPr>
                <w:sz w:val="12"/>
                <w:szCs w:val="12"/>
                <w:color w:val="auto"/>
              </w:rPr>
            </w:pPr>
          </w:p>
        </w:tc>
        <w:tc>
          <w:tcPr>
            <w:tcW w:w="180" w:type="dxa"/>
            <w:vAlign w:val="bottom"/>
            <w:shd w:val="clear" w:color="auto" w:fill="E0E7ED"/>
          </w:tcPr>
          <w:p>
            <w:pPr>
              <w:spacing w:after="0"/>
              <w:rPr>
                <w:sz w:val="12"/>
                <w:szCs w:val="12"/>
                <w:color w:val="auto"/>
              </w:rPr>
            </w:pPr>
          </w:p>
        </w:tc>
        <w:tc>
          <w:tcPr>
            <w:tcW w:w="800" w:type="dxa"/>
            <w:vAlign w:val="bottom"/>
            <w:gridSpan w:val="2"/>
            <w:vMerge w:val="restart"/>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spacing w:after="0"/>
              <w:rPr>
                <w:sz w:val="12"/>
                <w:szCs w:val="12"/>
                <w:color w:val="auto"/>
              </w:rPr>
            </w:pPr>
          </w:p>
        </w:tc>
        <w:tc>
          <w:tcPr>
            <w:tcW w:w="860" w:type="dxa"/>
            <w:vAlign w:val="bottom"/>
            <w:gridSpan w:val="2"/>
            <w:vMerge w:val="restart"/>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E0E7ED"/>
          </w:tcPr>
          <w:p>
            <w:pPr>
              <w:spacing w:after="0"/>
              <w:rPr>
                <w:sz w:val="12"/>
                <w:szCs w:val="12"/>
                <w:color w:val="auto"/>
              </w:rPr>
            </w:pPr>
          </w:p>
        </w:tc>
        <w:tc>
          <w:tcPr>
            <w:tcW w:w="800" w:type="dxa"/>
            <w:vAlign w:val="bottom"/>
            <w:vMerge w:val="restart"/>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44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RSUs/PSUs/DSUs</w:t>
            </w:r>
          </w:p>
        </w:tc>
        <w:tc>
          <w:tcPr>
            <w:tcW w:w="960" w:type="dxa"/>
            <w:vAlign w:val="bottom"/>
            <w:gridSpan w:val="2"/>
            <w:vMerge w:val="continue"/>
            <w:shd w:val="clear" w:color="auto" w:fill="E0E7ED"/>
          </w:tcPr>
          <w:p>
            <w:pPr>
              <w:spacing w:after="0"/>
              <w:rPr>
                <w:sz w:val="15"/>
                <w:szCs w:val="15"/>
                <w:color w:val="auto"/>
              </w:rPr>
            </w:pPr>
          </w:p>
        </w:tc>
        <w:tc>
          <w:tcPr>
            <w:tcW w:w="100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780" w:type="dxa"/>
            <w:vAlign w:val="bottom"/>
            <w:vMerge w:val="continue"/>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gridSpan w:val="2"/>
            <w:vMerge w:val="continue"/>
            <w:shd w:val="clear" w:color="auto" w:fill="E0E7ED"/>
          </w:tcPr>
          <w:p>
            <w:pPr>
              <w:spacing w:after="0"/>
              <w:rPr>
                <w:sz w:val="15"/>
                <w:szCs w:val="15"/>
                <w:color w:val="auto"/>
              </w:rPr>
            </w:pPr>
          </w:p>
        </w:tc>
        <w:tc>
          <w:tcPr>
            <w:tcW w:w="120" w:type="dxa"/>
            <w:vAlign w:val="bottom"/>
            <w:shd w:val="clear" w:color="auto" w:fill="E0E7ED"/>
          </w:tcPr>
          <w:p>
            <w:pPr>
              <w:spacing w:after="0"/>
              <w:rPr>
                <w:sz w:val="15"/>
                <w:szCs w:val="15"/>
                <w:color w:val="auto"/>
              </w:rPr>
            </w:pPr>
          </w:p>
        </w:tc>
        <w:tc>
          <w:tcPr>
            <w:tcW w:w="860" w:type="dxa"/>
            <w:vAlign w:val="bottom"/>
            <w:gridSpan w:val="2"/>
            <w:vMerge w:val="continue"/>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800" w:type="dxa"/>
            <w:vAlign w:val="bottom"/>
            <w:vMerge w:val="continue"/>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44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Stock-based compensation</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E0E7ED"/>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3,537</w:t>
            </w:r>
          </w:p>
        </w:tc>
        <w:tc>
          <w:tcPr>
            <w:tcW w:w="0" w:type="dxa"/>
            <w:vAlign w:val="bottom"/>
          </w:tcPr>
          <w:p>
            <w:pPr>
              <w:spacing w:after="0"/>
              <w:rPr>
                <w:sz w:val="1"/>
                <w:szCs w:val="1"/>
                <w:color w:val="auto"/>
              </w:rPr>
            </w:pPr>
          </w:p>
        </w:tc>
      </w:tr>
      <w:tr>
        <w:trPr>
          <w:trHeight w:val="203"/>
        </w:trPr>
        <w:tc>
          <w:tcPr>
            <w:tcW w:w="244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Balance, June 30, 2024</w:t>
            </w:r>
          </w:p>
        </w:tc>
        <w:tc>
          <w:tcPr>
            <w:tcW w:w="960" w:type="dxa"/>
            <w:vAlign w:val="bottom"/>
            <w:gridSpan w:val="2"/>
            <w:shd w:val="clear" w:color="auto" w:fill="E0E7ED"/>
          </w:tcPr>
          <w:p>
            <w:pPr>
              <w:jc w:val="right"/>
              <w:ind w:right="140"/>
              <w:spacing w:after="0"/>
              <w:rPr>
                <w:sz w:val="20"/>
                <w:szCs w:val="20"/>
                <w:color w:val="auto"/>
              </w:rPr>
            </w:pPr>
            <w:r>
              <w:rPr>
                <w:rFonts w:ascii="Arial" w:cs="Arial" w:eastAsia="Arial" w:hAnsi="Arial"/>
                <w:sz w:val="14"/>
                <w:szCs w:val="14"/>
                <w:color w:val="auto"/>
              </w:rPr>
              <w:t>—</w:t>
            </w:r>
          </w:p>
        </w:tc>
        <w:tc>
          <w:tcPr>
            <w:tcW w:w="9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56,746,937</w:t>
            </w: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E0E7ED"/>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E0E7ED"/>
          </w:tcPr>
          <w:p>
            <w:pPr>
              <w:spacing w:after="0"/>
              <w:rPr>
                <w:sz w:val="17"/>
                <w:szCs w:val="17"/>
                <w:color w:val="auto"/>
              </w:rPr>
            </w:pPr>
          </w:p>
        </w:tc>
        <w:tc>
          <w:tcPr>
            <w:tcW w:w="1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1,360,430</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ind w:right="9"/>
              <w:spacing w:after="0"/>
              <w:rPr>
                <w:sz w:val="20"/>
                <w:szCs w:val="20"/>
                <w:color w:val="auto"/>
              </w:rPr>
            </w:pPr>
            <w:r>
              <w:rPr>
                <w:rFonts w:ascii="Arial" w:cs="Arial" w:eastAsia="Arial" w:hAnsi="Arial"/>
                <w:sz w:val="14"/>
                <w:szCs w:val="14"/>
                <w:color w:val="auto"/>
              </w:rPr>
              <w:t>261,820</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(220,326)</w:t>
            </w:r>
          </w:p>
        </w:tc>
        <w:tc>
          <w:tcPr>
            <w:tcW w:w="80" w:type="dxa"/>
            <w:vAlign w:val="bottom"/>
            <w:shd w:val="clear" w:color="auto" w:fill="E0E7ED"/>
          </w:tcPr>
          <w:p>
            <w:pPr>
              <w:spacing w:after="0"/>
              <w:rPr>
                <w:sz w:val="17"/>
                <w:szCs w:val="17"/>
                <w:color w:val="auto"/>
              </w:rPr>
            </w:pPr>
          </w:p>
        </w:tc>
        <w:tc>
          <w:tcPr>
            <w:tcW w:w="1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(68,174)</w:t>
            </w:r>
          </w:p>
        </w:tc>
        <w:tc>
          <w:tcPr>
            <w:tcW w:w="80" w:type="dxa"/>
            <w:vAlign w:val="bottom"/>
            <w:shd w:val="clear" w:color="auto" w:fill="E0E7ED"/>
          </w:tcPr>
          <w:p>
            <w:pPr>
              <w:spacing w:after="0"/>
              <w:rPr>
                <w:sz w:val="17"/>
                <w:szCs w:val="17"/>
                <w:color w:val="auto"/>
              </w:rPr>
            </w:pPr>
          </w:p>
        </w:tc>
        <w:tc>
          <w:tcPr>
            <w:tcW w:w="180" w:type="dxa"/>
            <w:vAlign w:val="bottom"/>
            <w:shd w:val="clear" w:color="auto" w:fill="E0E7ED"/>
          </w:tcPr>
          <w:p>
            <w:pPr>
              <w:ind w:left="20"/>
              <w:spacing w:after="0"/>
              <w:rPr>
                <w:sz w:val="20"/>
                <w:szCs w:val="20"/>
                <w:color w:val="auto"/>
              </w:rPr>
            </w:pPr>
            <w:r>
              <w:rPr>
                <w:rFonts w:ascii="Arial" w:cs="Arial" w:eastAsia="Arial" w:hAnsi="Arial"/>
                <w:sz w:val="14"/>
                <w:szCs w:val="14"/>
                <w:color w:val="auto"/>
              </w:rPr>
              <w:t>$</w:t>
            </w: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1,333,810</w:t>
            </w:r>
          </w:p>
        </w:tc>
        <w:tc>
          <w:tcPr>
            <w:tcW w:w="0" w:type="dxa"/>
            <w:vAlign w:val="bottom"/>
          </w:tcPr>
          <w:p>
            <w:pPr>
              <w:spacing w:after="0"/>
              <w:rPr>
                <w:sz w:val="1"/>
                <w:szCs w:val="1"/>
                <w:color w:val="auto"/>
              </w:rPr>
            </w:pPr>
          </w:p>
        </w:tc>
      </w:tr>
      <w:tr>
        <w:trPr>
          <w:trHeight w:val="20"/>
        </w:trPr>
        <w:tc>
          <w:tcPr>
            <w:tcW w:w="2440" w:type="dxa"/>
            <w:vAlign w:val="bottom"/>
            <w:tcBorders>
              <w:top w:val="single" w:sz="8" w:color="E0E7ED"/>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420" w:type="dxa"/>
            <w:vAlign w:val="bottom"/>
            <w:tcBorders>
              <w:bottom w:val="single" w:sz="8" w:color="E0E7ED"/>
            </w:tcBorders>
            <w:gridSpan w:val="3"/>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169"/>
        </w:trPr>
        <w:tc>
          <w:tcPr>
            <w:tcW w:w="8420" w:type="dxa"/>
            <w:vAlign w:val="bottom"/>
            <w:gridSpan w:val="3"/>
            <w:shd w:val="clear" w:color="auto" w:fill="E0E7ED"/>
          </w:tcPr>
          <w:p>
            <w:pPr>
              <w:ind w:left="20"/>
              <w:spacing w:after="0"/>
              <w:rPr>
                <w:sz w:val="20"/>
                <w:szCs w:val="20"/>
                <w:color w:val="auto"/>
              </w:rPr>
            </w:pPr>
            <w:r>
              <w:rPr>
                <w:rFonts w:ascii="Arial" w:cs="Arial" w:eastAsia="Arial" w:hAnsi="Arial"/>
                <w:sz w:val="14"/>
                <w:szCs w:val="14"/>
                <w:b w:val="1"/>
                <w:bCs w:val="1"/>
                <w:color w:val="auto"/>
              </w:rPr>
              <w:t>Cash flows provided by (used in) operating activities</w:t>
            </w:r>
          </w:p>
        </w:tc>
        <w:tc>
          <w:tcPr>
            <w:tcW w:w="280" w:type="dxa"/>
            <w:vAlign w:val="bottom"/>
            <w:shd w:val="clear" w:color="auto" w:fill="E0E7ED"/>
          </w:tcPr>
          <w:p>
            <w:pPr>
              <w:spacing w:after="0"/>
              <w:rPr>
                <w:sz w:val="14"/>
                <w:szCs w:val="14"/>
                <w:color w:val="auto"/>
              </w:rPr>
            </w:pPr>
          </w:p>
        </w:tc>
        <w:tc>
          <w:tcPr>
            <w:tcW w:w="1080" w:type="dxa"/>
            <w:vAlign w:val="bottom"/>
            <w:shd w:val="clear" w:color="auto" w:fill="E0E7ED"/>
          </w:tcPr>
          <w:p>
            <w:pPr>
              <w:spacing w:after="0"/>
              <w:rPr>
                <w:sz w:val="14"/>
                <w:szCs w:val="14"/>
                <w:color w:val="auto"/>
              </w:rPr>
            </w:pPr>
          </w:p>
        </w:tc>
        <w:tc>
          <w:tcPr>
            <w:tcW w:w="100" w:type="dxa"/>
            <w:vAlign w:val="bottom"/>
            <w:shd w:val="clear" w:color="auto" w:fill="E0E7ED"/>
          </w:tcPr>
          <w:p>
            <w:pPr>
              <w:spacing w:after="0"/>
              <w:rPr>
                <w:sz w:val="14"/>
                <w:szCs w:val="14"/>
                <w:color w:val="auto"/>
              </w:rPr>
            </w:pPr>
          </w:p>
        </w:tc>
        <w:tc>
          <w:tcPr>
            <w:tcW w:w="300" w:type="dxa"/>
            <w:vAlign w:val="bottom"/>
            <w:shd w:val="clear" w:color="auto" w:fill="E0E7ED"/>
          </w:tcPr>
          <w:p>
            <w:pPr>
              <w:spacing w:after="0"/>
              <w:rPr>
                <w:sz w:val="14"/>
                <w:szCs w:val="14"/>
                <w:color w:val="auto"/>
              </w:rPr>
            </w:pPr>
          </w:p>
        </w:tc>
        <w:tc>
          <w:tcPr>
            <w:tcW w:w="1060" w:type="dxa"/>
            <w:vAlign w:val="bottom"/>
            <w:shd w:val="clear" w:color="auto" w:fill="E0E7ED"/>
          </w:tcPr>
          <w:p>
            <w:pPr>
              <w:spacing w:after="0"/>
              <w:rPr>
                <w:sz w:val="14"/>
                <w:szCs w:val="14"/>
                <w:color w:val="auto"/>
              </w:rPr>
            </w:pP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17,414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53,582</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Provision for credit losses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51,293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6,268</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Amortization of intangible assets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7,675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5,038</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Amortization of mortgage servicing rights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648</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Depreciation and amortization of premises and equipment</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6,082</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4,852</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Net amortization (accretion) on portfolio loans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(7,325)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2,605</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Net amortization (accretion) of premium (discount) on investment securities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1,451</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4,682</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Net amortization (accretion) of premium (discount) on time deposits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Net amortization (accretion) of premium (discount) on FHLB advances and other borrowings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558</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Impairment of OREO and other repossessed assets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Impairment of fixed assets held for sale</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369</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Impairment of mortgage servicing rights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Unrealized (gains) losses recognized on equity securities, net</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(5,765)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(Gain) loss on sales of debt securities, net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15,536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6,806</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(Gain) loss on sales of mortgage servicing rights</w:t>
            </w:r>
          </w:p>
        </w:tc>
        <w:tc>
          <w:tcPr>
            <w:tcW w:w="28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(7,742)</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(Gain) loss on sales of loans, net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(723)</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(Gain) loss on sales of OREO and other repossessed assets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(540)</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(Gain) loss on sales of premises and equipment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(Gain) loss on life insurance proceeds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(357)</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(781)</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(Increase) decrease in cash surrender value of bank owned life insurance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(2,080)</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Provision for deferred income taxes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2,217</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1,480</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Stock-based compensation</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3,537</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Proceeds from the sale of mortgage servicing rights</w:t>
            </w:r>
          </w:p>
        </w:tc>
        <w:tc>
          <w:tcPr>
            <w:tcW w:w="280" w:type="dxa"/>
            <w:vAlign w:val="bottom"/>
            <w:shd w:val="clear" w:color="auto" w:fill="E0E7ED"/>
          </w:tcPr>
          <w:p>
            <w:pPr>
              <w:spacing w:after="0"/>
              <w:rPr>
                <w:sz w:val="16"/>
                <w:szCs w:val="16"/>
                <w:color w:val="auto"/>
              </w:rPr>
            </w:pPr>
          </w:p>
        </w:tc>
        <w:tc>
          <w:tcPr>
            <w:tcW w:w="11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9,796</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Mortgage loans originated for sale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(45,736)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(51,722)</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Proceeds from sales of mortgage loans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39,639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43,629</w:t>
            </w:r>
          </w:p>
        </w:tc>
      </w:tr>
      <w:tr>
        <w:trPr>
          <w:trHeight w:val="189"/>
        </w:trPr>
        <w:tc>
          <w:tcPr>
            <w:tcW w:w="8420" w:type="dxa"/>
            <w:vAlign w:val="bottom"/>
            <w:gridSpan w:val="3"/>
          </w:tcPr>
          <w:p>
            <w:pPr>
              <w:ind w:left="360"/>
              <w:spacing w:after="0"/>
              <w:rPr>
                <w:sz w:val="20"/>
                <w:szCs w:val="20"/>
                <w:color w:val="auto"/>
              </w:rPr>
            </w:pPr>
            <w:r>
              <w:rPr>
                <w:rFonts w:ascii="Arial" w:cs="Arial" w:eastAsia="Arial" w:hAnsi="Arial"/>
                <w:sz w:val="14"/>
                <w:szCs w:val="14"/>
                <w:color w:val="auto"/>
              </w:rPr>
              <w:t>(Increase) decrease in other assets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(3,754)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3,851</w:t>
            </w:r>
          </w:p>
        </w:tc>
      </w:tr>
      <w:tr>
        <w:trPr>
          <w:trHeight w:val="189"/>
        </w:trPr>
        <w:tc>
          <w:tcPr>
            <w:tcW w:w="8420" w:type="dxa"/>
            <w:vAlign w:val="bottom"/>
            <w:gridSpan w:val="3"/>
            <w:shd w:val="clear" w:color="auto" w:fill="E0E7ED"/>
          </w:tcPr>
          <w:p>
            <w:pPr>
              <w:ind w:left="360"/>
              <w:spacing w:after="0"/>
              <w:rPr>
                <w:sz w:val="20"/>
                <w:szCs w:val="20"/>
                <w:color w:val="auto"/>
              </w:rPr>
            </w:pPr>
            <w:r>
              <w:rPr>
                <w:rFonts w:ascii="Arial" w:cs="Arial" w:eastAsia="Arial" w:hAnsi="Arial"/>
                <w:sz w:val="14"/>
                <w:szCs w:val="14"/>
                <w:color w:val="auto"/>
              </w:rPr>
              <w:t>Increase (decrease) in other liabilities</w:t>
            </w:r>
          </w:p>
        </w:tc>
        <w:tc>
          <w:tcPr>
            <w:tcW w:w="280" w:type="dxa"/>
            <w:vAlign w:val="bottom"/>
            <w:tcBorders>
              <w:bottom w:val="single" w:sz="8" w:color="auto"/>
            </w:tcBorders>
            <w:shd w:val="clear" w:color="auto" w:fill="E0E7ED"/>
          </w:tcPr>
          <w:p>
            <w:pPr>
              <w:spacing w:after="0"/>
              <w:rPr>
                <w:sz w:val="16"/>
                <w:szCs w:val="16"/>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(26,151)</w:t>
            </w:r>
          </w:p>
        </w:tc>
        <w:tc>
          <w:tcPr>
            <w:tcW w:w="100" w:type="dxa"/>
            <w:vAlign w:val="bottom"/>
            <w:shd w:val="clear" w:color="auto" w:fill="E0E7ED"/>
          </w:tcPr>
          <w:p>
            <w:pPr>
              <w:spacing w:after="0"/>
              <w:rPr>
                <w:sz w:val="16"/>
                <w:szCs w:val="16"/>
                <w:color w:val="auto"/>
              </w:rPr>
            </w:pPr>
          </w:p>
        </w:tc>
        <w:tc>
          <w:tcPr>
            <w:tcW w:w="300" w:type="dxa"/>
            <w:vAlign w:val="bottom"/>
            <w:tcBorders>
              <w:bottom w:val="single" w:sz="8" w:color="auto"/>
            </w:tcBorders>
            <w:shd w:val="clear" w:color="auto" w:fill="E0E7ED"/>
          </w:tcPr>
          <w:p>
            <w:pPr>
              <w:spacing w:after="0"/>
              <w:rPr>
                <w:sz w:val="16"/>
                <w:szCs w:val="16"/>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(18,207)</w:t>
            </w:r>
          </w:p>
        </w:tc>
      </w:tr>
      <w:tr>
        <w:trPr>
          <w:trHeight w:val="183"/>
        </w:trPr>
        <w:tc>
          <w:tcPr>
            <w:tcW w:w="8420" w:type="dxa"/>
            <w:vAlign w:val="bottom"/>
            <w:tcBorders>
              <w:bottom w:val="single" w:sz="8" w:color="E0E7ED"/>
            </w:tcBorders>
            <w:gridSpan w:val="3"/>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57,894</w:t>
            </w: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65,825</w:t>
            </w:r>
          </w:p>
        </w:tc>
      </w:tr>
      <w:tr>
        <w:trPr>
          <w:trHeight w:val="183"/>
        </w:trPr>
        <w:tc>
          <w:tcPr>
            <w:tcW w:w="360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4740" w:type="dxa"/>
            <w:vAlign w:val="bottom"/>
            <w:shd w:val="clear" w:color="auto" w:fill="E0E7ED"/>
          </w:tcPr>
          <w:p>
            <w:pPr>
              <w:spacing w:after="0"/>
              <w:rPr>
                <w:sz w:val="15"/>
                <w:szCs w:val="15"/>
                <w:color w:val="auto"/>
              </w:rPr>
            </w:pPr>
          </w:p>
        </w:tc>
        <w:tc>
          <w:tcPr>
            <w:tcW w:w="280" w:type="dxa"/>
            <w:vAlign w:val="bottom"/>
            <w:shd w:val="clear" w:color="auto" w:fill="E0E7ED"/>
          </w:tcPr>
          <w:p>
            <w:pPr>
              <w:spacing w:after="0"/>
              <w:rPr>
                <w:sz w:val="15"/>
                <w:szCs w:val="15"/>
                <w:color w:val="auto"/>
              </w:rPr>
            </w:pPr>
          </w:p>
        </w:tc>
        <w:tc>
          <w:tcPr>
            <w:tcW w:w="108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060" w:type="dxa"/>
            <w:vAlign w:val="bottom"/>
            <w:shd w:val="clear" w:color="auto" w:fill="E0E7ED"/>
          </w:tcPr>
          <w:p>
            <w:pPr>
              <w:spacing w:after="0"/>
              <w:rPr>
                <w:sz w:val="15"/>
                <w:szCs w:val="15"/>
                <w:color w:val="auto"/>
              </w:rPr>
            </w:pPr>
          </w:p>
        </w:tc>
      </w:tr>
      <w:tr>
        <w:trPr>
          <w:trHeight w:val="189"/>
        </w:trPr>
        <w:tc>
          <w:tcPr>
            <w:tcW w:w="8420" w:type="dxa"/>
            <w:vAlign w:val="bottom"/>
            <w:gridSpan w:val="3"/>
          </w:tcPr>
          <w:p>
            <w:pPr>
              <w:ind w:left="20"/>
              <w:spacing w:after="0"/>
              <w:rPr>
                <w:sz w:val="20"/>
                <w:szCs w:val="20"/>
                <w:color w:val="auto"/>
              </w:rPr>
            </w:pPr>
            <w:r>
              <w:rPr>
                <w:rFonts w:ascii="Arial" w:cs="Arial" w:eastAsia="Arial" w:hAnsi="Arial"/>
                <w:sz w:val="14"/>
                <w:szCs w:val="14"/>
                <w:b w:val="1"/>
                <w:bCs w:val="1"/>
                <w:color w:val="auto"/>
              </w:rPr>
              <w:t>Cash flows provided by (used in) investing activities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Purchases of equity securities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(869)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(622)</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Purchases of debt securities available for sale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(376,552)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(28,149)</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Proceeds from sales of equity securities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6,430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894</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Proceeds from sales of debt securities available for sale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528,940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101,360</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Proceeds from paydowns and maturities of debt securities held to maturity</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24,719</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22,835</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Proceeds from paydowns and maturities of debt securities available for sale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202,613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182,948</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Purchases of restricted bank stock</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(35,265)</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Proceeds from the redemption of restricted bank stock</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11,786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Net (increase) decrease in loans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(39,614)</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53,156</w:t>
            </w:r>
          </w:p>
        </w:tc>
      </w:tr>
      <w:tr>
        <w:trPr>
          <w:trHeight w:val="162"/>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 xml:space="preserve">Net cash received in (paid for) acquisitions (see Note </w:t>
            </w:r>
            <w:r>
              <w:rPr>
                <w:rFonts w:ascii="Arial" w:cs="Arial" w:eastAsia="Arial" w:hAnsi="Arial"/>
                <w:sz w:val="14"/>
                <w:szCs w:val="14"/>
                <w:color w:val="0000FF"/>
              </w:rPr>
              <w:t>2</w:t>
            </w: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385,804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18,377</w:t>
            </w:r>
          </w:p>
        </w:tc>
      </w:tr>
      <w:tr>
        <w:trPr>
          <w:trHeight w:val="27"/>
        </w:trPr>
        <w:tc>
          <w:tcPr>
            <w:tcW w:w="36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Cash paid for premiums on bank-owned life insurance</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Proceeds from life insurance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4,334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1,799</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Purchases of premises and equipment</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(5,173)</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(3,516)</w:t>
            </w:r>
          </w:p>
        </w:tc>
      </w:tr>
      <w:tr>
        <w:trPr>
          <w:trHeight w:val="189"/>
        </w:trPr>
        <w:tc>
          <w:tcPr>
            <w:tcW w:w="8420" w:type="dxa"/>
            <w:vAlign w:val="bottom"/>
            <w:gridSpan w:val="3"/>
          </w:tcPr>
          <w:p>
            <w:pPr>
              <w:ind w:left="180"/>
              <w:spacing w:after="0"/>
              <w:rPr>
                <w:sz w:val="20"/>
                <w:szCs w:val="20"/>
                <w:color w:val="auto"/>
              </w:rPr>
            </w:pPr>
            <w:r>
              <w:rPr>
                <w:rFonts w:ascii="Arial" w:cs="Arial" w:eastAsia="Arial" w:hAnsi="Arial"/>
                <w:sz w:val="14"/>
                <w:szCs w:val="14"/>
                <w:color w:val="auto"/>
              </w:rPr>
              <w:t>Proceeds from disposition of premises and equipment</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1,341</w:t>
            </w:r>
          </w:p>
        </w:tc>
      </w:tr>
      <w:tr>
        <w:trPr>
          <w:trHeight w:val="189"/>
        </w:trPr>
        <w:tc>
          <w:tcPr>
            <w:tcW w:w="8420" w:type="dxa"/>
            <w:vAlign w:val="bottom"/>
            <w:gridSpan w:val="3"/>
            <w:shd w:val="clear" w:color="auto" w:fill="E0E7ED"/>
          </w:tcPr>
          <w:p>
            <w:pPr>
              <w:ind w:left="180"/>
              <w:spacing w:after="0"/>
              <w:rPr>
                <w:sz w:val="20"/>
                <w:szCs w:val="20"/>
                <w:color w:val="auto"/>
              </w:rPr>
            </w:pPr>
            <w:r>
              <w:rPr>
                <w:rFonts w:ascii="Arial" w:cs="Arial" w:eastAsia="Arial" w:hAnsi="Arial"/>
                <w:sz w:val="14"/>
                <w:szCs w:val="14"/>
                <w:color w:val="auto"/>
              </w:rPr>
              <w:t>Capitalized expenditures on foreclosed real estate</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(316)</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tcBorders>
              <w:bottom w:val="single" w:sz="8" w:color="E0E7ED"/>
            </w:tcBorders>
            <w:gridSpan w:val="3"/>
          </w:tcPr>
          <w:p>
            <w:pPr>
              <w:ind w:left="180"/>
              <w:spacing w:after="0"/>
              <w:rPr>
                <w:sz w:val="20"/>
                <w:szCs w:val="20"/>
                <w:color w:val="auto"/>
              </w:rPr>
            </w:pPr>
            <w:r>
              <w:rPr>
                <w:rFonts w:ascii="Arial" w:cs="Arial" w:eastAsia="Arial" w:hAnsi="Arial"/>
                <w:sz w:val="14"/>
                <w:szCs w:val="14"/>
                <w:color w:val="auto"/>
              </w:rPr>
              <w:t>Proceeds from sales of OREO and other repossessed assets, including cash payments collected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15,611</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w:t>
            </w:r>
          </w:p>
        </w:tc>
      </w:tr>
      <w:tr>
        <w:trPr>
          <w:trHeight w:val="183"/>
        </w:trPr>
        <w:tc>
          <w:tcPr>
            <w:tcW w:w="8420" w:type="dxa"/>
            <w:vAlign w:val="bottom"/>
            <w:gridSpan w:val="3"/>
            <w:shd w:val="clear" w:color="auto" w:fill="E0E7ED"/>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722,404</w:t>
            </w:r>
          </w:p>
        </w:tc>
        <w:tc>
          <w:tcPr>
            <w:tcW w:w="100" w:type="dxa"/>
            <w:vAlign w:val="bottom"/>
            <w:shd w:val="clear" w:color="auto" w:fill="E0E7ED"/>
          </w:tcPr>
          <w:p>
            <w:pPr>
              <w:spacing w:after="0"/>
              <w:rPr>
                <w:sz w:val="15"/>
                <w:szCs w:val="15"/>
                <w:color w:val="auto"/>
              </w:rPr>
            </w:pPr>
          </w:p>
        </w:tc>
        <w:tc>
          <w:tcPr>
            <w:tcW w:w="3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350,930</w:t>
            </w: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 (Continued)</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4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2024</w:t>
            </w:r>
          </w:p>
        </w:tc>
      </w:tr>
      <w:tr>
        <w:trPr>
          <w:trHeight w:val="169"/>
        </w:trPr>
        <w:tc>
          <w:tcPr>
            <w:tcW w:w="8420" w:type="dxa"/>
            <w:vAlign w:val="bottom"/>
          </w:tcPr>
          <w:p>
            <w:pPr>
              <w:ind w:left="20"/>
              <w:spacing w:after="0"/>
              <w:rPr>
                <w:sz w:val="20"/>
                <w:szCs w:val="20"/>
                <w:color w:val="auto"/>
              </w:rPr>
            </w:pPr>
            <w:r>
              <w:rPr>
                <w:rFonts w:ascii="Arial" w:cs="Arial" w:eastAsia="Arial" w:hAnsi="Arial"/>
                <w:sz w:val="14"/>
                <w:szCs w:val="14"/>
                <w:b w:val="1"/>
                <w:bCs w:val="1"/>
                <w:color w:val="auto"/>
              </w:rPr>
              <w:t>Cash flows provided by (used in) financing activities</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Net increase (decrease) in deposits</w:t>
            </w:r>
          </w:p>
        </w:tc>
        <w:tc>
          <w:tcPr>
            <w:tcW w:w="280" w:type="dxa"/>
            <w:vAlign w:val="bottom"/>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(750,837)</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(707,909)</w:t>
            </w: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Net increase (decrease) in federal funds purchased and securities sold under agreements to repurchase</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(48,296)</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Net increase (decrease) in short-term borrowings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(11,158)</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(36,000)</w:t>
            </w: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Proceeds from other borrowings, net of debt issuance costs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Repayment of other borrowings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(125,030)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(31,450)</w:t>
            </w: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Cash dividends paid</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(36,821)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(26,875)</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Purchase of treasury stock</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(26,491)</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Cash paid for withholding taxes on stock-based payments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(396)</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Proceeds from the exercise of stock options, warrants, and SSARs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Issuance of treasury stock for the ESPP</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Issuance of preferred stock, net of stock issuance costs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207,447</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842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Common stock issuance costs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w:t>
            </w:r>
          </w:p>
        </w:tc>
      </w:tr>
      <w:tr>
        <w:trPr>
          <w:trHeight w:val="183"/>
        </w:trPr>
        <w:tc>
          <w:tcPr>
            <w:tcW w:w="8420" w:type="dxa"/>
            <w:vAlign w:val="bottom"/>
            <w:shd w:val="clear" w:color="auto" w:fill="E0E7ED"/>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280" w:type="dxa"/>
            <w:vAlign w:val="bottom"/>
            <w:tcBorders>
              <w:bottom w:val="single" w:sz="8" w:color="auto"/>
            </w:tcBorders>
            <w:shd w:val="clear" w:color="auto" w:fill="E0E7ED"/>
          </w:tcPr>
          <w:p>
            <w:pPr>
              <w:spacing w:after="0"/>
              <w:rPr>
                <w:sz w:val="15"/>
                <w:szCs w:val="15"/>
                <w:color w:val="auto"/>
              </w:rPr>
            </w:pP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(725,605)</w:t>
            </w:r>
          </w:p>
        </w:tc>
        <w:tc>
          <w:tcPr>
            <w:tcW w:w="100" w:type="dxa"/>
            <w:vAlign w:val="bottom"/>
            <w:shd w:val="clear" w:color="auto" w:fill="E0E7ED"/>
          </w:tcPr>
          <w:p>
            <w:pPr>
              <w:spacing w:after="0"/>
              <w:rPr>
                <w:sz w:val="15"/>
                <w:szCs w:val="15"/>
                <w:color w:val="auto"/>
              </w:rPr>
            </w:pPr>
          </w:p>
        </w:tc>
        <w:tc>
          <w:tcPr>
            <w:tcW w:w="300" w:type="dxa"/>
            <w:vAlign w:val="bottom"/>
            <w:tcBorders>
              <w:bottom w:val="single" w:sz="8" w:color="auto"/>
            </w:tcBorders>
            <w:shd w:val="clear" w:color="auto" w:fill="E0E7ED"/>
          </w:tcPr>
          <w:p>
            <w:pPr>
              <w:spacing w:after="0"/>
              <w:rPr>
                <w:sz w:val="15"/>
                <w:szCs w:val="15"/>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(851,067)</w:t>
            </w:r>
          </w:p>
        </w:tc>
      </w:tr>
      <w:tr>
        <w:trPr>
          <w:trHeight w:val="183"/>
        </w:trPr>
        <w:tc>
          <w:tcPr>
            <w:tcW w:w="8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89"/>
        </w:trPr>
        <w:tc>
          <w:tcPr>
            <w:tcW w:w="84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54,693</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(434,312)</w:t>
            </w:r>
          </w:p>
        </w:tc>
      </w:tr>
      <w:tr>
        <w:trPr>
          <w:trHeight w:val="189"/>
        </w:trPr>
        <w:tc>
          <w:tcPr>
            <w:tcW w:w="8420" w:type="dxa"/>
            <w:vAlign w:val="bottom"/>
            <w:tcBorders>
              <w:bottom w:val="single" w:sz="8" w:color="E0E7ED"/>
            </w:tcBorders>
          </w:tcPr>
          <w:p>
            <w:pPr>
              <w:ind w:left="20"/>
              <w:spacing w:after="0"/>
              <w:rPr>
                <w:sz w:val="20"/>
                <w:szCs w:val="20"/>
                <w:color w:val="auto"/>
              </w:rPr>
            </w:pPr>
            <w:r>
              <w:rPr>
                <w:rFonts w:ascii="Arial" w:cs="Arial" w:eastAsia="Arial" w:hAnsi="Arial"/>
                <w:sz w:val="14"/>
                <w:szCs w:val="14"/>
                <w:b w:val="1"/>
                <w:bCs w:val="1"/>
                <w:color w:val="auto"/>
              </w:rPr>
              <w:t>Cash and cash equivalents, beginning of period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697,659</w:t>
            </w:r>
          </w:p>
        </w:tc>
        <w:tc>
          <w:tcPr>
            <w:tcW w:w="10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719,581</w:t>
            </w:r>
          </w:p>
        </w:tc>
      </w:tr>
      <w:tr>
        <w:trPr>
          <w:trHeight w:val="208"/>
        </w:trPr>
        <w:tc>
          <w:tcPr>
            <w:tcW w:w="84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Cash and cash equivalents, ending of period</w:t>
            </w:r>
          </w:p>
        </w:tc>
        <w:tc>
          <w:tcPr>
            <w:tcW w:w="280" w:type="dxa"/>
            <w:vAlign w:val="bottom"/>
            <w:tcBorders>
              <w:bottom w:val="single" w:sz="8" w:color="auto"/>
            </w:tcBorders>
            <w:shd w:val="clear" w:color="auto" w:fill="E0E7ED"/>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752,352</w:t>
            </w:r>
          </w:p>
        </w:tc>
        <w:tc>
          <w:tcPr>
            <w:tcW w:w="100" w:type="dxa"/>
            <w:vAlign w:val="bottom"/>
            <w:tcBorders>
              <w:bottom w:val="single" w:sz="8" w:color="E0E7ED"/>
            </w:tcBorders>
            <w:shd w:val="clear" w:color="auto" w:fill="E0E7ED"/>
          </w:tcPr>
          <w:p>
            <w:pPr>
              <w:spacing w:after="0"/>
              <w:rPr>
                <w:sz w:val="17"/>
                <w:szCs w:val="17"/>
                <w:color w:val="auto"/>
              </w:rPr>
            </w:pPr>
          </w:p>
        </w:tc>
        <w:tc>
          <w:tcPr>
            <w:tcW w:w="300" w:type="dxa"/>
            <w:vAlign w:val="bottom"/>
            <w:tcBorders>
              <w:bottom w:val="single" w:sz="8" w:color="auto"/>
            </w:tcBorders>
            <w:shd w:val="clear" w:color="auto" w:fill="E0E7ED"/>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285,269</w:t>
            </w:r>
          </w:p>
        </w:tc>
      </w:tr>
      <w:tr>
        <w:trPr>
          <w:trHeight w:val="20"/>
        </w:trPr>
        <w:tc>
          <w:tcPr>
            <w:tcW w:w="842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r>
      <w:tr>
        <w:trPr>
          <w:trHeight w:val="149"/>
        </w:trPr>
        <w:tc>
          <w:tcPr>
            <w:tcW w:w="8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89"/>
        </w:trPr>
        <w:tc>
          <w:tcPr>
            <w:tcW w:w="84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r>
      <w:tr>
        <w:trPr>
          <w:trHeight w:val="203"/>
        </w:trPr>
        <w:tc>
          <w:tcPr>
            <w:tcW w:w="8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84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Cash payments for:</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r>
      <w:tr>
        <w:trPr>
          <w:trHeight w:val="189"/>
        </w:trPr>
        <w:tc>
          <w:tcPr>
            <w:tcW w:w="8420" w:type="dxa"/>
            <w:vAlign w:val="bottom"/>
          </w:tcPr>
          <w:p>
            <w:pPr>
              <w:ind w:left="180"/>
              <w:spacing w:after="0"/>
              <w:rPr>
                <w:sz w:val="20"/>
                <w:szCs w:val="20"/>
                <w:color w:val="auto"/>
              </w:rPr>
            </w:pPr>
            <w:r>
              <w:rPr>
                <w:rFonts w:ascii="Arial" w:cs="Arial" w:eastAsia="Arial" w:hAnsi="Arial"/>
                <w:sz w:val="14"/>
                <w:szCs w:val="14"/>
                <w:color w:val="auto"/>
              </w:rPr>
              <w:t>Interest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148,580</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108,581</w:t>
            </w:r>
          </w:p>
        </w:tc>
      </w:tr>
      <w:tr>
        <w:trPr>
          <w:trHeight w:val="189"/>
        </w:trPr>
        <w:tc>
          <w:tcPr>
            <w:tcW w:w="84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Income taxes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13,990</w:t>
            </w: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12,388</w:t>
            </w:r>
          </w:p>
        </w:tc>
      </w:tr>
      <w:tr>
        <w:trPr>
          <w:trHeight w:val="203"/>
        </w:trPr>
        <w:tc>
          <w:tcPr>
            <w:tcW w:w="8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89"/>
        </w:trPr>
        <w:tc>
          <w:tcPr>
            <w:tcW w:w="842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80" w:type="dxa"/>
            <w:vAlign w:val="bottom"/>
            <w:shd w:val="clear" w:color="auto" w:fill="E0E7ED"/>
          </w:tcPr>
          <w:p>
            <w:pPr>
              <w:spacing w:after="0"/>
              <w:rPr>
                <w:sz w:val="16"/>
                <w:szCs w:val="16"/>
                <w:color w:val="auto"/>
              </w:rPr>
            </w:pPr>
          </w:p>
        </w:tc>
        <w:tc>
          <w:tcPr>
            <w:tcW w:w="10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300" w:type="dxa"/>
            <w:vAlign w:val="bottom"/>
            <w:shd w:val="clear" w:color="auto" w:fill="E0E7ED"/>
          </w:tcPr>
          <w:p>
            <w:pPr>
              <w:spacing w:after="0"/>
              <w:rPr>
                <w:sz w:val="16"/>
                <w:szCs w:val="16"/>
                <w:color w:val="auto"/>
              </w:rPr>
            </w:pPr>
          </w:p>
        </w:tc>
        <w:tc>
          <w:tcPr>
            <w:tcW w:w="1060" w:type="dxa"/>
            <w:vAlign w:val="bottom"/>
            <w:shd w:val="clear" w:color="auto" w:fill="E0E7ED"/>
          </w:tcPr>
          <w:p>
            <w:pPr>
              <w:spacing w:after="0"/>
              <w:rPr>
                <w:sz w:val="16"/>
                <w:szCs w:val="16"/>
                <w:color w:val="auto"/>
              </w:rPr>
            </w:pPr>
          </w:p>
        </w:tc>
      </w:tr>
      <w:tr>
        <w:trPr>
          <w:trHeight w:val="194"/>
        </w:trPr>
        <w:tc>
          <w:tcPr>
            <w:tcW w:w="8420" w:type="dxa"/>
            <w:vAlign w:val="bottom"/>
          </w:tcPr>
          <w:p>
            <w:pPr>
              <w:ind w:left="180"/>
              <w:spacing w:after="0"/>
              <w:rPr>
                <w:sz w:val="20"/>
                <w:szCs w:val="20"/>
                <w:color w:val="auto"/>
              </w:rPr>
            </w:pPr>
            <w:r>
              <w:rPr>
                <w:rFonts w:ascii="Arial" w:cs="Arial" w:eastAsia="Arial" w:hAnsi="Arial"/>
                <w:sz w:val="14"/>
                <w:szCs w:val="14"/>
                <w:color w:val="auto"/>
              </w:rPr>
              <w:t>OREO and other repossessed assets acquired in settlement of loans</w:t>
            </w:r>
          </w:p>
        </w:tc>
        <w:tc>
          <w:tcPr>
            <w:tcW w:w="2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14,869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r>
    </w:tbl>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See accompanying </w:t>
      </w:r>
      <w:r>
        <w:rPr>
          <w:rFonts w:ascii="Arial" w:cs="Arial" w:eastAsia="Arial" w:hAnsi="Arial"/>
          <w:sz w:val="18"/>
          <w:szCs w:val="18"/>
          <w:u w:val="single" w:color="auto"/>
          <w:color w:val="0000FF"/>
        </w:rPr>
        <w:t>Notes to Consolidated Financial Statements (Unaudited)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38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First Busey Corporation, a Nevada corporation organized in 1980, is an $ 18.92 billion financial holding company headquartered in Leawood, Kansas. Busey’s common stock is traded on The Nasdaq Global Select Market under the symbol “BUSE” and Busey’s Depositary shares, each representing a 1/40th interest in a share of Busey Series B Preferred Stock is traded under the symbol “BUSEP.”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Busey operates and reports its business in three segments: Banking, Wealth Management, and FirsTech.</w:t>
      </w:r>
    </w:p>
    <w:p>
      <w:pPr>
        <w:spacing w:after="0" w:line="198"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Banking</w:t>
      </w:r>
      <w:r>
        <w:rPr>
          <w:rFonts w:ascii="Arial" w:cs="Arial" w:eastAsia="Arial" w:hAnsi="Arial"/>
          <w:sz w:val="18"/>
          <w:szCs w:val="18"/>
          <w:color w:val="auto"/>
        </w:rPr>
        <w:t xml:space="preserve"> operating segment provides a full range of banking services to individual and corporate customers through its banking center network in Arizona, Colorado, Florida, Illinois, Indiana, Kansas, Missouri, New Mexico, Oklahoma, and Texas.</w:t>
      </w:r>
    </w:p>
    <w:p>
      <w:pPr>
        <w:spacing w:after="0" w:line="1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Wealth Management</w:t>
      </w:r>
      <w:r>
        <w:rPr>
          <w:rFonts w:ascii="Arial" w:cs="Arial" w:eastAsia="Arial" w:hAnsi="Arial"/>
          <w:sz w:val="18"/>
          <w:szCs w:val="18"/>
          <w:color w:val="auto"/>
        </w:rPr>
        <w:t xml:space="preserve"> operating segment provides a full range of asset management, investment, brokerage, fiduciary, philanthropic advisory, tax preparation, and farm management services to individuals, businesses, and foundations.</w:t>
      </w:r>
    </w:p>
    <w:p>
      <w:pPr>
        <w:spacing w:after="0" w:line="112"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FirsTech</w:t>
      </w:r>
      <w:r>
        <w:rPr>
          <w:rFonts w:ascii="Arial" w:cs="Arial" w:eastAsia="Arial" w:hAnsi="Arial"/>
          <w:sz w:val="18"/>
          <w:szCs w:val="18"/>
          <w:color w:val="auto"/>
        </w:rPr>
        <w:t xml:space="preserve"> operating segment provides comprehensive and innovative payment technology solutions including online, mobile, and voice-recognition bill payments; money management and credit card networks; direct debit services; lockbox remittance processing for payments made by mail; and walk-in payments. FirsTech also provides additional tools to help clients with billing, reconciliation, bill reminders, and treasury services.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about Busey's operating segments,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Note 16. Operating Segments and Related Information</w:t>
      </w:r>
      <w:r>
        <w:rPr>
          <w:rFonts w:ascii="Arial" w:cs="Arial" w:eastAsia="Arial" w:hAnsi="Arial"/>
          <w:sz w:val="18"/>
          <w:szCs w:val="18"/>
          <w:i w:val="1"/>
          <w:iCs w:val="1"/>
          <w:color w:val="auto"/>
        </w:rPr>
        <w:t>.”</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conducts its Banking and Wealth Management services through Busey Bank, and provides payment technology solutions through Busey Bank’s wholly owned subsidiary, FirsTech. Busey also has various other subsidiaries that are not significant to the consolidated entity.</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83" w:lineRule="exact"/>
        <w:rPr>
          <w:sz w:val="20"/>
          <w:szCs w:val="20"/>
          <w:color w:val="auto"/>
        </w:rPr>
      </w:pPr>
    </w:p>
    <w:p>
      <w:pPr>
        <w:jc w:val="both"/>
        <w:spacing w:after="0" w:line="268" w:lineRule="auto"/>
        <w:rPr>
          <w:rFonts w:ascii="Arial" w:cs="Arial" w:eastAsia="Arial" w:hAnsi="Arial"/>
          <w:sz w:val="18"/>
          <w:szCs w:val="18"/>
          <w:color w:val="0000FF"/>
        </w:rPr>
      </w:pPr>
      <w:hyperlink r:id="rId27">
        <w:r>
          <w:rPr>
            <w:rFonts w:ascii="Arial" w:cs="Arial" w:eastAsia="Arial" w:hAnsi="Arial"/>
            <w:sz w:val="18"/>
            <w:szCs w:val="18"/>
            <w:color w:val="auto"/>
          </w:rPr>
          <w:t xml:space="preserve">These unaudited consolidated financial statements and related notes should be read together with the </w:t>
        </w:r>
        <w:r>
          <w:rPr>
            <w:rFonts w:ascii="Arial" w:cs="Arial" w:eastAsia="Arial" w:hAnsi="Arial"/>
            <w:sz w:val="18"/>
            <w:szCs w:val="18"/>
            <w:u w:val="single" w:color="auto"/>
            <w:color w:val="0000FF"/>
          </w:rPr>
          <w:t>audited consolidated financial</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FF"/>
          </w:rPr>
          <w:t>statements</w:t>
        </w:r>
        <w:r>
          <w:rPr>
            <w:rFonts w:ascii="Arial" w:cs="Arial" w:eastAsia="Arial" w:hAnsi="Arial"/>
            <w:sz w:val="18"/>
            <w:szCs w:val="18"/>
            <w:color w:val="0000FF"/>
          </w:rPr>
          <w:t xml:space="preserve"> </w:t>
        </w:r>
        <w:r>
          <w:rPr>
            <w:rFonts w:ascii="Arial" w:cs="Arial" w:eastAsia="Arial" w:hAnsi="Arial"/>
            <w:sz w:val="18"/>
            <w:szCs w:val="18"/>
            <w:color w:val="000000"/>
          </w:rPr>
          <w:t>included in</w:t>
        </w:r>
        <w:r>
          <w:rPr>
            <w:rFonts w:ascii="Arial" w:cs="Arial" w:eastAsia="Arial" w:hAnsi="Arial"/>
            <w:sz w:val="18"/>
            <w:szCs w:val="18"/>
            <w:color w:val="0000FF"/>
          </w:rPr>
          <w:t xml:space="preserve"> </w:t>
        </w:r>
      </w:hyperlink>
      <w:hyperlink r:id="rId28">
        <w:r>
          <w:rPr>
            <w:rFonts w:ascii="Arial" w:cs="Arial" w:eastAsia="Arial" w:hAnsi="Arial"/>
            <w:sz w:val="18"/>
            <w:szCs w:val="18"/>
            <w:u w:val="single" w:color="auto"/>
            <w:color w:val="0000FF"/>
          </w:rPr>
          <w:t>Busey's 2024 Annual Report</w:t>
        </w:r>
      </w:hyperlink>
      <w:hyperlink r:id="rId27">
        <w:r>
          <w:rPr>
            <w:rFonts w:ascii="Arial" w:cs="Arial" w:eastAsia="Arial" w:hAnsi="Arial"/>
            <w:sz w:val="18"/>
            <w:szCs w:val="18"/>
            <w:color w:val="000000"/>
          </w:rPr>
          <w:t>. These interim unaudited consolidated financial statements serve to update Busey’s</w:t>
        </w:r>
      </w:hyperlink>
      <w:r>
        <w:rPr>
          <w:rFonts w:ascii="Arial" w:cs="Arial" w:eastAsia="Arial" w:hAnsi="Arial"/>
          <w:sz w:val="18"/>
          <w:szCs w:val="18"/>
          <w:color w:val="0000FF"/>
        </w:rPr>
        <w:t xml:space="preserve"> </w:t>
      </w:r>
      <w:r>
        <w:rPr>
          <w:rFonts w:ascii="Arial" w:cs="Arial" w:eastAsia="Arial" w:hAnsi="Arial"/>
          <w:sz w:val="18"/>
          <w:szCs w:val="18"/>
          <w:color w:val="000000"/>
        </w:rPr>
        <w:t>2024 Annual Report and may not include all information and notes necessary to constitute a complete set of financial statements.</w:t>
      </w:r>
    </w:p>
    <w:p>
      <w:pPr>
        <w:spacing w:after="0" w:line="144" w:lineRule="exact"/>
        <w:rPr>
          <w:rFonts w:ascii="Arial" w:cs="Arial" w:eastAsia="Arial" w:hAnsi="Arial"/>
          <w:sz w:val="18"/>
          <w:szCs w:val="18"/>
          <w:color w:val="0000FF"/>
        </w:rPr>
      </w:pPr>
    </w:p>
    <w:p>
      <w:pPr>
        <w:jc w:val="both"/>
        <w:spacing w:after="0" w:line="268" w:lineRule="auto"/>
        <w:rPr>
          <w:sz w:val="20"/>
          <w:szCs w:val="20"/>
          <w:color w:val="auto"/>
        </w:rPr>
      </w:pPr>
      <w:r>
        <w:rPr>
          <w:rFonts w:ascii="Arial" w:cs="Arial" w:eastAsia="Arial" w:hAnsi="Arial"/>
          <w:sz w:val="18"/>
          <w:szCs w:val="18"/>
          <w:color w:val="auto"/>
        </w:rPr>
        <w:t>Busey’s unaudited consolidated financial statements are prepared in conformity with GAAP, and reflect the elimination of intercompany accounts and transactions. Certain prior year amounts have been reclassified to conform to the current period presentation. These reclassifications did not have a material impact on Busey’s consolidated financial condition or results of operations.</w:t>
      </w:r>
    </w:p>
    <w:p>
      <w:pPr>
        <w:spacing w:after="0" w:line="130" w:lineRule="exact"/>
        <w:rPr>
          <w:rFonts w:ascii="Arial" w:cs="Arial" w:eastAsia="Arial" w:hAnsi="Arial"/>
          <w:sz w:val="18"/>
          <w:szCs w:val="18"/>
          <w:color w:val="0000FF"/>
        </w:rPr>
      </w:pPr>
    </w:p>
    <w:p>
      <w:pPr>
        <w:jc w:val="both"/>
        <w:spacing w:after="0" w:line="268" w:lineRule="auto"/>
        <w:rPr>
          <w:sz w:val="20"/>
          <w:szCs w:val="20"/>
          <w:color w:val="auto"/>
        </w:rPr>
      </w:pPr>
      <w:r>
        <w:rPr>
          <w:rFonts w:ascii="Arial" w:cs="Arial" w:eastAsia="Arial" w:hAnsi="Arial"/>
          <w:sz w:val="18"/>
          <w:szCs w:val="18"/>
          <w:color w:val="auto"/>
        </w:rPr>
        <w:t>In the opinion of Busey’s management, the unaudited consolidated financial statements reflect all normal, recurring adjustments needed to present fairly Busey’s results for the interim periods. The results of operations for interim periods are not necessarily indicative of the results that may be expected for the full year or any other interim period.</w:t>
      </w:r>
    </w:p>
    <w:p>
      <w:pPr>
        <w:spacing w:after="0" w:line="132" w:lineRule="exact"/>
        <w:rPr>
          <w:rFonts w:ascii="Arial" w:cs="Arial" w:eastAsia="Arial" w:hAnsi="Arial"/>
          <w:sz w:val="18"/>
          <w:szCs w:val="18"/>
          <w:color w:val="0000FF"/>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rFonts w:ascii="Arial" w:cs="Arial" w:eastAsia="Arial" w:hAnsi="Arial"/>
          <w:sz w:val="18"/>
          <w:szCs w:val="18"/>
          <w:color w:val="0000FF"/>
        </w:rPr>
      </w:pPr>
    </w:p>
    <w:p>
      <w:pPr>
        <w:jc w:val="both"/>
        <w:spacing w:after="0" w:line="262" w:lineRule="auto"/>
        <w:rPr>
          <w:sz w:val="20"/>
          <w:szCs w:val="20"/>
          <w:color w:val="auto"/>
        </w:rPr>
      </w:pPr>
      <w:r>
        <w:rPr>
          <w:rFonts w:ascii="Arial" w:cs="Arial" w:eastAsia="Arial" w:hAnsi="Arial"/>
          <w:sz w:val="18"/>
          <w:szCs w:val="18"/>
          <w:color w:val="auto"/>
        </w:rPr>
        <w:t>In preparing the accompanying unaudited consolidated financial statements in conformity with GAAP, Busey’s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assets acquired and liabilities assumed in business combinations, goodwill, income taxes, and the determination of the ACL.</w:t>
      </w:r>
    </w:p>
    <w:p>
      <w:pPr>
        <w:spacing w:after="0" w:line="200" w:lineRule="exact"/>
        <w:rPr>
          <w:rFonts w:ascii="Arial" w:cs="Arial" w:eastAsia="Arial" w:hAnsi="Arial"/>
          <w:sz w:val="18"/>
          <w:szCs w:val="18"/>
          <w:color w:val="0000FF"/>
        </w:rPr>
      </w:pPr>
    </w:p>
    <w:p>
      <w:pPr>
        <w:spacing w:after="0" w:line="354" w:lineRule="exact"/>
        <w:rPr>
          <w:rFonts w:ascii="Arial" w:cs="Arial" w:eastAsia="Arial" w:hAnsi="Arial"/>
          <w:sz w:val="18"/>
          <w:szCs w:val="18"/>
          <w:color w:val="0000FF"/>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14</w:t>
      </w:r>
    </w:p>
    <w:p>
      <w:pPr>
        <w:spacing w:after="0" w:line="20" w:lineRule="exact"/>
        <w:rPr>
          <w:rFonts w:ascii="Arial" w:cs="Arial" w:eastAsia="Arial" w:hAnsi="Arial"/>
          <w:sz w:val="18"/>
          <w:szCs w:val="18"/>
          <w:color w:val="0000FF"/>
        </w:rPr>
      </w:pPr>
      <w:r>
        <w:rPr>
          <w:rFonts w:ascii="Arial" w:cs="Arial" w:eastAsia="Arial" w:hAnsi="Arial"/>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include cash on hand, cash items in process of collection, amounts due from other banks, and interest-bearing deposits held with other financial institutions. The carrying amount of these instruments is considered a reasonable estimate of fair value. At June 30, 2025, cash and cash equivalents included $13.6 million contractually restricted by a third-party service provider, $24.8 million pledged to secure obligations under derivative contracts, and $68.0 million of reserved cash subject to call by the Federal Reserve Bank, as a member of the Federal Reserve System.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is subject to income taxes in U.S. federal and various state jurisdictions. First Busey Corporation and its subsidiaries file consolidated federal and state income tax returns with each subsidiary computing its taxes on a separate entity basis. Tax regulations within each jurisdiction are subject to the interpretation of the related tax laws and regulations, which requires significant judgment.</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July 4, 2025, the "One Big Beautiful Bill Act" was enacted, introducing several amendments to federal tax legislation. Key provisions of the act include the restoration of immediate expensing of domestic research and development expenditures, reinstatement of 100% bonus depreciation, and more favorable rules for determining the limitation on business interest expense. Busey is currently evaluating the impact of this legislation for future periods.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Busey Bank was under examination by the Florida Department of Revenue for its 2020 to 2022 corporate income tax filings. Busey Bank accrued $0.1 million related to potential assessment adjustments and interest. Busey had no accruals for payments of interest and penalties related to uncertain tax positions at June 30, 2025 or 2024.</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June 30, 2025, Busey was also under examination by the Illinois Department of Revenue for M&amp;M’s tax filings for the tax years ended December 31, 2022 and 2023.</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96"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On March 1, 2025, in connection with the CrossFirst acquisition, Busey issued 7,750 shares of Busey Series A Preferred Stock, which were issued to holders of shares of CrossFirst Series A Non-Cumulative Perpetual Preferred Stock. The Busey Series A Preferred Stock bears a dividend rate of 8.00% per annum on the liquidation preference of $1,000 per share. Quarterly dividend payments commenced on June 13, 2025. The Busey Series A Preferred Stock is not subject to any mandatory redemption, sinking fund, or similar provision. Busey may redeem the Busey Series A Preferred Stock, in whole or in part, on or after March 1, 2030, subject to the approval of the appropriate federal banking agency, at a redemption price of $1,000 per share, plus any declared and unpaid dividends, without accumulation of any undeclared dividends, to, but excluding, the date of redemption. Additional information about the Busey Series A Preferred Stock can be found in </w:t>
      </w:r>
      <w:hyperlink r:id="rId30">
        <w:r>
          <w:rPr>
            <w:rFonts w:ascii="Arial" w:cs="Arial" w:eastAsia="Arial" w:hAnsi="Arial"/>
            <w:sz w:val="18"/>
            <w:szCs w:val="18"/>
            <w:u w:val="single" w:color="auto"/>
            <w:color w:val="0000FF"/>
          </w:rPr>
          <w:t>Busey’s Form 8-K filed with the SEC on August 27, 2024</w:t>
        </w:r>
        <w:r>
          <w:rPr>
            <w:rFonts w:ascii="Arial" w:cs="Arial" w:eastAsia="Arial" w:hAnsi="Arial"/>
            <w:sz w:val="18"/>
            <w:szCs w:val="18"/>
            <w:color w:val="000000"/>
          </w:rPr>
          <w:t>, and the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Agreement and Plan of Merger, dated August 26, 2024, by and between</w:t>
        </w:r>
      </w:hyperlink>
      <w:r>
        <w:rPr>
          <w:rFonts w:ascii="Arial" w:cs="Arial" w:eastAsia="Arial" w:hAnsi="Arial"/>
          <w:sz w:val="18"/>
          <w:szCs w:val="18"/>
          <w:color w:val="0000FF"/>
        </w:rPr>
        <w:t xml:space="preserve"> </w:t>
      </w:r>
      <w:hyperlink r:id="rId30">
        <w:r>
          <w:rPr>
            <w:rFonts w:ascii="Arial" w:cs="Arial" w:eastAsia="Arial" w:hAnsi="Arial"/>
            <w:sz w:val="18"/>
            <w:szCs w:val="18"/>
            <w:u w:val="single" w:color="auto"/>
            <w:color w:val="0000FF"/>
          </w:rPr>
          <w:t>First Busey Corporation and CrossFirst Bankshares, Inc.</w:t>
        </w:r>
        <w:r>
          <w:rPr>
            <w:rFonts w:ascii="Arial" w:cs="Arial" w:eastAsia="Arial" w:hAnsi="Arial"/>
            <w:sz w:val="18"/>
            <w:szCs w:val="18"/>
            <w:color w:val="0000FF"/>
          </w:rPr>
          <w:t xml:space="preserve"> </w:t>
        </w:r>
        <w:r>
          <w:rPr>
            <w:rFonts w:ascii="Arial" w:cs="Arial" w:eastAsia="Arial" w:hAnsi="Arial"/>
            <w:sz w:val="18"/>
            <w:szCs w:val="18"/>
            <w:color w:val="000000"/>
          </w:rPr>
          <w:t>filed therewith.</w:t>
        </w:r>
      </w:hyperlink>
    </w:p>
    <w:p>
      <w:pPr>
        <w:spacing w:after="0" w:line="140" w:lineRule="exact"/>
        <w:rPr>
          <w:sz w:val="20"/>
          <w:szCs w:val="20"/>
          <w:color w:val="auto"/>
        </w:rPr>
      </w:pPr>
    </w:p>
    <w:p>
      <w:pPr>
        <w:jc w:val="both"/>
        <w:spacing w:after="0" w:line="255" w:lineRule="auto"/>
        <w:rPr>
          <w:rFonts w:ascii="Arial" w:cs="Arial" w:eastAsia="Arial" w:hAnsi="Arial"/>
          <w:sz w:val="18"/>
          <w:szCs w:val="18"/>
          <w:color w:val="0000FF"/>
        </w:rPr>
      </w:pPr>
      <w:r>
        <w:rPr>
          <w:rFonts w:ascii="Arial" w:cs="Arial" w:eastAsia="Arial" w:hAnsi="Arial"/>
          <w:sz w:val="18"/>
          <w:szCs w:val="18"/>
          <w:color w:val="auto"/>
        </w:rPr>
        <w:t xml:space="preserve">On May 20, 2025, Busey issued 8,600,000 depositary shares (the “Depositary Shares,”), which are traded on The Nasdaq Global Select Market under the symbol “BUSEP.” Each Depositary Share represents a 1/40th interest in a share of Busey Series B Preferred Stock. The Series B Preferred Stock has a liquidation preference of $1,000 per share (equivalent to $ 25 per Depositary Share). Quarterly dividend payments for the Series B Preferred Stock are expected to commence on September 1, 2025. The Series B Preferred Stock is not subject to any mandatory redemption, sinking fund, or similar provision. Busey may redeem the Series B Preferred Stock, in whole or in part, at its option, on any dividend payment date on or after June 1, 2030, subject to the approval of the appropriate federal banking agency, at a redemption price of $1,000 per share (equivalent to $25 per Depositary Share) plus any declared and unpaid dividends to, but excluding, the </w:t>
      </w:r>
      <w:hyperlink r:id="rId31">
        <w:r>
          <w:rPr>
            <w:rFonts w:ascii="Arial" w:cs="Arial" w:eastAsia="Arial" w:hAnsi="Arial"/>
            <w:sz w:val="18"/>
            <w:szCs w:val="18"/>
            <w:color w:val="auto"/>
          </w:rPr>
          <w:t xml:space="preserve">date of redemption. Additional information about the Depositary Shares and the Series B Preferred Stock can be found in </w:t>
        </w:r>
        <w:r>
          <w:rPr>
            <w:rFonts w:ascii="Arial" w:cs="Arial" w:eastAsia="Arial" w:hAnsi="Arial"/>
            <w:sz w:val="18"/>
            <w:szCs w:val="18"/>
            <w:u w:val="single" w:color="auto"/>
            <w:color w:val="0000FF"/>
          </w:rPr>
          <w:t>Busey’s Form 8-K</w:t>
        </w:r>
      </w:hyperlink>
      <w:r>
        <w:rPr>
          <w:rFonts w:ascii="Arial" w:cs="Arial" w:eastAsia="Arial" w:hAnsi="Arial"/>
          <w:sz w:val="18"/>
          <w:szCs w:val="18"/>
          <w:color w:val="auto"/>
        </w:rPr>
        <w:t xml:space="preserve"> </w:t>
      </w:r>
      <w:hyperlink r:id="rId31">
        <w:r>
          <w:rPr>
            <w:rFonts w:ascii="Arial" w:cs="Arial" w:eastAsia="Arial" w:hAnsi="Arial"/>
            <w:sz w:val="18"/>
            <w:szCs w:val="18"/>
            <w:u w:val="single" w:color="auto"/>
            <w:color w:val="0000FF"/>
          </w:rPr>
          <w:t>filed with the SEC on May 20, 2025, and the exhibits filed therewith</w:t>
        </w:r>
        <w:r>
          <w:rPr>
            <w:rFonts w:ascii="Arial" w:cs="Arial" w:eastAsia="Arial" w:hAnsi="Arial"/>
            <w:sz w:val="18"/>
            <w:szCs w:val="18"/>
            <w:color w:val="000000"/>
          </w:rPr>
          <w:t>.</w:t>
        </w:r>
      </w:hyperlink>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Recently Adopted Accounting Standards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2024, the FASB issued ASU 2024-01 “</w:t>
      </w:r>
      <w:r>
        <w:rPr>
          <w:rFonts w:ascii="Arial" w:cs="Arial" w:eastAsia="Arial" w:hAnsi="Arial"/>
          <w:sz w:val="18"/>
          <w:szCs w:val="18"/>
          <w:i w:val="1"/>
          <w:iCs w:val="1"/>
          <w:color w:val="auto"/>
        </w:rPr>
        <w:t>Compensation-Stock Compensation (Topic 718): Scope Application of Profits Interest and</w:t>
      </w:r>
      <w:r>
        <w:rPr>
          <w:rFonts w:ascii="Arial" w:cs="Arial" w:eastAsia="Arial" w:hAnsi="Arial"/>
          <w:sz w:val="18"/>
          <w:szCs w:val="18"/>
          <w:color w:val="auto"/>
        </w:rPr>
        <w:t xml:space="preserve"> </w:t>
      </w:r>
      <w:r>
        <w:rPr>
          <w:rFonts w:ascii="Arial" w:cs="Arial" w:eastAsia="Arial" w:hAnsi="Arial"/>
          <w:sz w:val="18"/>
          <w:szCs w:val="18"/>
          <w:i w:val="1"/>
          <w:iCs w:val="1"/>
          <w:color w:val="auto"/>
        </w:rPr>
        <w:t>Similar Awards</w:t>
      </w:r>
      <w:r>
        <w:rPr>
          <w:rFonts w:ascii="Arial" w:cs="Arial" w:eastAsia="Arial" w:hAnsi="Arial"/>
          <w:sz w:val="18"/>
          <w:szCs w:val="18"/>
          <w:color w:val="auto"/>
        </w:rPr>
        <w:t>” to clarify that certain “profits interests” are within the scope of Topic 718 by amending the language and providing illustrative</w:t>
      </w:r>
      <w:r>
        <w:rPr>
          <w:rFonts w:ascii="Arial" w:cs="Arial" w:eastAsia="Arial" w:hAnsi="Arial"/>
          <w:sz w:val="18"/>
          <w:szCs w:val="18"/>
          <w:i w:val="1"/>
          <w:iCs w:val="1"/>
          <w:color w:val="auto"/>
        </w:rPr>
        <w:t xml:space="preserve"> </w:t>
      </w:r>
      <w:r>
        <w:rPr>
          <w:rFonts w:ascii="Arial" w:cs="Arial" w:eastAsia="Arial" w:hAnsi="Arial"/>
          <w:sz w:val="18"/>
          <w:szCs w:val="18"/>
          <w:color w:val="auto"/>
        </w:rPr>
        <w:t>examples on how the scope guidance in paragraph 718-10-15-3 should be applied. This update is intended to improve clarity of the accounting standards codification, not to change the guidance. This update was adopted on a prospective basis for annual and interim reporting periods beginning January 1, 2025. Busey does not currently have any Profit Interest and Similar Awards, so adoption of this ASU did not have any impact on its financial position and results of operations.</w:t>
      </w:r>
    </w:p>
    <w:p>
      <w:pPr>
        <w:spacing w:after="0" w:line="115"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In November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 xml:space="preserve">07 </w:t>
      </w:r>
      <w:r>
        <w:rPr>
          <w:rFonts w:ascii="Arial" w:cs="Arial" w:eastAsia="Arial" w:hAnsi="Arial"/>
          <w:sz w:val="18"/>
          <w:szCs w:val="18"/>
          <w:i w:val="1"/>
          <w:iCs w:val="1"/>
          <w:color w:val="auto"/>
        </w:rPr>
        <w:t>“Segment Reporting (Topic 820): Improvements to Reportable Segment Disclosures”</w:t>
      </w:r>
      <w:r>
        <w:rPr>
          <w:rFonts w:ascii="Arial" w:cs="Arial" w:eastAsia="Arial" w:hAnsi="Arial"/>
          <w:sz w:val="18"/>
          <w:szCs w:val="18"/>
          <w:color w:val="auto"/>
        </w:rPr>
        <w:t xml:space="preserve"> requiring enhanced disclosures related to significant segment expenses. This standard was adopted on a retrospective basis beginning with the annual reporting period ending December 31, 2024, and for interim reporting periods within fiscal years starting January 1, 2025. Adoption of this standard did not have a material impact on Busey’s financial position or results of operations, but resulted in enhanced disclosures.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July 2025, the FASB issued ASU 2025-05 </w:t>
      </w:r>
      <w:r>
        <w:rPr>
          <w:rFonts w:ascii="Arial" w:cs="Arial" w:eastAsia="Arial" w:hAnsi="Arial"/>
          <w:sz w:val="18"/>
          <w:szCs w:val="18"/>
          <w:i w:val="1"/>
          <w:iCs w:val="1"/>
          <w:color w:val="auto"/>
        </w:rPr>
        <w:t>“Financial Instruments—Credit Losses (Topic 326): Measurement of Credit Losses for Accounts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Receivable and Contract Assets,” </w:t>
      </w:r>
      <w:r>
        <w:rPr>
          <w:rFonts w:ascii="Arial" w:cs="Arial" w:eastAsia="Arial" w:hAnsi="Arial"/>
          <w:sz w:val="18"/>
          <w:szCs w:val="18"/>
          <w:color w:val="auto"/>
        </w:rPr>
        <w:t>providing a practical expedient which, if elected, permits an entity to assume that current conditions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sheet date will remain static for the remaining life of the assets, removing the requirement to consider reasonable, supportable forecasts. The amendments in this update are to be applied prospectively, and will be effective for Busey for annual and interim reporting periods beginning January 1, 2026. Early adoption is permitted. Busey is currently evaluating the effect this ASU may have on its financial position and results of operations.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2024, the FASB issued ASU 2024-04 “</w:t>
      </w:r>
      <w:r>
        <w:rPr>
          <w:rFonts w:ascii="Arial" w:cs="Arial" w:eastAsia="Arial" w:hAnsi="Arial"/>
          <w:sz w:val="18"/>
          <w:szCs w:val="18"/>
          <w:i w:val="1"/>
          <w:iCs w:val="1"/>
          <w:color w:val="auto"/>
        </w:rPr>
        <w:t>Debt—Debt with Conversion and Other Options (Subtopic 470-20): Induced Conversions</w:t>
      </w:r>
      <w:r>
        <w:rPr>
          <w:rFonts w:ascii="Arial" w:cs="Arial" w:eastAsia="Arial" w:hAnsi="Arial"/>
          <w:sz w:val="18"/>
          <w:szCs w:val="18"/>
          <w:color w:val="auto"/>
        </w:rPr>
        <w:t xml:space="preserve"> </w:t>
      </w:r>
      <w:r>
        <w:rPr>
          <w:rFonts w:ascii="Arial" w:cs="Arial" w:eastAsia="Arial" w:hAnsi="Arial"/>
          <w:sz w:val="18"/>
          <w:szCs w:val="18"/>
          <w:i w:val="1"/>
          <w:iCs w:val="1"/>
          <w:color w:val="auto"/>
        </w:rPr>
        <w:t>of Convertible Debt Instruments</w:t>
      </w:r>
      <w:r>
        <w:rPr>
          <w:rFonts w:ascii="Arial" w:cs="Arial" w:eastAsia="Arial" w:hAnsi="Arial"/>
          <w:sz w:val="18"/>
          <w:szCs w:val="18"/>
          <w:color w:val="auto"/>
        </w:rPr>
        <w:t>” to clarify when certain settlements of convertible debt instruments should be accounted for as an induced</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The amendments in this update may be applied on either a prospective or retrospective basis and will be effective for Busey for annual and interim reporting periods beginning January 1, 2026. Because Busey does not currently have any convertible debt, the Company does not expect adoption of this ASU to have any impact on its financial position or results of operations.</w:t>
      </w:r>
    </w:p>
    <w:p>
      <w:pPr>
        <w:spacing w:after="0" w:line="13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November 2024, the FASB issued ASU 2024-03 “</w:t>
      </w:r>
      <w:r>
        <w:rPr>
          <w:rFonts w:ascii="Arial" w:cs="Arial" w:eastAsia="Arial" w:hAnsi="Arial"/>
          <w:sz w:val="18"/>
          <w:szCs w:val="18"/>
          <w:i w:val="1"/>
          <w:iCs w:val="1"/>
          <w:color w:val="auto"/>
        </w:rPr>
        <w:t>Income Statement—Reporting Comprehensive Income—Expense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(Subtopic 220-40): Disaggregation of Income Statement Expenses</w:t>
      </w:r>
      <w:r>
        <w:rPr>
          <w:rFonts w:ascii="Arial" w:cs="Arial" w:eastAsia="Arial" w:hAnsi="Arial"/>
          <w:sz w:val="18"/>
          <w:szCs w:val="18"/>
          <w:color w:val="auto"/>
        </w:rPr>
        <w:t>” to require additional disclosures within the notes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about certain expense items. Specifically, disaggregation of income statement captions that contain expenses within the following five categories is required: (1) purchases of inventory, (2) employee compensation, (3) depreciation, (4) intangible asset amortization, and (5) depreciation, depletion, and amortization (“DD&amp;A”) costs recognized as part of oil- and gas-producing activities or other amounts of depletion expense. Further, this update requires disclosure of the total amount of selling expenses and the entity’s definition of selling expenses. This update provides a practical expedient for banks and bank holding companies to continue presenting salaries and employee benefits in conformity with SEC Rule 210.9-04 instead of requiring those entities to apply the employee compensation definition included in Subtopic 220-40. The amendments in this update may be applied on either a prospective or retrospective basis and will be effective for Busey beginning with the annual reporting period ending December 31, 2027, and interim reporting periods beginning January 1, 2028. Early adoption is permitted. Because this update relates only to disclosure, Busey does not expect adoption of this ASU to have any impact on its financial position or results of operations.</w:t>
      </w:r>
    </w:p>
    <w:p>
      <w:pPr>
        <w:spacing w:after="0" w:line="109" w:lineRule="exact"/>
        <w:rPr>
          <w:sz w:val="20"/>
          <w:szCs w:val="20"/>
          <w:color w:val="auto"/>
        </w:rPr>
      </w:pPr>
    </w:p>
    <w:p>
      <w:pPr>
        <w:jc w:val="both"/>
        <w:spacing w:after="0" w:line="229" w:lineRule="exact"/>
        <w:rPr>
          <w:sz w:val="20"/>
          <w:szCs w:val="20"/>
          <w:color w:val="auto"/>
        </w:rPr>
      </w:pPr>
      <w:r>
        <w:rPr>
          <w:rFonts w:ascii="Arial" w:cs="Arial" w:eastAsia="Arial" w:hAnsi="Arial"/>
          <w:sz w:val="18"/>
          <w:szCs w:val="18"/>
          <w:color w:val="auto"/>
        </w:rPr>
        <w:t>In December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which requires more detailed disclosures of income taxes paid net of refunds received, income from continuing operations before income tax expense or benefit, and income tax expense from continuing operations. This standard is to be applied on a prospective basis, with retrospective application permitted, and will be effective for Busey for annual reporting periods beginning with the fiscal year ending December 31, 2025. Busey does not expect adoption of this ASU to have a material impact on its financial position or results of operations.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24" w:lineRule="exact"/>
        <w:rPr>
          <w:sz w:val="20"/>
          <w:szCs w:val="20"/>
          <w:color w:val="auto"/>
        </w:rPr>
      </w:pPr>
      <w:r>
        <w:rPr>
          <w:rFonts w:ascii="Arial" w:cs="Arial" w:eastAsia="Arial" w:hAnsi="Arial"/>
          <w:sz w:val="18"/>
          <w:szCs w:val="18"/>
          <w:color w:val="auto"/>
        </w:rPr>
        <w:t>In October 2023, the FASB issued ASU 2023</w:t>
      </w:r>
      <w:r>
        <w:rPr>
          <w:rFonts w:ascii="MS PGothic" w:cs="MS PGothic" w:eastAsia="MS PGothic" w:hAnsi="MS PGothic"/>
          <w:sz w:val="18"/>
          <w:szCs w:val="18"/>
          <w:color w:val="auto"/>
        </w:rPr>
        <w:t>‑</w:t>
      </w:r>
      <w:r>
        <w:rPr>
          <w:rFonts w:ascii="Arial" w:cs="Arial" w:eastAsia="Arial" w:hAnsi="Arial"/>
          <w:sz w:val="18"/>
          <w:szCs w:val="18"/>
          <w:color w:val="auto"/>
        </w:rPr>
        <w:t>06 “</w:t>
      </w:r>
      <w:r>
        <w:rPr>
          <w:rFonts w:ascii="Arial" w:cs="Arial" w:eastAsia="Arial" w:hAnsi="Arial"/>
          <w:sz w:val="18"/>
          <w:szCs w:val="18"/>
          <w:i w:val="1"/>
          <w:iCs w:val="1"/>
          <w:color w:val="auto"/>
        </w:rPr>
        <w:t>Disclosure Improvements: Codification Amendments in Response to the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Update and Simplification Initiative</w:t>
      </w:r>
      <w:r>
        <w:rPr>
          <w:rFonts w:ascii="Arial" w:cs="Arial" w:eastAsia="Arial" w:hAnsi="Arial"/>
          <w:sz w:val="18"/>
          <w:szCs w:val="18"/>
          <w:color w:val="auto"/>
        </w:rPr>
        <w:t>” which aligns certain GAAP disclosure requirements with the SEC’s disclosure requirements, in order to</w:t>
      </w:r>
      <w:r>
        <w:rPr>
          <w:rFonts w:ascii="Arial" w:cs="Arial" w:eastAsia="Arial" w:hAnsi="Arial"/>
          <w:sz w:val="18"/>
          <w:szCs w:val="18"/>
          <w:i w:val="1"/>
          <w:iCs w:val="1"/>
          <w:color w:val="auto"/>
        </w:rPr>
        <w:t xml:space="preserve"> </w:t>
      </w:r>
      <w:r>
        <w:rPr>
          <w:rFonts w:ascii="Arial" w:cs="Arial" w:eastAsia="Arial" w:hAnsi="Arial"/>
          <w:sz w:val="18"/>
          <w:szCs w:val="18"/>
          <w:color w:val="auto"/>
        </w:rPr>
        <w:t>better facilitate comparisons between entities that are subject to the SEC’s existing disclosures with entities that were not previously subject to the SEC’s requirements. Amendments in this update should be applied prospectively, and the effective date for Busey for each amendment in this ASU will be the date on which the SEC removes the related disclosure from Regulation S</w:t>
      </w:r>
      <w:r>
        <w:rPr>
          <w:rFonts w:ascii="MS PGothic" w:cs="MS PGothic" w:eastAsia="MS PGothic" w:hAnsi="MS PGothic"/>
          <w:sz w:val="18"/>
          <w:szCs w:val="18"/>
          <w:color w:val="auto"/>
        </w:rPr>
        <w:t>‑</w:t>
      </w:r>
      <w:r>
        <w:rPr>
          <w:rFonts w:ascii="Arial" w:cs="Arial" w:eastAsia="Arial" w:hAnsi="Arial"/>
          <w:sz w:val="18"/>
          <w:szCs w:val="18"/>
          <w:color w:val="auto"/>
        </w:rPr>
        <w:t>X or Regulation S</w:t>
      </w:r>
      <w:r>
        <w:rPr>
          <w:rFonts w:ascii="MS PGothic" w:cs="MS PGothic" w:eastAsia="MS PGothic" w:hAnsi="MS PGothic"/>
          <w:sz w:val="18"/>
          <w:szCs w:val="18"/>
          <w:color w:val="auto"/>
        </w:rPr>
        <w:t>‑</w:t>
      </w:r>
      <w:r>
        <w:rPr>
          <w:rFonts w:ascii="Arial" w:cs="Arial" w:eastAsia="Arial" w:hAnsi="Arial"/>
          <w:sz w:val="18"/>
          <w:szCs w:val="18"/>
          <w:color w:val="auto"/>
        </w:rPr>
        <w:t>K. Early adoption is prohibited. If the SEC has not removed the related disclosures from Regulation S</w:t>
      </w:r>
      <w:r>
        <w:rPr>
          <w:rFonts w:ascii="MS PGothic" w:cs="MS PGothic" w:eastAsia="MS PGothic" w:hAnsi="MS PGothic"/>
          <w:sz w:val="18"/>
          <w:szCs w:val="18"/>
          <w:color w:val="auto"/>
        </w:rPr>
        <w:t>‑</w:t>
      </w:r>
      <w:r>
        <w:rPr>
          <w:rFonts w:ascii="Arial" w:cs="Arial" w:eastAsia="Arial" w:hAnsi="Arial"/>
          <w:sz w:val="18"/>
          <w:szCs w:val="18"/>
          <w:color w:val="auto"/>
        </w:rPr>
        <w:t>X or Regulation S</w:t>
      </w:r>
      <w:r>
        <w:rPr>
          <w:rFonts w:ascii="MS PGothic" w:cs="MS PGothic" w:eastAsia="MS PGothic" w:hAnsi="MS PGothic"/>
          <w:sz w:val="18"/>
          <w:szCs w:val="18"/>
          <w:color w:val="auto"/>
        </w:rPr>
        <w:t>‑</w:t>
      </w:r>
      <w:r>
        <w:rPr>
          <w:rFonts w:ascii="Arial" w:cs="Arial" w:eastAsia="Arial" w:hAnsi="Arial"/>
          <w:sz w:val="18"/>
          <w:szCs w:val="18"/>
          <w:color w:val="auto"/>
        </w:rPr>
        <w:t>K by June 30, 2027, the pending content of this update will be removed from the ASC and will not become effective for any entity. Busey does not expect adoption of this ASU to have a material impact on its financial position or results of operations.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Busey has evaluated subsequent events for potential recognition and/or disclosure through the date the unaudited consolidated financial statements included in this Quarterly Report were issued. On July 2, 2025, Busey received a notice of hearing from the Illinois Secretary of State indicating that an administrative hearing has been scheduled to “ascertain” an amount of franchise taxes, penalties, interest, fees, and charges purportedly due from Busey to the Illinois Secretary of State. On July 31, 2025, First Busey filed a special appearance with the Illinois Secretary of State’s Department of Administrative Hearings solely for the limited purpose of contesting the jurisdiction of the Illinois Secretary of State to initiate and conduct the administrative hearing. Additional information is provided in “</w:t>
      </w:r>
      <w:r>
        <w:rPr>
          <w:rFonts w:ascii="Arial" w:cs="Arial" w:eastAsia="Arial" w:hAnsi="Arial"/>
          <w:sz w:val="18"/>
          <w:szCs w:val="18"/>
          <w:i w:val="1"/>
          <w:iCs w:val="1"/>
          <w:u w:val="single" w:color="auto"/>
          <w:color w:val="0000FF"/>
        </w:rPr>
        <w:t>Note 11. Outstanding</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Commitments and Contingent Liabilities</w:t>
      </w:r>
      <w:r>
        <w:rPr>
          <w:rFonts w:ascii="Arial" w:cs="Arial" w:eastAsia="Arial" w:hAnsi="Arial"/>
          <w:sz w:val="18"/>
          <w:szCs w:val="18"/>
          <w:color w:val="000000"/>
        </w:rPr>
        <w:t>” under the heading “</w:t>
      </w:r>
      <w:r>
        <w:rPr>
          <w:rFonts w:ascii="Arial" w:cs="Arial" w:eastAsia="Arial" w:hAnsi="Arial"/>
          <w:sz w:val="18"/>
          <w:szCs w:val="18"/>
          <w:i w:val="1"/>
          <w:iCs w:val="1"/>
          <w:u w:val="single" w:color="auto"/>
          <w:color w:val="0000FF"/>
        </w:rPr>
        <w:t>Franchise Tax Matter</w:t>
      </w:r>
      <w:r>
        <w:rPr>
          <w:rFonts w:ascii="Arial" w:cs="Arial" w:eastAsia="Arial" w:hAnsi="Arial"/>
          <w:sz w:val="18"/>
          <w:szCs w:val="18"/>
          <w:color w:val="000000"/>
        </w:rPr>
        <w:t>.” Other than these events, there were no significant</w:t>
      </w:r>
      <w:r>
        <w:rPr>
          <w:rFonts w:ascii="Arial" w:cs="Arial" w:eastAsia="Arial" w:hAnsi="Arial"/>
          <w:sz w:val="18"/>
          <w:szCs w:val="18"/>
          <w:i w:val="1"/>
          <w:iCs w:val="1"/>
          <w:color w:val="0000FF"/>
        </w:rPr>
        <w:t xml:space="preserve"> </w:t>
      </w:r>
      <w:r>
        <w:rPr>
          <w:rFonts w:ascii="Arial" w:cs="Arial" w:eastAsia="Arial" w:hAnsi="Arial"/>
          <w:sz w:val="18"/>
          <w:szCs w:val="18"/>
          <w:color w:val="000000"/>
        </w:rPr>
        <w:t>events subsequent to the quarter ended June 30, 2025, through the filing date of these unaudited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MERGERS AND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CrossFirst Bankshares, Inc.</w:t>
      </w:r>
    </w:p>
    <w:p>
      <w:pPr>
        <w:spacing w:after="0" w:line="196" w:lineRule="exact"/>
        <w:rPr>
          <w:sz w:val="20"/>
          <w:szCs w:val="20"/>
          <w:color w:val="auto"/>
        </w:rPr>
      </w:pPr>
    </w:p>
    <w:p>
      <w:pPr>
        <w:jc w:val="both"/>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On March 1, 2025, Busey completed its acquisition of CrossFirst (NASDAQ: CFB), the holding company for CrossFirst Bank, pursuant to an </w:t>
      </w:r>
      <w:hyperlink r:id="rId34">
        <w:r>
          <w:rPr>
            <w:rFonts w:ascii="Arial" w:cs="Arial" w:eastAsia="Arial" w:hAnsi="Arial"/>
            <w:sz w:val="18"/>
            <w:szCs w:val="18"/>
            <w:u w:val="single" w:color="auto"/>
            <w:color w:val="0000FF"/>
          </w:rPr>
          <w:t>Agreement and Plan of Merger</w:t>
        </w:r>
      </w:hyperlink>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dated August 26, 2024, by and between Busey and CrossFirst (the “CrossFirst Merger Agreement”). This</w:t>
      </w:r>
      <w:r>
        <w:rPr>
          <w:rFonts w:ascii="Arial" w:cs="Arial" w:eastAsia="Arial" w:hAnsi="Arial"/>
          <w:sz w:val="18"/>
          <w:szCs w:val="18"/>
          <w:color w:val="0000FF"/>
        </w:rPr>
        <w:t xml:space="preserve"> </w:t>
      </w:r>
      <w:r>
        <w:rPr>
          <w:rFonts w:ascii="Arial" w:cs="Arial" w:eastAsia="Arial" w:hAnsi="Arial"/>
          <w:sz w:val="18"/>
          <w:szCs w:val="18"/>
          <w:color w:val="000000"/>
        </w:rPr>
        <w:t>partnership creates a premier commercial bank in the Midwest, Southwest, and Florida, with 78 full-service locations across 10 states— Arizona, Colorado, Florida, Illinois, Indiana, Kansas, Missouri, New Mexico, Oklahoma, and Texas. The combined holding company continues to operate under the First Busey Corporation name. Busey’s common stock continues to trade on the Nasdaq under the “BUSE” stock ticker symbol.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of CrossFirst Bank into Busey Bank</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CrossFirst Bank’s results of operations were included in Busey’s consolidated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CrossFirst Merger Consideration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Upon completion of the acquisition, each share of CrossFirst common stock converted into the right to receive 0.6675 of a share of Busey’s common stock. Cash was paid in lieu of fractional shares. The fair value of common shares issued in consideration of the CrossFirst acquisition was based on the closing price of Busey’s common stock on February 28, 2025.</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Further, upon completion of the acquisition, each share of CrossFirst Series A Non-cumulative Perpetual Preferred Stock converted to the right to receive one share of Busey Series A Preferred Stock. The fair value of Busey Series A Preferred Stock was based on the redemption price of $1,000 per share.</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total consideration paid also included the fair value of replacement equity awards related to past service totaling $6.0 million. Busey used a Monte Carlo simulation to estimate the fair value of SSARs and market-based awards. Other awards were valued based on Busey’s closing stock price on February 28, 2025.</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Accounting</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CrossFirst acquisition was accounted for using the acquisition method of accounting and, accordingly, assets acquired, liabilities assumed, and consideration exchanged were recorded at estimated fair values as of March 1, 2025, the date of acquisition. During the three months ended June 30, 2025, fair value adjustments of $3.3 million were recorded, as additional information and valuations became available. Estimated fair values are considered provisional until final fair values are determined or the measurement period has passed, but no later than one year from the acquisition date. Review of all valuations and taxes are still being performed by management. Therefore, amounts are subject to change from the provisional amounts disclosed below.</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total consideration paid for CrossFirst exceeded the estimated fair value of net assets acquired, goodwill of $48.0 million was recorded as a result of the acquisition. Goodwill recorded for this transaction reflects synergies expected from the acquisition and the greater revenue opportunities from Busey’s broader service capabilities in attractive new markets. Goodwill recorded for this transaction is not tax deductible and was assigned to the Banking operating segment.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Merchants and Manufacturers Bank Corporation</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1, 2024, Busey completed its acquisition of M&amp;M and its wholly-owned subsidiary, M&amp;M Bank, through a merger transaction. This partnership added M&amp;M’s Life Equity Loan</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to Busey’s existing suite of services and expanded Busey’s presence in the suburban Chicago market.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Merger of M&amp;M Bank into Busey Bank</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M&amp;M Bank’s results of operations were included in Busey’s results of operation beginning April 1, 2024. Busey operated M&amp;M Bank as a separate banking subsidiary of Busey until it was merged with Busey Bank on June 21, 2024. At the time of the bank merger, M&amp;M Bank’s banking centers became banking centers of Busey Bank, except for M&amp;M’s banking center located at 990 Essington Rd., Joliet, Illinois, which was closed in connection with the bank merger.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M&amp;M Merger Consideration</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the effective time of the M&amp;M acquisition, each share of M&amp;M common stock converted to the right to receive, at the election of each stockholder and subject to proration and adjustment as provided in the M&amp;M merger agreement, either (1) $117.74 in cash (“Cash Election”),</w:t>
      </w:r>
    </w:p>
    <w:p>
      <w:pPr>
        <w:spacing w:after="0" w:line="2" w:lineRule="exact"/>
        <w:rPr>
          <w:sz w:val="20"/>
          <w:szCs w:val="20"/>
          <w:color w:val="auto"/>
        </w:rPr>
      </w:pPr>
    </w:p>
    <w:p>
      <w:pPr>
        <w:ind w:right="20" w:firstLine="8"/>
        <w:spacing w:after="0" w:line="266" w:lineRule="auto"/>
        <w:tabs>
          <w:tab w:leader="none" w:pos="294" w:val="left"/>
        </w:tabs>
        <w:numPr>
          <w:ilvl w:val="0"/>
          <w:numId w:val="4"/>
        </w:numPr>
        <w:rPr>
          <w:rFonts w:ascii="Arial" w:cs="Arial" w:eastAsia="Arial" w:hAnsi="Arial"/>
          <w:sz w:val="18"/>
          <w:szCs w:val="18"/>
          <w:color w:val="auto"/>
        </w:rPr>
      </w:pPr>
      <w:r>
        <w:rPr>
          <w:rFonts w:ascii="Arial" w:cs="Arial" w:eastAsia="Arial" w:hAnsi="Arial"/>
          <w:sz w:val="18"/>
          <w:szCs w:val="18"/>
          <w:color w:val="auto"/>
        </w:rPr>
        <w:t>5.7294 shares of Busey common stock (“Share Election”), or (3) mixed consideration of $34.55 in cash and 4.0481 shares of Busey common stock (“Mixed Election”).</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Most of the M&amp;M common stockholders who submitted an election form by the election deadline made the Share Election to receive their merger consideration solely in the form of shares of Busey common stock. As a result of the elections of M&amp;M common stockholders, and in accordance with the proration and adjustment provisions of the M&amp;M merger agreement, the merger consideration paid to M&amp;M common stockholders was comprised of an aggregate of 1,429,304 shares of Busey common stock and an aggregate of $12.2 million in cash, allocated as follows for each share of M&amp;M stock: (1) $117.74 in cash for the Cash Election, (2) $5.3966 in cash and 5.4668 shares of Busey common stock for the Share Election, and (3) $34.55 in cash and 4.0481 shares of Busey common stock for the Mixed Election. Pursuant to the terms of the M&amp;M merger agreement, M&amp;M common stockholders that did not make an election or submit a properly completed election form by the election deadline of March 29, 2024, received cash consideration of $117.74 for each share of M&amp;M common stock held. No fractional shares of Busey common stock were issued in the M&amp;M acquisition. Fractional shares were paid in cash at the rate of $23.32 per share.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Additional merger consideration of $3.0 million was paid to redeem 300 shares of M&amp;M preferred stock.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 Accounting</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M&amp;M acquisition was accounted for using the acquisition method of accounting and, accordingly, assets acquired, liabilities assumed, and consideration exchanged were recorded at estimated fair values on April 1, 2024, the date of acquisition. A final fair value adjustment of $0.1 million for deferred taxes was recorded during the three months ended March 31, 2025, in connection with the M&amp;M acquisition. Fair values, including initial accounting for deferred taxes, were subject to refinement for up to one year after the closing date as additional information regarding the closing date fair values became available, and were final as of March 31, 2025.</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the total consideration paid for M&amp;M exceeded the estimated fair value of net assets acquired, goodwill of $15.9 million was recorded as a result of the acquisition. Goodwill recorded for this transaction reflects synergies expected from the acquisition and expansion within the Chicago metropolitan market. Goodwill recorded for this transaction is not tax deductible and was assigned to the Banking operating segment.</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Date Fair Values</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Acquisition-date fair values of the assets acquired and liabilities assumed, as well as the fair value of consideration transferred, were estimated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1, 2025</w:t>
            </w:r>
          </w:p>
        </w:tc>
        <w:tc>
          <w:tcPr>
            <w:tcW w:w="200" w:type="dxa"/>
            <w:vAlign w:val="bottom"/>
          </w:tcPr>
          <w:p>
            <w:pPr>
              <w:spacing w:after="0"/>
              <w:rPr>
                <w:sz w:val="16"/>
                <w:szCs w:val="16"/>
                <w:color w:val="auto"/>
              </w:rPr>
            </w:pPr>
          </w:p>
        </w:tc>
        <w:tc>
          <w:tcPr>
            <w:tcW w:w="1180" w:type="dxa"/>
            <w:vAlign w:val="bottom"/>
          </w:tcPr>
          <w:p>
            <w:pPr>
              <w:jc w:val="center"/>
              <w:ind w:right="112"/>
              <w:spacing w:after="0"/>
              <w:rPr>
                <w:sz w:val="20"/>
                <w:szCs w:val="20"/>
                <w:color w:val="auto"/>
              </w:rPr>
            </w:pPr>
            <w:r>
              <w:rPr>
                <w:rFonts w:ascii="Arial" w:cs="Arial" w:eastAsia="Arial" w:hAnsi="Arial"/>
                <w:sz w:val="14"/>
                <w:szCs w:val="14"/>
                <w:b w:val="1"/>
                <w:bCs w:val="1"/>
                <w:color w:val="auto"/>
              </w:rPr>
              <w:t>April 1, 2024</w:t>
            </w:r>
          </w:p>
        </w:tc>
        <w:tc>
          <w:tcPr>
            <w:tcW w:w="0" w:type="dxa"/>
            <w:vAlign w:val="bottom"/>
          </w:tcPr>
          <w:p>
            <w:pPr>
              <w:spacing w:after="0"/>
              <w:rPr>
                <w:sz w:val="1"/>
                <w:szCs w:val="1"/>
                <w:color w:val="auto"/>
              </w:rPr>
            </w:pPr>
          </w:p>
        </w:tc>
      </w:tr>
      <w:tr>
        <w:trPr>
          <w:trHeight w:val="144"/>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CrossFirst</w:t>
            </w:r>
          </w:p>
        </w:tc>
        <w:tc>
          <w:tcPr>
            <w:tcW w:w="200" w:type="dxa"/>
            <w:vAlign w:val="bottom"/>
          </w:tcPr>
          <w:p>
            <w:pPr>
              <w:spacing w:after="0"/>
              <w:rPr>
                <w:sz w:val="12"/>
                <w:szCs w:val="12"/>
                <w:color w:val="auto"/>
              </w:rPr>
            </w:pPr>
          </w:p>
        </w:tc>
        <w:tc>
          <w:tcPr>
            <w:tcW w:w="1180" w:type="dxa"/>
            <w:vAlign w:val="bottom"/>
          </w:tcPr>
          <w:p>
            <w:pPr>
              <w:jc w:val="center"/>
              <w:ind w:right="112"/>
              <w:spacing w:after="0" w:line="145" w:lineRule="exact"/>
              <w:rPr>
                <w:sz w:val="20"/>
                <w:szCs w:val="20"/>
                <w:color w:val="auto"/>
              </w:rPr>
            </w:pPr>
            <w:r>
              <w:rPr>
                <w:rFonts w:ascii="Arial" w:cs="Arial" w:eastAsia="Arial" w:hAnsi="Arial"/>
                <w:sz w:val="14"/>
                <w:szCs w:val="14"/>
                <w:b w:val="1"/>
                <w:bCs w:val="1"/>
                <w:color w:val="auto"/>
              </w:rPr>
              <w:t>M&amp;M</w:t>
            </w:r>
          </w:p>
        </w:tc>
        <w:tc>
          <w:tcPr>
            <w:tcW w:w="0" w:type="dxa"/>
            <w:vAlign w:val="bottom"/>
          </w:tcPr>
          <w:p>
            <w:pPr>
              <w:spacing w:after="0"/>
              <w:rPr>
                <w:sz w:val="1"/>
                <w:szCs w:val="1"/>
                <w:color w:val="auto"/>
              </w:rPr>
            </w:pPr>
          </w:p>
        </w:tc>
      </w:tr>
      <w:tr>
        <w:trPr>
          <w:trHeight w:val="176"/>
        </w:trPr>
        <w:tc>
          <w:tcPr>
            <w:tcW w:w="8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(provisional)</w:t>
            </w:r>
          </w:p>
        </w:tc>
        <w:tc>
          <w:tcPr>
            <w:tcW w:w="200" w:type="dxa"/>
            <w:vAlign w:val="bottom"/>
          </w:tcPr>
          <w:p>
            <w:pPr>
              <w:spacing w:after="0"/>
              <w:rPr>
                <w:sz w:val="15"/>
                <w:szCs w:val="15"/>
                <w:color w:val="auto"/>
              </w:rPr>
            </w:pPr>
          </w:p>
        </w:tc>
        <w:tc>
          <w:tcPr>
            <w:tcW w:w="1180" w:type="dxa"/>
            <w:vAlign w:val="bottom"/>
          </w:tcPr>
          <w:p>
            <w:pPr>
              <w:jc w:val="center"/>
              <w:ind w:right="92"/>
              <w:spacing w:after="0"/>
              <w:rPr>
                <w:sz w:val="20"/>
                <w:szCs w:val="20"/>
                <w:color w:val="auto"/>
              </w:rPr>
            </w:pPr>
            <w:r>
              <w:rPr>
                <w:rFonts w:ascii="Arial" w:cs="Arial" w:eastAsia="Arial" w:hAnsi="Arial"/>
                <w:sz w:val="14"/>
                <w:szCs w:val="14"/>
                <w:i w:val="1"/>
                <w:iCs w:val="1"/>
                <w:color w:val="auto"/>
              </w:rPr>
              <w:t>(final)</w:t>
            </w:r>
          </w:p>
        </w:tc>
        <w:tc>
          <w:tcPr>
            <w:tcW w:w="0" w:type="dxa"/>
            <w:vAlign w:val="bottom"/>
          </w:tcPr>
          <w:p>
            <w:pPr>
              <w:spacing w:after="0"/>
              <w:rPr>
                <w:sz w:val="1"/>
                <w:szCs w:val="1"/>
                <w:color w:val="auto"/>
              </w:rPr>
            </w:pPr>
          </w:p>
        </w:tc>
      </w:tr>
      <w:tr>
        <w:trPr>
          <w:trHeight w:val="250"/>
        </w:trPr>
        <w:tc>
          <w:tcPr>
            <w:tcW w:w="84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Assets acquired</w:t>
            </w: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385,808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33,577</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725,622</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8,086</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Portfolio loans, net of ACL</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6,023,063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417,230</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Premises and equipment</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64,249</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Right of use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intangible assets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81,783</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6,346</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190,411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10,208</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assets acquired</w:t>
            </w:r>
          </w:p>
        </w:tc>
        <w:tc>
          <w:tcPr>
            <w:tcW w:w="16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7,500,310</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477,745</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6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6,571,699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392,838</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11,148</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35,932</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62,557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Subordinated notes, net of unamortized issuance costs</w:t>
            </w:r>
          </w:p>
        </w:tc>
        <w:tc>
          <w:tcPr>
            <w:tcW w:w="16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3,911</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Lease liabilities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29,374</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7,089</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liabilities assumed</w:t>
            </w:r>
          </w:p>
        </w:tc>
        <w:tc>
          <w:tcPr>
            <w:tcW w:w="16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6,739,354</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444,067</w:t>
            </w:r>
          </w:p>
        </w:tc>
        <w:tc>
          <w:tcPr>
            <w:tcW w:w="0" w:type="dxa"/>
            <w:vAlign w:val="bottom"/>
          </w:tcPr>
          <w:p>
            <w:pPr>
              <w:spacing w:after="0"/>
              <w:rPr>
                <w:sz w:val="1"/>
                <w:szCs w:val="1"/>
                <w:color w:val="auto"/>
              </w:rPr>
            </w:pPr>
          </w:p>
        </w:tc>
      </w:tr>
      <w:tr>
        <w:trPr>
          <w:trHeight w:val="250"/>
        </w:trPr>
        <w:tc>
          <w:tcPr>
            <w:tcW w:w="84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760,956</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33,678</w:t>
            </w:r>
          </w:p>
        </w:tc>
        <w:tc>
          <w:tcPr>
            <w:tcW w:w="0" w:type="dxa"/>
            <w:vAlign w:val="bottom"/>
          </w:tcPr>
          <w:p>
            <w:pPr>
              <w:spacing w:after="0"/>
              <w:rPr>
                <w:sz w:val="1"/>
                <w:szCs w:val="1"/>
                <w:color w:val="auto"/>
              </w:rPr>
            </w:pPr>
          </w:p>
        </w:tc>
      </w:tr>
      <w:tr>
        <w:trPr>
          <w:trHeight w:val="20"/>
        </w:trPr>
        <w:tc>
          <w:tcPr>
            <w:tcW w:w="84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Consideration paid</w:t>
            </w:r>
          </w:p>
        </w:tc>
        <w:tc>
          <w:tcPr>
            <w:tcW w:w="16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Cash</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15,200</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Common stock</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795,227</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34,375</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Preferred stock</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7,750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Replacement awards</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E0E7ED"/>
          </w:tcPr>
          <w:p>
            <w:pPr>
              <w:spacing w:after="0"/>
              <w:rPr>
                <w:sz w:val="23"/>
                <w:szCs w:val="23"/>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5,999</w:t>
            </w:r>
          </w:p>
        </w:tc>
        <w:tc>
          <w:tcPr>
            <w:tcW w:w="100" w:type="dxa"/>
            <w:vAlign w:val="bottom"/>
            <w:shd w:val="clear" w:color="auto" w:fill="E0E7ED"/>
          </w:tcPr>
          <w:p>
            <w:pPr>
              <w:spacing w:after="0"/>
              <w:rPr>
                <w:sz w:val="23"/>
                <w:szCs w:val="23"/>
                <w:color w:val="auto"/>
              </w:rPr>
            </w:pPr>
          </w:p>
        </w:tc>
        <w:tc>
          <w:tcPr>
            <w:tcW w:w="200" w:type="dxa"/>
            <w:vAlign w:val="bottom"/>
            <w:tcBorders>
              <w:bottom w:val="single" w:sz="8" w:color="auto"/>
            </w:tcBorders>
            <w:shd w:val="clear" w:color="auto" w:fill="E0E7ED"/>
          </w:tcPr>
          <w:p>
            <w:pPr>
              <w:spacing w:after="0"/>
              <w:rPr>
                <w:sz w:val="23"/>
                <w:szCs w:val="23"/>
                <w:color w:val="auto"/>
              </w:rPr>
            </w:pP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Total consideration paid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808,980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0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48,024</w:t>
            </w: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15,897</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840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520" w:hanging="35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the fair value of replacement equity awards issued to CrossFirst associates attributable to pre-combination service.</w:t>
      </w:r>
    </w:p>
    <w:p>
      <w:pPr>
        <w:spacing w:after="0" w:line="200" w:lineRule="exact"/>
        <w:rPr>
          <w:sz w:val="20"/>
          <w:szCs w:val="20"/>
          <w:color w:val="auto"/>
        </w:rPr>
      </w:pPr>
    </w:p>
    <w:p>
      <w:pPr>
        <w:spacing w:after="0" w:line="209"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Valuations of Loans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Estimated fair values for the loan portfolio acquired in the CrossFirst acquisition includes adjustments to certain receivables that were not considered PCD as of the acquisition date. These fair value adjustments were determined using a discounted cash flow model that applies various assumptions about coupon rates, remaining maturities, prepayment speeds, projected default probabilities, losses given defaults, and estimates of prevailing discount rates. These loans did not show signs of deterioration since origination, and therefore, at the acquisition date, were not subject to the guidance related to PCD loans. Receivables acquired in the CrossFirst acquisition that were not subject to these requirements include non-PCD loans with a fair value of $4.70 billion and gross contractual amounts receivable of $4.79 billion.</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portion of acquired loans were PCD. The following table provides a reconciliation between the purchase price and the fair value of these loans: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r>
      <w:tr>
        <w:trPr>
          <w:trHeight w:val="187"/>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1, 2025</w:t>
            </w:r>
          </w:p>
        </w:tc>
        <w:tc>
          <w:tcPr>
            <w:tcW w:w="200" w:type="dxa"/>
            <w:vAlign w:val="bottom"/>
          </w:tcPr>
          <w:p>
            <w:pPr>
              <w:spacing w:after="0"/>
              <w:rPr>
                <w:sz w:val="16"/>
                <w:szCs w:val="16"/>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rPr>
              <w:t>April 1, 2024</w:t>
            </w:r>
          </w:p>
        </w:tc>
      </w:tr>
      <w:tr>
        <w:trPr>
          <w:trHeight w:val="185"/>
        </w:trPr>
        <w:tc>
          <w:tcPr>
            <w:tcW w:w="84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CrossFirst</w:t>
            </w:r>
          </w:p>
        </w:tc>
        <w:tc>
          <w:tcPr>
            <w:tcW w:w="20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Arial" w:cs="Arial" w:eastAsia="Arial" w:hAnsi="Arial"/>
                <w:sz w:val="14"/>
                <w:szCs w:val="14"/>
                <w:b w:val="1"/>
                <w:bCs w:val="1"/>
                <w:color w:val="auto"/>
              </w:rPr>
              <w:t>M&amp;M</w:t>
            </w:r>
          </w:p>
        </w:tc>
      </w:tr>
      <w:tr>
        <w:trPr>
          <w:trHeight w:val="250"/>
        </w:trPr>
        <w:tc>
          <w:tcPr>
            <w:tcW w:w="84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PCD Financial Assets</w:t>
            </w: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r>
      <w:tr>
        <w:trPr>
          <w:trHeight w:val="270"/>
        </w:trPr>
        <w:tc>
          <w:tcPr>
            <w:tcW w:w="8400" w:type="dxa"/>
            <w:vAlign w:val="bottom"/>
          </w:tcPr>
          <w:p>
            <w:pPr>
              <w:ind w:left="20"/>
              <w:spacing w:after="0"/>
              <w:rPr>
                <w:sz w:val="20"/>
                <w:szCs w:val="20"/>
                <w:color w:val="auto"/>
              </w:rPr>
            </w:pPr>
            <w:r>
              <w:rPr>
                <w:rFonts w:ascii="Arial" w:cs="Arial" w:eastAsia="Arial" w:hAnsi="Arial"/>
                <w:sz w:val="18"/>
                <w:szCs w:val="18"/>
                <w:color w:val="auto"/>
              </w:rPr>
              <w:t>Gross contractual receivable for PCD financial assets</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1,428,978</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29,290</w:t>
            </w: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ACL recorded for estimated uncollectible contractual cash flows specific to PCD financial assets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(100,783)</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(1,243)</w:t>
            </w: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Interest premium (discount) specific to PCD financial assets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
        </w:trPr>
        <w:tc>
          <w:tcPr>
            <w:tcW w:w="84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Fair value of PCD financial assets</w:t>
            </w: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1,325,132</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26,274</w:t>
            </w:r>
          </w:p>
        </w:tc>
      </w:tr>
      <w:tr>
        <w:trPr>
          <w:trHeight w:val="20"/>
        </w:trPr>
        <w:tc>
          <w:tcPr>
            <w:tcW w:w="84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5" w:lineRule="exact"/>
        <w:rPr>
          <w:sz w:val="20"/>
          <w:szCs w:val="20"/>
          <w:color w:val="auto"/>
        </w:rPr>
      </w:pPr>
    </w:p>
    <w:p>
      <w:pPr>
        <w:ind w:left="520" w:hanging="350"/>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connection with the CrossFirst acquisition, Busey also acquired $110.7 million of previously charged-off principal in addition to the PCD assets listed above.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following unaudited pro forma information has been prepared as if the CrossFirst acquisition had occurred on January 1, 2024, and as if the M&amp;M acquisition had occurred January 1, 2023. The pro forma results combine the historical results of CrossFirst and M&amp;M into Busey’s </w:t>
      </w:r>
      <w:r>
        <w:rPr>
          <w:rFonts w:ascii="Arial" w:cs="Arial" w:eastAsia="Arial" w:hAnsi="Arial"/>
          <w:sz w:val="18"/>
          <w:szCs w:val="18"/>
          <w:u w:val="single" w:color="auto"/>
          <w:color w:val="0000FF"/>
        </w:rPr>
        <w:t>Consolidated Statements of Income (Unaudited)</w:t>
      </w:r>
      <w:r>
        <w:rPr>
          <w:rFonts w:ascii="Arial" w:cs="Arial" w:eastAsia="Arial" w:hAnsi="Arial"/>
          <w:sz w:val="18"/>
          <w:szCs w:val="18"/>
          <w:color w:val="000000"/>
        </w:rPr>
        <w:t>, including the impact of purchase accounting adjustments such as loan discount accretion,</w:t>
      </w:r>
      <w:r>
        <w:rPr>
          <w:rFonts w:ascii="Arial" w:cs="Arial" w:eastAsia="Arial" w:hAnsi="Arial"/>
          <w:sz w:val="18"/>
          <w:szCs w:val="18"/>
          <w:color w:val="0000FF"/>
        </w:rPr>
        <w:t xml:space="preserve"> </w:t>
      </w:r>
      <w:r>
        <w:rPr>
          <w:rFonts w:ascii="Arial" w:cs="Arial" w:eastAsia="Arial" w:hAnsi="Arial"/>
          <w:sz w:val="18"/>
          <w:szCs w:val="18"/>
          <w:color w:val="000000"/>
        </w:rPr>
        <w:t>intangible assets amortization, and deposit accretion, net of taxes. The pro forma results have been prepared for comparative purposes only and are not necessarily indicative of the results that would have been obtained had the acquisitions actually occurred on January 1, 2024, or on January 1, 2023, as applicable. Further, pro forma information does not purport to be indicative of future financial operating results. No assumptions have been applied to the pro forma results of operations regarding possible revenue enhancements, expense efficiencies, or asset dispositions. Only the merger related expenses that have been recognized are included in net income in the table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r>
      <w:tr>
        <w:trPr>
          <w:trHeight w:val="244"/>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Revenue (net interest income plus noninterest income)</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191,726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180,688</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371,320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377,900</w:t>
            </w:r>
          </w:p>
        </w:tc>
      </w:tr>
      <w:tr>
        <w:trPr>
          <w:trHeight w:val="247"/>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47,297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45,381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68,702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65,239</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Busey incurred acquisition related expenses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Pre-tax acquisition expenses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M&amp;M</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2,065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2,350</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CrossFirst</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E0E7ED"/>
          </w:tcPr>
          <w:p>
            <w:pPr>
              <w:spacing w:after="0"/>
              <w:rPr>
                <w:sz w:val="23"/>
                <w:szCs w:val="23"/>
                <w:color w:val="auto"/>
              </w:rPr>
            </w:pP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88,090</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147</w:t>
            </w:r>
          </w:p>
        </w:tc>
      </w:tr>
      <w:tr>
        <w:trPr>
          <w:trHeight w:val="263"/>
        </w:trPr>
        <w:tc>
          <w:tcPr>
            <w:tcW w:w="5500" w:type="dxa"/>
            <w:vAlign w:val="bottom"/>
          </w:tcPr>
          <w:p>
            <w:pPr>
              <w:ind w:left="20"/>
              <w:spacing w:after="0"/>
              <w:rPr>
                <w:sz w:val="20"/>
                <w:szCs w:val="20"/>
                <w:color w:val="auto"/>
              </w:rPr>
            </w:pPr>
            <w:r>
              <w:rPr>
                <w:rFonts w:ascii="Arial" w:cs="Arial" w:eastAsia="Arial" w:hAnsi="Arial"/>
                <w:sz w:val="18"/>
                <w:szCs w:val="18"/>
                <w:color w:val="auto"/>
              </w:rPr>
              <w:t>Pre-tax acquisition expenses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r>
      <w:tr>
        <w:trPr>
          <w:trHeight w:val="21"/>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00" w:right="20" w:hanging="330"/>
        <w:spacing w:after="0" w:line="284" w:lineRule="auto"/>
        <w:tabs>
          <w:tab w:leader="none" w:pos="525" w:val="left"/>
        </w:tabs>
        <w:numPr>
          <w:ilvl w:val="0"/>
          <w:numId w:val="7"/>
        </w:numPr>
        <w:rPr>
          <w:rFonts w:ascii="Arial" w:cs="Arial" w:eastAsia="Arial" w:hAnsi="Arial"/>
          <w:sz w:val="14"/>
          <w:szCs w:val="14"/>
          <w:color w:val="auto"/>
        </w:rPr>
      </w:pPr>
      <w:r>
        <w:rPr>
          <w:rFonts w:ascii="Arial" w:cs="Arial" w:eastAsia="Arial" w:hAnsi="Arial"/>
          <w:sz w:val="14"/>
          <w:szCs w:val="14"/>
          <w:color w:val="auto"/>
        </w:rPr>
        <w:t>In addition to the acquisition costs presented in the table above, during the three months ended June 30, 2025, Busey recorded a $4.0 million adjustment to the initial provision for unfunded commitments for CrossFirst acquisition-date balances based on revised estimates resulting from implementation of a new CECL model.</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Acquisition related expenses for CrossFirst were comprised primarily of an initial provision to establish an ACL on non-PCD loans (recorded as provision expense), and multiple components of noninterest expense including an initial provision for unfunded commitments; salaries, wages and employee benefits (including equity compensation); data processing; and legal, professional, and consulting costs. Acquisition related expenses for M&amp;M were comprised primarily of professional fees and data processing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Of the total acquisition related expenses, the following legal, professional, and consulting costs were incurred to consummate the mergers: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Pre-tax costs to consummate the merger</w:t>
            </w:r>
          </w:p>
        </w:tc>
        <w:tc>
          <w:tcPr>
            <w:tcW w:w="960" w:type="dxa"/>
            <w:vAlign w:val="bottom"/>
            <w:shd w:val="clear" w:color="auto" w:fill="E0E7ED"/>
          </w:tcPr>
          <w:p>
            <w:pPr>
              <w:spacing w:after="0"/>
              <w:rPr>
                <w:sz w:val="21"/>
                <w:szCs w:val="21"/>
                <w:color w:val="auto"/>
              </w:rPr>
            </w:pPr>
          </w:p>
        </w:tc>
        <w:tc>
          <w:tcPr>
            <w:tcW w:w="4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M&amp;M</w:t>
            </w:r>
          </w:p>
        </w:tc>
        <w:tc>
          <w:tcPr>
            <w:tcW w:w="960" w:type="dxa"/>
            <w:vAlign w:val="bottom"/>
          </w:tcPr>
          <w:p>
            <w:pPr>
              <w:jc w:val="right"/>
              <w:ind w:right="759"/>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3"/>
        </w:trPr>
        <w:tc>
          <w:tcPr>
            <w:tcW w:w="5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CrossFirst</w:t>
            </w:r>
          </w:p>
        </w:tc>
        <w:tc>
          <w:tcPr>
            <w:tcW w:w="960" w:type="dxa"/>
            <w:vAlign w:val="bottom"/>
            <w:tcBorders>
              <w:bottom w:val="single" w:sz="8" w:color="E0E7ED"/>
            </w:tcBorders>
            <w:shd w:val="clear" w:color="auto" w:fill="E0E7ED"/>
          </w:tcPr>
          <w:p>
            <w:pPr>
              <w:spacing w:after="0"/>
              <w:rPr>
                <w:sz w:val="23"/>
                <w:szCs w:val="23"/>
                <w:color w:val="auto"/>
              </w:rPr>
            </w:pPr>
          </w:p>
        </w:tc>
        <w:tc>
          <w:tcPr>
            <w:tcW w:w="4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E0E7ED"/>
            </w:tcBorders>
            <w:shd w:val="clear" w:color="auto" w:fill="E0E7ED"/>
          </w:tcPr>
          <w:p>
            <w:pPr>
              <w:spacing w:after="0"/>
              <w:rPr>
                <w:sz w:val="23"/>
                <w:szCs w:val="23"/>
                <w:color w:val="auto"/>
              </w:rPr>
            </w:pPr>
          </w:p>
        </w:tc>
        <w:tc>
          <w:tcPr>
            <w:tcW w:w="1020" w:type="dxa"/>
            <w:vAlign w:val="bottom"/>
            <w:tcBorders>
              <w:bottom w:val="single" w:sz="8" w:color="E0E7ED"/>
            </w:tcBorders>
            <w:shd w:val="clear" w:color="auto" w:fill="E0E7ED"/>
          </w:tcPr>
          <w:p>
            <w:pPr>
              <w:spacing w:after="0"/>
              <w:rPr>
                <w:sz w:val="23"/>
                <w:szCs w:val="23"/>
                <w:color w:val="auto"/>
              </w:rPr>
            </w:pPr>
          </w:p>
        </w:tc>
        <w:tc>
          <w:tcPr>
            <w:tcW w:w="4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500" w:type="dxa"/>
            <w:vAlign w:val="bottom"/>
          </w:tcPr>
          <w:p>
            <w:pPr>
              <w:ind w:left="20"/>
              <w:spacing w:after="0"/>
              <w:rPr>
                <w:sz w:val="20"/>
                <w:szCs w:val="20"/>
                <w:color w:val="auto"/>
              </w:rPr>
            </w:pPr>
            <w:r>
              <w:rPr>
                <w:rFonts w:ascii="Arial" w:cs="Arial" w:eastAsia="Arial" w:hAnsi="Arial"/>
                <w:sz w:val="18"/>
                <w:szCs w:val="18"/>
                <w:color w:val="auto"/>
              </w:rPr>
              <w:t>Pre-tax costs to consummate the merger</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0"/>
        </w:trPr>
        <w:tc>
          <w:tcPr>
            <w:tcW w:w="5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 SECURITIES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Busey's portfolio of debt securities includes both available for sale and held to maturity securities. The tables below provide the amortized cost, unrealized or unrecognized gains and losses, and fair values of debt securities summarized by major category: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4"/>
                <w:szCs w:val="14"/>
                <w:b w:val="1"/>
                <w:bCs w:val="1"/>
                <w:color w:val="auto"/>
              </w:rPr>
              <w:t>As of June 30, 2025</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93"/>
              <w:spacing w:after="0"/>
              <w:rPr>
                <w:sz w:val="20"/>
                <w:szCs w:val="20"/>
                <w:color w:val="auto"/>
              </w:rPr>
            </w:pPr>
            <w:r>
              <w:rPr>
                <w:rFonts w:ascii="Arial" w:cs="Arial" w:eastAsia="Arial" w:hAnsi="Arial"/>
                <w:sz w:val="14"/>
                <w:szCs w:val="14"/>
                <w:b w:val="1"/>
                <w:bCs w:val="1"/>
                <w:color w:val="auto"/>
              </w:rPr>
              <w:t>Unrealized</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1"/>
        </w:trPr>
        <w:tc>
          <w:tcPr>
            <w:tcW w:w="5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Gains</w:t>
            </w:r>
          </w:p>
        </w:tc>
        <w:tc>
          <w:tcPr>
            <w:tcW w:w="160" w:type="dxa"/>
            <w:vAlign w:val="bottom"/>
          </w:tcPr>
          <w:p>
            <w:pPr>
              <w:spacing w:after="0"/>
              <w:rPr>
                <w:sz w:val="5"/>
                <w:szCs w:val="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Losses</w:t>
            </w: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4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460" w:type="dxa"/>
            <w:vAlign w:val="bottom"/>
            <w:tcBorders>
              <w:top w:val="single" w:sz="8" w:color="E0E7ED"/>
            </w:tcBorders>
            <w:shd w:val="clear" w:color="auto" w:fill="E0E7ED"/>
          </w:tcPr>
          <w:p>
            <w:pPr>
              <w:ind w:left="20"/>
              <w:spacing w:after="0" w:line="250" w:lineRule="exact"/>
              <w:rPr>
                <w:sz w:val="20"/>
                <w:szCs w:val="20"/>
                <w:color w:val="auto"/>
              </w:rPr>
            </w:pPr>
            <w:r>
              <w:rPr>
                <w:rFonts w:ascii="Arial" w:cs="Arial" w:eastAsia="Arial" w:hAnsi="Arial"/>
                <w:sz w:val="18"/>
                <w:szCs w:val="18"/>
                <w:b w:val="1"/>
                <w:bCs w:val="1"/>
                <w:color w:val="auto"/>
              </w:rPr>
              <w:t>Debt securities available for sale</w:t>
            </w:r>
            <w:r>
              <w:rPr>
                <w:rFonts w:ascii="Arial" w:cs="Arial" w:eastAsia="Arial" w:hAnsi="Arial"/>
                <w:sz w:val="23"/>
                <w:szCs w:val="23"/>
                <w:b w:val="1"/>
                <w:bCs w:val="1"/>
                <w:color w:val="auto"/>
                <w:vertAlign w:val="superscript"/>
              </w:rPr>
              <w:t>1</w:t>
            </w:r>
          </w:p>
        </w:tc>
        <w:tc>
          <w:tcPr>
            <w:tcW w:w="20" w:type="dxa"/>
            <w:vAlign w:val="bottom"/>
            <w:tcBorders>
              <w:top w:val="single" w:sz="8" w:color="auto"/>
            </w:tcBorders>
            <w:shd w:val="clear" w:color="auto" w:fill="E0E7ED"/>
          </w:tcPr>
          <w:p>
            <w:pPr>
              <w:spacing w:after="0"/>
              <w:rPr>
                <w:sz w:val="21"/>
                <w:szCs w:val="21"/>
                <w:color w:val="auto"/>
              </w:rPr>
            </w:pPr>
          </w:p>
        </w:tc>
        <w:tc>
          <w:tcPr>
            <w:tcW w:w="22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115,902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115,557</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260,997</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131</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(18,975)</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242,153</w:t>
            </w:r>
          </w:p>
        </w:tc>
        <w:tc>
          <w:tcPr>
            <w:tcW w:w="0" w:type="dxa"/>
            <w:vAlign w:val="bottom"/>
          </w:tcPr>
          <w:p>
            <w:pPr>
              <w:spacing w:after="0"/>
              <w:rPr>
                <w:sz w:val="1"/>
                <w:szCs w:val="1"/>
                <w:color w:val="auto"/>
              </w:rPr>
            </w:pP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373,231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373,621</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Commercial mortgage-backed securities</w:t>
            </w:r>
          </w:p>
        </w:tc>
        <w:tc>
          <w:tcPr>
            <w:tcW w:w="2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149,844</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(12,297)</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138,026</w:t>
            </w:r>
          </w:p>
        </w:tc>
        <w:tc>
          <w:tcPr>
            <w:tcW w:w="0" w:type="dxa"/>
            <w:vAlign w:val="bottom"/>
          </w:tcPr>
          <w:p>
            <w:pPr>
              <w:spacing w:after="0"/>
              <w:rPr>
                <w:sz w:val="1"/>
                <w:szCs w:val="1"/>
                <w:color w:val="auto"/>
              </w:rPr>
            </w:pP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1,433,077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(147,818)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1,289,129</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61,613</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(2,738)</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2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59,302</w:t>
            </w: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2,394,664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(182,232)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2,217,788</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1"/>
        </w:trPr>
        <w:tc>
          <w:tcPr>
            <w:tcW w:w="546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Gains</w:t>
            </w:r>
          </w:p>
        </w:tc>
        <w:tc>
          <w:tcPr>
            <w:tcW w:w="160" w:type="dxa"/>
            <w:vAlign w:val="bottom"/>
          </w:tcPr>
          <w:p>
            <w:pPr>
              <w:spacing w:after="0"/>
              <w:rPr>
                <w:sz w:val="5"/>
                <w:szCs w:val="5"/>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Losses</w:t>
            </w: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tcBorders>
              <w:top w:val="single" w:sz="8" w:color="E0E7ED"/>
            </w:tcBorders>
            <w:shd w:val="clear" w:color="auto" w:fill="E0E7ED"/>
          </w:tcPr>
          <w:p>
            <w:pPr>
              <w:spacing w:after="0"/>
              <w:rPr>
                <w:sz w:val="21"/>
                <w:szCs w:val="21"/>
                <w:color w:val="auto"/>
              </w:rPr>
            </w:pPr>
          </w:p>
        </w:tc>
        <w:tc>
          <w:tcPr>
            <w:tcW w:w="22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407,401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(70,772)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336,629</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395,564</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80" w:type="dxa"/>
            <w:vAlign w:val="bottom"/>
            <w:tcBorders>
              <w:bottom w:val="single" w:sz="8" w:color="E0E7ED"/>
            </w:tcBorders>
            <w:gridSpan w:val="3"/>
            <w:shd w:val="clear" w:color="auto" w:fill="E0E7ED"/>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(61,661)</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2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333,903</w:t>
            </w:r>
          </w:p>
        </w:tc>
        <w:tc>
          <w:tcPr>
            <w:tcW w:w="0" w:type="dxa"/>
            <w:vAlign w:val="bottom"/>
          </w:tcPr>
          <w:p>
            <w:pPr>
              <w:spacing w:after="0"/>
              <w:rPr>
                <w:sz w:val="1"/>
                <w:szCs w:val="1"/>
                <w:color w:val="auto"/>
              </w:rPr>
            </w:pP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Total debt securities held to maturity</w:t>
            </w: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802,965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(132,433)</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670,532</w:t>
            </w: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This table includes debt securities marked at par, with no gain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7"/>
          </w:tcPr>
          <w:p>
            <w:pPr>
              <w:jc w:val="center"/>
              <w:ind w:right="260"/>
              <w:spacing w:after="0"/>
              <w:rPr>
                <w:sz w:val="20"/>
                <w:szCs w:val="20"/>
                <w:color w:val="auto"/>
              </w:rPr>
            </w:pPr>
            <w:r>
              <w:rPr>
                <w:rFonts w:ascii="Arial" w:cs="Arial" w:eastAsia="Arial" w:hAnsi="Arial"/>
                <w:sz w:val="14"/>
                <w:szCs w:val="14"/>
                <w:b w:val="1"/>
                <w:bCs w:val="1"/>
                <w:color w:val="auto"/>
              </w:rPr>
              <w:t>As of December 31, 2024</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4"/>
                <w:szCs w:val="14"/>
                <w:b w:val="1"/>
                <w:bCs w:val="1"/>
                <w:color w:val="auto"/>
              </w:rPr>
              <w:t>Unrealized</w:t>
            </w: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vMerge w:val="restart"/>
          </w:tcPr>
          <w:p>
            <w:pPr>
              <w:jc w:val="center"/>
              <w:ind w:right="23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1"/>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Gains</w:t>
            </w:r>
          </w:p>
        </w:tc>
        <w:tc>
          <w:tcPr>
            <w:tcW w:w="160" w:type="dxa"/>
            <w:vAlign w:val="bottom"/>
          </w:tcPr>
          <w:p>
            <w:pPr>
              <w:spacing w:after="0"/>
              <w:rPr>
                <w:sz w:val="5"/>
                <w:szCs w:val="5"/>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Gross Losses</w:t>
            </w: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3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480" w:type="dxa"/>
            <w:vAlign w:val="bottom"/>
            <w:tcBorders>
              <w:top w:val="single" w:sz="8" w:color="E0E7ED"/>
            </w:tcBorders>
            <w:shd w:val="clear" w:color="auto" w:fill="E0E7ED"/>
          </w:tcPr>
          <w:p>
            <w:pPr>
              <w:ind w:left="20"/>
              <w:spacing w:after="0" w:line="250" w:lineRule="exact"/>
              <w:rPr>
                <w:sz w:val="20"/>
                <w:szCs w:val="20"/>
                <w:color w:val="auto"/>
              </w:rPr>
            </w:pPr>
            <w:r>
              <w:rPr>
                <w:rFonts w:ascii="Arial" w:cs="Arial" w:eastAsia="Arial" w:hAnsi="Arial"/>
                <w:sz w:val="18"/>
                <w:szCs w:val="18"/>
                <w:b w:val="1"/>
                <w:bCs w:val="1"/>
                <w:color w:val="auto"/>
              </w:rPr>
              <w:t>Debt securities available for sale</w:t>
            </w:r>
            <w:r>
              <w:rPr>
                <w:rFonts w:ascii="Arial" w:cs="Arial" w:eastAsia="Arial" w:hAnsi="Arial"/>
                <w:sz w:val="23"/>
                <w:szCs w:val="23"/>
                <w:b w:val="1"/>
                <w:bCs w:val="1"/>
                <w:color w:val="auto"/>
                <w:vertAlign w:val="superscript"/>
              </w:rPr>
              <w:t>1</w:t>
            </w:r>
          </w:p>
        </w:tc>
        <w:tc>
          <w:tcPr>
            <w:tcW w:w="220" w:type="dxa"/>
            <w:vAlign w:val="bottom"/>
            <w:tcBorders>
              <w:top w:val="single" w:sz="8" w:color="auto"/>
            </w:tcBorders>
            <w:shd w:val="clear" w:color="auto" w:fill="E0E7ED"/>
          </w:tcPr>
          <w:p>
            <w:pPr>
              <w:spacing w:after="0"/>
              <w:rPr>
                <w:sz w:val="21"/>
                <w:szCs w:val="21"/>
                <w:color w:val="auto"/>
              </w:rPr>
            </w:pPr>
          </w:p>
        </w:tc>
        <w:tc>
          <w:tcPr>
            <w:tcW w:w="11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1,408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156,534</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(16,736)</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139,829</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336,379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336,557</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107,305</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3"/>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(15,131)</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92,174</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1,279,090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(191,899)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1,087,210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159,236</w:t>
            </w: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363</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(6,548)</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2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153,051</w:t>
            </w: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2,039,952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1,810,221</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5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Amortized</w:t>
            </w: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rPr>
              <w:t>Unrecognized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vMerge w:val="restart"/>
          </w:tcPr>
          <w:p>
            <w:pPr>
              <w:jc w:val="center"/>
              <w:ind w:right="215"/>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61"/>
        </w:trPr>
        <w:tc>
          <w:tcPr>
            <w:tcW w:w="5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Gross Gains</w:t>
            </w:r>
          </w:p>
        </w:tc>
        <w:tc>
          <w:tcPr>
            <w:tcW w:w="160" w:type="dxa"/>
            <w:vAlign w:val="bottom"/>
          </w:tcPr>
          <w:p>
            <w:pPr>
              <w:spacing w:after="0"/>
              <w:rPr>
                <w:sz w:val="5"/>
                <w:szCs w:val="5"/>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Losses</w:t>
            </w: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center"/>
              <w:ind w:right="215"/>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50"/>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20" w:type="dxa"/>
            <w:vAlign w:val="bottom"/>
            <w:tcBorders>
              <w:top w:val="single" w:sz="8" w:color="auto"/>
            </w:tcBorders>
            <w:shd w:val="clear" w:color="auto" w:fill="E0E7ED"/>
          </w:tcPr>
          <w:p>
            <w:pPr>
              <w:spacing w:after="0"/>
              <w:rPr>
                <w:sz w:val="21"/>
                <w:szCs w:val="21"/>
                <w:color w:val="auto"/>
              </w:rPr>
            </w:pPr>
          </w:p>
        </w:tc>
        <w:tc>
          <w:tcPr>
            <w:tcW w:w="11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415,530</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ind w:left="9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(77,242)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338,288</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2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411,100</w:t>
            </w: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80" w:type="dxa"/>
            <w:vAlign w:val="bottom"/>
            <w:tcBorders>
              <w:bottom w:val="single" w:sz="8" w:color="E0E7ED"/>
            </w:tcBorders>
            <w:gridSpan w:val="3"/>
            <w:shd w:val="clear" w:color="auto" w:fill="E0E7ED"/>
          </w:tcPr>
          <w:p>
            <w:pPr>
              <w:ind w:left="9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(74,335)</w:t>
            </w:r>
          </w:p>
        </w:tc>
        <w:tc>
          <w:tcPr>
            <w:tcW w:w="2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2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336,765</w:t>
            </w: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color w:val="auto"/>
              </w:rPr>
              <w:t>Total debt securities held to maturity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826,630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(151,577)</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675,053</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This table includes debt securities marked at par, with no gain or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 of Debt Securities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As of June 30, 2025</w:t>
            </w:r>
          </w:p>
        </w:tc>
        <w:tc>
          <w:tcPr>
            <w:tcW w:w="0" w:type="dxa"/>
            <w:vAlign w:val="bottom"/>
          </w:tcPr>
          <w:p>
            <w:pPr>
              <w:spacing w:after="0"/>
              <w:rPr>
                <w:sz w:val="1"/>
                <w:szCs w:val="1"/>
                <w:color w:val="auto"/>
              </w:rPr>
            </w:pPr>
          </w:p>
        </w:tc>
      </w:tr>
      <w:tr>
        <w:trPr>
          <w:trHeight w:val="142"/>
        </w:trPr>
        <w:tc>
          <w:tcPr>
            <w:tcW w:w="8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Amortized</w:t>
            </w:r>
          </w:p>
        </w:tc>
        <w:tc>
          <w:tcPr>
            <w:tcW w:w="320" w:type="dxa"/>
            <w:vAlign w:val="bottom"/>
          </w:tcPr>
          <w:p>
            <w:pPr>
              <w:spacing w:after="0"/>
              <w:rPr>
                <w:sz w:val="12"/>
                <w:szCs w:val="12"/>
                <w:color w:val="auto"/>
              </w:rPr>
            </w:pPr>
          </w:p>
        </w:tc>
        <w:tc>
          <w:tcPr>
            <w:tcW w:w="106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8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5"/>
                <w:szCs w:val="15"/>
                <w:color w:val="auto"/>
              </w:rPr>
            </w:pPr>
          </w:p>
        </w:tc>
        <w:tc>
          <w:tcPr>
            <w:tcW w:w="1060" w:type="dxa"/>
            <w:vAlign w:val="bottom"/>
          </w:tcPr>
          <w:p>
            <w:pPr>
              <w:jc w:val="right"/>
              <w:ind w:right="41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3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100" w:type="dxa"/>
            <w:vAlign w:val="bottom"/>
            <w:tcBorders>
              <w:top w:val="single" w:sz="8" w:color="E0E7ED"/>
            </w:tcBorders>
            <w:shd w:val="clear" w:color="auto" w:fill="E0E7ED"/>
          </w:tcPr>
          <w:p>
            <w:pPr>
              <w:spacing w:after="0"/>
              <w:rPr>
                <w:sz w:val="21"/>
                <w:szCs w:val="21"/>
                <w:color w:val="auto"/>
              </w:rPr>
            </w:pPr>
          </w:p>
        </w:tc>
        <w:tc>
          <w:tcPr>
            <w:tcW w:w="22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300" w:type="dxa"/>
            <w:vAlign w:val="bottom"/>
          </w:tcPr>
          <w:p>
            <w:pPr>
              <w:ind w:left="180"/>
              <w:spacing w:after="0"/>
              <w:rPr>
                <w:sz w:val="20"/>
                <w:szCs w:val="20"/>
                <w:color w:val="auto"/>
              </w:rPr>
            </w:pPr>
            <w:r>
              <w:rPr>
                <w:rFonts w:ascii="Arial" w:cs="Arial" w:eastAsia="Arial" w:hAnsi="Arial"/>
                <w:sz w:val="18"/>
                <w:szCs w:val="18"/>
                <w:color w:val="auto"/>
              </w:rPr>
              <w:t>Due in one year or less</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27,262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27,134</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52,667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47"/>
        </w:trPr>
        <w:tc>
          <w:tcPr>
            <w:tcW w:w="8300" w:type="dxa"/>
            <w:vAlign w:val="bottom"/>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446,705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431,576</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Due after ten years</w:t>
            </w:r>
          </w:p>
        </w:tc>
        <w:tc>
          <w:tcPr>
            <w:tcW w:w="10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1,868,030</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1,708,943</w:t>
            </w:r>
          </w:p>
        </w:tc>
        <w:tc>
          <w:tcPr>
            <w:tcW w:w="0" w:type="dxa"/>
            <w:vAlign w:val="bottom"/>
          </w:tcPr>
          <w:p>
            <w:pPr>
              <w:spacing w:after="0"/>
              <w:rPr>
                <w:sz w:val="1"/>
                <w:szCs w:val="1"/>
                <w:color w:val="auto"/>
              </w:rPr>
            </w:pPr>
          </w:p>
        </w:tc>
      </w:tr>
      <w:tr>
        <w:trPr>
          <w:trHeight w:val="263"/>
        </w:trPr>
        <w:tc>
          <w:tcPr>
            <w:tcW w:w="8300" w:type="dxa"/>
            <w:vAlign w:val="bottom"/>
          </w:tcPr>
          <w:p>
            <w:pPr>
              <w:ind w:left="20"/>
              <w:spacing w:after="0"/>
              <w:rPr>
                <w:sz w:val="20"/>
                <w:szCs w:val="20"/>
                <w:color w:val="auto"/>
              </w:rPr>
            </w:pPr>
            <w:r>
              <w:rPr>
                <w:rFonts w:ascii="Arial" w:cs="Arial" w:eastAsia="Arial" w:hAnsi="Arial"/>
                <w:sz w:val="18"/>
                <w:szCs w:val="18"/>
                <w:color w:val="auto"/>
              </w:rPr>
              <w:t>Debt securities available for sale</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2,394,664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2,217,788</w:t>
            </w:r>
          </w:p>
        </w:tc>
        <w:tc>
          <w:tcPr>
            <w:tcW w:w="0" w:type="dxa"/>
            <w:vAlign w:val="bottom"/>
          </w:tcPr>
          <w:p>
            <w:pPr>
              <w:spacing w:after="0"/>
              <w:rPr>
                <w:sz w:val="1"/>
                <w:szCs w:val="1"/>
                <w:color w:val="auto"/>
              </w:rPr>
            </w:pPr>
          </w:p>
        </w:tc>
      </w:tr>
      <w:tr>
        <w:trPr>
          <w:trHeight w:val="20"/>
        </w:trPr>
        <w:tc>
          <w:tcPr>
            <w:tcW w:w="83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8300" w:type="dxa"/>
            <w:vAlign w:val="bottom"/>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3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Due in one year or less</w:t>
            </w:r>
          </w:p>
        </w:tc>
        <w:tc>
          <w:tcPr>
            <w:tcW w:w="320" w:type="dxa"/>
            <w:vAlign w:val="bottom"/>
            <w:tcBorders>
              <w:bottom w:val="single" w:sz="8" w:color="E0E7ED"/>
            </w:tcBorders>
            <w:gridSpan w:val="2"/>
            <w:shd w:val="clear" w:color="auto" w:fill="E0E7ED"/>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16,804</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16,708</w:t>
            </w:r>
          </w:p>
        </w:tc>
        <w:tc>
          <w:tcPr>
            <w:tcW w:w="0" w:type="dxa"/>
            <w:vAlign w:val="bottom"/>
          </w:tcPr>
          <w:p>
            <w:pPr>
              <w:spacing w:after="0"/>
              <w:rPr>
                <w:sz w:val="1"/>
                <w:szCs w:val="1"/>
                <w:color w:val="auto"/>
              </w:rPr>
            </w:pPr>
          </w:p>
        </w:tc>
      </w:tr>
      <w:tr>
        <w:trPr>
          <w:trHeight w:val="247"/>
        </w:trPr>
        <w:tc>
          <w:tcPr>
            <w:tcW w:w="8300" w:type="dxa"/>
            <w:vAlign w:val="bottom"/>
          </w:tcPr>
          <w:p>
            <w:pPr>
              <w:ind w:left="18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59,889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57,757</w:t>
            </w:r>
          </w:p>
        </w:tc>
        <w:tc>
          <w:tcPr>
            <w:tcW w:w="0" w:type="dxa"/>
            <w:vAlign w:val="bottom"/>
          </w:tcPr>
          <w:p>
            <w:pPr>
              <w:spacing w:after="0"/>
              <w:rPr>
                <w:sz w:val="1"/>
                <w:szCs w:val="1"/>
                <w:color w:val="auto"/>
              </w:rPr>
            </w:pPr>
          </w:p>
        </w:tc>
      </w:tr>
      <w:tr>
        <w:trPr>
          <w:trHeight w:val="23"/>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14,710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13,127</w:t>
            </w:r>
          </w:p>
        </w:tc>
        <w:tc>
          <w:tcPr>
            <w:tcW w:w="0" w:type="dxa"/>
            <w:vAlign w:val="bottom"/>
          </w:tcPr>
          <w:p>
            <w:pPr>
              <w:spacing w:after="0"/>
              <w:rPr>
                <w:sz w:val="1"/>
                <w:szCs w:val="1"/>
                <w:color w:val="auto"/>
              </w:rPr>
            </w:pPr>
          </w:p>
        </w:tc>
      </w:tr>
      <w:tr>
        <w:trPr>
          <w:trHeight w:val="247"/>
        </w:trPr>
        <w:tc>
          <w:tcPr>
            <w:tcW w:w="8300" w:type="dxa"/>
            <w:vAlign w:val="bottom"/>
          </w:tcPr>
          <w:p>
            <w:pPr>
              <w:ind w:left="180"/>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711,562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582,940</w:t>
            </w:r>
          </w:p>
        </w:tc>
        <w:tc>
          <w:tcPr>
            <w:tcW w:w="0" w:type="dxa"/>
            <w:vAlign w:val="bottom"/>
          </w:tcPr>
          <w:p>
            <w:pPr>
              <w:spacing w:after="0"/>
              <w:rPr>
                <w:sz w:val="1"/>
                <w:szCs w:val="1"/>
                <w:color w:val="auto"/>
              </w:rPr>
            </w:pPr>
          </w:p>
        </w:tc>
      </w:tr>
      <w:tr>
        <w:trPr>
          <w:trHeight w:val="23"/>
        </w:trPr>
        <w:tc>
          <w:tcPr>
            <w:tcW w:w="830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held to maturity</w:t>
            </w:r>
          </w:p>
        </w:tc>
        <w:tc>
          <w:tcPr>
            <w:tcW w:w="320" w:type="dxa"/>
            <w:vAlign w:val="bottom"/>
            <w:tcBorders>
              <w:bottom w:val="single" w:sz="8" w:color="auto"/>
            </w:tcBorders>
            <w:gridSpan w:val="2"/>
            <w:shd w:val="clear" w:color="auto" w:fill="E0E7ED"/>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802,965</w:t>
            </w:r>
          </w:p>
        </w:tc>
        <w:tc>
          <w:tcPr>
            <w:tcW w:w="100" w:type="dxa"/>
            <w:vAlign w:val="bottom"/>
            <w:tcBorders>
              <w:bottom w:val="single" w:sz="8" w:color="auto"/>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670,532</w:t>
            </w:r>
          </w:p>
        </w:tc>
        <w:tc>
          <w:tcPr>
            <w:tcW w:w="0" w:type="dxa"/>
            <w:vAlign w:val="bottom"/>
          </w:tcPr>
          <w:p>
            <w:pPr>
              <w:spacing w:after="0"/>
              <w:rPr>
                <w:sz w:val="1"/>
                <w:szCs w:val="1"/>
                <w:color w:val="auto"/>
              </w:rPr>
            </w:pPr>
          </w:p>
        </w:tc>
      </w:tr>
      <w:tr>
        <w:trPr>
          <w:trHeight w:val="20"/>
        </w:trPr>
        <w:tc>
          <w:tcPr>
            <w:tcW w:w="83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bottom w:val="single" w:sz="8" w:color="auto"/>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Debt Securities Available for Sale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and calls of debt securities available for sale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0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Realized gains and losses on debt securities</w:t>
            </w:r>
          </w:p>
        </w:tc>
        <w:tc>
          <w:tcPr>
            <w:tcW w:w="102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Gross gains on debt securities</w:t>
            </w:r>
          </w:p>
        </w:tc>
        <w:tc>
          <w:tcPr>
            <w:tcW w:w="1020" w:type="dxa"/>
            <w:vAlign w:val="bottom"/>
          </w:tcPr>
          <w:p>
            <w:pPr>
              <w:jc w:val="right"/>
              <w:ind w:right="819"/>
              <w:spacing w:after="0"/>
              <w:rPr>
                <w:sz w:val="20"/>
                <w:szCs w:val="20"/>
                <w:color w:val="auto"/>
              </w:rPr>
            </w:pPr>
            <w:r>
              <w:rPr>
                <w:rFonts w:ascii="Arial" w:cs="Arial" w:eastAsia="Arial" w:hAnsi="Arial"/>
                <w:sz w:val="18"/>
                <w:szCs w:val="18"/>
                <w:color w:val="auto"/>
                <w:w w:val="9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
        </w:trPr>
        <w:tc>
          <w:tcPr>
            <w:tcW w:w="5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Gross (losses) on debt securities</w:t>
            </w:r>
            <w:r>
              <w:rPr>
                <w:rFonts w:ascii="Arial" w:cs="Arial" w:eastAsia="Arial" w:hAnsi="Arial"/>
                <w:sz w:val="23"/>
                <w:szCs w:val="23"/>
                <w:color w:val="auto"/>
                <w:vertAlign w:val="superscript"/>
              </w:rPr>
              <w:t>1</w:t>
            </w:r>
          </w:p>
        </w:tc>
        <w:tc>
          <w:tcPr>
            <w:tcW w:w="1020" w:type="dxa"/>
            <w:vAlign w:val="bottom"/>
            <w:tcBorders>
              <w:bottom w:val="single" w:sz="8" w:color="auto"/>
            </w:tcBorders>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(15,545)</w:t>
            </w:r>
          </w:p>
        </w:tc>
        <w:tc>
          <w:tcPr>
            <w:tcW w:w="100" w:type="dxa"/>
            <w:vAlign w:val="bottom"/>
            <w:shd w:val="clear" w:color="auto" w:fill="E0E7ED"/>
          </w:tcPr>
          <w:p>
            <w:pPr>
              <w:spacing w:after="0"/>
              <w:rPr>
                <w:sz w:val="23"/>
                <w:szCs w:val="23"/>
                <w:color w:val="auto"/>
              </w:rPr>
            </w:pPr>
          </w:p>
        </w:tc>
        <w:tc>
          <w:tcPr>
            <w:tcW w:w="320" w:type="dxa"/>
            <w:vAlign w:val="bottom"/>
            <w:tcBorders>
              <w:bottom w:val="single" w:sz="8" w:color="auto"/>
            </w:tcBorders>
            <w:shd w:val="clear" w:color="auto" w:fill="E0E7ED"/>
          </w:tcPr>
          <w:p>
            <w:pPr>
              <w:spacing w:after="0"/>
              <w:rPr>
                <w:sz w:val="23"/>
                <w:szCs w:val="23"/>
                <w:color w:val="auto"/>
              </w:rPr>
            </w:pP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(6,807)</w:t>
            </w:r>
          </w:p>
        </w:tc>
      </w:tr>
      <w:tr>
        <w:trPr>
          <w:trHeight w:val="263"/>
        </w:trPr>
        <w:tc>
          <w:tcPr>
            <w:tcW w:w="5500" w:type="dxa"/>
            <w:vAlign w:val="bottom"/>
          </w:tcPr>
          <w:p>
            <w:pPr>
              <w:ind w:left="20"/>
              <w:spacing w:after="0"/>
              <w:rPr>
                <w:sz w:val="20"/>
                <w:szCs w:val="20"/>
                <w:color w:val="auto"/>
              </w:rPr>
            </w:pPr>
            <w:r>
              <w:rPr>
                <w:rFonts w:ascii="Arial" w:cs="Arial" w:eastAsia="Arial" w:hAnsi="Arial"/>
                <w:sz w:val="18"/>
                <w:szCs w:val="18"/>
                <w:color w:val="auto"/>
              </w:rPr>
              <w:t>Realized net gains (losses) on debt securities</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40" w:type="dxa"/>
            <w:vAlign w:val="bottom"/>
            <w:tcBorders>
              <w:bottom w:val="single" w:sz="8" w:color="auto"/>
            </w:tcBorders>
          </w:tcPr>
          <w:p>
            <w:pPr>
              <w:jc w:val="right"/>
              <w:ind w:right="83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(15,536)</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w:t>
            </w:r>
          </w:p>
        </w:tc>
      </w:tr>
      <w:tr>
        <w:trPr>
          <w:trHeight w:val="20"/>
        </w:trPr>
        <w:tc>
          <w:tcPr>
            <w:tcW w:w="55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62" w:lineRule="auto"/>
        <w:tabs>
          <w:tab w:leader="none" w:pos="525" w:val="left"/>
        </w:tabs>
        <w:numPr>
          <w:ilvl w:val="0"/>
          <w:numId w:val="10"/>
        </w:numPr>
        <w:rPr>
          <w:rFonts w:ascii="Arial" w:cs="Arial" w:eastAsia="Arial" w:hAnsi="Arial"/>
          <w:sz w:val="14"/>
          <w:szCs w:val="14"/>
          <w:color w:val="auto"/>
        </w:rPr>
      </w:pPr>
      <w:r>
        <w:rPr>
          <w:rFonts w:ascii="Arial" w:cs="Arial" w:eastAsia="Arial" w:hAnsi="Arial"/>
          <w:sz w:val="14"/>
          <w:szCs w:val="14"/>
          <w:color w:val="auto"/>
        </w:rPr>
        <w:t>During the first quarter of 2025, Busey sold available for sale debt securities with a book value of approximately $205.6 million for a pre-tax loss of $15.5 million, as part of a balance sheet repositioning strategy. During the first quarter of 2024, Busey sold available for sale debt securities with a book value of approximately $108.2 million for a pre-tax loss of $6.8 million, as part of a balance sheet repositioning strategy.</w:t>
      </w:r>
    </w:p>
    <w:p>
      <w:pPr>
        <w:spacing w:after="0" w:line="15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Debt securities with carrying amounts of $ 762.5 million on June 30, 2025, and $871.4 million on December 31, 2024, were pledged as collateral for public deposits, securities sold under agreements to repurchase, and for other purposes as required.</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Securities in an Unrealized or Unrecognized Loss Position</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information pertains to debt securities with gross unrealized or unrecognized losses, aggregated by investment category and the length of time that individual securities have been in a continuous loss position: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As of June 30, 2025</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12 months or more</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2"/>
                <w:szCs w:val="12"/>
                <w:color w:val="auto"/>
              </w:rPr>
            </w:pPr>
          </w:p>
        </w:tc>
        <w:tc>
          <w:tcPr>
            <w:tcW w:w="8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8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6"/>
        </w:trPr>
        <w:tc>
          <w:tcPr>
            <w:tcW w:w="4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Losses</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top w:val="single" w:sz="8" w:color="auto"/>
            </w:tcBorders>
            <w:shd w:val="clear" w:color="auto" w:fill="E0E7ED"/>
          </w:tcPr>
          <w:p>
            <w:pPr>
              <w:spacing w:after="0"/>
              <w:rPr>
                <w:sz w:val="21"/>
                <w:szCs w:val="21"/>
                <w:color w:val="auto"/>
              </w:rPr>
            </w:pPr>
          </w:p>
        </w:tc>
        <w:tc>
          <w:tcPr>
            <w:tcW w:w="74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80"/>
              <w:spacing w:after="0"/>
              <w:rPr>
                <w:sz w:val="20"/>
                <w:szCs w:val="20"/>
                <w:color w:val="auto"/>
              </w:rPr>
            </w:pPr>
            <w:r>
              <w:rPr>
                <w:rFonts w:ascii="Arial" w:cs="Arial" w:eastAsia="Arial" w:hAnsi="Arial"/>
                <w:sz w:val="18"/>
                <w:szCs w:val="18"/>
                <w:color w:val="auto"/>
              </w:rPr>
              <w:t>agencies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94,032</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(403)</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94,184</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Borders>
              <w:bottom w:val="single" w:sz="8" w:color="E0E7ED"/>
            </w:tcBorders>
            <w:shd w:val="clear" w:color="auto" w:fill="E0E7ED"/>
          </w:tcPr>
          <w:p>
            <w:pPr>
              <w:spacing w:after="0"/>
              <w:rPr>
                <w:sz w:val="21"/>
                <w:szCs w:val="21"/>
                <w:color w:val="auto"/>
              </w:rPr>
            </w:pPr>
          </w:p>
        </w:tc>
        <w:tc>
          <w:tcPr>
            <w:tcW w:w="7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8"/>
              </w:rPr>
              <w:t>126,519</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(7,390)</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96,547</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(11,585)</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223,066</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(18,975)</w:t>
            </w: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7,914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72,293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(12,235)</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80,207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(12,297)</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7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8"/>
              </w:rPr>
              <w:t>125,548</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(385)</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796,367</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(147,433)</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921,915</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(147,818)</w:t>
            </w: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47,744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48,677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3"/>
        </w:trPr>
        <w:tc>
          <w:tcPr>
            <w:tcW w:w="476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76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Debt securities available for sale with gross unrealized</w:t>
            </w:r>
          </w:p>
        </w:tc>
        <w:tc>
          <w:tcPr>
            <w:tcW w:w="280" w:type="dxa"/>
            <w:vAlign w:val="bottom"/>
            <w:vMerge w:val="restart"/>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8"/>
              </w:rPr>
              <w:t>354,946</w:t>
            </w:r>
          </w:p>
        </w:tc>
        <w:tc>
          <w:tcPr>
            <w:tcW w:w="80" w:type="dxa"/>
            <w:vAlign w:val="bottom"/>
            <w:shd w:val="clear" w:color="auto" w:fill="E0E7ED"/>
          </w:tcPr>
          <w:p>
            <w:pPr>
              <w:spacing w:after="0"/>
              <w:rPr>
                <w:sz w:val="17"/>
                <w:szCs w:val="17"/>
                <w:color w:val="auto"/>
              </w:rPr>
            </w:pPr>
          </w:p>
        </w:tc>
        <w:tc>
          <w:tcPr>
            <w:tcW w:w="12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(8,246)</w:t>
            </w:r>
          </w:p>
        </w:tc>
        <w:tc>
          <w:tcPr>
            <w:tcW w:w="80" w:type="dxa"/>
            <w:vAlign w:val="bottom"/>
            <w:shd w:val="clear" w:color="auto" w:fill="E0E7ED"/>
          </w:tcPr>
          <w:p>
            <w:pPr>
              <w:spacing w:after="0"/>
              <w:rPr>
                <w:sz w:val="17"/>
                <w:szCs w:val="17"/>
                <w:color w:val="auto"/>
              </w:rPr>
            </w:pPr>
          </w:p>
        </w:tc>
        <w:tc>
          <w:tcPr>
            <w:tcW w:w="1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7"/>
              </w:rPr>
              <w:t>1,013,103</w:t>
            </w:r>
          </w:p>
        </w:tc>
        <w:tc>
          <w:tcPr>
            <w:tcW w:w="80" w:type="dxa"/>
            <w:vAlign w:val="bottom"/>
            <w:shd w:val="clear" w:color="auto" w:fill="E0E7ED"/>
          </w:tcPr>
          <w:p>
            <w:pPr>
              <w:spacing w:after="0"/>
              <w:rPr>
                <w:sz w:val="17"/>
                <w:szCs w:val="17"/>
                <w:color w:val="auto"/>
              </w:rPr>
            </w:pPr>
          </w:p>
        </w:tc>
        <w:tc>
          <w:tcPr>
            <w:tcW w:w="140" w:type="dxa"/>
            <w:vAlign w:val="bottom"/>
            <w:vMerge w:val="restart"/>
            <w:shd w:val="clear" w:color="auto" w:fill="E0E7ED"/>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(173,986)</w:t>
            </w:r>
          </w:p>
        </w:tc>
        <w:tc>
          <w:tcPr>
            <w:tcW w:w="80" w:type="dxa"/>
            <w:vAlign w:val="bottom"/>
            <w:shd w:val="clear" w:color="auto" w:fill="E0E7ED"/>
          </w:tcPr>
          <w:p>
            <w:pPr>
              <w:spacing w:after="0"/>
              <w:rPr>
                <w:sz w:val="17"/>
                <w:szCs w:val="17"/>
                <w:color w:val="auto"/>
              </w:rPr>
            </w:pPr>
          </w:p>
        </w:tc>
        <w:tc>
          <w:tcPr>
            <w:tcW w:w="12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97"/>
              </w:rPr>
              <w:t>1,368,049</w:t>
            </w:r>
          </w:p>
        </w:tc>
        <w:tc>
          <w:tcPr>
            <w:tcW w:w="80" w:type="dxa"/>
            <w:vAlign w:val="bottom"/>
            <w:shd w:val="clear" w:color="auto" w:fill="E0E7ED"/>
          </w:tcPr>
          <w:p>
            <w:pPr>
              <w:spacing w:after="0"/>
              <w:rPr>
                <w:sz w:val="17"/>
                <w:szCs w:val="17"/>
                <w:color w:val="auto"/>
              </w:rPr>
            </w:pPr>
          </w:p>
        </w:tc>
        <w:tc>
          <w:tcPr>
            <w:tcW w:w="140" w:type="dxa"/>
            <w:vAlign w:val="bottom"/>
            <w:vMerge w:val="restart"/>
            <w:shd w:val="clear" w:color="auto" w:fill="E0E7ED"/>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(182,232)</w:t>
            </w:r>
          </w:p>
        </w:tc>
        <w:tc>
          <w:tcPr>
            <w:tcW w:w="0" w:type="dxa"/>
            <w:vAlign w:val="bottom"/>
          </w:tcPr>
          <w:p>
            <w:pPr>
              <w:spacing w:after="0"/>
              <w:rPr>
                <w:sz w:val="1"/>
                <w:szCs w:val="1"/>
                <w:color w:val="auto"/>
              </w:rPr>
            </w:pPr>
          </w:p>
        </w:tc>
      </w:tr>
      <w:tr>
        <w:trPr>
          <w:trHeight w:val="255"/>
        </w:trPr>
        <w:tc>
          <w:tcPr>
            <w:tcW w:w="47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losses</w:t>
            </w:r>
          </w:p>
        </w:tc>
        <w:tc>
          <w:tcPr>
            <w:tcW w:w="280" w:type="dxa"/>
            <w:vAlign w:val="bottom"/>
            <w:tcBorders>
              <w:bottom w:val="single" w:sz="8" w:color="auto"/>
            </w:tcBorders>
            <w:vMerge w:val="continue"/>
            <w:shd w:val="clear" w:color="auto" w:fill="E0E7ED"/>
          </w:tcPr>
          <w:p>
            <w:pPr>
              <w:spacing w:after="0"/>
              <w:rPr>
                <w:sz w:val="22"/>
                <w:szCs w:val="22"/>
                <w:color w:val="auto"/>
              </w:rPr>
            </w:pPr>
          </w:p>
        </w:tc>
        <w:tc>
          <w:tcPr>
            <w:tcW w:w="74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2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2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7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2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020" w:type="dxa"/>
            <w:vAlign w:val="bottom"/>
            <w:tcBorders>
              <w:top w:val="single" w:sz="8" w:color="E0E7ED"/>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ind w:left="24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Unrecognized</w:t>
            </w:r>
          </w:p>
        </w:tc>
        <w:tc>
          <w:tcPr>
            <w:tcW w:w="12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76"/>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80" w:type="dxa"/>
            <w:vAlign w:val="bottom"/>
            <w:tcBorders>
              <w:top w:val="single" w:sz="8" w:color="E0E7ED"/>
            </w:tcBorders>
            <w:shd w:val="clear" w:color="auto" w:fill="E0E7ED"/>
          </w:tcPr>
          <w:p>
            <w:pPr>
              <w:spacing w:after="0"/>
              <w:rPr>
                <w:sz w:val="21"/>
                <w:szCs w:val="21"/>
                <w:color w:val="auto"/>
              </w:rPr>
            </w:pPr>
          </w:p>
        </w:tc>
        <w:tc>
          <w:tcPr>
            <w:tcW w:w="74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E0E7ED"/>
            </w:tcBorders>
            <w:shd w:val="clear" w:color="auto" w:fill="E0E7ED"/>
          </w:tcPr>
          <w:p>
            <w:pPr>
              <w:spacing w:after="0"/>
              <w:rPr>
                <w:sz w:val="21"/>
                <w:szCs w:val="21"/>
                <w:color w:val="auto"/>
              </w:rPr>
            </w:pPr>
          </w:p>
        </w:tc>
        <w:tc>
          <w:tcPr>
            <w:tcW w:w="88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336,629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(70,772)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336,629</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(70,772)</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E0E7ED"/>
            </w:tcBorders>
            <w:shd w:val="clear" w:color="auto" w:fill="E0E7ED"/>
          </w:tcPr>
          <w:p>
            <w:pPr>
              <w:spacing w:after="0"/>
              <w:rPr>
                <w:sz w:val="23"/>
                <w:szCs w:val="23"/>
                <w:color w:val="auto"/>
              </w:rPr>
            </w:pPr>
          </w:p>
        </w:tc>
        <w:tc>
          <w:tcPr>
            <w:tcW w:w="74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333,903</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(61,661)</w:t>
            </w: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333,903</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(61,661)</w:t>
            </w:r>
          </w:p>
        </w:tc>
        <w:tc>
          <w:tcPr>
            <w:tcW w:w="0" w:type="dxa"/>
            <w:vAlign w:val="bottom"/>
          </w:tcPr>
          <w:p>
            <w:pPr>
              <w:spacing w:after="0"/>
              <w:rPr>
                <w:sz w:val="1"/>
                <w:szCs w:val="1"/>
                <w:color w:val="auto"/>
              </w:rPr>
            </w:pPr>
          </w:p>
        </w:tc>
      </w:tr>
      <w:tr>
        <w:trPr>
          <w:trHeight w:val="264"/>
        </w:trPr>
        <w:tc>
          <w:tcPr>
            <w:tcW w:w="5040" w:type="dxa"/>
            <w:vAlign w:val="bottom"/>
            <w:gridSpan w:val="2"/>
          </w:tcPr>
          <w:p>
            <w:pPr>
              <w:ind w:left="20"/>
              <w:spacing w:after="0"/>
              <w:rPr>
                <w:sz w:val="20"/>
                <w:szCs w:val="20"/>
                <w:color w:val="auto"/>
              </w:rPr>
            </w:pPr>
            <w:r>
              <w:rPr>
                <w:rFonts w:ascii="Arial" w:cs="Arial" w:eastAsia="Arial" w:hAnsi="Arial"/>
                <w:sz w:val="18"/>
                <w:szCs w:val="18"/>
                <w:color w:val="auto"/>
                <w:w w:val="99"/>
              </w:rPr>
              <w:t>Debt securities held to maturity with gross unrecognized losses</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(132,433)</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670,532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(132,433)</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As of December 31, 2024</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Less than 12 months</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more</w:t>
            </w: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2"/>
                <w:szCs w:val="12"/>
                <w:color w:val="auto"/>
              </w:rPr>
            </w:pPr>
          </w:p>
        </w:tc>
        <w:tc>
          <w:tcPr>
            <w:tcW w:w="82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96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96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2"/>
                <w:szCs w:val="12"/>
                <w:color w:val="auto"/>
              </w:rPr>
            </w:pPr>
          </w:p>
        </w:tc>
        <w:tc>
          <w:tcPr>
            <w:tcW w:w="8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75"/>
        </w:trPr>
        <w:tc>
          <w:tcPr>
            <w:tcW w:w="47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Losses</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280" w:type="dxa"/>
            <w:vAlign w:val="bottom"/>
            <w:tcBorders>
              <w:top w:val="single" w:sz="8" w:color="auto"/>
            </w:tcBorders>
            <w:shd w:val="clear" w:color="auto" w:fill="E0E7ED"/>
          </w:tcPr>
          <w:p>
            <w:pPr>
              <w:spacing w:after="0"/>
              <w:rPr>
                <w:sz w:val="21"/>
                <w:szCs w:val="21"/>
                <w:color w:val="auto"/>
              </w:rPr>
            </w:pPr>
          </w:p>
        </w:tc>
        <w:tc>
          <w:tcPr>
            <w:tcW w:w="74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60" w:type="dxa"/>
            <w:vAlign w:val="bottom"/>
          </w:tcPr>
          <w:p>
            <w:pPr>
              <w:ind w:left="180"/>
              <w:spacing w:after="0"/>
              <w:rPr>
                <w:sz w:val="20"/>
                <w:szCs w:val="20"/>
                <w:color w:val="auto"/>
              </w:rPr>
            </w:pPr>
            <w:r>
              <w:rPr>
                <w:rFonts w:ascii="Arial" w:cs="Arial" w:eastAsia="Arial" w:hAnsi="Arial"/>
                <w:sz w:val="18"/>
                <w:szCs w:val="18"/>
                <w:color w:val="auto"/>
              </w:rPr>
              <w:t>agencies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Borders>
              <w:bottom w:val="single" w:sz="8" w:color="E0E7ED"/>
            </w:tcBorders>
            <w:shd w:val="clear" w:color="auto" w:fill="E0E7ED"/>
          </w:tcPr>
          <w:p>
            <w:pPr>
              <w:spacing w:after="0"/>
              <w:rPr>
                <w:sz w:val="21"/>
                <w:szCs w:val="21"/>
                <w:color w:val="auto"/>
              </w:rPr>
            </w:pPr>
          </w:p>
        </w:tc>
        <w:tc>
          <w:tcPr>
            <w:tcW w:w="7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11,234</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(209)</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119,723</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(16,527)</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130,957</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14,997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14,997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7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6,238</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85,936</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(15,089)</w:t>
            </w:r>
          </w:p>
        </w:tc>
        <w:tc>
          <w:tcPr>
            <w:tcW w:w="8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92,174</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(15,131)</w:t>
            </w: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152,081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930,642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(191,259)</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1,082,723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(191,899)</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E0E7ED"/>
            </w:tcBorders>
            <w:shd w:val="clear" w:color="auto" w:fill="E0E7ED"/>
          </w:tcPr>
          <w:p>
            <w:pPr>
              <w:spacing w:after="0"/>
              <w:rPr>
                <w:sz w:val="23"/>
                <w:szCs w:val="23"/>
                <w:color w:val="auto"/>
              </w:rPr>
            </w:pPr>
          </w:p>
        </w:tc>
        <w:tc>
          <w:tcPr>
            <w:tcW w:w="7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598</w:t>
            </w: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143,966</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(6,547)</w:t>
            </w: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144,564</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204"/>
        </w:trPr>
        <w:tc>
          <w:tcPr>
            <w:tcW w:w="4760" w:type="dxa"/>
            <w:vAlign w:val="bottom"/>
          </w:tcPr>
          <w:p>
            <w:pPr>
              <w:ind w:left="20"/>
              <w:spacing w:after="0" w:line="204" w:lineRule="exact"/>
              <w:rPr>
                <w:sz w:val="20"/>
                <w:szCs w:val="20"/>
                <w:color w:val="auto"/>
              </w:rPr>
            </w:pPr>
            <w:r>
              <w:rPr>
                <w:rFonts w:ascii="Arial" w:cs="Arial" w:eastAsia="Arial" w:hAnsi="Arial"/>
                <w:sz w:val="18"/>
                <w:szCs w:val="18"/>
                <w:color w:val="auto"/>
              </w:rPr>
              <w:t>Debt securities available for sale with gross unrealized</w:t>
            </w: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8"/>
              </w:rPr>
              <w:t>185,148</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(895)</w:t>
            </w:r>
          </w:p>
        </w:tc>
        <w:tc>
          <w:tcPr>
            <w:tcW w:w="8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1,281,595</w:t>
            </w:r>
          </w:p>
        </w:tc>
        <w:tc>
          <w:tcPr>
            <w:tcW w:w="80" w:type="dxa"/>
            <w:vAlign w:val="bottom"/>
          </w:tcPr>
          <w:p>
            <w:pPr>
              <w:spacing w:after="0"/>
              <w:rPr>
                <w:sz w:val="17"/>
                <w:szCs w:val="17"/>
                <w:color w:val="auto"/>
              </w:rPr>
            </w:pPr>
          </w:p>
        </w:tc>
        <w:tc>
          <w:tcPr>
            <w:tcW w:w="10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 (229,430)</w:t>
            </w:r>
          </w:p>
        </w:tc>
        <w:tc>
          <w:tcPr>
            <w:tcW w:w="8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7"/>
              </w:rPr>
              <w:t>1,466,743</w:t>
            </w:r>
          </w:p>
        </w:tc>
        <w:tc>
          <w:tcPr>
            <w:tcW w:w="80" w:type="dxa"/>
            <w:vAlign w:val="bottom"/>
          </w:tcPr>
          <w:p>
            <w:pPr>
              <w:spacing w:after="0"/>
              <w:rPr>
                <w:sz w:val="17"/>
                <w:szCs w:val="17"/>
                <w:color w:val="auto"/>
              </w:rPr>
            </w:pPr>
          </w:p>
        </w:tc>
        <w:tc>
          <w:tcPr>
            <w:tcW w:w="102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rPr>
              <w:t>$ (230,325)</w:t>
            </w:r>
          </w:p>
        </w:tc>
        <w:tc>
          <w:tcPr>
            <w:tcW w:w="0" w:type="dxa"/>
            <w:vAlign w:val="bottom"/>
          </w:tcPr>
          <w:p>
            <w:pPr>
              <w:spacing w:after="0"/>
              <w:rPr>
                <w:sz w:val="1"/>
                <w:szCs w:val="1"/>
                <w:color w:val="auto"/>
              </w:rPr>
            </w:pPr>
          </w:p>
        </w:tc>
      </w:tr>
      <w:tr>
        <w:trPr>
          <w:trHeight w:val="240"/>
        </w:trPr>
        <w:tc>
          <w:tcPr>
            <w:tcW w:w="4760" w:type="dxa"/>
            <w:vAlign w:val="bottom"/>
          </w:tcPr>
          <w:p>
            <w:pPr>
              <w:ind w:left="20"/>
              <w:spacing w:after="0"/>
              <w:rPr>
                <w:sz w:val="20"/>
                <w:szCs w:val="20"/>
                <w:color w:val="auto"/>
              </w:rPr>
            </w:pPr>
            <w:r>
              <w:rPr>
                <w:rFonts w:ascii="Arial" w:cs="Arial" w:eastAsia="Arial" w:hAnsi="Arial"/>
                <w:sz w:val="18"/>
                <w:szCs w:val="18"/>
                <w:color w:val="auto"/>
              </w:rPr>
              <w:t>losses</w:t>
            </w:r>
          </w:p>
        </w:tc>
        <w:tc>
          <w:tcPr>
            <w:tcW w:w="280" w:type="dxa"/>
            <w:vAlign w:val="bottom"/>
            <w:tcBorders>
              <w:bottom w:val="single" w:sz="8" w:color="auto"/>
            </w:tcBorders>
            <w:vMerge w:val="continue"/>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4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100" w:type="dxa"/>
            <w:vAlign w:val="bottom"/>
            <w:gridSpan w:val="3"/>
          </w:tcPr>
          <w:p>
            <w:pPr>
              <w:ind w:left="40"/>
              <w:spacing w:after="0"/>
              <w:rPr>
                <w:sz w:val="20"/>
                <w:szCs w:val="20"/>
                <w:color w:val="auto"/>
              </w:rPr>
            </w:pPr>
            <w:r>
              <w:rPr>
                <w:rFonts w:ascii="Arial" w:cs="Arial" w:eastAsia="Arial" w:hAnsi="Arial"/>
                <w:sz w:val="14"/>
                <w:szCs w:val="14"/>
                <w:b w:val="1"/>
                <w:bCs w:val="1"/>
                <w:color w:val="auto"/>
              </w:rPr>
              <w:t>Unrecognized</w:t>
            </w:r>
          </w:p>
        </w:tc>
        <w:tc>
          <w:tcPr>
            <w:tcW w:w="120" w:type="dxa"/>
            <w:vAlign w:val="bottom"/>
          </w:tcPr>
          <w:p>
            <w:pPr>
              <w:spacing w:after="0"/>
              <w:rPr>
                <w:sz w:val="24"/>
                <w:szCs w:val="24"/>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Unrecognized</w:t>
            </w:r>
          </w:p>
        </w:tc>
        <w:tc>
          <w:tcPr>
            <w:tcW w:w="0" w:type="dxa"/>
            <w:vAlign w:val="bottom"/>
          </w:tcPr>
          <w:p>
            <w:pPr>
              <w:spacing w:after="0"/>
              <w:rPr>
                <w:sz w:val="1"/>
                <w:szCs w:val="1"/>
                <w:color w:val="auto"/>
              </w:rPr>
            </w:pPr>
          </w:p>
        </w:tc>
      </w:tr>
      <w:tr>
        <w:trPr>
          <w:trHeight w:val="175"/>
        </w:trPr>
        <w:tc>
          <w:tcPr>
            <w:tcW w:w="4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5"/>
                <w:szCs w:val="15"/>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5"/>
                <w:szCs w:val="15"/>
                <w:color w:val="auto"/>
              </w:rPr>
            </w:pPr>
          </w:p>
        </w:tc>
        <w:tc>
          <w:tcPr>
            <w:tcW w:w="880" w:type="dxa"/>
            <w:vAlign w:val="bottom"/>
          </w:tcPr>
          <w:p>
            <w:pPr>
              <w:jc w:val="right"/>
              <w:ind w:right="175"/>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50"/>
        </w:trPr>
        <w:tc>
          <w:tcPr>
            <w:tcW w:w="47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Debt securities held to maturity</w:t>
            </w:r>
          </w:p>
        </w:tc>
        <w:tc>
          <w:tcPr>
            <w:tcW w:w="280" w:type="dxa"/>
            <w:vAlign w:val="bottom"/>
            <w:tcBorders>
              <w:top w:val="single" w:sz="8" w:color="E0E7ED"/>
            </w:tcBorders>
            <w:shd w:val="clear" w:color="auto" w:fill="E0E7ED"/>
          </w:tcPr>
          <w:p>
            <w:pPr>
              <w:spacing w:after="0"/>
              <w:rPr>
                <w:sz w:val="21"/>
                <w:szCs w:val="21"/>
                <w:color w:val="auto"/>
              </w:rPr>
            </w:pPr>
          </w:p>
        </w:tc>
        <w:tc>
          <w:tcPr>
            <w:tcW w:w="74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E0E7ED"/>
            </w:tcBorders>
            <w:shd w:val="clear" w:color="auto" w:fill="E0E7ED"/>
          </w:tcPr>
          <w:p>
            <w:pPr>
              <w:spacing w:after="0"/>
              <w:rPr>
                <w:sz w:val="21"/>
                <w:szCs w:val="21"/>
                <w:color w:val="auto"/>
              </w:rPr>
            </w:pPr>
          </w:p>
        </w:tc>
        <w:tc>
          <w:tcPr>
            <w:tcW w:w="88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760" w:type="dxa"/>
            <w:vAlign w:val="bottom"/>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338,288</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(77,242)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338,288</w:t>
            </w:r>
          </w:p>
        </w:tc>
        <w:tc>
          <w:tcPr>
            <w:tcW w:w="8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(77,242)</w:t>
            </w:r>
          </w:p>
        </w:tc>
        <w:tc>
          <w:tcPr>
            <w:tcW w:w="0" w:type="dxa"/>
            <w:vAlign w:val="bottom"/>
          </w:tcPr>
          <w:p>
            <w:pPr>
              <w:spacing w:after="0"/>
              <w:rPr>
                <w:sz w:val="1"/>
                <w:szCs w:val="1"/>
                <w:color w:val="auto"/>
              </w:rPr>
            </w:pPr>
          </w:p>
        </w:tc>
      </w:tr>
      <w:tr>
        <w:trPr>
          <w:trHeight w:val="23"/>
        </w:trPr>
        <w:tc>
          <w:tcPr>
            <w:tcW w:w="4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Borders>
              <w:bottom w:val="single" w:sz="8" w:color="E0E7ED"/>
            </w:tcBorders>
            <w:shd w:val="clear" w:color="auto" w:fill="E0E7ED"/>
          </w:tcPr>
          <w:p>
            <w:pPr>
              <w:spacing w:after="0"/>
              <w:rPr>
                <w:sz w:val="23"/>
                <w:szCs w:val="23"/>
                <w:color w:val="auto"/>
              </w:rPr>
            </w:pPr>
          </w:p>
        </w:tc>
        <w:tc>
          <w:tcPr>
            <w:tcW w:w="74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336,765</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(74,335)</w:t>
            </w:r>
          </w:p>
        </w:tc>
        <w:tc>
          <w:tcPr>
            <w:tcW w:w="80" w:type="dxa"/>
            <w:vAlign w:val="bottom"/>
            <w:tcBorders>
              <w:bottom w:val="single" w:sz="8" w:color="E0E7ED"/>
            </w:tcBorders>
            <w:shd w:val="clear" w:color="auto" w:fill="E0E7ED"/>
          </w:tcPr>
          <w:p>
            <w:pPr>
              <w:spacing w:after="0"/>
              <w:rPr>
                <w:sz w:val="23"/>
                <w:szCs w:val="23"/>
                <w:color w:val="auto"/>
              </w:rPr>
            </w:pPr>
          </w:p>
        </w:tc>
        <w:tc>
          <w:tcPr>
            <w:tcW w:w="12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336,765</w:t>
            </w:r>
          </w:p>
        </w:tc>
        <w:tc>
          <w:tcPr>
            <w:tcW w:w="8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(74,335)</w:t>
            </w:r>
          </w:p>
        </w:tc>
        <w:tc>
          <w:tcPr>
            <w:tcW w:w="0" w:type="dxa"/>
            <w:vAlign w:val="bottom"/>
          </w:tcPr>
          <w:p>
            <w:pPr>
              <w:spacing w:after="0"/>
              <w:rPr>
                <w:sz w:val="1"/>
                <w:szCs w:val="1"/>
                <w:color w:val="auto"/>
              </w:rPr>
            </w:pPr>
          </w:p>
        </w:tc>
      </w:tr>
      <w:tr>
        <w:trPr>
          <w:trHeight w:val="264"/>
        </w:trPr>
        <w:tc>
          <w:tcPr>
            <w:tcW w:w="5040" w:type="dxa"/>
            <w:vAlign w:val="bottom"/>
            <w:gridSpan w:val="2"/>
          </w:tcPr>
          <w:p>
            <w:pPr>
              <w:ind w:left="20"/>
              <w:spacing w:after="0"/>
              <w:rPr>
                <w:sz w:val="20"/>
                <w:szCs w:val="20"/>
                <w:color w:val="auto"/>
              </w:rPr>
            </w:pPr>
            <w:r>
              <w:rPr>
                <w:rFonts w:ascii="Arial" w:cs="Arial" w:eastAsia="Arial" w:hAnsi="Arial"/>
                <w:sz w:val="18"/>
                <w:szCs w:val="18"/>
                <w:color w:val="auto"/>
                <w:w w:val="99"/>
              </w:rPr>
              <w:t>Debt securities held to maturity with gross unrecognized losses</w:t>
            </w: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675,053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(151,577)</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675,053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(151,577)</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debt securities in an unrealized or unrecognized loss position is presented in the tables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As of June 30, 2025</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83"/>
        </w:trPr>
        <w:tc>
          <w:tcPr>
            <w:tcW w:w="652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Available for Sale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Held to Maturity</w:t>
            </w: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43"/>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with gross unrealized or unrecognized losses, fair value</w:t>
            </w:r>
          </w:p>
        </w:tc>
        <w:tc>
          <w:tcPr>
            <w:tcW w:w="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0E7ED"/>
            </w:tcBorders>
            <w:shd w:val="clear" w:color="auto" w:fill="E0E7ED"/>
          </w:tcPr>
          <w:p>
            <w:pPr>
              <w:jc w:val="right"/>
              <w:ind w:right="133"/>
              <w:spacing w:after="0"/>
              <w:rPr>
                <w:sz w:val="20"/>
                <w:szCs w:val="20"/>
                <w:color w:val="auto"/>
              </w:rPr>
            </w:pPr>
            <w:r>
              <w:rPr>
                <w:rFonts w:ascii="Arial" w:cs="Arial" w:eastAsia="Arial" w:hAnsi="Arial"/>
                <w:sz w:val="18"/>
                <w:szCs w:val="18"/>
                <w:color w:val="auto"/>
              </w:rPr>
              <w:t>1,368,049</w:t>
            </w:r>
          </w:p>
        </w:tc>
        <w:tc>
          <w:tcPr>
            <w:tcW w:w="280" w:type="dxa"/>
            <w:vAlign w:val="bottom"/>
            <w:tcBorders>
              <w:bottom w:val="single" w:sz="8" w:color="E0E7ED"/>
            </w:tcBorders>
            <w:gridSpan w:val="3"/>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670,532</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2,038,581</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Gross unrealized or unrecognized losses on debt securities</w:t>
            </w:r>
          </w:p>
        </w:tc>
        <w:tc>
          <w:tcPr>
            <w:tcW w:w="1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182,232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132,433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314,665</w:t>
            </w:r>
          </w:p>
        </w:tc>
      </w:tr>
      <w:tr>
        <w:trPr>
          <w:trHeight w:val="2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6520" w:type="dxa"/>
            <w:vAlign w:val="bottom"/>
            <w:shd w:val="clear" w:color="auto" w:fill="E0E7ED"/>
          </w:tcPr>
          <w:p>
            <w:pPr>
              <w:ind w:left="20"/>
              <w:spacing w:after="0"/>
              <w:rPr>
                <w:sz w:val="20"/>
                <w:szCs w:val="20"/>
                <w:color w:val="auto"/>
              </w:rPr>
            </w:pPr>
            <w:r>
              <w:rPr>
                <w:rFonts w:ascii="Arial" w:cs="Arial" w:eastAsia="Arial" w:hAnsi="Arial"/>
                <w:sz w:val="18"/>
                <w:szCs w:val="18"/>
                <w:color w:val="auto"/>
              </w:rPr>
              <w:t>Ratio of gross unrealized or unrecognized losses to debt securities with gross</w:t>
            </w:r>
          </w:p>
        </w:tc>
        <w:tc>
          <w:tcPr>
            <w:tcW w:w="140" w:type="dxa"/>
            <w:vAlign w:val="bottom"/>
            <w:shd w:val="clear" w:color="auto" w:fill="E0E7ED"/>
          </w:tcPr>
          <w:p>
            <w:pPr>
              <w:spacing w:after="0"/>
              <w:rPr>
                <w:sz w:val="19"/>
                <w:szCs w:val="19"/>
                <w:color w:val="auto"/>
              </w:rPr>
            </w:pPr>
          </w:p>
        </w:tc>
        <w:tc>
          <w:tcPr>
            <w:tcW w:w="1360" w:type="dxa"/>
            <w:vAlign w:val="bottom"/>
            <w:shd w:val="clear" w:color="auto" w:fill="E0E7ED"/>
          </w:tcPr>
          <w:p>
            <w:pPr>
              <w:spacing w:after="0"/>
              <w:rPr>
                <w:sz w:val="19"/>
                <w:szCs w:val="19"/>
                <w:color w:val="auto"/>
              </w:rPr>
            </w:pPr>
          </w:p>
        </w:tc>
        <w:tc>
          <w:tcPr>
            <w:tcW w:w="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13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r>
      <w:tr>
        <w:trPr>
          <w:trHeight w:val="242"/>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unrealized or unrecognized losses</w:t>
            </w:r>
          </w:p>
        </w:tc>
        <w:tc>
          <w:tcPr>
            <w:tcW w:w="140" w:type="dxa"/>
            <w:vAlign w:val="bottom"/>
            <w:tcBorders>
              <w:bottom w:val="single" w:sz="8" w:color="E0E7ED"/>
            </w:tcBorders>
            <w:shd w:val="clear" w:color="auto" w:fill="E0E7ED"/>
          </w:tcPr>
          <w:p>
            <w:pPr>
              <w:spacing w:after="0"/>
              <w:rPr>
                <w:sz w:val="21"/>
                <w:szCs w:val="21"/>
                <w:color w:val="auto"/>
              </w:rPr>
            </w:pP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13.3 %</w:t>
            </w:r>
          </w:p>
        </w:tc>
        <w:tc>
          <w:tcPr>
            <w:tcW w:w="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19.8 %</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15.4 %</w:t>
            </w:r>
          </w:p>
        </w:tc>
      </w:tr>
      <w:tr>
        <w:trPr>
          <w:trHeight w:val="270"/>
        </w:trPr>
        <w:tc>
          <w:tcPr>
            <w:tcW w:w="6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Count of debt securities</w:t>
            </w:r>
          </w:p>
        </w:tc>
        <w:tc>
          <w:tcPr>
            <w:tcW w:w="140" w:type="dxa"/>
            <w:vAlign w:val="bottom"/>
            <w:tcBorders>
              <w:bottom w:val="single" w:sz="8" w:color="E0E7ED"/>
            </w:tcBorders>
            <w:shd w:val="clear" w:color="auto" w:fill="E0E7ED"/>
          </w:tcPr>
          <w:p>
            <w:pPr>
              <w:spacing w:after="0"/>
              <w:rPr>
                <w:sz w:val="21"/>
                <w:szCs w:val="21"/>
                <w:color w:val="auto"/>
              </w:rPr>
            </w:pPr>
          </w:p>
        </w:tc>
        <w:tc>
          <w:tcPr>
            <w:tcW w:w="1360" w:type="dxa"/>
            <w:vAlign w:val="bottom"/>
            <w:tcBorders>
              <w:bottom w:val="single" w:sz="8" w:color="E0E7ED"/>
            </w:tcBorders>
            <w:shd w:val="clear" w:color="auto" w:fill="E0E7ED"/>
          </w:tcPr>
          <w:p>
            <w:pPr>
              <w:jc w:val="right"/>
              <w:ind w:right="133"/>
              <w:spacing w:after="0"/>
              <w:rPr>
                <w:sz w:val="20"/>
                <w:szCs w:val="20"/>
                <w:color w:val="auto"/>
              </w:rPr>
            </w:pPr>
            <w:r>
              <w:rPr>
                <w:rFonts w:ascii="Arial" w:cs="Arial" w:eastAsia="Arial" w:hAnsi="Arial"/>
                <w:sz w:val="18"/>
                <w:szCs w:val="18"/>
                <w:color w:val="auto"/>
              </w:rPr>
              <w:t>657</w:t>
            </w:r>
          </w:p>
        </w:tc>
        <w:tc>
          <w:tcPr>
            <w:tcW w:w="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712</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or unrecognized loss position</w:t>
            </w:r>
          </w:p>
        </w:tc>
        <w:tc>
          <w:tcPr>
            <w:tcW w:w="1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502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557</w:t>
            </w:r>
          </w:p>
        </w:tc>
      </w:tr>
      <w:tr>
        <w:trPr>
          <w:trHeight w:val="549"/>
        </w:trPr>
        <w:tc>
          <w:tcPr>
            <w:tcW w:w="65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As of December 31, 2024</w:t>
            </w: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83"/>
        </w:trPr>
        <w:tc>
          <w:tcPr>
            <w:tcW w:w="652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Available for Sale</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rPr>
              <w:t>Held to Maturity</w:t>
            </w: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Total</w:t>
            </w:r>
          </w:p>
        </w:tc>
      </w:tr>
      <w:tr>
        <w:trPr>
          <w:trHeight w:val="243"/>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with gross unrealized or unrecognized losses, fair value</w:t>
            </w:r>
          </w:p>
        </w:tc>
        <w:tc>
          <w:tcPr>
            <w:tcW w:w="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E0E7ED"/>
            </w:tcBorders>
            <w:shd w:val="clear" w:color="auto" w:fill="E0E7ED"/>
          </w:tcPr>
          <w:p>
            <w:pPr>
              <w:jc w:val="right"/>
              <w:ind w:right="133"/>
              <w:spacing w:after="0"/>
              <w:rPr>
                <w:sz w:val="20"/>
                <w:szCs w:val="20"/>
                <w:color w:val="auto"/>
              </w:rPr>
            </w:pPr>
            <w:r>
              <w:rPr>
                <w:rFonts w:ascii="Arial" w:cs="Arial" w:eastAsia="Arial" w:hAnsi="Arial"/>
                <w:sz w:val="18"/>
                <w:szCs w:val="18"/>
                <w:color w:val="auto"/>
              </w:rPr>
              <w:t>1,466,743</w:t>
            </w:r>
          </w:p>
        </w:tc>
        <w:tc>
          <w:tcPr>
            <w:tcW w:w="280" w:type="dxa"/>
            <w:vAlign w:val="bottom"/>
            <w:tcBorders>
              <w:bottom w:val="single" w:sz="8" w:color="E0E7ED"/>
            </w:tcBorders>
            <w:gridSpan w:val="3"/>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675,053</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2,141,796</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Gross unrealized or unrecognized losses on debt securities</w:t>
            </w:r>
          </w:p>
        </w:tc>
        <w:tc>
          <w:tcPr>
            <w:tcW w:w="1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230,325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151,577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381,902</w:t>
            </w:r>
          </w:p>
        </w:tc>
      </w:tr>
      <w:tr>
        <w:trPr>
          <w:trHeight w:val="23"/>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4"/>
        </w:trPr>
        <w:tc>
          <w:tcPr>
            <w:tcW w:w="6520" w:type="dxa"/>
            <w:vAlign w:val="bottom"/>
            <w:shd w:val="clear" w:color="auto" w:fill="E0E7ED"/>
          </w:tcPr>
          <w:p>
            <w:pPr>
              <w:ind w:left="20"/>
              <w:spacing w:after="0"/>
              <w:rPr>
                <w:sz w:val="20"/>
                <w:szCs w:val="20"/>
                <w:color w:val="auto"/>
              </w:rPr>
            </w:pPr>
            <w:r>
              <w:rPr>
                <w:rFonts w:ascii="Arial" w:cs="Arial" w:eastAsia="Arial" w:hAnsi="Arial"/>
                <w:sz w:val="18"/>
                <w:szCs w:val="18"/>
                <w:color w:val="auto"/>
              </w:rPr>
              <w:t>Ratio of gross unrealized or unrecognized losses to debt securities with gross</w:t>
            </w:r>
          </w:p>
        </w:tc>
        <w:tc>
          <w:tcPr>
            <w:tcW w:w="140" w:type="dxa"/>
            <w:vAlign w:val="bottom"/>
            <w:shd w:val="clear" w:color="auto" w:fill="E0E7ED"/>
          </w:tcPr>
          <w:p>
            <w:pPr>
              <w:spacing w:after="0"/>
              <w:rPr>
                <w:sz w:val="19"/>
                <w:szCs w:val="19"/>
                <w:color w:val="auto"/>
              </w:rPr>
            </w:pPr>
          </w:p>
        </w:tc>
        <w:tc>
          <w:tcPr>
            <w:tcW w:w="1360" w:type="dxa"/>
            <w:vAlign w:val="bottom"/>
            <w:shd w:val="clear" w:color="auto" w:fill="E0E7ED"/>
          </w:tcPr>
          <w:p>
            <w:pPr>
              <w:spacing w:after="0"/>
              <w:rPr>
                <w:sz w:val="19"/>
                <w:szCs w:val="19"/>
                <w:color w:val="auto"/>
              </w:rPr>
            </w:pPr>
          </w:p>
        </w:tc>
        <w:tc>
          <w:tcPr>
            <w:tcW w:w="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60" w:type="dxa"/>
            <w:vAlign w:val="bottom"/>
            <w:shd w:val="clear" w:color="auto" w:fill="E0E7ED"/>
          </w:tcPr>
          <w:p>
            <w:pPr>
              <w:spacing w:after="0"/>
              <w:rPr>
                <w:sz w:val="19"/>
                <w:szCs w:val="19"/>
                <w:color w:val="auto"/>
              </w:rPr>
            </w:pPr>
          </w:p>
        </w:tc>
        <w:tc>
          <w:tcPr>
            <w:tcW w:w="13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 w:type="dxa"/>
            <w:vAlign w:val="bottom"/>
            <w:shd w:val="clear" w:color="auto" w:fill="E0E7ED"/>
          </w:tcPr>
          <w:p>
            <w:pPr>
              <w:spacing w:after="0"/>
              <w:rPr>
                <w:sz w:val="19"/>
                <w:szCs w:val="19"/>
                <w:color w:val="auto"/>
              </w:rPr>
            </w:pPr>
          </w:p>
        </w:tc>
        <w:tc>
          <w:tcPr>
            <w:tcW w:w="2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r>
      <w:tr>
        <w:trPr>
          <w:trHeight w:val="242"/>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unrealized or unrecognized losses</w:t>
            </w:r>
          </w:p>
        </w:tc>
        <w:tc>
          <w:tcPr>
            <w:tcW w:w="140" w:type="dxa"/>
            <w:vAlign w:val="bottom"/>
            <w:tcBorders>
              <w:bottom w:val="single" w:sz="8" w:color="E0E7ED"/>
            </w:tcBorders>
            <w:shd w:val="clear" w:color="auto" w:fill="E0E7ED"/>
          </w:tcPr>
          <w:p>
            <w:pPr>
              <w:spacing w:after="0"/>
              <w:rPr>
                <w:sz w:val="21"/>
                <w:szCs w:val="21"/>
                <w:color w:val="auto"/>
              </w:rPr>
            </w:pP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15.7 %</w:t>
            </w:r>
          </w:p>
        </w:tc>
        <w:tc>
          <w:tcPr>
            <w:tcW w:w="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22.5 %</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17.8 %</w:t>
            </w:r>
          </w:p>
        </w:tc>
      </w:tr>
      <w:tr>
        <w:trPr>
          <w:trHeight w:val="270"/>
        </w:trPr>
        <w:tc>
          <w:tcPr>
            <w:tcW w:w="6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0"/>
        </w:trPr>
        <w:tc>
          <w:tcPr>
            <w:tcW w:w="65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Count of debt securities</w:t>
            </w:r>
          </w:p>
        </w:tc>
        <w:tc>
          <w:tcPr>
            <w:tcW w:w="140" w:type="dxa"/>
            <w:vAlign w:val="bottom"/>
            <w:tcBorders>
              <w:bottom w:val="single" w:sz="8" w:color="E0E7ED"/>
            </w:tcBorders>
            <w:shd w:val="clear" w:color="auto" w:fill="E0E7ED"/>
          </w:tcPr>
          <w:p>
            <w:pPr>
              <w:spacing w:after="0"/>
              <w:rPr>
                <w:sz w:val="21"/>
                <w:szCs w:val="21"/>
                <w:color w:val="auto"/>
              </w:rPr>
            </w:pPr>
          </w:p>
        </w:tc>
        <w:tc>
          <w:tcPr>
            <w:tcW w:w="1360" w:type="dxa"/>
            <w:vAlign w:val="bottom"/>
            <w:tcBorders>
              <w:bottom w:val="single" w:sz="8" w:color="E0E7ED"/>
            </w:tcBorders>
            <w:shd w:val="clear" w:color="auto" w:fill="E0E7ED"/>
          </w:tcPr>
          <w:p>
            <w:pPr>
              <w:jc w:val="right"/>
              <w:ind w:right="133"/>
              <w:spacing w:after="0"/>
              <w:rPr>
                <w:sz w:val="20"/>
                <w:szCs w:val="20"/>
                <w:color w:val="auto"/>
              </w:rPr>
            </w:pPr>
            <w:r>
              <w:rPr>
                <w:rFonts w:ascii="Arial" w:cs="Arial" w:eastAsia="Arial" w:hAnsi="Arial"/>
                <w:sz w:val="18"/>
                <w:szCs w:val="18"/>
                <w:color w:val="auto"/>
              </w:rPr>
              <w:t>677</w:t>
            </w:r>
          </w:p>
        </w:tc>
        <w:tc>
          <w:tcPr>
            <w:tcW w:w="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732</w:t>
            </w:r>
          </w:p>
        </w:tc>
      </w:tr>
      <w:tr>
        <w:trPr>
          <w:trHeight w:val="247"/>
        </w:trPr>
        <w:tc>
          <w:tcPr>
            <w:tcW w:w="652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or unrecognized loss position</w:t>
            </w:r>
          </w:p>
        </w:tc>
        <w:tc>
          <w:tcPr>
            <w:tcW w:w="140" w:type="dxa"/>
            <w:vAlign w:val="bottom"/>
          </w:tcPr>
          <w:p>
            <w:pPr>
              <w:spacing w:after="0"/>
              <w:rPr>
                <w:sz w:val="21"/>
                <w:szCs w:val="21"/>
                <w:color w:val="auto"/>
              </w:rPr>
            </w:pPr>
          </w:p>
        </w:tc>
        <w:tc>
          <w:tcPr>
            <w:tcW w:w="1360" w:type="dxa"/>
            <w:vAlign w:val="bottom"/>
          </w:tcPr>
          <w:p>
            <w:pPr>
              <w:jc w:val="right"/>
              <w:ind w:right="133"/>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641</w:t>
            </w:r>
          </w:p>
        </w:tc>
      </w:tr>
    </w:tbl>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Unrealized and unrecognized losses are related to changes in market interest rates and market conditions that do not represent credit-related impairments. Unless part of a corporate strategy or repositioning plan, Busey does not intend to sell securities that are in an unrealized or unrecognized loss position, and it is more likely than not that Busey will recover the amortized cost prior to being required to sell the debt securities. Full collection of the amounts due according to the contractual terms of the debt securities is expected; therefore, no ACL has been recorded in relation to debt securities, and the impairment related to noncredit factors on debt securities available for sale is recognized in AOCI, net of applicable taxes. As of June 30, 2025, Busey did not hold general obligation bonds of any single issuer that exceeded, in aggregate, 10% of Busey’s stockholders’ equity.</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PORTFOLIO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Categories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Busey’s lending can be summarized in two primary categories: commercial and retail. Loans within these categories are further classified by lending activity: C&amp;I and other commercial, commercial real estate, real estate construction, retail real estate, and retail other. Distributions of the loan portfolio by loan category and lending activity is presented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4,476,869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1,904,515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5,569,759</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3,269,564</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1,041,803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378,209</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 loans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11,088,431</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5,552,288</w:t>
            </w:r>
          </w:p>
        </w:tc>
        <w:tc>
          <w:tcPr>
            <w:tcW w:w="0" w:type="dxa"/>
            <w:vAlign w:val="bottom"/>
          </w:tcPr>
          <w:p>
            <w:pPr>
              <w:spacing w:after="0"/>
              <w:rPr>
                <w:sz w:val="1"/>
                <w:szCs w:val="1"/>
                <w:color w:val="auto"/>
              </w:rPr>
            </w:pPr>
          </w:p>
        </w:tc>
      </w:tr>
      <w:tr>
        <w:trPr>
          <w:trHeight w:val="242"/>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2,228,959</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1,696,457</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491,229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448,342</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 loans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2,720,188</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2,144,799</w:t>
            </w:r>
          </w:p>
        </w:tc>
        <w:tc>
          <w:tcPr>
            <w:tcW w:w="0" w:type="dxa"/>
            <w:vAlign w:val="bottom"/>
          </w:tcPr>
          <w:p>
            <w:pPr>
              <w:spacing w:after="0"/>
              <w:rPr>
                <w:sz w:val="1"/>
                <w:szCs w:val="1"/>
                <w:color w:val="auto"/>
              </w:rPr>
            </w:pPr>
          </w:p>
        </w:tc>
      </w:tr>
      <w:tr>
        <w:trPr>
          <w:trHeight w:val="236"/>
        </w:trPr>
        <w:tc>
          <w:tcPr>
            <w:tcW w:w="84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13,808,619</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7,697,087</w:t>
            </w:r>
          </w:p>
        </w:tc>
        <w:tc>
          <w:tcPr>
            <w:tcW w:w="0" w:type="dxa"/>
            <w:vAlign w:val="bottom"/>
          </w:tcPr>
          <w:p>
            <w:pPr>
              <w:spacing w:after="0"/>
              <w:rPr>
                <w:sz w:val="1"/>
                <w:szCs w:val="1"/>
                <w:color w:val="auto"/>
              </w:rPr>
            </w:pPr>
          </w:p>
        </w:tc>
      </w:tr>
      <w:tr>
        <w:trPr>
          <w:trHeight w:val="247"/>
        </w:trPr>
        <w:tc>
          <w:tcPr>
            <w:tcW w:w="8400" w:type="dxa"/>
            <w:vAlign w:val="bottom"/>
          </w:tcPr>
          <w:p>
            <w:pPr>
              <w:ind w:left="20"/>
              <w:spacing w:after="0"/>
              <w:rPr>
                <w:sz w:val="20"/>
                <w:szCs w:val="20"/>
                <w:color w:val="auto"/>
              </w:rPr>
            </w:pPr>
            <w:r>
              <w:rPr>
                <w:rFonts w:ascii="Arial" w:cs="Arial" w:eastAsia="Arial" w:hAnsi="Arial"/>
                <w:sz w:val="18"/>
                <w:szCs w:val="18"/>
                <w:color w:val="auto"/>
              </w:rPr>
              <w:t>ACL</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(183,334)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(83,404)</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Portfolio loans, net</w:t>
            </w:r>
          </w:p>
        </w:tc>
        <w:tc>
          <w:tcPr>
            <w:tcW w:w="260" w:type="dxa"/>
            <w:vAlign w:val="bottom"/>
            <w:tcBorders>
              <w:bottom w:val="single" w:sz="8" w:color="auto"/>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13,625,285</w:t>
            </w: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7,613,683</w:t>
            </w:r>
          </w:p>
        </w:tc>
        <w:tc>
          <w:tcPr>
            <w:tcW w:w="0" w:type="dxa"/>
            <w:vAlign w:val="bottom"/>
          </w:tcPr>
          <w:p>
            <w:pPr>
              <w:spacing w:after="0"/>
              <w:rPr>
                <w:sz w:val="1"/>
                <w:szCs w:val="1"/>
                <w:color w:val="auto"/>
              </w:rPr>
            </w:pPr>
          </w:p>
        </w:tc>
      </w:tr>
      <w:tr>
        <w:trPr>
          <w:trHeight w:val="20"/>
        </w:trPr>
        <w:tc>
          <w:tcPr>
            <w:tcW w:w="84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deferred loan origination costs included in the balances above were $10.8 million as of June 30, 2025, compared to $12.5 million as of December 31, 2024. Net accretable purchase accounting adjustments included in the balances above reduced loans by $98.1 million as of June 30, 2025, and $8.8 million as of December 31, 2024.</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did not purchase any retail real estate loans during the three and six months ended June 30, 2025. Busey elected to purchase $6.9 million of retail real estate loans during the three and six months ended June 30, 2024.</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Pledged Loans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has executed a blanket lien with the FHLB. The principal balance of loans Busey has pledged as collateral with the FHLB and Federal Reserve Bank for liquidity, which Busey is able to borrow against, is set forth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Pledged loans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FHLB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5,010,792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4,813,600</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Federal Reserve Bank</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1,580,491</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765,824</w:t>
            </w: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Total pledged loans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6,591,283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5,579,424</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Grading</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Busey utilizes a loan grading scale to assign a risk grade to all of its loans. A description of the general characteristics of each grade is as follows:</w:t>
      </w:r>
    </w:p>
    <w:p>
      <w:pPr>
        <w:spacing w:after="0" w:line="126" w:lineRule="exact"/>
        <w:rPr>
          <w:sz w:val="20"/>
          <w:szCs w:val="20"/>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 investment grade, to</w:t>
      </w:r>
      <w:r>
        <w:rPr>
          <w:rFonts w:ascii="Arial" w:cs="Arial" w:eastAsia="Arial" w:hAnsi="Arial"/>
          <w:sz w:val="18"/>
          <w:szCs w:val="18"/>
          <w:i w:val="1"/>
          <w:iCs w:val="1"/>
          <w:color w:val="auto"/>
        </w:rPr>
        <w:t xml:space="preserve"> </w:t>
      </w:r>
      <w:r>
        <w:rPr>
          <w:rFonts w:ascii="Arial" w:cs="Arial" w:eastAsia="Arial" w:hAnsi="Arial"/>
          <w:sz w:val="18"/>
          <w:szCs w:val="18"/>
          <w:color w:val="auto"/>
        </w:rPr>
        <w:t>loans made to borrowers who exhibit credit fundamentals that meet or exceed industry standards.</w:t>
      </w:r>
    </w:p>
    <w:p>
      <w:pPr>
        <w:spacing w:after="0" w:line="11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 This category includes loans that warrant a higher-than-average level of monitoring to ensure that weaknesses do not cause</w:t>
      </w:r>
      <w:r>
        <w:rPr>
          <w:rFonts w:ascii="Arial" w:cs="Arial" w:eastAsia="Arial" w:hAnsi="Arial"/>
          <w:sz w:val="18"/>
          <w:szCs w:val="18"/>
          <w:i w:val="1"/>
          <w:iCs w:val="1"/>
          <w:color w:val="auto"/>
        </w:rPr>
        <w:t xml:space="preserve"> </w:t>
      </w:r>
      <w:r>
        <w:rPr>
          <w:rFonts w:ascii="Arial" w:cs="Arial" w:eastAsia="Arial" w:hAnsi="Arial"/>
          <w:sz w:val="18"/>
          <w:szCs w:val="18"/>
          <w:color w:val="auto"/>
        </w:rPr>
        <w:t>the inability of the credit to perform as expected. These loans are not necessarily a problem due to other inherent strengths of the credit, such as guarantor strength, but have above average concern and monitoring.</w:t>
      </w:r>
    </w:p>
    <w:p>
      <w:pPr>
        <w:spacing w:after="0" w:line="130"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This category is for “Other Assets Specially Mentioned” loans that have potential weaknesses, which may, if not</w:t>
      </w:r>
      <w:r>
        <w:rPr>
          <w:rFonts w:ascii="Arial" w:cs="Arial" w:eastAsia="Arial" w:hAnsi="Arial"/>
          <w:sz w:val="18"/>
          <w:szCs w:val="18"/>
          <w:i w:val="1"/>
          <w:iCs w:val="1"/>
          <w:color w:val="auto"/>
        </w:rPr>
        <w:t xml:space="preserve"> </w:t>
      </w:r>
      <w:r>
        <w:rPr>
          <w:rFonts w:ascii="Arial" w:cs="Arial" w:eastAsia="Arial" w:hAnsi="Arial"/>
          <w:sz w:val="18"/>
          <w:szCs w:val="18"/>
          <w:color w:val="auto"/>
        </w:rPr>
        <w:t>checked or corrected, weaken the asset or inadequately protect Busey’s credit position at some future date.</w:t>
      </w:r>
    </w:p>
    <w:p>
      <w:pPr>
        <w:spacing w:after="0" w:line="125"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Substandard </w:t>
      </w:r>
      <w:r>
        <w:rPr>
          <w:rFonts w:ascii="Arial" w:cs="Arial" w:eastAsia="Arial" w:hAnsi="Arial"/>
          <w:sz w:val="18"/>
          <w:szCs w:val="18"/>
          <w:color w:val="auto"/>
        </w:rPr>
        <w:t>– This category includes “Substandard” loans, determined in accordance with regulatory guidelines, for which the</w:t>
      </w:r>
      <w:r>
        <w:rPr>
          <w:rFonts w:ascii="Arial" w:cs="Arial" w:eastAsia="Arial" w:hAnsi="Arial"/>
          <w:sz w:val="18"/>
          <w:szCs w:val="18"/>
          <w:i w:val="1"/>
          <w:iCs w:val="1"/>
          <w:color w:val="auto"/>
        </w:rPr>
        <w:t xml:space="preserve"> </w:t>
      </w:r>
      <w:r>
        <w:rPr>
          <w:rFonts w:ascii="Arial" w:cs="Arial" w:eastAsia="Arial" w:hAnsi="Arial"/>
          <w:sz w:val="18"/>
          <w:szCs w:val="18"/>
          <w:color w:val="auto"/>
        </w:rPr>
        <w:t>accrual of interest has not been stopped. Assets so classified must have a well-defined weakness or weaknesses that jeopardize the liquidation of the debt. They are characterized by the distinct possibility that Busey will sustain some loss if the deficiencies are not corrected.</w:t>
      </w:r>
    </w:p>
    <w:p>
      <w:pPr>
        <w:spacing w:after="0" w:line="135"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Substandard non-accrual </w:t>
      </w:r>
      <w:r>
        <w:rPr>
          <w:rFonts w:ascii="Arial" w:cs="Arial" w:eastAsia="Arial" w:hAnsi="Arial"/>
          <w:sz w:val="18"/>
          <w:szCs w:val="18"/>
          <w:color w:val="auto"/>
        </w:rPr>
        <w:t>– This category includes loans that have all the characteristics of a “Substandard” loan with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that make collection in full highly questionable and improbable. Such loans are placed on non-accrual status and may be dependent on collateral with a value that is difficult to determine.</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All loans are graded at their inception. Commercial lending relationships that are $2.0 million or less are usually processed through an expedited underwriting process. Most commercial loans greater than $2.0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Busey’s portfolio loans by risk grade, segregated by loan category: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As of June 30, 2025</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Pass</w:t>
            </w:r>
          </w:p>
        </w:tc>
        <w:tc>
          <w:tcPr>
            <w:tcW w:w="280" w:type="dxa"/>
            <w:vAlign w:val="bottom"/>
          </w:tcPr>
          <w:p>
            <w:pPr>
              <w:spacing w:after="0"/>
              <w:rPr>
                <w:sz w:val="12"/>
                <w:szCs w:val="12"/>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Watch</w:t>
            </w:r>
          </w:p>
        </w:tc>
        <w:tc>
          <w:tcPr>
            <w:tcW w:w="260" w:type="dxa"/>
            <w:vAlign w:val="bottom"/>
          </w:tcPr>
          <w:p>
            <w:pPr>
              <w:spacing w:after="0"/>
              <w:rPr>
                <w:sz w:val="12"/>
                <w:szCs w:val="12"/>
                <w:color w:val="auto"/>
              </w:rPr>
            </w:pPr>
          </w:p>
        </w:tc>
        <w:tc>
          <w:tcPr>
            <w:tcW w:w="118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Special</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Substandard</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Substandard</w:t>
            </w:r>
          </w:p>
        </w:tc>
        <w:tc>
          <w:tcPr>
            <w:tcW w:w="240" w:type="dxa"/>
            <w:vAlign w:val="bottom"/>
          </w:tcPr>
          <w:p>
            <w:pPr>
              <w:spacing w:after="0"/>
              <w:rPr>
                <w:sz w:val="12"/>
                <w:szCs w:val="12"/>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6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Mention</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Non-accrual</w:t>
            </w:r>
          </w:p>
        </w:tc>
        <w:tc>
          <w:tcPr>
            <w:tcW w:w="2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8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6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4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3,790,854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436,157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127,315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87,603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34,940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4,476,869</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4,571,016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813,941</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152,544</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21,695</w:t>
            </w: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5,569,759</w:t>
            </w: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964,183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1,041,803</w:t>
            </w:r>
          </w:p>
        </w:tc>
        <w:tc>
          <w:tcPr>
            <w:tcW w:w="0" w:type="dxa"/>
            <w:vAlign w:val="bottom"/>
          </w:tcPr>
          <w:p>
            <w:pPr>
              <w:spacing w:after="0"/>
              <w:rPr>
                <w:sz w:val="1"/>
                <w:szCs w:val="1"/>
                <w:color w:val="auto"/>
              </w:rPr>
            </w:pPr>
          </w:p>
        </w:tc>
      </w:tr>
      <w:tr>
        <w:trPr>
          <w:trHeight w:val="23"/>
        </w:trPr>
        <w:tc>
          <w:tcPr>
            <w:tcW w:w="264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 loans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9,326,053</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1,296,038</w:t>
            </w: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305,840</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114,975</w:t>
            </w:r>
          </w:p>
        </w:tc>
        <w:tc>
          <w:tcPr>
            <w:tcW w:w="100" w:type="dxa"/>
            <w:vAlign w:val="bottom"/>
            <w:tcBorders>
              <w:bottom w:val="single" w:sz="8" w:color="E0E7ED"/>
            </w:tcBorders>
            <w:shd w:val="clear" w:color="auto" w:fill="E0E7ED"/>
          </w:tcPr>
          <w:p>
            <w:pPr>
              <w:spacing w:after="0"/>
              <w:rPr>
                <w:sz w:val="22"/>
                <w:szCs w:val="22"/>
                <w:color w:val="auto"/>
              </w:rPr>
            </w:pPr>
          </w:p>
        </w:tc>
        <w:tc>
          <w:tcPr>
            <w:tcW w:w="16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45,525</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11,088,431</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2,205,127</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6,848</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2,806</w:t>
            </w:r>
          </w:p>
        </w:tc>
        <w:tc>
          <w:tcPr>
            <w:tcW w:w="100" w:type="dxa"/>
            <w:vAlign w:val="bottom"/>
            <w:tcBorders>
              <w:bottom w:val="single" w:sz="8" w:color="E0E7ED"/>
            </w:tcBorders>
            <w:shd w:val="clear" w:color="auto" w:fill="E0E7ED"/>
          </w:tcPr>
          <w:p>
            <w:pPr>
              <w:spacing w:after="0"/>
              <w:rPr>
                <w:sz w:val="22"/>
                <w:szCs w:val="22"/>
                <w:color w:val="auto"/>
              </w:rPr>
            </w:pPr>
          </w:p>
        </w:tc>
        <w:tc>
          <w:tcPr>
            <w:tcW w:w="16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7,847</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2,228,959</w:t>
            </w: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491,229</w:t>
            </w:r>
          </w:p>
        </w:tc>
        <w:tc>
          <w:tcPr>
            <w:tcW w:w="0" w:type="dxa"/>
            <w:vAlign w:val="bottom"/>
          </w:tcPr>
          <w:p>
            <w:pPr>
              <w:spacing w:after="0"/>
              <w:rPr>
                <w:sz w:val="1"/>
                <w:szCs w:val="1"/>
                <w:color w:val="auto"/>
              </w:rPr>
            </w:pPr>
          </w:p>
        </w:tc>
      </w:tr>
      <w:tr>
        <w:trPr>
          <w:trHeight w:val="23"/>
        </w:trPr>
        <w:tc>
          <w:tcPr>
            <w:tcW w:w="264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 loans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2,696,106</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6,848</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2,814</w:t>
            </w:r>
          </w:p>
        </w:tc>
        <w:tc>
          <w:tcPr>
            <w:tcW w:w="100" w:type="dxa"/>
            <w:vAlign w:val="bottom"/>
            <w:tcBorders>
              <w:bottom w:val="single" w:sz="8" w:color="E0E7ED"/>
            </w:tcBorders>
            <w:shd w:val="clear" w:color="auto" w:fill="E0E7ED"/>
          </w:tcPr>
          <w:p>
            <w:pPr>
              <w:spacing w:after="0"/>
              <w:rPr>
                <w:sz w:val="22"/>
                <w:szCs w:val="22"/>
                <w:color w:val="auto"/>
              </w:rPr>
            </w:pPr>
          </w:p>
        </w:tc>
        <w:tc>
          <w:tcPr>
            <w:tcW w:w="16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2,720,188</w:t>
            </w:r>
          </w:p>
        </w:tc>
        <w:tc>
          <w:tcPr>
            <w:tcW w:w="0" w:type="dxa"/>
            <w:vAlign w:val="bottom"/>
          </w:tcPr>
          <w:p>
            <w:pPr>
              <w:spacing w:after="0"/>
              <w:rPr>
                <w:sz w:val="1"/>
                <w:szCs w:val="1"/>
                <w:color w:val="auto"/>
              </w:rPr>
            </w:pPr>
          </w:p>
        </w:tc>
      </w:tr>
      <w:tr>
        <w:trPr>
          <w:trHeight w:val="264"/>
        </w:trPr>
        <w:tc>
          <w:tcPr>
            <w:tcW w:w="264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12,022,159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1,302,369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312,688</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117,789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13,808,619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As of December 31, 2024</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2"/>
                <w:szCs w:val="12"/>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Pass</w:t>
            </w:r>
          </w:p>
        </w:tc>
        <w:tc>
          <w:tcPr>
            <w:tcW w:w="300" w:type="dxa"/>
            <w:vAlign w:val="bottom"/>
          </w:tcPr>
          <w:p>
            <w:pPr>
              <w:spacing w:after="0"/>
              <w:rPr>
                <w:sz w:val="12"/>
                <w:szCs w:val="12"/>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Watch</w:t>
            </w:r>
          </w:p>
        </w:tc>
        <w:tc>
          <w:tcPr>
            <w:tcW w:w="260" w:type="dxa"/>
            <w:vAlign w:val="bottom"/>
          </w:tcPr>
          <w:p>
            <w:pPr>
              <w:spacing w:after="0"/>
              <w:rPr>
                <w:sz w:val="12"/>
                <w:szCs w:val="12"/>
                <w:color w:val="auto"/>
              </w:rPr>
            </w:pPr>
          </w:p>
        </w:tc>
        <w:tc>
          <w:tcPr>
            <w:tcW w:w="118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Special</w:t>
            </w:r>
          </w:p>
        </w:tc>
        <w:tc>
          <w:tcPr>
            <w:tcW w:w="180" w:type="dxa"/>
            <w:vAlign w:val="bottom"/>
          </w:tcPr>
          <w:p>
            <w:pPr>
              <w:spacing w:after="0"/>
              <w:rPr>
                <w:sz w:val="12"/>
                <w:szCs w:val="12"/>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Substandard</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Substandard</w:t>
            </w:r>
          </w:p>
        </w:tc>
        <w:tc>
          <w:tcPr>
            <w:tcW w:w="300" w:type="dxa"/>
            <w:vAlign w:val="bottom"/>
          </w:tcPr>
          <w:p>
            <w:pPr>
              <w:spacing w:after="0"/>
              <w:rPr>
                <w:sz w:val="12"/>
                <w:szCs w:val="12"/>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6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Mention</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Non-accrual</w:t>
            </w: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0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1,545,338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281,424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36,152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37,749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1,904,515</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2,744,018</w:t>
            </w:r>
          </w:p>
        </w:tc>
        <w:tc>
          <w:tcPr>
            <w:tcW w:w="8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438,945</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55,041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16,507</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15,053</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3,269,564</w:t>
            </w: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345,908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26,833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378,209</w:t>
            </w:r>
          </w:p>
        </w:tc>
        <w:tc>
          <w:tcPr>
            <w:tcW w:w="0" w:type="dxa"/>
            <w:vAlign w:val="bottom"/>
          </w:tcPr>
          <w:p>
            <w:pPr>
              <w:spacing w:after="0"/>
              <w:rPr>
                <w:sz w:val="1"/>
                <w:szCs w:val="1"/>
                <w:color w:val="auto"/>
              </w:rPr>
            </w:pPr>
          </w:p>
        </w:tc>
      </w:tr>
      <w:tr>
        <w:trPr>
          <w:trHeight w:val="23"/>
        </w:trPr>
        <w:tc>
          <w:tcPr>
            <w:tcW w:w="264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 loans</w:t>
            </w: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4,635,264</w:t>
            </w:r>
          </w:p>
        </w:tc>
        <w:tc>
          <w:tcPr>
            <w:tcW w:w="8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747,202</w:t>
            </w:r>
          </w:p>
        </w:tc>
        <w:tc>
          <w:tcPr>
            <w:tcW w:w="8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91,414</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59,480</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5,552,288</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1,680,640</w:t>
            </w:r>
          </w:p>
        </w:tc>
        <w:tc>
          <w:tcPr>
            <w:tcW w:w="8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9,408</w:t>
            </w:r>
          </w:p>
        </w:tc>
        <w:tc>
          <w:tcPr>
            <w:tcW w:w="8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1,696,457</w:t>
            </w: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448,166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448,342</w:t>
            </w:r>
          </w:p>
        </w:tc>
        <w:tc>
          <w:tcPr>
            <w:tcW w:w="0" w:type="dxa"/>
            <w:vAlign w:val="bottom"/>
          </w:tcPr>
          <w:p>
            <w:pPr>
              <w:spacing w:after="0"/>
              <w:rPr>
                <w:sz w:val="1"/>
                <w:szCs w:val="1"/>
                <w:color w:val="auto"/>
              </w:rPr>
            </w:pPr>
          </w:p>
        </w:tc>
      </w:tr>
      <w:tr>
        <w:trPr>
          <w:trHeight w:val="23"/>
        </w:trPr>
        <w:tc>
          <w:tcPr>
            <w:tcW w:w="264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6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 loans</w:t>
            </w: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2,128,806</w:t>
            </w:r>
          </w:p>
        </w:tc>
        <w:tc>
          <w:tcPr>
            <w:tcW w:w="8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9,408</w:t>
            </w:r>
          </w:p>
        </w:tc>
        <w:tc>
          <w:tcPr>
            <w:tcW w:w="8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2,543</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2,144,799</w:t>
            </w:r>
          </w:p>
        </w:tc>
        <w:tc>
          <w:tcPr>
            <w:tcW w:w="0" w:type="dxa"/>
            <w:vAlign w:val="bottom"/>
          </w:tcPr>
          <w:p>
            <w:pPr>
              <w:spacing w:after="0"/>
              <w:rPr>
                <w:sz w:val="1"/>
                <w:szCs w:val="1"/>
                <w:color w:val="auto"/>
              </w:rPr>
            </w:pPr>
          </w:p>
        </w:tc>
      </w:tr>
      <w:tr>
        <w:trPr>
          <w:trHeight w:val="264"/>
        </w:trPr>
        <w:tc>
          <w:tcPr>
            <w:tcW w:w="264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6,764,070</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756,610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92,296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62,023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7,697,087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Risk grades of portfolio loans and gross charge-offs are presented in the tables below by lending activity, further sorted by origination year:</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11"/>
          </w:tcPr>
          <w:p>
            <w:pPr>
              <w:ind w:left="240"/>
              <w:spacing w:after="0"/>
              <w:rPr>
                <w:sz w:val="20"/>
                <w:szCs w:val="20"/>
                <w:color w:val="auto"/>
              </w:rPr>
            </w:pPr>
            <w:r>
              <w:rPr>
                <w:rFonts w:ascii="Arial" w:cs="Arial" w:eastAsia="Arial" w:hAnsi="Arial"/>
                <w:sz w:val="14"/>
                <w:szCs w:val="14"/>
                <w:b w:val="1"/>
                <w:bCs w:val="1"/>
                <w:color w:val="auto"/>
              </w:rPr>
              <w:t>As of and For The Six Months Ended June 30, 2025</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Revolving</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Loans</w:t>
            </w:r>
          </w:p>
        </w:tc>
        <w:tc>
          <w:tcPr>
            <w:tcW w:w="160" w:type="dxa"/>
            <w:vAlign w:val="bottom"/>
          </w:tcPr>
          <w:p>
            <w:pPr>
              <w:spacing w:after="0"/>
              <w:rPr>
                <w:sz w:val="15"/>
                <w:szCs w:val="15"/>
                <w:color w:val="auto"/>
              </w:rPr>
            </w:pPr>
          </w:p>
        </w:tc>
        <w:tc>
          <w:tcPr>
            <w:tcW w:w="86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9"/>
        </w:trPr>
        <w:tc>
          <w:tcPr>
            <w:tcW w:w="2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C&amp;I and other commercial</w:t>
            </w: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88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60" w:type="dxa"/>
            <w:vAlign w:val="bottom"/>
            <w:tcBorders>
              <w:top w:val="single" w:sz="8" w:color="auto"/>
            </w:tcBorders>
            <w:shd w:val="clear" w:color="auto" w:fill="E0E7ED"/>
          </w:tcPr>
          <w:p>
            <w:pPr>
              <w:spacing w:after="0"/>
              <w:rPr>
                <w:sz w:val="14"/>
                <w:szCs w:val="14"/>
                <w:color w:val="auto"/>
              </w:rPr>
            </w:pPr>
          </w:p>
        </w:tc>
        <w:tc>
          <w:tcPr>
            <w:tcW w:w="860" w:type="dxa"/>
            <w:vAlign w:val="bottom"/>
            <w:tcBorders>
              <w:top w:val="single" w:sz="8" w:color="auto"/>
            </w:tcBorders>
            <w:shd w:val="clear" w:color="auto" w:fill="E0E7ED"/>
          </w:tcPr>
          <w:p>
            <w:pPr>
              <w:spacing w:after="0"/>
              <w:rPr>
                <w:sz w:val="14"/>
                <w:szCs w:val="14"/>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515,264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829,795</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517,205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279,602</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192,483</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166,112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1,290,393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3,790,854</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40,197</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60,053</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70,716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51,774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74,582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19,821</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119,014</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436,157</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22,737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18,440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42,789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2,784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34,610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127,315</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16,642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4,314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17,675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4,587</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10,163</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3,907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30,315</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87,603</w:t>
            </w:r>
          </w:p>
        </w:tc>
      </w:tr>
      <w:tr>
        <w:trPr>
          <w:trHeight w:val="189"/>
        </w:trPr>
        <w:tc>
          <w:tcPr>
            <w:tcW w:w="246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10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3,774</w:t>
            </w:r>
          </w:p>
        </w:tc>
        <w:tc>
          <w:tcPr>
            <w:tcW w:w="10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3,159</w:t>
            </w:r>
          </w:p>
        </w:tc>
        <w:tc>
          <w:tcPr>
            <w:tcW w:w="8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7,309</w:t>
            </w:r>
          </w:p>
        </w:tc>
        <w:tc>
          <w:tcPr>
            <w:tcW w:w="10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w:t>
            </w:r>
          </w:p>
        </w:tc>
        <w:tc>
          <w:tcPr>
            <w:tcW w:w="100" w:type="dxa"/>
            <w:vAlign w:val="bottom"/>
            <w:tcBorders>
              <w:bottom w:val="single" w:sz="8" w:color="E0E7ED"/>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5,051</w:t>
            </w:r>
          </w:p>
        </w:tc>
        <w:tc>
          <w:tcPr>
            <w:tcW w:w="80" w:type="dxa"/>
            <w:vAlign w:val="bottom"/>
            <w:tcBorders>
              <w:bottom w:val="single" w:sz="8" w:color="E0E7ED"/>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14,515</w:t>
            </w:r>
          </w:p>
        </w:tc>
        <w:tc>
          <w:tcPr>
            <w:tcW w:w="100" w:type="dxa"/>
            <w:vAlign w:val="bottom"/>
            <w:tcBorders>
              <w:bottom w:val="single" w:sz="8" w:color="E0E7ED"/>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34,940</w:t>
            </w:r>
          </w:p>
        </w:tc>
      </w:tr>
      <w:tr>
        <w:trPr>
          <w:trHeight w:val="183"/>
        </w:trPr>
        <w:tc>
          <w:tcPr>
            <w:tcW w:w="2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Total C&amp;I and other commercial</w:t>
            </w:r>
          </w:p>
        </w:tc>
        <w:tc>
          <w:tcPr>
            <w:tcW w:w="200" w:type="dxa"/>
            <w:vAlign w:val="bottom"/>
            <w:tcBorders>
              <w:bottom w:val="single" w:sz="8" w:color="auto"/>
            </w:tcBorders>
            <w:shd w:val="clear" w:color="auto" w:fill="E0E7ED"/>
          </w:tcPr>
          <w:p>
            <w:pPr>
              <w:spacing w:after="0"/>
              <w:rPr>
                <w:sz w:val="15"/>
                <w:szCs w:val="15"/>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574,768</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920,673</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627,195</w:t>
            </w:r>
          </w:p>
        </w:tc>
        <w:tc>
          <w:tcPr>
            <w:tcW w:w="8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386,061</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281,650</w:t>
            </w:r>
          </w:p>
        </w:tc>
        <w:tc>
          <w:tcPr>
            <w:tcW w:w="100" w:type="dxa"/>
            <w:vAlign w:val="bottom"/>
            <w:shd w:val="clear" w:color="auto" w:fill="E0E7ED"/>
          </w:tcPr>
          <w:p>
            <w:pPr>
              <w:spacing w:after="0"/>
              <w:rPr>
                <w:sz w:val="15"/>
                <w:szCs w:val="15"/>
                <w:color w:val="auto"/>
              </w:rPr>
            </w:pPr>
          </w:p>
        </w:tc>
        <w:tc>
          <w:tcPr>
            <w:tcW w:w="200" w:type="dxa"/>
            <w:vAlign w:val="bottom"/>
            <w:tcBorders>
              <w:bottom w:val="single" w:sz="8" w:color="auto"/>
            </w:tcBorders>
            <w:shd w:val="clear" w:color="auto" w:fill="E0E7ED"/>
          </w:tcPr>
          <w:p>
            <w:pPr>
              <w:spacing w:after="0"/>
              <w:rPr>
                <w:sz w:val="15"/>
                <w:szCs w:val="15"/>
                <w:color w:val="auto"/>
              </w:rPr>
            </w:pP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197,675</w:t>
            </w:r>
          </w:p>
        </w:tc>
        <w:tc>
          <w:tcPr>
            <w:tcW w:w="80" w:type="dxa"/>
            <w:vAlign w:val="bottom"/>
            <w:shd w:val="clear" w:color="auto" w:fill="E0E7ED"/>
          </w:tcPr>
          <w:p>
            <w:pPr>
              <w:spacing w:after="0"/>
              <w:rPr>
                <w:sz w:val="15"/>
                <w:szCs w:val="15"/>
                <w:color w:val="auto"/>
              </w:rPr>
            </w:pPr>
          </w:p>
        </w:tc>
        <w:tc>
          <w:tcPr>
            <w:tcW w:w="140" w:type="dxa"/>
            <w:vAlign w:val="bottom"/>
            <w:tcBorders>
              <w:bottom w:val="single" w:sz="8" w:color="auto"/>
            </w:tcBorders>
            <w:shd w:val="clear" w:color="auto" w:fill="E0E7ED"/>
          </w:tcPr>
          <w:p>
            <w:pPr>
              <w:spacing w:after="0"/>
              <w:rPr>
                <w:sz w:val="15"/>
                <w:szCs w:val="15"/>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1,488,847</w:t>
            </w:r>
          </w:p>
        </w:tc>
        <w:tc>
          <w:tcPr>
            <w:tcW w:w="100" w:type="dxa"/>
            <w:vAlign w:val="bottom"/>
            <w:shd w:val="clear" w:color="auto" w:fill="E0E7ED"/>
          </w:tcPr>
          <w:p>
            <w:pPr>
              <w:spacing w:after="0"/>
              <w:rPr>
                <w:sz w:val="15"/>
                <w:szCs w:val="15"/>
                <w:color w:val="auto"/>
              </w:rPr>
            </w:pPr>
          </w:p>
        </w:tc>
        <w:tc>
          <w:tcPr>
            <w:tcW w:w="160" w:type="dxa"/>
            <w:vAlign w:val="bottom"/>
            <w:tcBorders>
              <w:bottom w:val="single" w:sz="8" w:color="auto"/>
            </w:tcBorders>
            <w:shd w:val="clear" w:color="auto" w:fill="E0E7ED"/>
          </w:tcPr>
          <w:p>
            <w:pPr>
              <w:spacing w:after="0"/>
              <w:rPr>
                <w:sz w:val="15"/>
                <w:szCs w:val="15"/>
                <w:color w:val="auto"/>
              </w:rPr>
            </w:pPr>
          </w:p>
        </w:tc>
        <w:tc>
          <w:tcPr>
            <w:tcW w:w="8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4,476,869</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3,222</w:t>
            </w:r>
          </w:p>
        </w:tc>
        <w:tc>
          <w:tcPr>
            <w:tcW w:w="8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13,591</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11,174</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4,121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33,301</w:t>
            </w:r>
          </w:p>
        </w:tc>
      </w:tr>
      <w:tr>
        <w:trPr>
          <w:trHeight w:val="203"/>
        </w:trPr>
        <w:tc>
          <w:tcPr>
            <w:tcW w:w="24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8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860" w:type="dxa"/>
            <w:vAlign w:val="bottom"/>
            <w:shd w:val="clear" w:color="auto" w:fill="E0E7ED"/>
          </w:tcPr>
          <w:p>
            <w:pPr>
              <w:spacing w:after="0"/>
              <w:rPr>
                <w:sz w:val="17"/>
                <w:szCs w:val="17"/>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CRE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389,049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509,376</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726,226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1,336,389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832,204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735,227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42,545</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4,571,016</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91,566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111,220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141,107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162,659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208,775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95,704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813,941</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54,783</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24,440</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4,161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26,254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24,902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16,357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1,647</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152,544</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916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8,717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21,695</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2,769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4,551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3,158</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10,563</w:t>
            </w:r>
          </w:p>
        </w:tc>
      </w:tr>
      <w:tr>
        <w:trPr>
          <w:trHeight w:val="183"/>
        </w:trPr>
        <w:tc>
          <w:tcPr>
            <w:tcW w:w="246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CRE</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536,855</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649,764</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876,961</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1,533,986</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1,065,883</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859,163</w:t>
            </w:r>
          </w:p>
        </w:tc>
        <w:tc>
          <w:tcPr>
            <w:tcW w:w="80" w:type="dxa"/>
            <w:vAlign w:val="bottom"/>
            <w:tcBorders>
              <w:bottom w:val="single" w:sz="8" w:color="E0E7ED"/>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47,147</w:t>
            </w:r>
          </w:p>
        </w:tc>
        <w:tc>
          <w:tcPr>
            <w:tcW w:w="100" w:type="dxa"/>
            <w:vAlign w:val="bottom"/>
            <w:tcBorders>
              <w:bottom w:val="single" w:sz="8" w:color="E0E7ED"/>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5,569,759</w:t>
            </w:r>
          </w:p>
        </w:tc>
      </w:tr>
      <w:tr>
        <w:trPr>
          <w:trHeight w:val="183"/>
        </w:trPr>
        <w:tc>
          <w:tcPr>
            <w:tcW w:w="2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10,916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5"/>
                <w:szCs w:val="15"/>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5"/>
                <w:szCs w:val="15"/>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11,169</w:t>
            </w:r>
          </w:p>
        </w:tc>
      </w:tr>
      <w:tr>
        <w:trPr>
          <w:trHeight w:val="203"/>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2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Real estate construction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spacing w:after="0"/>
              <w:rPr>
                <w:sz w:val="16"/>
                <w:szCs w:val="16"/>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174,939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324,172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153,653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211,480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24,401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2,625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72,913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964,183</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14,429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28,866</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2,458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45,940</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18,334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7,037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25,981</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5,187</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428</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5,677</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83"/>
        </w:trPr>
        <w:tc>
          <w:tcPr>
            <w:tcW w:w="2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real estate construction</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212,889</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353,466</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156,111</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212,090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31,709</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2,625</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8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72,913</w:t>
            </w:r>
          </w:p>
        </w:tc>
        <w:tc>
          <w:tcPr>
            <w:tcW w:w="10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1,041,803</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4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8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860" w:type="dxa"/>
            <w:vAlign w:val="bottom"/>
            <w:shd w:val="clear" w:color="auto" w:fill="E0E7ED"/>
          </w:tcPr>
          <w:p>
            <w:pPr>
              <w:spacing w:after="0"/>
              <w:rPr>
                <w:sz w:val="17"/>
                <w:szCs w:val="17"/>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Retail real estate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75,389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138,161</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323,645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459,652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423,095</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546,277</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238,908</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2,205,127</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1,957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1,185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6,331</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92</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3,865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1,748</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214</w:t>
            </w: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6,848</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1,460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2,806</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Borders>
              <w:bottom w:val="single" w:sz="8" w:color="auto"/>
            </w:tcBorders>
            <w:shd w:val="clear" w:color="auto" w:fill="E0E7ED"/>
          </w:tcPr>
          <w:p>
            <w:pPr>
              <w:spacing w:after="0"/>
              <w:rPr>
                <w:sz w:val="16"/>
                <w:szCs w:val="16"/>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160</w:t>
            </w: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39</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322</w:t>
            </w: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2,944</w:t>
            </w:r>
          </w:p>
        </w:tc>
        <w:tc>
          <w:tcPr>
            <w:tcW w:w="80" w:type="dxa"/>
            <w:vAlign w:val="bottom"/>
            <w:shd w:val="clear" w:color="auto" w:fill="E0E7ED"/>
          </w:tcPr>
          <w:p>
            <w:pPr>
              <w:spacing w:after="0"/>
              <w:rPr>
                <w:sz w:val="16"/>
                <w:szCs w:val="16"/>
                <w:color w:val="auto"/>
              </w:rPr>
            </w:pPr>
          </w:p>
        </w:tc>
        <w:tc>
          <w:tcPr>
            <w:tcW w:w="140" w:type="dxa"/>
            <w:vAlign w:val="bottom"/>
            <w:tcBorders>
              <w:bottom w:val="single" w:sz="8" w:color="auto"/>
            </w:tcBorders>
            <w:shd w:val="clear" w:color="auto" w:fill="E0E7ED"/>
          </w:tcPr>
          <w:p>
            <w:pPr>
              <w:spacing w:after="0"/>
              <w:rPr>
                <w:sz w:val="16"/>
                <w:szCs w:val="16"/>
                <w:color w:val="auto"/>
              </w:rPr>
            </w:pP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3,912</w:t>
            </w:r>
          </w:p>
        </w:tc>
        <w:tc>
          <w:tcPr>
            <w:tcW w:w="100" w:type="dxa"/>
            <w:vAlign w:val="bottom"/>
            <w:shd w:val="clear" w:color="auto" w:fill="E0E7ED"/>
          </w:tcPr>
          <w:p>
            <w:pPr>
              <w:spacing w:after="0"/>
              <w:rPr>
                <w:sz w:val="16"/>
                <w:szCs w:val="16"/>
                <w:color w:val="auto"/>
              </w:rPr>
            </w:pPr>
          </w:p>
        </w:tc>
        <w:tc>
          <w:tcPr>
            <w:tcW w:w="160" w:type="dxa"/>
            <w:vAlign w:val="bottom"/>
            <w:tcBorders>
              <w:bottom w:val="single" w:sz="8" w:color="auto"/>
            </w:tcBorders>
            <w:shd w:val="clear" w:color="auto" w:fill="E0E7ED"/>
          </w:tcPr>
          <w:p>
            <w:pPr>
              <w:spacing w:after="0"/>
              <w:rPr>
                <w:sz w:val="16"/>
                <w:szCs w:val="16"/>
                <w:color w:val="auto"/>
              </w:rPr>
            </w:pPr>
          </w:p>
        </w:tc>
        <w:tc>
          <w:tcPr>
            <w:tcW w:w="8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7,847</w:t>
            </w:r>
          </w:p>
        </w:tc>
      </w:tr>
      <w:tr>
        <w:trPr>
          <w:trHeight w:val="183"/>
        </w:trPr>
        <w:tc>
          <w:tcPr>
            <w:tcW w:w="246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retail real estate</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75,773</w:t>
            </w: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140,360</w:t>
            </w: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328,172</w:t>
            </w: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463,959</w:t>
            </w: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425,944</w:t>
            </w: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551,141</w:t>
            </w:r>
          </w:p>
        </w:tc>
        <w:tc>
          <w:tcPr>
            <w:tcW w:w="8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243,610</w:t>
            </w:r>
          </w:p>
        </w:tc>
        <w:tc>
          <w:tcPr>
            <w:tcW w:w="10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2,228,959</w:t>
            </w:r>
          </w:p>
        </w:tc>
      </w:tr>
      <w:tr>
        <w:trPr>
          <w:trHeight w:val="183"/>
        </w:trPr>
        <w:tc>
          <w:tcPr>
            <w:tcW w:w="2460" w:type="dxa"/>
            <w:vAlign w:val="bottom"/>
            <w:shd w:val="clear" w:color="auto" w:fill="E0E7ED"/>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48</w:t>
            </w:r>
          </w:p>
        </w:tc>
        <w:tc>
          <w:tcPr>
            <w:tcW w:w="8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8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E0E7ED"/>
          </w:tcPr>
          <w:p>
            <w:pPr>
              <w:spacing w:after="0"/>
              <w:rPr>
                <w:sz w:val="15"/>
                <w:szCs w:val="15"/>
                <w:color w:val="auto"/>
              </w:rPr>
            </w:pPr>
          </w:p>
        </w:tc>
        <w:tc>
          <w:tcPr>
            <w:tcW w:w="160" w:type="dxa"/>
            <w:vAlign w:val="bottom"/>
            <w:shd w:val="clear" w:color="auto" w:fill="E0E7ED"/>
          </w:tcPr>
          <w:p>
            <w:pPr>
              <w:spacing w:after="0"/>
              <w:rPr>
                <w:sz w:val="15"/>
                <w:szCs w:val="15"/>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119</w:t>
            </w:r>
          </w:p>
        </w:tc>
      </w:tr>
      <w:tr>
        <w:trPr>
          <w:trHeight w:val="203"/>
        </w:trPr>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9"/>
        </w:trPr>
        <w:tc>
          <w:tcPr>
            <w:tcW w:w="246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Retail other</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spacing w:after="0"/>
              <w:rPr>
                <w:sz w:val="16"/>
                <w:szCs w:val="16"/>
                <w:color w:val="auto"/>
              </w:rPr>
            </w:pP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7,347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43,453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43,952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8,071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380,924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490,979</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46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8</w:t>
            </w:r>
          </w:p>
        </w:tc>
        <w:tc>
          <w:tcPr>
            <w:tcW w:w="8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9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E0E7ED"/>
          </w:tcPr>
          <w:p>
            <w:pPr>
              <w:spacing w:after="0"/>
              <w:rPr>
                <w:sz w:val="16"/>
                <w:szCs w:val="16"/>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w:t>
            </w:r>
          </w:p>
        </w:tc>
      </w:tr>
      <w:tr>
        <w:trPr>
          <w:trHeight w:val="189"/>
        </w:trPr>
        <w:tc>
          <w:tcPr>
            <w:tcW w:w="2460" w:type="dxa"/>
            <w:vAlign w:val="bottom"/>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w:t>
            </w:r>
          </w:p>
        </w:tc>
      </w:tr>
      <w:tr>
        <w:trPr>
          <w:trHeight w:val="183"/>
        </w:trPr>
        <w:tc>
          <w:tcPr>
            <w:tcW w:w="24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retail other</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6,059</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7,347</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43,546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44,090</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8,071</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1,192</w:t>
            </w:r>
          </w:p>
        </w:tc>
        <w:tc>
          <w:tcPr>
            <w:tcW w:w="8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8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380,924</w:t>
            </w:r>
          </w:p>
        </w:tc>
        <w:tc>
          <w:tcPr>
            <w:tcW w:w="100" w:type="dxa"/>
            <w:vAlign w:val="bottom"/>
            <w:tcBorders>
              <w:top w:val="single" w:sz="8" w:color="E0E7ED"/>
            </w:tcBorders>
            <w:shd w:val="clear" w:color="auto" w:fill="E0E7ED"/>
          </w:tcPr>
          <w:p>
            <w:pPr>
              <w:spacing w:after="0"/>
              <w:rPr>
                <w:sz w:val="15"/>
                <w:szCs w:val="15"/>
                <w:color w:val="auto"/>
              </w:rPr>
            </w:pPr>
          </w:p>
        </w:tc>
        <w:tc>
          <w:tcPr>
            <w:tcW w:w="160" w:type="dxa"/>
            <w:vAlign w:val="bottom"/>
            <w:tcBorders>
              <w:top w:val="single" w:sz="8" w:color="auto"/>
              <w:bottom w:val="single" w:sz="8" w:color="auto"/>
            </w:tcBorders>
            <w:shd w:val="clear" w:color="auto" w:fill="E0E7ED"/>
          </w:tcPr>
          <w:p>
            <w:pPr>
              <w:spacing w:after="0"/>
              <w:rPr>
                <w:sz w:val="15"/>
                <w:szCs w:val="15"/>
                <w:color w:val="auto"/>
              </w:rPr>
            </w:pPr>
          </w:p>
        </w:tc>
        <w:tc>
          <w:tcPr>
            <w:tcW w:w="8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491,229</w:t>
            </w:r>
          </w:p>
        </w:tc>
      </w:tr>
      <w:tr>
        <w:trPr>
          <w:trHeight w:val="183"/>
        </w:trPr>
        <w:tc>
          <w:tcPr>
            <w:tcW w:w="2460" w:type="dxa"/>
            <w:vAlign w:val="bottom"/>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629</w:t>
            </w:r>
          </w:p>
        </w:tc>
      </w:tr>
      <w:tr>
        <w:trPr>
          <w:trHeight w:val="202"/>
        </w:trPr>
        <w:tc>
          <w:tcPr>
            <w:tcW w:w="246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8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140" w:type="dxa"/>
            <w:vAlign w:val="bottom"/>
            <w:shd w:val="clear" w:color="auto" w:fill="E0E7ED"/>
          </w:tcPr>
          <w:p>
            <w:pPr>
              <w:spacing w:after="0"/>
              <w:rPr>
                <w:sz w:val="17"/>
                <w:szCs w:val="17"/>
                <w:color w:val="auto"/>
              </w:rPr>
            </w:pPr>
          </w:p>
        </w:tc>
        <w:tc>
          <w:tcPr>
            <w:tcW w:w="8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860" w:type="dxa"/>
            <w:vAlign w:val="bottom"/>
            <w:shd w:val="clear" w:color="auto" w:fill="E0E7ED"/>
          </w:tcPr>
          <w:p>
            <w:pPr>
              <w:spacing w:after="0"/>
              <w:rPr>
                <w:sz w:val="17"/>
                <w:szCs w:val="17"/>
                <w:color w:val="auto"/>
              </w:rPr>
            </w:pPr>
          </w:p>
        </w:tc>
      </w:tr>
      <w:tr>
        <w:trPr>
          <w:trHeight w:val="189"/>
        </w:trPr>
        <w:tc>
          <w:tcPr>
            <w:tcW w:w="2460" w:type="dxa"/>
            <w:vAlign w:val="bottom"/>
          </w:tcPr>
          <w:p>
            <w:pPr>
              <w:ind w:left="20"/>
              <w:spacing w:after="0"/>
              <w:rPr>
                <w:sz w:val="20"/>
                <w:szCs w:val="20"/>
                <w:color w:val="auto"/>
              </w:rPr>
            </w:pPr>
            <w:r>
              <w:rPr>
                <w:rFonts w:ascii="Arial" w:cs="Arial" w:eastAsia="Arial" w:hAnsi="Arial"/>
                <w:sz w:val="14"/>
                <w:szCs w:val="14"/>
                <w:b w:val="1"/>
                <w:bCs w:val="1"/>
                <w:color w:val="auto"/>
              </w:rPr>
              <w:t>Total portfolio loans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1,406,344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2,071,610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2,031,985</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2,640,186</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1,813,257</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1,611,796</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2,233,441</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13,808,619</w:t>
            </w:r>
          </w:p>
        </w:tc>
      </w:tr>
      <w:tr>
        <w:trPr>
          <w:trHeight w:val="20"/>
        </w:trPr>
        <w:tc>
          <w:tcPr>
            <w:tcW w:w="246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8"/>
        </w:trPr>
        <w:tc>
          <w:tcPr>
            <w:tcW w:w="2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Total gross charge-offs</w:t>
            </w: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11,971</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3,475</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13,844</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11,296</w:t>
            </w:r>
          </w:p>
        </w:tc>
        <w:tc>
          <w:tcPr>
            <w:tcW w:w="80" w:type="dxa"/>
            <w:vAlign w:val="bottom"/>
            <w:tcBorders>
              <w:bottom w:val="single" w:sz="8" w:color="E0E7ED"/>
            </w:tcBorders>
            <w:shd w:val="clear" w:color="auto" w:fill="E0E7ED"/>
          </w:tcPr>
          <w:p>
            <w:pPr>
              <w:spacing w:after="0"/>
              <w:rPr>
                <w:sz w:val="17"/>
                <w:szCs w:val="17"/>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4,157</w:t>
            </w:r>
          </w:p>
        </w:tc>
        <w:tc>
          <w:tcPr>
            <w:tcW w:w="100" w:type="dxa"/>
            <w:vAlign w:val="bottom"/>
            <w:tcBorders>
              <w:bottom w:val="single" w:sz="8" w:color="E0E7ED"/>
            </w:tcBorders>
            <w:shd w:val="clear" w:color="auto" w:fill="E0E7ED"/>
          </w:tcPr>
          <w:p>
            <w:pPr>
              <w:spacing w:after="0"/>
              <w:rPr>
                <w:sz w:val="17"/>
                <w:szCs w:val="17"/>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45,218</w:t>
            </w:r>
          </w:p>
        </w:tc>
      </w:tr>
      <w:tr>
        <w:trPr>
          <w:trHeight w:val="20"/>
        </w:trPr>
        <w:tc>
          <w:tcPr>
            <w:tcW w:w="246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86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220" w:type="dxa"/>
            <w:vAlign w:val="bottom"/>
            <w:tcBorders>
              <w:bottom w:val="single" w:sz="8" w:color="auto"/>
            </w:tcBorders>
            <w:gridSpan w:val="11"/>
          </w:tcPr>
          <w:p>
            <w:pPr>
              <w:ind w:left="260"/>
              <w:spacing w:after="0"/>
              <w:rPr>
                <w:sz w:val="20"/>
                <w:szCs w:val="20"/>
                <w:color w:val="auto"/>
              </w:rPr>
            </w:pPr>
            <w:r>
              <w:rPr>
                <w:rFonts w:ascii="Arial" w:cs="Arial" w:eastAsia="Arial" w:hAnsi="Arial"/>
                <w:sz w:val="14"/>
                <w:szCs w:val="14"/>
                <w:b w:val="1"/>
                <w:bCs w:val="1"/>
                <w:color w:val="auto"/>
              </w:rPr>
              <w:t>As of and For The Year Ended December 31, 2024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Risk Grade Ratings</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240" w:type="dxa"/>
            <w:vAlign w:val="bottom"/>
            <w:tcBorders>
              <w:bottom w:val="single" w:sz="8" w:color="auto"/>
            </w:tcBorders>
            <w:gridSpan w:val="11"/>
          </w:tcPr>
          <w:p>
            <w:pPr>
              <w:ind w:left="120"/>
              <w:spacing w:after="0"/>
              <w:rPr>
                <w:sz w:val="20"/>
                <w:szCs w:val="20"/>
                <w:color w:val="auto"/>
              </w:rPr>
            </w:pPr>
            <w:r>
              <w:rPr>
                <w:rFonts w:ascii="Arial" w:cs="Arial" w:eastAsia="Arial" w:hAnsi="Arial"/>
                <w:sz w:val="14"/>
                <w:szCs w:val="14"/>
                <w:b w:val="1"/>
                <w:bCs w:val="1"/>
                <w:color w:val="auto"/>
              </w:rPr>
              <w:t>Term Loans Amortized Cost Basis by Origination Year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Revolving</w:t>
            </w: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Prior</w:t>
            </w:r>
          </w:p>
        </w:tc>
        <w:tc>
          <w:tcPr>
            <w:tcW w:w="14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Loans</w:t>
            </w:r>
          </w:p>
        </w:tc>
        <w:tc>
          <w:tcPr>
            <w:tcW w:w="200" w:type="dxa"/>
            <w:vAlign w:val="bottom"/>
          </w:tcPr>
          <w:p>
            <w:pPr>
              <w:spacing w:after="0"/>
              <w:rPr>
                <w:sz w:val="15"/>
                <w:szCs w:val="15"/>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169"/>
        </w:trPr>
        <w:tc>
          <w:tcPr>
            <w:tcW w:w="2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C&amp;I and other commercial</w:t>
            </w: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20" w:type="dxa"/>
            <w:vAlign w:val="bottom"/>
            <w:tcBorders>
              <w:top w:val="single" w:sz="8" w:color="auto"/>
            </w:tcBorders>
            <w:shd w:val="clear" w:color="auto" w:fill="E0E7ED"/>
          </w:tcPr>
          <w:p>
            <w:pPr>
              <w:spacing w:after="0"/>
              <w:rPr>
                <w:sz w:val="14"/>
                <w:szCs w:val="14"/>
                <w:color w:val="auto"/>
              </w:rPr>
            </w:pPr>
          </w:p>
        </w:tc>
        <w:tc>
          <w:tcPr>
            <w:tcW w:w="8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20" w:type="dxa"/>
            <w:vAlign w:val="bottom"/>
            <w:tcBorders>
              <w:top w:val="single" w:sz="8" w:color="auto"/>
            </w:tcBorders>
            <w:shd w:val="clear" w:color="auto" w:fill="E0E7ED"/>
          </w:tcPr>
          <w:p>
            <w:pPr>
              <w:spacing w:after="0"/>
              <w:rPr>
                <w:sz w:val="14"/>
                <w:szCs w:val="14"/>
                <w:color w:val="auto"/>
              </w:rPr>
            </w:pPr>
          </w:p>
        </w:tc>
        <w:tc>
          <w:tcPr>
            <w:tcW w:w="78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40" w:type="dxa"/>
            <w:vAlign w:val="bottom"/>
            <w:tcBorders>
              <w:top w:val="single" w:sz="8" w:color="auto"/>
            </w:tcBorders>
            <w:shd w:val="clear" w:color="auto" w:fill="E0E7ED"/>
          </w:tcPr>
          <w:p>
            <w:pPr>
              <w:spacing w:after="0"/>
              <w:rPr>
                <w:sz w:val="14"/>
                <w:szCs w:val="14"/>
                <w:color w:val="auto"/>
              </w:rPr>
            </w:pPr>
          </w:p>
        </w:tc>
        <w:tc>
          <w:tcPr>
            <w:tcW w:w="88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820" w:type="dxa"/>
            <w:vAlign w:val="bottom"/>
            <w:tcBorders>
              <w:top w:val="single" w:sz="8" w:color="auto"/>
            </w:tcBorders>
            <w:shd w:val="clear" w:color="auto" w:fill="E0E7ED"/>
          </w:tcPr>
          <w:p>
            <w:pPr>
              <w:spacing w:after="0"/>
              <w:rPr>
                <w:sz w:val="14"/>
                <w:szCs w:val="14"/>
                <w:color w:val="auto"/>
              </w:rPr>
            </w:pP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320,831</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147,909</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163,870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125,053</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74,146</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117,234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596,295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1,545,338</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38,734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49,394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44,709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16,393</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2,175</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20,964</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109,055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281,424</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5,658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2,634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21,203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36,152</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15,186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6,545</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591</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2,424</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11,895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37,749</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2,288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3,852</w:t>
            </w:r>
          </w:p>
        </w:tc>
      </w:tr>
      <w:tr>
        <w:trPr>
          <w:trHeight w:val="183"/>
        </w:trPr>
        <w:tc>
          <w:tcPr>
            <w:tcW w:w="2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C&amp;I and other commercial</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376,534</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206,282</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215,489</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144,671</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76,789</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144,014</w:t>
            </w:r>
          </w:p>
        </w:tc>
        <w:tc>
          <w:tcPr>
            <w:tcW w:w="10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88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740,736</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1,904,515</w:t>
            </w: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14,980</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15,453</w:t>
            </w:r>
          </w:p>
        </w:tc>
      </w:tr>
      <w:tr>
        <w:trPr>
          <w:trHeight w:val="189"/>
        </w:trPr>
        <w:tc>
          <w:tcPr>
            <w:tcW w:w="24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r>
      <w:tr>
        <w:trPr>
          <w:trHeight w:val="189"/>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CRE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291,503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354,591</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755,266</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645,994</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356,867</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314,340</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25,457</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2,744,018</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115,078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132,900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60,611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62,408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28,320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38,733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895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438,945</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39,252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643</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8,020</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1,395</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4,165</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1,517</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55,041</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6,983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4,628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4,346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16,507</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15,000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15,053</w:t>
            </w:r>
          </w:p>
        </w:tc>
      </w:tr>
      <w:tr>
        <w:trPr>
          <w:trHeight w:val="183"/>
        </w:trPr>
        <w:tc>
          <w:tcPr>
            <w:tcW w:w="248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CRE</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467,816</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488,528</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828,525</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709,847</w:t>
            </w:r>
          </w:p>
        </w:tc>
        <w:tc>
          <w:tcPr>
            <w:tcW w:w="8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389,461</w:t>
            </w:r>
          </w:p>
        </w:tc>
        <w:tc>
          <w:tcPr>
            <w:tcW w:w="10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358,936</w:t>
            </w:r>
          </w:p>
        </w:tc>
        <w:tc>
          <w:tcPr>
            <w:tcW w:w="100" w:type="dxa"/>
            <w:vAlign w:val="bottom"/>
            <w:tcBorders>
              <w:bottom w:val="single" w:sz="8" w:color="E0E7ED"/>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26,451</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3,269,564</w:t>
            </w:r>
          </w:p>
        </w:tc>
      </w:tr>
      <w:tr>
        <w:trPr>
          <w:trHeight w:val="183"/>
        </w:trPr>
        <w:tc>
          <w:tcPr>
            <w:tcW w:w="2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2,999</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3,314</w:t>
            </w:r>
          </w:p>
        </w:tc>
      </w:tr>
      <w:tr>
        <w:trPr>
          <w:trHeight w:val="189"/>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Real estate construction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159,825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134,450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12,205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24,781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11,310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345,908</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20,170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6,455</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208</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26,833</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5,224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88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E0E7ED"/>
          </w:tcPr>
          <w:p>
            <w:pPr>
              <w:spacing w:after="0"/>
              <w:rPr>
                <w:sz w:val="16"/>
                <w:szCs w:val="16"/>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5,224</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183"/>
        </w:trPr>
        <w:tc>
          <w:tcPr>
            <w:tcW w:w="2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color w:val="auto"/>
              </w:rPr>
              <w:t>Total real estate construction</w:t>
            </w: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185,219</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140,905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12,205</w:t>
            </w:r>
          </w:p>
        </w:tc>
        <w:tc>
          <w:tcPr>
            <w:tcW w:w="10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25,233</w:t>
            </w:r>
          </w:p>
        </w:tc>
        <w:tc>
          <w:tcPr>
            <w:tcW w:w="8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8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2,213</w:t>
            </w:r>
          </w:p>
        </w:tc>
        <w:tc>
          <w:tcPr>
            <w:tcW w:w="100" w:type="dxa"/>
            <w:vAlign w:val="bottom"/>
            <w:tcBorders>
              <w:top w:val="single" w:sz="8" w:color="E0E7ED"/>
            </w:tcBorders>
            <w:shd w:val="clear" w:color="auto" w:fill="E0E7ED"/>
          </w:tcPr>
          <w:p>
            <w:pPr>
              <w:spacing w:after="0"/>
              <w:rPr>
                <w:sz w:val="15"/>
                <w:szCs w:val="15"/>
                <w:color w:val="auto"/>
              </w:rPr>
            </w:pPr>
          </w:p>
        </w:tc>
        <w:tc>
          <w:tcPr>
            <w:tcW w:w="220" w:type="dxa"/>
            <w:vAlign w:val="bottom"/>
            <w:tcBorders>
              <w:top w:val="single" w:sz="8" w:color="auto"/>
              <w:bottom w:val="single" w:sz="8" w:color="auto"/>
            </w:tcBorders>
            <w:shd w:val="clear" w:color="auto" w:fill="E0E7ED"/>
          </w:tcPr>
          <w:p>
            <w:pPr>
              <w:spacing w:after="0"/>
              <w:rPr>
                <w:sz w:val="15"/>
                <w:szCs w:val="15"/>
                <w:color w:val="auto"/>
              </w:rPr>
            </w:pPr>
          </w:p>
        </w:tc>
        <w:tc>
          <w:tcPr>
            <w:tcW w:w="78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1,124</w:t>
            </w:r>
          </w:p>
        </w:tc>
        <w:tc>
          <w:tcPr>
            <w:tcW w:w="100" w:type="dxa"/>
            <w:vAlign w:val="bottom"/>
            <w:tcBorders>
              <w:top w:val="single" w:sz="8" w:color="E0E7ED"/>
            </w:tcBorders>
            <w:shd w:val="clear" w:color="auto" w:fill="E0E7ED"/>
          </w:tcPr>
          <w:p>
            <w:pPr>
              <w:spacing w:after="0"/>
              <w:rPr>
                <w:sz w:val="15"/>
                <w:szCs w:val="15"/>
                <w:color w:val="auto"/>
              </w:rPr>
            </w:pPr>
          </w:p>
        </w:tc>
        <w:tc>
          <w:tcPr>
            <w:tcW w:w="140" w:type="dxa"/>
            <w:vAlign w:val="bottom"/>
            <w:tcBorders>
              <w:top w:val="single" w:sz="8" w:color="auto"/>
              <w:bottom w:val="single" w:sz="8" w:color="auto"/>
            </w:tcBorders>
            <w:shd w:val="clear" w:color="auto" w:fill="E0E7ED"/>
          </w:tcPr>
          <w:p>
            <w:pPr>
              <w:spacing w:after="0"/>
              <w:rPr>
                <w:sz w:val="15"/>
                <w:szCs w:val="15"/>
                <w:color w:val="auto"/>
              </w:rPr>
            </w:pPr>
          </w:p>
        </w:tc>
        <w:tc>
          <w:tcPr>
            <w:tcW w:w="880" w:type="dxa"/>
            <w:vAlign w:val="bottom"/>
            <w:tcBorders>
              <w:top w:val="single" w:sz="8" w:color="auto"/>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11,310</w:t>
            </w:r>
          </w:p>
        </w:tc>
        <w:tc>
          <w:tcPr>
            <w:tcW w:w="80" w:type="dxa"/>
            <w:vAlign w:val="bottom"/>
            <w:tcBorders>
              <w:top w:val="single" w:sz="8" w:color="E0E7ED"/>
            </w:tcBorders>
            <w:shd w:val="clear" w:color="auto" w:fill="E0E7ED"/>
          </w:tcPr>
          <w:p>
            <w:pPr>
              <w:spacing w:after="0"/>
              <w:rPr>
                <w:sz w:val="15"/>
                <w:szCs w:val="15"/>
                <w:color w:val="auto"/>
              </w:rPr>
            </w:pPr>
          </w:p>
        </w:tc>
        <w:tc>
          <w:tcPr>
            <w:tcW w:w="200" w:type="dxa"/>
            <w:vAlign w:val="bottom"/>
            <w:tcBorders>
              <w:top w:val="single" w:sz="8" w:color="auto"/>
              <w:bottom w:val="single" w:sz="8" w:color="auto"/>
            </w:tcBorders>
            <w:shd w:val="clear" w:color="auto" w:fill="E0E7ED"/>
          </w:tcPr>
          <w:p>
            <w:pPr>
              <w:spacing w:after="0"/>
              <w:rPr>
                <w:sz w:val="15"/>
                <w:szCs w:val="15"/>
                <w:color w:val="auto"/>
              </w:rPr>
            </w:pPr>
          </w:p>
        </w:tc>
        <w:tc>
          <w:tcPr>
            <w:tcW w:w="82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378,209</w:t>
            </w:r>
          </w:p>
        </w:tc>
      </w:tr>
      <w:tr>
        <w:trPr>
          <w:trHeight w:val="183"/>
        </w:trPr>
        <w:tc>
          <w:tcPr>
            <w:tcW w:w="2480" w:type="dxa"/>
            <w:vAlign w:val="bottom"/>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4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r>
      <w:tr>
        <w:trPr>
          <w:trHeight w:val="189"/>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Retail real estate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101,582</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237,306</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366,820</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354,380</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147,236</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267,431</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205,885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1,680,640</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Watch</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1,255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3,377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872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9,408</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882</w:t>
            </w: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503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2,543</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344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91</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1,526</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871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2,984</w:t>
            </w:r>
          </w:p>
        </w:tc>
      </w:tr>
      <w:tr>
        <w:trPr>
          <w:trHeight w:val="183"/>
        </w:trPr>
        <w:tc>
          <w:tcPr>
            <w:tcW w:w="248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retail real estate</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102,988</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238,099</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371,259</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358,351</w:t>
            </w:r>
          </w:p>
        </w:tc>
        <w:tc>
          <w:tcPr>
            <w:tcW w:w="8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148,260</w:t>
            </w:r>
          </w:p>
        </w:tc>
        <w:tc>
          <w:tcPr>
            <w:tcW w:w="10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270,229</w:t>
            </w:r>
          </w:p>
        </w:tc>
        <w:tc>
          <w:tcPr>
            <w:tcW w:w="100" w:type="dxa"/>
            <w:vAlign w:val="bottom"/>
            <w:tcBorders>
              <w:bottom w:val="single" w:sz="8" w:color="E0E7ED"/>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207,271</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1,696,457</w:t>
            </w:r>
          </w:p>
        </w:tc>
      </w:tr>
      <w:tr>
        <w:trPr>
          <w:trHeight w:val="183"/>
        </w:trPr>
        <w:tc>
          <w:tcPr>
            <w:tcW w:w="2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2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5"/>
                <w:szCs w:val="15"/>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168</w:t>
            </w:r>
          </w:p>
        </w:tc>
        <w:tc>
          <w:tcPr>
            <w:tcW w:w="10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168</w:t>
            </w:r>
          </w:p>
        </w:tc>
      </w:tr>
      <w:tr>
        <w:trPr>
          <w:trHeight w:val="189"/>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89"/>
        </w:trPr>
        <w:tc>
          <w:tcPr>
            <w:tcW w:w="2480" w:type="dxa"/>
            <w:vAlign w:val="bottom"/>
            <w:shd w:val="clear" w:color="auto" w:fill="E0E7ED"/>
          </w:tcPr>
          <w:p>
            <w:pPr>
              <w:ind w:left="20"/>
              <w:spacing w:after="0"/>
              <w:rPr>
                <w:sz w:val="20"/>
                <w:szCs w:val="20"/>
                <w:color w:val="auto"/>
              </w:rPr>
            </w:pPr>
            <w:r>
              <w:rPr>
                <w:rFonts w:ascii="Arial" w:cs="Arial" w:eastAsia="Arial" w:hAnsi="Arial"/>
                <w:sz w:val="14"/>
                <w:szCs w:val="14"/>
                <w:b w:val="1"/>
                <w:bCs w:val="1"/>
                <w:color w:val="auto"/>
              </w:rPr>
              <w:t>Retail other</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8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88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spacing w:after="0"/>
              <w:rPr>
                <w:sz w:val="16"/>
                <w:szCs w:val="16"/>
                <w:color w:val="auto"/>
              </w:rPr>
            </w:pPr>
          </w:p>
        </w:tc>
      </w:tr>
      <w:tr>
        <w:trPr>
          <w:trHeight w:val="189"/>
        </w:trPr>
        <w:tc>
          <w:tcPr>
            <w:tcW w:w="2480" w:type="dxa"/>
            <w:vAlign w:val="bottom"/>
          </w:tcPr>
          <w:p>
            <w:pPr>
              <w:ind w:left="180"/>
              <w:spacing w:after="0"/>
              <w:rPr>
                <w:sz w:val="20"/>
                <w:szCs w:val="20"/>
                <w:color w:val="auto"/>
              </w:rPr>
            </w:pPr>
            <w:r>
              <w:rPr>
                <w:rFonts w:ascii="Arial" w:cs="Arial" w:eastAsia="Arial" w:hAnsi="Arial"/>
                <w:sz w:val="14"/>
                <w:szCs w:val="14"/>
                <w:color w:val="auto"/>
              </w:rPr>
              <w:t>Pass</w:t>
            </w: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4,996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55,665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57,944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12,207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314,461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448,166</w:t>
            </w:r>
          </w:p>
        </w:tc>
      </w:tr>
      <w:tr>
        <w:trPr>
          <w:trHeight w:val="189"/>
        </w:trPr>
        <w:tc>
          <w:tcPr>
            <w:tcW w:w="248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Substandard non-accrual</w:t>
            </w:r>
          </w:p>
        </w:tc>
        <w:tc>
          <w:tcPr>
            <w:tcW w:w="20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shd w:val="clear" w:color="auto" w:fill="E0E7ED"/>
          </w:tcPr>
          <w:p>
            <w:pPr>
              <w:spacing w:after="0"/>
              <w:rPr>
                <w:sz w:val="16"/>
                <w:szCs w:val="16"/>
                <w:color w:val="auto"/>
              </w:rPr>
            </w:pPr>
          </w:p>
        </w:tc>
        <w:tc>
          <w:tcPr>
            <w:tcW w:w="220" w:type="dxa"/>
            <w:vAlign w:val="bottom"/>
            <w:shd w:val="clear" w:color="auto" w:fill="E0E7ED"/>
          </w:tcPr>
          <w:p>
            <w:pPr>
              <w:spacing w:after="0"/>
              <w:rPr>
                <w:sz w:val="16"/>
                <w:szCs w:val="16"/>
                <w:color w:val="auto"/>
              </w:rPr>
            </w:pPr>
          </w:p>
        </w:tc>
        <w:tc>
          <w:tcPr>
            <w:tcW w:w="90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E0E7ED"/>
          </w:tcPr>
          <w:p>
            <w:pPr>
              <w:spacing w:after="0"/>
              <w:rPr>
                <w:sz w:val="16"/>
                <w:szCs w:val="16"/>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E0E7ED"/>
          </w:tcPr>
          <w:p>
            <w:pPr>
              <w:spacing w:after="0"/>
              <w:rPr>
                <w:sz w:val="16"/>
                <w:szCs w:val="16"/>
                <w:color w:val="auto"/>
              </w:rPr>
            </w:pPr>
          </w:p>
        </w:tc>
        <w:tc>
          <w:tcPr>
            <w:tcW w:w="140" w:type="dxa"/>
            <w:vAlign w:val="bottom"/>
            <w:shd w:val="clear" w:color="auto" w:fill="E0E7ED"/>
          </w:tcPr>
          <w:p>
            <w:pPr>
              <w:spacing w:after="0"/>
              <w:rPr>
                <w:sz w:val="16"/>
                <w:szCs w:val="16"/>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6"/>
                <w:szCs w:val="16"/>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176</w:t>
            </w:r>
          </w:p>
        </w:tc>
      </w:tr>
      <w:tr>
        <w:trPr>
          <w:trHeight w:val="183"/>
        </w:trPr>
        <w:tc>
          <w:tcPr>
            <w:tcW w:w="2480" w:type="dxa"/>
            <w:vAlign w:val="bottom"/>
            <w:tcBorders>
              <w:bottom w:val="single" w:sz="8" w:color="E0E7ED"/>
            </w:tcBorders>
          </w:tcPr>
          <w:p>
            <w:pPr>
              <w:ind w:left="20"/>
              <w:spacing w:after="0"/>
              <w:rPr>
                <w:sz w:val="20"/>
                <w:szCs w:val="20"/>
                <w:color w:val="auto"/>
              </w:rPr>
            </w:pPr>
            <w:r>
              <w:rPr>
                <w:rFonts w:ascii="Arial" w:cs="Arial" w:eastAsia="Arial" w:hAnsi="Arial"/>
                <w:sz w:val="14"/>
                <w:szCs w:val="14"/>
                <w:color w:val="auto"/>
              </w:rPr>
              <w:t>Total retail other</w:t>
            </w: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4,996</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55,759</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58,011</w:t>
            </w:r>
          </w:p>
        </w:tc>
        <w:tc>
          <w:tcPr>
            <w:tcW w:w="10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12,211</w:t>
            </w:r>
          </w:p>
        </w:tc>
        <w:tc>
          <w:tcPr>
            <w:tcW w:w="8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2,304</w:t>
            </w:r>
          </w:p>
        </w:tc>
        <w:tc>
          <w:tcPr>
            <w:tcW w:w="100" w:type="dxa"/>
            <w:vAlign w:val="bottom"/>
            <w:tcBorders>
              <w:bottom w:val="single" w:sz="8" w:color="E0E7ED"/>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Borders>
              <w:bottom w:val="single" w:sz="8" w:color="E0E7ED"/>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314,461</w:t>
            </w:r>
          </w:p>
        </w:tc>
        <w:tc>
          <w:tcPr>
            <w:tcW w:w="80" w:type="dxa"/>
            <w:vAlign w:val="bottom"/>
            <w:tcBorders>
              <w:bottom w:val="single" w:sz="8" w:color="E0E7ED"/>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448,342</w:t>
            </w:r>
          </w:p>
        </w:tc>
      </w:tr>
      <w:tr>
        <w:trPr>
          <w:trHeight w:val="183"/>
        </w:trPr>
        <w:tc>
          <w:tcPr>
            <w:tcW w:w="2480" w:type="dxa"/>
            <w:vAlign w:val="bottom"/>
            <w:shd w:val="clear" w:color="auto" w:fill="E0E7ED"/>
          </w:tcPr>
          <w:p>
            <w:pPr>
              <w:ind w:left="20"/>
              <w:spacing w:after="0"/>
              <w:rPr>
                <w:sz w:val="20"/>
                <w:szCs w:val="20"/>
                <w:color w:val="auto"/>
              </w:rPr>
            </w:pPr>
            <w:r>
              <w:rPr>
                <w:rFonts w:ascii="Arial" w:cs="Arial" w:eastAsia="Arial" w:hAnsi="Arial"/>
                <w:sz w:val="14"/>
                <w:szCs w:val="14"/>
                <w:color w:val="auto"/>
              </w:rPr>
              <w:t>Gross charge-offs</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78</w:t>
            </w:r>
          </w:p>
        </w:tc>
        <w:tc>
          <w:tcPr>
            <w:tcW w:w="8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403</w:t>
            </w:r>
          </w:p>
        </w:tc>
        <w:tc>
          <w:tcPr>
            <w:tcW w:w="100" w:type="dxa"/>
            <w:vAlign w:val="bottom"/>
            <w:shd w:val="clear" w:color="auto" w:fill="E0E7ED"/>
          </w:tcPr>
          <w:p>
            <w:pPr>
              <w:spacing w:after="0"/>
              <w:rPr>
                <w:sz w:val="15"/>
                <w:szCs w:val="15"/>
                <w:color w:val="auto"/>
              </w:rPr>
            </w:pPr>
          </w:p>
        </w:tc>
        <w:tc>
          <w:tcPr>
            <w:tcW w:w="140" w:type="dxa"/>
            <w:vAlign w:val="bottom"/>
            <w:shd w:val="clear" w:color="auto" w:fill="E0E7ED"/>
          </w:tcPr>
          <w:p>
            <w:pPr>
              <w:spacing w:after="0"/>
              <w:rPr>
                <w:sz w:val="15"/>
                <w:szCs w:val="15"/>
                <w:color w:val="auto"/>
              </w:rPr>
            </w:pPr>
          </w:p>
        </w:tc>
        <w:tc>
          <w:tcPr>
            <w:tcW w:w="960" w:type="dxa"/>
            <w:vAlign w:val="bottom"/>
            <w:gridSpan w:val="2"/>
            <w:shd w:val="clear" w:color="auto" w:fill="E0E7ED"/>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E0E7ED"/>
          </w:tcPr>
          <w:p>
            <w:pPr>
              <w:spacing w:after="0"/>
              <w:rPr>
                <w:sz w:val="15"/>
                <w:szCs w:val="15"/>
                <w:color w:val="auto"/>
              </w:rPr>
            </w:pPr>
          </w:p>
        </w:tc>
        <w:tc>
          <w:tcPr>
            <w:tcW w:w="8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631</w:t>
            </w:r>
          </w:p>
        </w:tc>
      </w:tr>
      <w:tr>
        <w:trPr>
          <w:trHeight w:val="189"/>
        </w:trPr>
        <w:tc>
          <w:tcPr>
            <w:tcW w:w="2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4"/>
        </w:trPr>
        <w:tc>
          <w:tcPr>
            <w:tcW w:w="2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Total portfolio loans</w:t>
            </w: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1,137,553</w:t>
            </w:r>
          </w:p>
        </w:tc>
        <w:tc>
          <w:tcPr>
            <w:tcW w:w="8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1,129,573</w:t>
            </w:r>
          </w:p>
        </w:tc>
        <w:tc>
          <w:tcPr>
            <w:tcW w:w="10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1,485,489</w:t>
            </w:r>
          </w:p>
        </w:tc>
        <w:tc>
          <w:tcPr>
            <w:tcW w:w="10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1,250,313</w:t>
            </w:r>
          </w:p>
        </w:tc>
        <w:tc>
          <w:tcPr>
            <w:tcW w:w="80" w:type="dxa"/>
            <w:vAlign w:val="bottom"/>
            <w:tcBorders>
              <w:bottom w:val="single" w:sz="8" w:color="E0E7ED"/>
            </w:tcBorders>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619,027</w:t>
            </w:r>
          </w:p>
        </w:tc>
        <w:tc>
          <w:tcPr>
            <w:tcW w:w="100" w:type="dxa"/>
            <w:vAlign w:val="bottom"/>
            <w:tcBorders>
              <w:bottom w:val="single" w:sz="8" w:color="E0E7ED"/>
            </w:tcBorders>
            <w:shd w:val="clear" w:color="auto" w:fill="E0E7ED"/>
          </w:tcPr>
          <w:p>
            <w:pPr>
              <w:spacing w:after="0"/>
              <w:rPr>
                <w:sz w:val="18"/>
                <w:szCs w:val="18"/>
                <w:color w:val="auto"/>
              </w:rPr>
            </w:pPr>
          </w:p>
        </w:tc>
        <w:tc>
          <w:tcPr>
            <w:tcW w:w="220" w:type="dxa"/>
            <w:vAlign w:val="bottom"/>
            <w:tcBorders>
              <w:bottom w:val="single" w:sz="8" w:color="auto"/>
            </w:tcBorders>
            <w:shd w:val="clear" w:color="auto" w:fill="E0E7ED"/>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774,903</w:t>
            </w:r>
          </w:p>
        </w:tc>
        <w:tc>
          <w:tcPr>
            <w:tcW w:w="100" w:type="dxa"/>
            <w:vAlign w:val="bottom"/>
            <w:tcBorders>
              <w:bottom w:val="single" w:sz="8" w:color="E0E7ED"/>
            </w:tcBorders>
            <w:shd w:val="clear" w:color="auto" w:fill="E0E7ED"/>
          </w:tcPr>
          <w:p>
            <w:pPr>
              <w:spacing w:after="0"/>
              <w:rPr>
                <w:sz w:val="18"/>
                <w:szCs w:val="18"/>
                <w:color w:val="auto"/>
              </w:rPr>
            </w:pP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1,300,229</w:t>
            </w:r>
          </w:p>
        </w:tc>
        <w:tc>
          <w:tcPr>
            <w:tcW w:w="8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7,697,087</w:t>
            </w:r>
          </w:p>
        </w:tc>
      </w:tr>
      <w:tr>
        <w:trPr>
          <w:trHeight w:val="20"/>
        </w:trPr>
        <w:tc>
          <w:tcPr>
            <w:tcW w:w="24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8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7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820" w:type="dxa"/>
            <w:vAlign w:val="bottom"/>
            <w:tcBorders>
              <w:top w:val="single" w:sz="8" w:color="E0E7ED"/>
              <w:bottom w:val="single" w:sz="8" w:color="auto"/>
            </w:tcBorders>
          </w:tcPr>
          <w:p>
            <w:pPr>
              <w:spacing w:after="0" w:line="20" w:lineRule="exact"/>
              <w:rPr>
                <w:sz w:val="1"/>
                <w:szCs w:val="1"/>
                <w:color w:val="auto"/>
              </w:rPr>
            </w:pPr>
          </w:p>
        </w:tc>
      </w:tr>
      <w:tr>
        <w:trPr>
          <w:trHeight w:val="163"/>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Total gross charge-offs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15,011</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3,099</w:t>
            </w:r>
          </w:p>
        </w:tc>
        <w:tc>
          <w:tcPr>
            <w:tcW w:w="8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4"/>
                <w:szCs w:val="1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1,189</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19,566</w:t>
            </w:r>
          </w:p>
        </w:tc>
      </w:tr>
      <w:tr>
        <w:trPr>
          <w:trHeight w:val="20"/>
        </w:trPr>
        <w:tc>
          <w:tcPr>
            <w:tcW w:w="2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portfolio loans that were past due and still accruing, or on a non-accrual status, is presented in the table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June 30, 2025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9"/>
          </w:tcPr>
          <w:p>
            <w:pPr>
              <w:jc w:val="center"/>
              <w:ind w:left="734"/>
              <w:spacing w:after="0"/>
              <w:rPr>
                <w:sz w:val="20"/>
                <w:szCs w:val="20"/>
                <w:color w:val="auto"/>
              </w:rPr>
            </w:pPr>
            <w:r>
              <w:rPr>
                <w:rFonts w:ascii="Arial" w:cs="Arial" w:eastAsia="Arial" w:hAnsi="Arial"/>
                <w:sz w:val="14"/>
                <w:szCs w:val="14"/>
                <w:b w:val="1"/>
                <w:bCs w:val="1"/>
                <w:color w:val="auto"/>
              </w:rPr>
              <w:t>Loans past due, still accruing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Non-accrual</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Non-accrual Loans</w:t>
            </w:r>
          </w:p>
        </w:tc>
        <w:tc>
          <w:tcPr>
            <w:tcW w:w="0" w:type="dxa"/>
            <w:vAlign w:val="bottom"/>
          </w:tcPr>
          <w:p>
            <w:pPr>
              <w:spacing w:after="0"/>
              <w:rPr>
                <w:sz w:val="1"/>
                <w:szCs w:val="1"/>
                <w:color w:val="auto"/>
              </w:rPr>
            </w:pPr>
          </w:p>
        </w:tc>
      </w:tr>
      <w:tr>
        <w:trPr>
          <w:trHeight w:val="41"/>
        </w:trPr>
        <w:tc>
          <w:tcPr>
            <w:tcW w:w="40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1360" w:type="dxa"/>
            <w:vAlign w:val="bottom"/>
            <w:gridSpan w:val="2"/>
            <w:vMerge w:val="restart"/>
          </w:tcPr>
          <w:p>
            <w:pPr>
              <w:ind w:left="40"/>
              <w:spacing w:after="0" w:line="135" w:lineRule="exact"/>
              <w:rPr>
                <w:sz w:val="20"/>
                <w:szCs w:val="20"/>
                <w:color w:val="auto"/>
              </w:rPr>
            </w:pPr>
            <w:r>
              <w:rPr>
                <w:rFonts w:ascii="Arial" w:cs="Arial" w:eastAsia="Arial" w:hAnsi="Arial"/>
                <w:sz w:val="14"/>
                <w:szCs w:val="14"/>
                <w:b w:val="1"/>
                <w:bCs w:val="1"/>
                <w:color w:val="auto"/>
              </w:rPr>
              <w:t>with No Allowance</w:t>
            </w:r>
          </w:p>
        </w:tc>
        <w:tc>
          <w:tcPr>
            <w:tcW w:w="0" w:type="dxa"/>
            <w:vAlign w:val="bottom"/>
          </w:tcPr>
          <w:p>
            <w:pPr>
              <w:spacing w:after="0"/>
              <w:rPr>
                <w:sz w:val="1"/>
                <w:szCs w:val="1"/>
                <w:color w:val="auto"/>
              </w:rPr>
            </w:pPr>
          </w:p>
        </w:tc>
      </w:tr>
      <w:tr>
        <w:trPr>
          <w:trHeight w:val="74"/>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30-59 Days</w:t>
            </w: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vMerge w:val="restart"/>
          </w:tcPr>
          <w:p>
            <w:pPr>
              <w:jc w:val="center"/>
              <w:ind w:right="72"/>
              <w:spacing w:after="0"/>
              <w:rPr>
                <w:sz w:val="20"/>
                <w:szCs w:val="20"/>
                <w:color w:val="auto"/>
              </w:rPr>
            </w:pPr>
            <w:r>
              <w:rPr>
                <w:rFonts w:ascii="Arial" w:cs="Arial" w:eastAsia="Arial" w:hAnsi="Arial"/>
                <w:sz w:val="14"/>
                <w:szCs w:val="14"/>
                <w:b w:val="1"/>
                <w:bCs w:val="1"/>
                <w:color w:val="auto"/>
              </w:rPr>
              <w:t>60-89 Days</w:t>
            </w: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90+Days</w:t>
            </w:r>
          </w:p>
        </w:tc>
        <w:tc>
          <w:tcPr>
            <w:tcW w:w="2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3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40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Loans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Credit 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20" w:type="dxa"/>
            <w:vAlign w:val="bottom"/>
            <w:tcBorders>
              <w:top w:val="single" w:sz="8" w:color="auto"/>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080" w:type="dxa"/>
            <w:vAlign w:val="bottom"/>
            <w:tcBorders>
              <w:top w:val="single" w:sz="8" w:color="auto"/>
            </w:tcBorders>
            <w:shd w:val="clear" w:color="auto" w:fill="E0E7ED"/>
          </w:tcPr>
          <w:p>
            <w:pPr>
              <w:spacing w:after="0"/>
              <w:rPr>
                <w:sz w:val="21"/>
                <w:szCs w:val="21"/>
                <w:color w:val="auto"/>
              </w:rPr>
            </w:pPr>
          </w:p>
        </w:tc>
        <w:tc>
          <w:tcPr>
            <w:tcW w:w="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420" w:type="dxa"/>
            <w:vAlign w:val="bottom"/>
            <w:tcBorders>
              <w:top w:val="single" w:sz="8" w:color="auto"/>
            </w:tcBorders>
            <w:shd w:val="clear" w:color="auto" w:fill="E0E7ED"/>
          </w:tcPr>
          <w:p>
            <w:pPr>
              <w:spacing w:after="0"/>
              <w:rPr>
                <w:sz w:val="21"/>
                <w:szCs w:val="21"/>
                <w:color w:val="auto"/>
              </w:rPr>
            </w:pPr>
          </w:p>
        </w:tc>
        <w:tc>
          <w:tcPr>
            <w:tcW w:w="9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4,972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1,490</w:t>
            </w: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34,940</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3,311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524</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5,744</w:t>
            </w:r>
          </w:p>
        </w:tc>
        <w:tc>
          <w:tcPr>
            <w:tcW w:w="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10,563</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4,300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18,670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Past due and non-accrual commercial loans</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24,166</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14,028</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45,525</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7,611</w:t>
            </w:r>
          </w:p>
        </w:tc>
        <w:tc>
          <w:tcPr>
            <w:tcW w:w="0" w:type="dxa"/>
            <w:vAlign w:val="bottom"/>
          </w:tcPr>
          <w:p>
            <w:pPr>
              <w:spacing w:after="0"/>
              <w:rPr>
                <w:sz w:val="1"/>
                <w:szCs w:val="1"/>
                <w:color w:val="auto"/>
              </w:rPr>
            </w:pPr>
          </w:p>
        </w:tc>
      </w:tr>
      <w:tr>
        <w:trPr>
          <w:trHeight w:val="242"/>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331</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7,847</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Past due and non-accrual retail loans</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3,272</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722</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8,089</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Total past due and non-accrual loans</w:t>
            </w: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27,438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14,750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6"/>
          </w:tcPr>
          <w:p>
            <w:pPr>
              <w:jc w:val="center"/>
              <w:ind w:right="30"/>
              <w:spacing w:after="0"/>
              <w:rPr>
                <w:sz w:val="20"/>
                <w:szCs w:val="20"/>
                <w:color w:val="auto"/>
              </w:rPr>
            </w:pPr>
            <w:r>
              <w:rPr>
                <w:rFonts w:ascii="Arial" w:cs="Arial" w:eastAsia="Arial" w:hAnsi="Arial"/>
                <w:sz w:val="14"/>
                <w:szCs w:val="14"/>
                <w:b w:val="1"/>
                <w:bCs w:val="1"/>
                <w:color w:val="auto"/>
              </w:rPr>
              <w:t>As of December 31, 2024</w:t>
            </w: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gridSpan w:val="9"/>
          </w:tcPr>
          <w:p>
            <w:pPr>
              <w:jc w:val="center"/>
              <w:ind w:left="734"/>
              <w:spacing w:after="0"/>
              <w:rPr>
                <w:sz w:val="20"/>
                <w:szCs w:val="20"/>
                <w:color w:val="auto"/>
              </w:rPr>
            </w:pPr>
            <w:r>
              <w:rPr>
                <w:rFonts w:ascii="Arial" w:cs="Arial" w:eastAsia="Arial" w:hAnsi="Arial"/>
                <w:sz w:val="14"/>
                <w:szCs w:val="14"/>
                <w:b w:val="1"/>
                <w:bCs w:val="1"/>
                <w:color w:val="auto"/>
              </w:rPr>
              <w:t>Loans past due, still accruing</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Non-accrual Loans</w:t>
            </w:r>
          </w:p>
        </w:tc>
        <w:tc>
          <w:tcPr>
            <w:tcW w:w="0" w:type="dxa"/>
            <w:vAlign w:val="bottom"/>
          </w:tcPr>
          <w:p>
            <w:pPr>
              <w:spacing w:after="0"/>
              <w:rPr>
                <w:sz w:val="1"/>
                <w:szCs w:val="1"/>
                <w:color w:val="auto"/>
              </w:rPr>
            </w:pPr>
          </w:p>
        </w:tc>
      </w:tr>
      <w:tr>
        <w:trPr>
          <w:trHeight w:val="40"/>
        </w:trPr>
        <w:tc>
          <w:tcPr>
            <w:tcW w:w="40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rPr>
              <w:t>Non-accrual</w:t>
            </w:r>
          </w:p>
        </w:tc>
        <w:tc>
          <w:tcPr>
            <w:tcW w:w="1360" w:type="dxa"/>
            <w:vAlign w:val="bottom"/>
            <w:gridSpan w:val="2"/>
            <w:vMerge w:val="restart"/>
          </w:tcPr>
          <w:p>
            <w:pPr>
              <w:ind w:left="40"/>
              <w:spacing w:after="0" w:line="122" w:lineRule="exact"/>
              <w:rPr>
                <w:sz w:val="20"/>
                <w:szCs w:val="20"/>
                <w:color w:val="auto"/>
              </w:rPr>
            </w:pPr>
            <w:r>
              <w:rPr>
                <w:rFonts w:ascii="Arial" w:cs="Arial" w:eastAsia="Arial" w:hAnsi="Arial"/>
                <w:sz w:val="14"/>
                <w:szCs w:val="14"/>
                <w:b w:val="1"/>
                <w:bCs w:val="1"/>
                <w:color w:val="auto"/>
              </w:rPr>
              <w:t>with No Allowance</w:t>
            </w:r>
          </w:p>
        </w:tc>
        <w:tc>
          <w:tcPr>
            <w:tcW w:w="0" w:type="dxa"/>
            <w:vAlign w:val="bottom"/>
          </w:tcPr>
          <w:p>
            <w:pPr>
              <w:spacing w:after="0"/>
              <w:rPr>
                <w:sz w:val="1"/>
                <w:szCs w:val="1"/>
                <w:color w:val="auto"/>
              </w:rPr>
            </w:pPr>
          </w:p>
        </w:tc>
      </w:tr>
      <w:tr>
        <w:trPr>
          <w:trHeight w:val="61"/>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30-59 Days</w:t>
            </w: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rPr>
              <w:t>60-89 Days</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90+Days</w:t>
            </w: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40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Loans</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for Credit Losses</w:t>
            </w:r>
          </w:p>
        </w:tc>
        <w:tc>
          <w:tcPr>
            <w:tcW w:w="0" w:type="dxa"/>
            <w:vAlign w:val="bottom"/>
          </w:tcPr>
          <w:p>
            <w:pPr>
              <w:spacing w:after="0"/>
              <w:rPr>
                <w:sz w:val="1"/>
                <w:szCs w:val="1"/>
                <w:color w:val="auto"/>
              </w:rPr>
            </w:pPr>
          </w:p>
        </w:tc>
      </w:tr>
      <w:tr>
        <w:trPr>
          <w:trHeight w:val="250"/>
        </w:trPr>
        <w:tc>
          <w:tcPr>
            <w:tcW w:w="40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2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080" w:type="dxa"/>
            <w:vAlign w:val="bottom"/>
            <w:tcBorders>
              <w:top w:val="single" w:sz="8" w:color="auto"/>
            </w:tcBorders>
            <w:shd w:val="clear" w:color="auto" w:fill="E0E7ED"/>
          </w:tcPr>
          <w:p>
            <w:pPr>
              <w:spacing w:after="0"/>
              <w:rPr>
                <w:sz w:val="21"/>
                <w:szCs w:val="21"/>
                <w:color w:val="auto"/>
              </w:rPr>
            </w:pPr>
          </w:p>
        </w:tc>
        <w:tc>
          <w:tcPr>
            <w:tcW w:w="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420" w:type="dxa"/>
            <w:vAlign w:val="bottom"/>
            <w:tcBorders>
              <w:top w:val="single" w:sz="8" w:color="auto"/>
            </w:tcBorders>
            <w:shd w:val="clear" w:color="auto" w:fill="E0E7ED"/>
          </w:tcPr>
          <w:p>
            <w:pPr>
              <w:spacing w:after="0"/>
              <w:rPr>
                <w:sz w:val="21"/>
                <w:szCs w:val="21"/>
                <w:color w:val="auto"/>
              </w:rPr>
            </w:pPr>
          </w:p>
        </w:tc>
        <w:tc>
          <w:tcPr>
            <w:tcW w:w="94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3,852</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2,759</w:t>
            </w:r>
          </w:p>
        </w:tc>
        <w:tc>
          <w:tcPr>
            <w:tcW w:w="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15,053</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Past due and non-accrual commercial loans</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2,759</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1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18,928</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16,224</w:t>
            </w:r>
          </w:p>
        </w:tc>
        <w:tc>
          <w:tcPr>
            <w:tcW w:w="0" w:type="dxa"/>
            <w:vAlign w:val="bottom"/>
          </w:tcPr>
          <w:p>
            <w:pPr>
              <w:spacing w:after="0"/>
              <w:rPr>
                <w:sz w:val="1"/>
                <w:szCs w:val="1"/>
                <w:color w:val="auto"/>
              </w:rPr>
            </w:pP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3,280</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683</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1,115</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2,984</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Past due and non-accrual retail loans</w:t>
            </w: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4,374</w:t>
            </w:r>
          </w:p>
        </w:tc>
        <w:tc>
          <w:tcPr>
            <w:tcW w:w="2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2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813</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E0E7ED"/>
            </w:tcBorders>
            <w:shd w:val="clear" w:color="auto" w:fill="E0E7ED"/>
          </w:tcPr>
          <w:p>
            <w:pPr>
              <w:spacing w:after="0"/>
              <w:rPr>
                <w:sz w:val="22"/>
                <w:szCs w:val="22"/>
                <w:color w:val="auto"/>
              </w:rPr>
            </w:pPr>
          </w:p>
        </w:tc>
        <w:tc>
          <w:tcPr>
            <w:tcW w:w="200" w:type="dxa"/>
            <w:vAlign w:val="bottom"/>
            <w:tcBorders>
              <w:bottom w:val="single" w:sz="8" w:color="E0E7ED"/>
            </w:tcBorders>
            <w:shd w:val="clear" w:color="auto" w:fill="E0E7ED"/>
          </w:tcPr>
          <w:p>
            <w:pPr>
              <w:spacing w:after="0"/>
              <w:rPr>
                <w:sz w:val="22"/>
                <w:szCs w:val="22"/>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color w:val="auto"/>
              </w:rPr>
              <w:t>Total past due and non-accrual loans</w:t>
            </w: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22,088</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16,418</w:t>
            </w:r>
          </w:p>
        </w:tc>
        <w:tc>
          <w:tcPr>
            <w:tcW w:w="0" w:type="dxa"/>
            <w:vAlign w:val="bottom"/>
          </w:tcPr>
          <w:p>
            <w:pPr>
              <w:spacing w:after="0"/>
              <w:rPr>
                <w:sz w:val="1"/>
                <w:szCs w:val="1"/>
                <w:color w:val="auto"/>
              </w:rPr>
            </w:pPr>
          </w:p>
        </w:tc>
      </w:tr>
      <w:tr>
        <w:trPr>
          <w:trHeight w:val="21"/>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interest income recorded on 90+ days past due loans, and that would have been recorded on non-accrual loans if they had been accruing interest in accordance with their original terms, was $1.0 million and $1.2 million for the three and six months ended June 30, 2025, respectively, and was $0.2 million and $0.5 million for the three and six months ended June 30, 2024, respectively. The amount of interest collected on those loans and recognized on a cash basis that was included in interest income was immaterial for the three and six months ended June 30, 2025 and 2024.</w:t>
      </w:r>
    </w:p>
    <w:p>
      <w:pPr>
        <w:spacing w:after="0" w:line="200" w:lineRule="exact"/>
        <w:rPr>
          <w:sz w:val="20"/>
          <w:szCs w:val="20"/>
          <w:color w:val="auto"/>
        </w:rPr>
      </w:pPr>
    </w:p>
    <w:p>
      <w:pPr>
        <w:spacing w:after="0" w:line="357"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Modifications for Borrowers Experiencing Financial Difficulty</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tables present the amortized cost basis of loans that were modified—specifically in the form of (1) principal forgiveness, (2) an interest rate reduction, (3) an other-than-insignificant payment deferral, and/or (4) a term extension—for borrowers experiencing financial difficulty during the periods indicated, disaggregated by lending activity and the type of modification: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Three Months Ended June 30, 2025</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 of Total Class of</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of Total Class of</w:t>
            </w:r>
          </w:p>
        </w:tc>
        <w:tc>
          <w:tcPr>
            <w:tcW w:w="120" w:type="dxa"/>
            <w:vAlign w:val="bottom"/>
          </w:tcPr>
          <w:p>
            <w:pPr>
              <w:spacing w:after="0"/>
              <w:rPr>
                <w:sz w:val="12"/>
                <w:szCs w:val="12"/>
                <w:color w:val="auto"/>
              </w:rPr>
            </w:pPr>
          </w:p>
        </w:tc>
        <w:tc>
          <w:tcPr>
            <w:tcW w:w="1200" w:type="dxa"/>
            <w:vAlign w:val="bottom"/>
          </w:tcPr>
          <w:p>
            <w:pPr>
              <w:jc w:val="center"/>
              <w:ind w:right="60"/>
              <w:spacing w:after="0" w:line="142" w:lineRule="exact"/>
              <w:rPr>
                <w:sz w:val="20"/>
                <w:szCs w:val="20"/>
                <w:color w:val="auto"/>
              </w:rPr>
            </w:pPr>
            <w:r>
              <w:rPr>
                <w:rFonts w:ascii="Arial" w:cs="Arial" w:eastAsia="Arial" w:hAnsi="Arial"/>
                <w:sz w:val="14"/>
                <w:szCs w:val="14"/>
                <w:b w:val="1"/>
                <w:bCs w:val="1"/>
                <w:color w:val="auto"/>
              </w:rPr>
              <w:t>Combination—</w:t>
            </w:r>
          </w:p>
        </w:tc>
        <w:tc>
          <w:tcPr>
            <w:tcW w:w="80" w:type="dxa"/>
            <w:vAlign w:val="bottom"/>
          </w:tcPr>
          <w:p>
            <w:pPr>
              <w:spacing w:after="0"/>
              <w:rPr>
                <w:sz w:val="12"/>
                <w:szCs w:val="12"/>
                <w:color w:val="auto"/>
              </w:rPr>
            </w:pPr>
          </w:p>
        </w:tc>
        <w:tc>
          <w:tcPr>
            <w:tcW w:w="148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right="60"/>
              <w:spacing w:after="0" w:line="135" w:lineRule="exact"/>
              <w:rPr>
                <w:sz w:val="20"/>
                <w:szCs w:val="20"/>
                <w:color w:val="auto"/>
              </w:rPr>
            </w:pPr>
            <w:r>
              <w:rPr>
                <w:rFonts w:ascii="Arial" w:cs="Arial" w:eastAsia="Arial" w:hAnsi="Arial"/>
                <w:sz w:val="14"/>
                <w:szCs w:val="14"/>
                <w:b w:val="1"/>
                <w:bCs w:val="1"/>
                <w:color w:val="auto"/>
              </w:rPr>
              <w:t>Term Extension</w:t>
            </w:r>
          </w:p>
        </w:tc>
        <w:tc>
          <w:tcPr>
            <w:tcW w:w="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Payment Deferral</w:t>
            </w:r>
          </w:p>
        </w:tc>
        <w:tc>
          <w:tcPr>
            <w:tcW w:w="80" w:type="dxa"/>
            <w:vAlign w:val="bottom"/>
          </w:tcPr>
          <w:p>
            <w:pPr>
              <w:spacing w:after="0"/>
              <w:rPr>
                <w:sz w:val="12"/>
                <w:szCs w:val="12"/>
                <w:color w:val="auto"/>
              </w:rPr>
            </w:pPr>
          </w:p>
        </w:tc>
        <w:tc>
          <w:tcPr>
            <w:tcW w:w="1560" w:type="dxa"/>
            <w:vAlign w:val="bottom"/>
            <w:gridSpan w:val="2"/>
          </w:tcPr>
          <w:p>
            <w:pPr>
              <w:ind w:left="400"/>
              <w:spacing w:after="0" w:line="140" w:lineRule="exact"/>
              <w:rPr>
                <w:sz w:val="20"/>
                <w:szCs w:val="20"/>
                <w:color w:val="auto"/>
              </w:rPr>
            </w:pPr>
            <w:r>
              <w:rPr>
                <w:rFonts w:ascii="Arial" w:cs="Arial" w:eastAsia="Arial" w:hAnsi="Arial"/>
                <w:sz w:val="13"/>
                <w:szCs w:val="13"/>
                <w:b w:val="1"/>
                <w:bCs w:val="1"/>
                <w:color w:val="auto"/>
              </w:rPr>
              <w:t>Financing</w:t>
            </w:r>
            <w:r>
              <w:rPr>
                <w:rFonts w:ascii="Arial" w:cs="Arial" w:eastAsia="Arial" w:hAnsi="Arial"/>
                <w:sz w:val="16"/>
                <w:szCs w:val="16"/>
                <w:b w:val="1"/>
                <w:bCs w:val="1"/>
                <w:color w:val="auto"/>
                <w:vertAlign w:val="subscript"/>
              </w:rPr>
              <w:t>1</w:t>
            </w:r>
          </w:p>
        </w:tc>
        <w:tc>
          <w:tcPr>
            <w:tcW w:w="1280" w:type="dxa"/>
            <w:vAlign w:val="bottom"/>
            <w:gridSpan w:val="2"/>
            <w:vMerge w:val="restart"/>
          </w:tcPr>
          <w:p>
            <w:pPr>
              <w:jc w:val="right"/>
              <w:ind w:right="15"/>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2"/>
                <w:szCs w:val="12"/>
                <w:color w:val="auto"/>
              </w:rPr>
            </w:pPr>
          </w:p>
        </w:tc>
        <w:tc>
          <w:tcPr>
            <w:tcW w:w="1560" w:type="dxa"/>
            <w:vAlign w:val="bottom"/>
            <w:gridSpan w:val="2"/>
          </w:tcPr>
          <w:p>
            <w:pPr>
              <w:ind w:left="380"/>
              <w:spacing w:after="0" w:line="140" w:lineRule="exact"/>
              <w:rPr>
                <w:sz w:val="20"/>
                <w:szCs w:val="20"/>
                <w:color w:val="auto"/>
              </w:rPr>
            </w:pPr>
            <w:r>
              <w:rPr>
                <w:rFonts w:ascii="Arial" w:cs="Arial" w:eastAsia="Arial" w:hAnsi="Arial"/>
                <w:sz w:val="13"/>
                <w:szCs w:val="13"/>
                <w:b w:val="1"/>
                <w:bCs w:val="1"/>
                <w:color w:val="auto"/>
              </w:rPr>
              <w:t>Financing</w:t>
            </w:r>
            <w:r>
              <w:rPr>
                <w:rFonts w:ascii="Arial" w:cs="Arial" w:eastAsia="Arial" w:hAnsi="Arial"/>
                <w:sz w:val="16"/>
                <w:szCs w:val="16"/>
                <w:b w:val="1"/>
                <w:bCs w:val="1"/>
                <w:color w:val="auto"/>
                <w:vertAlign w:val="subscript"/>
              </w:rPr>
              <w:t>2</w:t>
            </w:r>
          </w:p>
        </w:tc>
        <w:tc>
          <w:tcPr>
            <w:tcW w:w="120" w:type="dxa"/>
            <w:vAlign w:val="bottom"/>
          </w:tcPr>
          <w:p>
            <w:pPr>
              <w:spacing w:after="0"/>
              <w:rPr>
                <w:sz w:val="12"/>
                <w:szCs w:val="12"/>
                <w:color w:val="auto"/>
              </w:rPr>
            </w:pPr>
          </w:p>
        </w:tc>
        <w:tc>
          <w:tcPr>
            <w:tcW w:w="1200" w:type="dxa"/>
            <w:vAlign w:val="bottom"/>
          </w:tcPr>
          <w:p>
            <w:pPr>
              <w:jc w:val="center"/>
              <w:ind w:right="60"/>
              <w:spacing w:after="0" w:line="140" w:lineRule="exact"/>
              <w:rPr>
                <w:sz w:val="20"/>
                <w:szCs w:val="20"/>
                <w:color w:val="auto"/>
              </w:rPr>
            </w:pPr>
            <w:r>
              <w:rPr>
                <w:rFonts w:ascii="Arial" w:cs="Arial" w:eastAsia="Arial" w:hAnsi="Arial"/>
                <w:sz w:val="14"/>
                <w:szCs w:val="14"/>
                <w:b w:val="1"/>
                <w:bCs w:val="1"/>
                <w:color w:val="auto"/>
              </w:rPr>
              <w:t>and Payment</w:t>
            </w:r>
          </w:p>
        </w:tc>
        <w:tc>
          <w:tcPr>
            <w:tcW w:w="80" w:type="dxa"/>
            <w:vAlign w:val="bottom"/>
          </w:tcPr>
          <w:p>
            <w:pPr>
              <w:spacing w:after="0"/>
              <w:rPr>
                <w:sz w:val="12"/>
                <w:szCs w:val="12"/>
                <w:color w:val="auto"/>
              </w:rPr>
            </w:pPr>
          </w:p>
        </w:tc>
        <w:tc>
          <w:tcPr>
            <w:tcW w:w="1480" w:type="dxa"/>
            <w:vAlign w:val="bottom"/>
          </w:tcPr>
          <w:p>
            <w:pPr>
              <w:jc w:val="right"/>
              <w:ind w:right="262"/>
              <w:spacing w:after="0" w:line="140" w:lineRule="exact"/>
              <w:rPr>
                <w:sz w:val="20"/>
                <w:szCs w:val="20"/>
                <w:color w:val="auto"/>
              </w:rPr>
            </w:pPr>
            <w:r>
              <w:rPr>
                <w:rFonts w:ascii="Arial" w:cs="Arial" w:eastAsia="Arial" w:hAnsi="Arial"/>
                <w:sz w:val="13"/>
                <w:szCs w:val="13"/>
                <w:b w:val="1"/>
                <w:bCs w:val="1"/>
                <w:color w:val="auto"/>
              </w:rPr>
              <w:t>Financing</w:t>
            </w:r>
            <w:r>
              <w:rPr>
                <w:rFonts w:ascii="Arial" w:cs="Arial" w:eastAsia="Arial" w:hAnsi="Arial"/>
                <w:sz w:val="16"/>
                <w:szCs w:val="16"/>
                <w:b w:val="1"/>
                <w:bCs w:val="1"/>
                <w:color w:val="auto"/>
                <w:vertAlign w:val="subscript"/>
              </w:rPr>
              <w:t>3</w:t>
            </w:r>
          </w:p>
        </w:tc>
        <w:tc>
          <w:tcPr>
            <w:tcW w:w="0" w:type="dxa"/>
            <w:vAlign w:val="bottom"/>
          </w:tcPr>
          <w:p>
            <w:pPr>
              <w:spacing w:after="0"/>
              <w:rPr>
                <w:sz w:val="1"/>
                <w:szCs w:val="1"/>
                <w:color w:val="auto"/>
              </w:rPr>
            </w:pPr>
          </w:p>
        </w:tc>
      </w:tr>
      <w:tr>
        <w:trPr>
          <w:trHeight w:val="184"/>
        </w:trPr>
        <w:tc>
          <w:tcPr>
            <w:tcW w:w="250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2"/>
          </w:tcPr>
          <w:p>
            <w:pPr>
              <w:ind w:left="340"/>
              <w:spacing w:after="0"/>
              <w:rPr>
                <w:sz w:val="20"/>
                <w:szCs w:val="20"/>
                <w:color w:val="auto"/>
              </w:rPr>
            </w:pPr>
            <w:r>
              <w:rPr>
                <w:rFonts w:ascii="Arial" w:cs="Arial" w:eastAsia="Arial" w:hAnsi="Arial"/>
                <w:sz w:val="14"/>
                <w:szCs w:val="14"/>
                <w:b w:val="1"/>
                <w:bCs w:val="1"/>
                <w:color w:val="auto"/>
              </w:rPr>
              <w:t>Receivable</w:t>
            </w:r>
          </w:p>
        </w:tc>
        <w:tc>
          <w:tcPr>
            <w:tcW w:w="12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Receivable</w:t>
            </w:r>
          </w:p>
        </w:tc>
        <w:tc>
          <w:tcPr>
            <w:tcW w:w="120" w:type="dxa"/>
            <w:vAlign w:val="bottom"/>
          </w:tcPr>
          <w:p>
            <w:pPr>
              <w:spacing w:after="0"/>
              <w:rPr>
                <w:sz w:val="16"/>
                <w:szCs w:val="16"/>
                <w:color w:val="auto"/>
              </w:rPr>
            </w:pPr>
          </w:p>
        </w:tc>
        <w:tc>
          <w:tcPr>
            <w:tcW w:w="1200" w:type="dxa"/>
            <w:vAlign w:val="bottom"/>
          </w:tcPr>
          <w:p>
            <w:pPr>
              <w:jc w:val="center"/>
              <w:ind w:right="60"/>
              <w:spacing w:after="0"/>
              <w:rPr>
                <w:sz w:val="20"/>
                <w:szCs w:val="20"/>
                <w:color w:val="auto"/>
              </w:rPr>
            </w:pPr>
            <w:r>
              <w:rPr>
                <w:rFonts w:ascii="Arial" w:cs="Arial" w:eastAsia="Arial" w:hAnsi="Arial"/>
                <w:sz w:val="14"/>
                <w:szCs w:val="14"/>
                <w:b w:val="1"/>
                <w:bCs w:val="1"/>
                <w:color w:val="auto"/>
              </w:rPr>
              <w:t>Deferral</w:t>
            </w:r>
          </w:p>
        </w:tc>
        <w:tc>
          <w:tcPr>
            <w:tcW w:w="80" w:type="dxa"/>
            <w:vAlign w:val="bottom"/>
          </w:tcPr>
          <w:p>
            <w:pPr>
              <w:spacing w:after="0"/>
              <w:rPr>
                <w:sz w:val="16"/>
                <w:szCs w:val="16"/>
                <w:color w:val="auto"/>
              </w:rPr>
            </w:pPr>
          </w:p>
        </w:tc>
        <w:tc>
          <w:tcPr>
            <w:tcW w:w="1480" w:type="dxa"/>
            <w:vAlign w:val="bottom"/>
          </w:tcPr>
          <w:p>
            <w:pPr>
              <w:jc w:val="right"/>
              <w:ind w:right="302"/>
              <w:spacing w:after="0"/>
              <w:rPr>
                <w:sz w:val="20"/>
                <w:szCs w:val="20"/>
                <w:color w:val="auto"/>
              </w:rPr>
            </w:pPr>
            <w:r>
              <w:rPr>
                <w:rFonts w:ascii="Arial" w:cs="Arial" w:eastAsia="Arial" w:hAnsi="Arial"/>
                <w:sz w:val="14"/>
                <w:szCs w:val="14"/>
                <w:b w:val="1"/>
                <w:bCs w:val="1"/>
                <w:color w:val="auto"/>
              </w:rPr>
              <w:t>Receivable</w:t>
            </w:r>
          </w:p>
        </w:tc>
        <w:tc>
          <w:tcPr>
            <w:tcW w:w="0" w:type="dxa"/>
            <w:vAlign w:val="bottom"/>
          </w:tcPr>
          <w:p>
            <w:pPr>
              <w:spacing w:after="0"/>
              <w:rPr>
                <w:sz w:val="1"/>
                <w:szCs w:val="1"/>
                <w:color w:val="auto"/>
              </w:rPr>
            </w:pPr>
          </w:p>
        </w:tc>
      </w:tr>
      <w:tr>
        <w:trPr>
          <w:trHeight w:val="250"/>
        </w:trPr>
        <w:tc>
          <w:tcPr>
            <w:tcW w:w="25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Modified Loans</w:t>
            </w:r>
          </w:p>
        </w:tc>
        <w:tc>
          <w:tcPr>
            <w:tcW w:w="520" w:type="dxa"/>
            <w:vAlign w:val="bottom"/>
            <w:tcBorders>
              <w:top w:val="single" w:sz="8" w:color="auto"/>
            </w:tcBorders>
            <w:shd w:val="clear" w:color="auto" w:fill="E0E7ED"/>
          </w:tcPr>
          <w:p>
            <w:pPr>
              <w:spacing w:after="0"/>
              <w:rPr>
                <w:sz w:val="21"/>
                <w:szCs w:val="21"/>
                <w:color w:val="auto"/>
              </w:rPr>
            </w:pPr>
          </w:p>
        </w:tc>
        <w:tc>
          <w:tcPr>
            <w:tcW w:w="7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50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52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21"/>
                <w:szCs w:val="21"/>
                <w:color w:val="auto"/>
              </w:rPr>
            </w:pP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21,913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520" w:type="dxa"/>
            <w:vAlign w:val="bottom"/>
            <w:tcBorders>
              <w:bottom w:val="single" w:sz="8" w:color="E0E7ED"/>
            </w:tcBorders>
            <w:shd w:val="clear" w:color="auto" w:fill="E0E7ED"/>
          </w:tcPr>
          <w:p>
            <w:pPr>
              <w:spacing w:after="0"/>
              <w:rPr>
                <w:sz w:val="23"/>
                <w:szCs w:val="23"/>
                <w:color w:val="auto"/>
              </w:rPr>
            </w:pPr>
          </w:p>
        </w:tc>
        <w:tc>
          <w:tcPr>
            <w:tcW w:w="7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0E7ED"/>
            </w:tcBorders>
            <w:shd w:val="clear" w:color="auto" w:fill="E0E7ED"/>
          </w:tcPr>
          <w:p>
            <w:pPr>
              <w:spacing w:after="0"/>
              <w:rPr>
                <w:sz w:val="23"/>
                <w:szCs w:val="23"/>
                <w:color w:val="auto"/>
              </w:rPr>
            </w:pPr>
          </w:p>
        </w:tc>
        <w:tc>
          <w:tcPr>
            <w:tcW w:w="1560" w:type="dxa"/>
            <w:vAlign w:val="bottom"/>
            <w:tcBorders>
              <w:bottom w:val="single" w:sz="8" w:color="E0E7ED"/>
            </w:tcBorders>
            <w:gridSpan w:val="2"/>
            <w:shd w:val="clear" w:color="auto" w:fill="E0E7ED"/>
          </w:tcPr>
          <w:p>
            <w:pPr>
              <w:ind w:left="10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E0E7ED"/>
            </w:tcBorders>
            <w:shd w:val="clear" w:color="auto" w:fill="E0E7ED"/>
          </w:tcPr>
          <w:p>
            <w:pPr>
              <w:spacing w:after="0"/>
              <w:rPr>
                <w:sz w:val="23"/>
                <w:szCs w:val="23"/>
                <w:color w:val="auto"/>
              </w:rPr>
            </w:pPr>
          </w:p>
        </w:tc>
        <w:tc>
          <w:tcPr>
            <w:tcW w:w="15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0E7ED"/>
            </w:tcBorders>
            <w:shd w:val="clear" w:color="auto" w:fill="E0E7ED"/>
          </w:tcPr>
          <w:p>
            <w:pPr>
              <w:spacing w:after="0"/>
              <w:rPr>
                <w:sz w:val="23"/>
                <w:szCs w:val="23"/>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500" w:type="dxa"/>
            <w:vAlign w:val="bottom"/>
          </w:tcPr>
          <w:p>
            <w:pPr>
              <w:ind w:left="20"/>
              <w:spacing w:after="0" w:line="201" w:lineRule="exact"/>
              <w:rPr>
                <w:sz w:val="20"/>
                <w:szCs w:val="20"/>
                <w:color w:val="auto"/>
              </w:rPr>
            </w:pPr>
            <w:r>
              <w:rPr>
                <w:rFonts w:ascii="Arial" w:cs="Arial" w:eastAsia="Arial" w:hAnsi="Arial"/>
                <w:sz w:val="18"/>
                <w:szCs w:val="18"/>
                <w:color w:val="auto"/>
              </w:rPr>
              <w:t>Total of loans modified during</w:t>
            </w:r>
          </w:p>
        </w:tc>
        <w:tc>
          <w:tcPr>
            <w:tcW w:w="52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490</w:t>
            </w:r>
          </w:p>
        </w:tc>
        <w:tc>
          <w:tcPr>
            <w:tcW w:w="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23,210</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4,412</w:t>
            </w:r>
          </w:p>
        </w:tc>
        <w:tc>
          <w:tcPr>
            <w:tcW w:w="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500" w:type="dxa"/>
            <w:vAlign w:val="bottom"/>
          </w:tcPr>
          <w:p>
            <w:pPr>
              <w:ind w:left="20"/>
              <w:spacing w:after="0" w:line="237" w:lineRule="exact"/>
              <w:rPr>
                <w:sz w:val="20"/>
                <w:szCs w:val="20"/>
                <w:color w:val="auto"/>
              </w:rPr>
            </w:pPr>
            <w:r>
              <w:rPr>
                <w:rFonts w:ascii="Arial" w:cs="Arial" w:eastAsia="Arial" w:hAnsi="Arial"/>
                <w:sz w:val="18"/>
                <w:szCs w:val="18"/>
                <w:color w:val="auto"/>
              </w:rPr>
              <w:t>the period</w:t>
            </w:r>
            <w:r>
              <w:rPr>
                <w:rFonts w:ascii="Arial" w:cs="Arial" w:eastAsia="Arial" w:hAnsi="Arial"/>
                <w:sz w:val="23"/>
                <w:szCs w:val="23"/>
                <w:color w:val="auto"/>
                <w:vertAlign w:val="superscript"/>
              </w:rPr>
              <w:t>4</w:t>
            </w:r>
          </w:p>
        </w:tc>
        <w:tc>
          <w:tcPr>
            <w:tcW w:w="520" w:type="dxa"/>
            <w:vAlign w:val="bottom"/>
            <w:tcBorders>
              <w:bottom w:val="single" w:sz="8" w:color="auto"/>
            </w:tcBorders>
            <w:vMerge w:val="continue"/>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2"/>
          </w:tcPr>
          <w:p>
            <w:pPr>
              <w:ind w:left="104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
        </w:trPr>
        <w:tc>
          <w:tcPr>
            <w:tcW w:w="2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 w:lineRule="exact"/>
        <w:rPr>
          <w:sz w:val="20"/>
          <w:szCs w:val="20"/>
          <w:color w:val="auto"/>
        </w:rPr>
      </w:pPr>
    </w:p>
    <w:p>
      <w:pPr>
        <w:ind w:left="520" w:hanging="35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C&amp;I and other commercial loans, and an insignificant portion of total loans, in both cases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CRE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total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All modifications were for loans classified as substandard.</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Modified Loans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C&amp;I and other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of loans modified during the period</w:t>
      </w:r>
      <w:r>
        <w:rPr>
          <w:rFonts w:ascii="Arial" w:cs="Arial" w:eastAsia="Arial" w:hAnsi="Arial"/>
          <w:sz w:val="23"/>
          <w:szCs w:val="23"/>
          <w:color w:val="auto"/>
          <w:vertAlign w:val="superscript"/>
        </w:rPr>
        <w:t>3</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5" w:lineRule="exact"/>
        <w:rPr>
          <w:sz w:val="20"/>
          <w:szCs w:val="20"/>
          <w:color w:val="auto"/>
        </w:rPr>
      </w:pPr>
    </w:p>
    <w:p>
      <w:pPr>
        <w:ind w:left="520" w:hanging="35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Modifications to extend loan terms also included, in some cases, interest rate increases during the extension period.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commercial real estate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modifications were for loans classified as substandard.</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Three Months Ended June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8"/>
              </w:rPr>
              <w:t>Term Extension</w:t>
            </w:r>
            <w:r>
              <w:rPr>
                <w:rFonts w:ascii="Arial" w:cs="Arial" w:eastAsia="Arial" w:hAnsi="Arial"/>
                <w:sz w:val="18"/>
                <w:szCs w:val="18"/>
                <w:b w:val="1"/>
                <w:bCs w:val="1"/>
                <w:color w:val="auto"/>
                <w:w w:val="98"/>
                <w:vertAlign w:val="superscript"/>
              </w:rPr>
              <w:t>1</w:t>
            </w: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89"/>
        </w:trPr>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Receivable</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497"/>
        </w:trPr>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8,545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70"/>
        </w:trPr>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73" w:lineRule="exact"/>
        <w:rPr>
          <w:sz w:val="20"/>
          <w:szCs w:val="20"/>
          <w:color w:val="auto"/>
        </w:rPr>
      </w:pPr>
    </w:p>
    <w:p>
      <w:pPr>
        <w:sectPr>
          <w:pgSz w:w="11900" w:h="16838" w:orient="portrait"/>
          <w:cols w:equalWidth="0" w:num="2">
            <w:col w:w="7900" w:space="260"/>
            <w:col w:w="3080"/>
          </w:cols>
          <w:pgMar w:left="320" w:top="296" w:right="339" w:bottom="1440" w:gutter="0" w:footer="0" w:header="0"/>
          <w:type w:val="continuous"/>
        </w:sectPr>
      </w:pPr>
    </w:p>
    <w:p>
      <w:pPr>
        <w:spacing w:after="0" w:line="209"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Six Months Ended June 30, 2025</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of Total Class of</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of Total Class of</w:t>
            </w:r>
          </w:p>
        </w:tc>
        <w:tc>
          <w:tcPr>
            <w:tcW w:w="120" w:type="dxa"/>
            <w:vAlign w:val="bottom"/>
          </w:tcPr>
          <w:p>
            <w:pPr>
              <w:spacing w:after="0"/>
              <w:rPr>
                <w:sz w:val="12"/>
                <w:szCs w:val="12"/>
                <w:color w:val="auto"/>
              </w:rPr>
            </w:pPr>
          </w:p>
        </w:tc>
        <w:tc>
          <w:tcPr>
            <w:tcW w:w="1200" w:type="dxa"/>
            <w:vAlign w:val="bottom"/>
          </w:tcPr>
          <w:p>
            <w:pPr>
              <w:jc w:val="center"/>
              <w:ind w:right="59"/>
              <w:spacing w:after="0" w:line="142" w:lineRule="exact"/>
              <w:rPr>
                <w:sz w:val="20"/>
                <w:szCs w:val="20"/>
                <w:color w:val="auto"/>
              </w:rPr>
            </w:pPr>
            <w:r>
              <w:rPr>
                <w:rFonts w:ascii="Arial" w:cs="Arial" w:eastAsia="Arial" w:hAnsi="Arial"/>
                <w:sz w:val="14"/>
                <w:szCs w:val="14"/>
                <w:b w:val="1"/>
                <w:bCs w:val="1"/>
                <w:color w:val="auto"/>
              </w:rPr>
              <w:t>Combination—</w:t>
            </w:r>
          </w:p>
        </w:tc>
        <w:tc>
          <w:tcPr>
            <w:tcW w:w="8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48"/>
        </w:trPr>
        <w:tc>
          <w:tcPr>
            <w:tcW w:w="2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Term Extension</w:t>
            </w:r>
          </w:p>
        </w:tc>
        <w:tc>
          <w:tcPr>
            <w:tcW w:w="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Payment Deferral</w:t>
            </w:r>
          </w:p>
        </w:tc>
        <w:tc>
          <w:tcPr>
            <w:tcW w:w="100" w:type="dxa"/>
            <w:vAlign w:val="bottom"/>
          </w:tcPr>
          <w:p>
            <w:pPr>
              <w:spacing w:after="0"/>
              <w:rPr>
                <w:sz w:val="11"/>
                <w:szCs w:val="11"/>
                <w:color w:val="auto"/>
              </w:rPr>
            </w:pP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Financing</w:t>
            </w:r>
          </w:p>
        </w:tc>
        <w:tc>
          <w:tcPr>
            <w:tcW w:w="128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Term Extension</w:t>
            </w:r>
          </w:p>
        </w:tc>
        <w:tc>
          <w:tcPr>
            <w:tcW w:w="100" w:type="dxa"/>
            <w:vAlign w:val="bottom"/>
          </w:tcPr>
          <w:p>
            <w:pPr>
              <w:spacing w:after="0"/>
              <w:rPr>
                <w:sz w:val="11"/>
                <w:szCs w:val="11"/>
                <w:color w:val="auto"/>
              </w:rPr>
            </w:pPr>
          </w:p>
        </w:tc>
        <w:tc>
          <w:tcPr>
            <w:tcW w:w="15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Financing</w:t>
            </w:r>
          </w:p>
        </w:tc>
        <w:tc>
          <w:tcPr>
            <w:tcW w:w="120" w:type="dxa"/>
            <w:vAlign w:val="bottom"/>
          </w:tcPr>
          <w:p>
            <w:pPr>
              <w:spacing w:after="0"/>
              <w:rPr>
                <w:sz w:val="11"/>
                <w:szCs w:val="11"/>
                <w:color w:val="auto"/>
              </w:rPr>
            </w:pPr>
          </w:p>
        </w:tc>
        <w:tc>
          <w:tcPr>
            <w:tcW w:w="1200" w:type="dxa"/>
            <w:vAlign w:val="bottom"/>
          </w:tcPr>
          <w:p>
            <w:pPr>
              <w:jc w:val="center"/>
              <w:ind w:right="59"/>
              <w:spacing w:after="0" w:line="135" w:lineRule="exact"/>
              <w:rPr>
                <w:sz w:val="20"/>
                <w:szCs w:val="20"/>
                <w:color w:val="auto"/>
              </w:rPr>
            </w:pPr>
            <w:r>
              <w:rPr>
                <w:rFonts w:ascii="Arial" w:cs="Arial" w:eastAsia="Arial" w:hAnsi="Arial"/>
                <w:sz w:val="14"/>
                <w:szCs w:val="14"/>
                <w:b w:val="1"/>
                <w:bCs w:val="1"/>
                <w:color w:val="auto"/>
              </w:rPr>
              <w:t>and Payment</w:t>
            </w:r>
          </w:p>
        </w:tc>
        <w:tc>
          <w:tcPr>
            <w:tcW w:w="8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176"/>
        </w:trPr>
        <w:tc>
          <w:tcPr>
            <w:tcW w:w="250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Receivable</w:t>
            </w: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Receivable</w:t>
            </w:r>
            <w:r>
              <w:rPr>
                <w:rFonts w:ascii="Arial" w:cs="Arial" w:eastAsia="Arial" w:hAnsi="Arial"/>
                <w:sz w:val="9"/>
                <w:szCs w:val="9"/>
                <w:b w:val="1"/>
                <w:bCs w:val="1"/>
                <w:color w:val="auto"/>
              </w:rPr>
              <w:t>1</w:t>
            </w:r>
          </w:p>
        </w:tc>
        <w:tc>
          <w:tcPr>
            <w:tcW w:w="120" w:type="dxa"/>
            <w:vAlign w:val="bottom"/>
          </w:tcPr>
          <w:p>
            <w:pPr>
              <w:spacing w:after="0"/>
              <w:rPr>
                <w:sz w:val="15"/>
                <w:szCs w:val="15"/>
                <w:color w:val="auto"/>
              </w:rPr>
            </w:pPr>
          </w:p>
        </w:tc>
        <w:tc>
          <w:tcPr>
            <w:tcW w:w="1200" w:type="dxa"/>
            <w:vAlign w:val="bottom"/>
          </w:tcPr>
          <w:p>
            <w:pPr>
              <w:jc w:val="center"/>
              <w:ind w:right="59"/>
              <w:spacing w:after="0"/>
              <w:rPr>
                <w:sz w:val="20"/>
                <w:szCs w:val="20"/>
                <w:color w:val="auto"/>
              </w:rPr>
            </w:pPr>
            <w:r>
              <w:rPr>
                <w:rFonts w:ascii="Arial" w:cs="Arial" w:eastAsia="Arial" w:hAnsi="Arial"/>
                <w:sz w:val="14"/>
                <w:szCs w:val="14"/>
                <w:b w:val="1"/>
                <w:bCs w:val="1"/>
                <w:color w:val="auto"/>
              </w:rPr>
              <w:t>Deferral</w:t>
            </w: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Receivable</w:t>
            </w:r>
            <w:r>
              <w:rPr>
                <w:rFonts w:ascii="Arial" w:cs="Arial" w:eastAsia="Arial" w:hAnsi="Arial"/>
                <w:sz w:val="9"/>
                <w:szCs w:val="9"/>
                <w:b w:val="1"/>
                <w:bCs w:val="1"/>
                <w:color w:val="auto"/>
              </w:rPr>
              <w:t>2</w:t>
            </w:r>
          </w:p>
        </w:tc>
        <w:tc>
          <w:tcPr>
            <w:tcW w:w="0" w:type="dxa"/>
            <w:vAlign w:val="bottom"/>
          </w:tcPr>
          <w:p>
            <w:pPr>
              <w:spacing w:after="0"/>
              <w:rPr>
                <w:sz w:val="1"/>
                <w:szCs w:val="1"/>
                <w:color w:val="auto"/>
              </w:rPr>
            </w:pPr>
          </w:p>
        </w:tc>
      </w:tr>
      <w:tr>
        <w:trPr>
          <w:trHeight w:val="250"/>
        </w:trPr>
        <w:tc>
          <w:tcPr>
            <w:tcW w:w="25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Modified Loans</w:t>
            </w:r>
          </w:p>
        </w:tc>
        <w:tc>
          <w:tcPr>
            <w:tcW w:w="400" w:type="dxa"/>
            <w:vAlign w:val="bottom"/>
            <w:tcBorders>
              <w:top w:val="single" w:sz="8" w:color="auto"/>
            </w:tcBorders>
            <w:shd w:val="clear" w:color="auto" w:fill="E0E7ED"/>
          </w:tcPr>
          <w:p>
            <w:pPr>
              <w:spacing w:after="0"/>
              <w:rPr>
                <w:sz w:val="21"/>
                <w:szCs w:val="21"/>
                <w:color w:val="auto"/>
              </w:rPr>
            </w:pPr>
          </w:p>
        </w:tc>
        <w:tc>
          <w:tcPr>
            <w:tcW w:w="8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4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2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50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400" w:type="dxa"/>
            <w:vAlign w:val="bottom"/>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11,639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1"/>
                <w:szCs w:val="21"/>
                <w:color w:val="auto"/>
              </w:rPr>
            </w:pPr>
          </w:p>
        </w:tc>
        <w:tc>
          <w:tcPr>
            <w:tcW w:w="240" w:type="dxa"/>
            <w:vAlign w:val="bottom"/>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26,985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4,412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400" w:type="dxa"/>
            <w:vAlign w:val="bottom"/>
            <w:tcBorders>
              <w:bottom w:val="single" w:sz="8" w:color="E0E7ED"/>
            </w:tcBorders>
            <w:shd w:val="clear" w:color="auto" w:fill="E0E7ED"/>
          </w:tcPr>
          <w:p>
            <w:pPr>
              <w:spacing w:after="0"/>
              <w:rPr>
                <w:sz w:val="21"/>
                <w:szCs w:val="21"/>
                <w:color w:val="auto"/>
              </w:rPr>
            </w:pPr>
          </w:p>
        </w:tc>
        <w:tc>
          <w:tcPr>
            <w:tcW w:w="8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0E7ED"/>
            </w:tcBorders>
            <w:shd w:val="clear" w:color="auto" w:fill="E0E7ED"/>
          </w:tcPr>
          <w:p>
            <w:pPr>
              <w:spacing w:after="0"/>
              <w:rPr>
                <w:sz w:val="21"/>
                <w:szCs w:val="21"/>
                <w:color w:val="auto"/>
              </w:rPr>
            </w:pPr>
          </w:p>
        </w:tc>
        <w:tc>
          <w:tcPr>
            <w:tcW w:w="154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E0E7ED"/>
            </w:tcBorders>
            <w:shd w:val="clear" w:color="auto" w:fill="E0E7ED"/>
          </w:tcPr>
          <w:p>
            <w:pPr>
              <w:spacing w:after="0"/>
              <w:rPr>
                <w:sz w:val="21"/>
                <w:szCs w:val="21"/>
                <w:color w:val="auto"/>
              </w:rPr>
            </w:pPr>
          </w:p>
        </w:tc>
        <w:tc>
          <w:tcPr>
            <w:tcW w:w="15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 %</w:t>
            </w:r>
          </w:p>
        </w:tc>
        <w:tc>
          <w:tcPr>
            <w:tcW w:w="12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7"/>
        </w:trPr>
        <w:tc>
          <w:tcPr>
            <w:tcW w:w="2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4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5,187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2500" w:type="dxa"/>
            <w:vAlign w:val="bottom"/>
            <w:tcBorders>
              <w:bottom w:val="single" w:sz="8" w:color="E0E7E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4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8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500" w:type="dxa"/>
            <w:vAlign w:val="bottom"/>
            <w:shd w:val="clear" w:color="auto" w:fill="E0E7ED"/>
          </w:tcPr>
          <w:p>
            <w:pPr>
              <w:ind w:left="20"/>
              <w:spacing w:after="0" w:line="201" w:lineRule="exact"/>
              <w:rPr>
                <w:sz w:val="20"/>
                <w:szCs w:val="20"/>
                <w:color w:val="auto"/>
              </w:rPr>
            </w:pPr>
            <w:r>
              <w:rPr>
                <w:rFonts w:ascii="Arial" w:cs="Arial" w:eastAsia="Arial" w:hAnsi="Arial"/>
                <w:sz w:val="18"/>
                <w:szCs w:val="18"/>
                <w:color w:val="auto"/>
              </w:rPr>
              <w:t>Total of loans modified during</w:t>
            </w:r>
          </w:p>
        </w:tc>
        <w:tc>
          <w:tcPr>
            <w:tcW w:w="400" w:type="dxa"/>
            <w:vAlign w:val="bottom"/>
            <w:vMerge w:val="restart"/>
            <w:shd w:val="clear" w:color="auto" w:fill="E0E7ED"/>
          </w:tcPr>
          <w:p>
            <w:pPr>
              <w:jc w:val="right"/>
              <w:ind w:right="196"/>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11,639</w:t>
            </w:r>
          </w:p>
        </w:tc>
        <w:tc>
          <w:tcPr>
            <w:tcW w:w="100" w:type="dxa"/>
            <w:vAlign w:val="bottom"/>
            <w:shd w:val="clear" w:color="auto" w:fill="E0E7ED"/>
          </w:tcPr>
          <w:p>
            <w:pPr>
              <w:spacing w:after="0"/>
              <w:rPr>
                <w:sz w:val="17"/>
                <w:szCs w:val="17"/>
                <w:color w:val="auto"/>
              </w:rPr>
            </w:pPr>
          </w:p>
        </w:tc>
        <w:tc>
          <w:tcPr>
            <w:tcW w:w="14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vMerge w:val="restart"/>
            <w:shd w:val="clear" w:color="auto" w:fill="E0E7ED"/>
          </w:tcPr>
          <w:p>
            <w:pPr>
              <w:jc w:val="right"/>
              <w:ind w:right="36"/>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34,020</w:t>
            </w:r>
          </w:p>
        </w:tc>
        <w:tc>
          <w:tcPr>
            <w:tcW w:w="100" w:type="dxa"/>
            <w:vAlign w:val="bottom"/>
            <w:shd w:val="clear" w:color="auto" w:fill="E0E7ED"/>
          </w:tcPr>
          <w:p>
            <w:pPr>
              <w:spacing w:after="0"/>
              <w:rPr>
                <w:sz w:val="17"/>
                <w:szCs w:val="17"/>
                <w:color w:val="auto"/>
              </w:rPr>
            </w:pPr>
          </w:p>
        </w:tc>
        <w:tc>
          <w:tcPr>
            <w:tcW w:w="146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2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4,412</w:t>
            </w:r>
          </w:p>
        </w:tc>
        <w:tc>
          <w:tcPr>
            <w:tcW w:w="80" w:type="dxa"/>
            <w:vAlign w:val="bottom"/>
            <w:shd w:val="clear" w:color="auto" w:fill="E0E7ED"/>
          </w:tcPr>
          <w:p>
            <w:pPr>
              <w:spacing w:after="0"/>
              <w:rPr>
                <w:sz w:val="17"/>
                <w:szCs w:val="17"/>
                <w:color w:val="auto"/>
              </w:rPr>
            </w:pPr>
          </w:p>
        </w:tc>
        <w:tc>
          <w:tcPr>
            <w:tcW w:w="148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E0E7ED"/>
            </w:tcBorders>
            <w:shd w:val="clear" w:color="auto" w:fill="E0E7ED"/>
          </w:tcPr>
          <w:p>
            <w:pPr>
              <w:ind w:left="20"/>
              <w:spacing w:after="0" w:line="237" w:lineRule="exact"/>
              <w:rPr>
                <w:sz w:val="20"/>
                <w:szCs w:val="20"/>
                <w:color w:val="auto"/>
              </w:rPr>
            </w:pPr>
            <w:r>
              <w:rPr>
                <w:rFonts w:ascii="Arial" w:cs="Arial" w:eastAsia="Arial" w:hAnsi="Arial"/>
                <w:sz w:val="18"/>
                <w:szCs w:val="18"/>
                <w:color w:val="auto"/>
              </w:rPr>
              <w:t>the period</w:t>
            </w:r>
            <w:r>
              <w:rPr>
                <w:rFonts w:ascii="Arial" w:cs="Arial" w:eastAsia="Arial" w:hAnsi="Arial"/>
                <w:sz w:val="23"/>
                <w:szCs w:val="23"/>
                <w:color w:val="auto"/>
                <w:vertAlign w:val="superscript"/>
              </w:rPr>
              <w:t>3</w:t>
            </w:r>
          </w:p>
        </w:tc>
        <w:tc>
          <w:tcPr>
            <w:tcW w:w="400" w:type="dxa"/>
            <w:vAlign w:val="bottom"/>
            <w:tcBorders>
              <w:bottom w:val="single" w:sz="8" w:color="auto"/>
            </w:tcBorders>
            <w:vMerge w:val="continue"/>
            <w:shd w:val="clear" w:color="auto" w:fill="E0E7ED"/>
          </w:tcPr>
          <w:p>
            <w:pPr>
              <w:spacing w:after="0"/>
              <w:rPr>
                <w:sz w:val="22"/>
                <w:szCs w:val="22"/>
                <w:color w:val="auto"/>
              </w:rPr>
            </w:pPr>
          </w:p>
        </w:tc>
        <w:tc>
          <w:tcPr>
            <w:tcW w:w="880" w:type="dxa"/>
            <w:vAlign w:val="bottom"/>
            <w:tcBorders>
              <w:bottom w:val="single" w:sz="8" w:color="auto"/>
            </w:tcBorders>
            <w:vMerge w:val="continue"/>
            <w:shd w:val="clear" w:color="auto" w:fill="E0E7ED"/>
          </w:tcPr>
          <w:p>
            <w:pPr>
              <w:spacing w:after="0"/>
              <w:rPr>
                <w:sz w:val="22"/>
                <w:szCs w:val="22"/>
                <w:color w:val="auto"/>
              </w:rPr>
            </w:pPr>
          </w:p>
        </w:tc>
        <w:tc>
          <w:tcPr>
            <w:tcW w:w="154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auto"/>
            </w:tcBorders>
            <w:vMerge w:val="continue"/>
            <w:shd w:val="clear" w:color="auto" w:fill="E0E7ED"/>
          </w:tcPr>
          <w:p>
            <w:pPr>
              <w:spacing w:after="0"/>
              <w:rPr>
                <w:sz w:val="22"/>
                <w:szCs w:val="22"/>
                <w:color w:val="auto"/>
              </w:rPr>
            </w:pPr>
          </w:p>
        </w:tc>
        <w:tc>
          <w:tcPr>
            <w:tcW w:w="1040" w:type="dxa"/>
            <w:vAlign w:val="bottom"/>
            <w:tcBorders>
              <w:bottom w:val="single" w:sz="8" w:color="auto"/>
            </w:tcBorders>
            <w:vMerge w:val="continue"/>
            <w:shd w:val="clear" w:color="auto" w:fill="E0E7ED"/>
          </w:tcPr>
          <w:p>
            <w:pPr>
              <w:spacing w:after="0"/>
              <w:rPr>
                <w:sz w:val="22"/>
                <w:szCs w:val="22"/>
                <w:color w:val="auto"/>
              </w:rPr>
            </w:pP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E0E7ED"/>
            </w:tcBorders>
            <w:shd w:val="clear" w:color="auto" w:fill="E0E7ED"/>
          </w:tcPr>
          <w:p>
            <w:pPr>
              <w:spacing w:after="0"/>
              <w:rPr>
                <w:sz w:val="22"/>
                <w:szCs w:val="22"/>
                <w:color w:val="auto"/>
              </w:rPr>
            </w:pPr>
          </w:p>
        </w:tc>
        <w:tc>
          <w:tcPr>
            <w:tcW w:w="120" w:type="dxa"/>
            <w:vAlign w:val="bottom"/>
            <w:tcBorders>
              <w:bottom w:val="single" w:sz="8" w:color="auto"/>
            </w:tcBorders>
            <w:vMerge w:val="continue"/>
            <w:shd w:val="clear" w:color="auto" w:fill="E0E7ED"/>
          </w:tcPr>
          <w:p>
            <w:pPr>
              <w:spacing w:after="0"/>
              <w:rPr>
                <w:sz w:val="22"/>
                <w:szCs w:val="22"/>
                <w:color w:val="auto"/>
              </w:rPr>
            </w:pPr>
          </w:p>
        </w:tc>
        <w:tc>
          <w:tcPr>
            <w:tcW w:w="1200" w:type="dxa"/>
            <w:vAlign w:val="bottom"/>
            <w:tcBorders>
              <w:bottom w:val="single" w:sz="8" w:color="auto"/>
            </w:tcBorders>
            <w:vMerge w:val="continue"/>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5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8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 w:lineRule="exact"/>
        <w:rPr>
          <w:sz w:val="20"/>
          <w:szCs w:val="20"/>
          <w:color w:val="auto"/>
        </w:rPr>
      </w:pPr>
    </w:p>
    <w:p>
      <w:pPr>
        <w:ind w:left="520" w:hanging="350"/>
        <w:spacing w:after="0"/>
        <w:tabs>
          <w:tab w:leader="none" w:pos="5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CRE loans, rounding to zero percent.</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Modified loans represent an insignificant portion of total loans, rounding to zero percent.</w:t>
      </w:r>
    </w:p>
    <w:p>
      <w:pPr>
        <w:spacing w:after="0" w:line="1" w:lineRule="exact"/>
        <w:rPr>
          <w:rFonts w:ascii="Arial" w:cs="Arial" w:eastAsia="Arial" w:hAnsi="Arial"/>
          <w:sz w:val="14"/>
          <w:szCs w:val="14"/>
          <w:color w:val="auto"/>
        </w:rPr>
      </w:pPr>
    </w:p>
    <w:p>
      <w:pPr>
        <w:ind w:left="500" w:right="20" w:hanging="330"/>
        <w:spacing w:after="0" w:line="284" w:lineRule="auto"/>
        <w:tabs>
          <w:tab w:leader="none" w:pos="498" w:val="left"/>
        </w:tabs>
        <w:numPr>
          <w:ilvl w:val="0"/>
          <w:numId w:val="14"/>
        </w:numPr>
        <w:rPr>
          <w:rFonts w:ascii="Arial" w:cs="Arial" w:eastAsia="Arial" w:hAnsi="Arial"/>
          <w:sz w:val="14"/>
          <w:szCs w:val="14"/>
          <w:color w:val="auto"/>
        </w:rPr>
      </w:pPr>
      <w:r>
        <w:rPr>
          <w:rFonts w:ascii="Arial" w:cs="Arial" w:eastAsia="Arial" w:hAnsi="Arial"/>
          <w:sz w:val="14"/>
          <w:szCs w:val="14"/>
          <w:color w:val="auto"/>
        </w:rPr>
        <w:t>With the exception of one loan that was transferred to non-accrual status during the six months ended June 30, 2025, all modifications were for loans classified as substandard.</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Modified Loans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C&amp;I and other commercial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CRE</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of loans modified during the period</w:t>
      </w:r>
      <w:r>
        <w:rPr>
          <w:rFonts w:ascii="Arial" w:cs="Arial" w:eastAsia="Arial" w:hAnsi="Arial"/>
          <w:sz w:val="23"/>
          <w:szCs w:val="23"/>
          <w:color w:val="auto"/>
          <w:vertAlign w:val="superscript"/>
        </w:rPr>
        <w:t>2</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Modifications to extend loan terms also included, in some cases, interest rate increases during the extension period.</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All modifications were for loans classified as substandard.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Six Months Ended June 30, 2024</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4"/>
                <w:szCs w:val="14"/>
                <w:b w:val="1"/>
                <w:bCs w:val="1"/>
                <w:color w:val="auto"/>
              </w:rPr>
              <w:t>Term Extension</w:t>
            </w:r>
            <w:r>
              <w:rPr>
                <w:rFonts w:ascii="Arial" w:cs="Arial" w:eastAsia="Arial" w:hAnsi="Arial"/>
                <w:sz w:val="9"/>
                <w:szCs w:val="9"/>
                <w:b w:val="1"/>
                <w:bCs w:val="1"/>
                <w:color w:val="auto"/>
              </w:rPr>
              <w:t>1</w:t>
            </w:r>
          </w:p>
        </w:tc>
        <w:tc>
          <w:tcPr>
            <w:tcW w:w="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 of Total Class of</w:t>
            </w:r>
          </w:p>
        </w:tc>
        <w:tc>
          <w:tcPr>
            <w:tcW w:w="0" w:type="dxa"/>
            <w:vAlign w:val="bottom"/>
          </w:tcPr>
          <w:p>
            <w:pPr>
              <w:spacing w:after="0"/>
              <w:rPr>
                <w:sz w:val="1"/>
                <w:szCs w:val="1"/>
                <w:color w:val="auto"/>
              </w:rPr>
            </w:pPr>
          </w:p>
        </w:tc>
      </w:tr>
      <w:tr>
        <w:trPr>
          <w:trHeight w:val="176"/>
        </w:trPr>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Financing Receivable</w:t>
            </w:r>
          </w:p>
        </w:tc>
        <w:tc>
          <w:tcPr>
            <w:tcW w:w="0" w:type="dxa"/>
            <w:vAlign w:val="bottom"/>
          </w:tcPr>
          <w:p>
            <w:pPr>
              <w:spacing w:after="0"/>
              <w:rPr>
                <w:sz w:val="1"/>
                <w:szCs w:val="1"/>
                <w:color w:val="auto"/>
              </w:rPr>
            </w:pPr>
          </w:p>
        </w:tc>
      </w:tr>
      <w:tr>
        <w:trPr>
          <w:trHeight w:val="497"/>
        </w:trPr>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0"/>
        </w:trPr>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25,881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77" w:lineRule="exact"/>
        <w:rPr>
          <w:sz w:val="20"/>
          <w:szCs w:val="20"/>
          <w:color w:val="auto"/>
        </w:rPr>
      </w:pPr>
    </w:p>
    <w:p>
      <w:pPr>
        <w:sectPr>
          <w:pgSz w:w="11900" w:h="16838" w:orient="portrait"/>
          <w:cols w:equalWidth="0" w:num="2">
            <w:col w:w="7900" w:space="360"/>
            <w:col w:w="2980"/>
          </w:cols>
          <w:pgMar w:left="320" w:top="296" w:right="339" w:bottom="1440" w:gutter="0" w:footer="0" w:header="0"/>
          <w:type w:val="continuous"/>
        </w:sectPr>
      </w:pPr>
    </w:p>
    <w:p>
      <w:pPr>
        <w:spacing w:after="0" w:line="287" w:lineRule="auto"/>
        <w:rPr>
          <w:sz w:val="20"/>
          <w:szCs w:val="20"/>
          <w:color w:val="auto"/>
        </w:rPr>
      </w:pPr>
      <w:r>
        <w:rPr>
          <w:rFonts w:ascii="Arial" w:cs="Arial" w:eastAsia="Arial" w:hAnsi="Arial"/>
          <w:sz w:val="18"/>
          <w:szCs w:val="18"/>
          <w:color w:val="auto"/>
        </w:rPr>
        <w:t>The following table provides the weighted average term extension for loan modifications made during the periods indicated for borrowers experiencing financial difficulty:</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2900" w:type="dxa"/>
            <w:vAlign w:val="bottom"/>
            <w:gridSpan w:val="4"/>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282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20" w:type="dxa"/>
            <w:vAlign w:val="bottom"/>
            <w:tcBorders>
              <w:bottom w:val="single" w:sz="8" w:color="E0E7ED"/>
            </w:tcBorders>
          </w:tcPr>
          <w:p>
            <w:pPr>
              <w:spacing w:after="0"/>
              <w:rPr>
                <w:sz w:val="15"/>
                <w:szCs w:val="15"/>
                <w:color w:val="auto"/>
              </w:rPr>
            </w:pPr>
          </w:p>
        </w:tc>
        <w:tc>
          <w:tcPr>
            <w:tcW w:w="134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50"/>
        </w:trPr>
        <w:tc>
          <w:tcPr>
            <w:tcW w:w="55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Weighted Average Loan Term Extensions</w:t>
            </w:r>
          </w:p>
        </w:tc>
        <w:tc>
          <w:tcPr>
            <w:tcW w:w="13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r>
      <w:tr>
        <w:trPr>
          <w:trHeight w:val="247"/>
        </w:trPr>
        <w:tc>
          <w:tcPr>
            <w:tcW w:w="552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19.9 months</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4.3 months</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19.3 months</w:t>
            </w:r>
          </w:p>
        </w:tc>
        <w:tc>
          <w:tcPr>
            <w:tcW w:w="1360" w:type="dxa"/>
            <w:vAlign w:val="bottom"/>
          </w:tcPr>
          <w:p>
            <w:pPr>
              <w:jc w:val="right"/>
              <w:spacing w:after="0"/>
              <w:rPr>
                <w:sz w:val="20"/>
                <w:szCs w:val="20"/>
                <w:color w:val="auto"/>
              </w:rPr>
            </w:pPr>
            <w:r>
              <w:rPr>
                <w:rFonts w:ascii="Arial" w:cs="Arial" w:eastAsia="Arial" w:hAnsi="Arial"/>
                <w:sz w:val="18"/>
                <w:szCs w:val="18"/>
                <w:color w:val="auto"/>
              </w:rPr>
              <w:t>14.7 months</w:t>
            </w:r>
          </w:p>
        </w:tc>
      </w:tr>
      <w:tr>
        <w:trPr>
          <w:trHeight w:val="23"/>
        </w:trPr>
        <w:tc>
          <w:tcPr>
            <w:tcW w:w="5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144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7.0 months</w:t>
            </w:r>
          </w:p>
        </w:tc>
        <w:tc>
          <w:tcPr>
            <w:tcW w:w="14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4.0 months</w:t>
            </w:r>
          </w:p>
        </w:tc>
        <w:tc>
          <w:tcPr>
            <w:tcW w:w="14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11.0 months</w:t>
            </w: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 months</w:t>
            </w:r>
          </w:p>
        </w:tc>
      </w:tr>
      <w:tr>
        <w:trPr>
          <w:trHeight w:val="247"/>
        </w:trPr>
        <w:tc>
          <w:tcPr>
            <w:tcW w:w="552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15.0 months</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520" w:type="dxa"/>
            <w:vAlign w:val="bottom"/>
            <w:tcBorders>
              <w:bottom w:val="single" w:sz="8" w:color="E0E7ED"/>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0"/>
        </w:trPr>
        <w:tc>
          <w:tcPr>
            <w:tcW w:w="5520" w:type="dxa"/>
            <w:vAlign w:val="bottom"/>
            <w:shd w:val="clear" w:color="auto" w:fill="E0E7ED"/>
          </w:tcPr>
          <w:p>
            <w:pPr>
              <w:ind w:left="20"/>
              <w:spacing w:after="0"/>
              <w:rPr>
                <w:sz w:val="20"/>
                <w:szCs w:val="20"/>
                <w:color w:val="auto"/>
              </w:rPr>
            </w:pPr>
            <w:r>
              <w:rPr>
                <w:rFonts w:ascii="Arial" w:cs="Arial" w:eastAsia="Arial" w:hAnsi="Arial"/>
                <w:sz w:val="18"/>
                <w:szCs w:val="18"/>
                <w:color w:val="auto"/>
              </w:rPr>
              <w:t>Weighted average term extensions</w:t>
            </w:r>
          </w:p>
        </w:tc>
        <w:tc>
          <w:tcPr>
            <w:tcW w:w="1440" w:type="dxa"/>
            <w:vAlign w:val="bottom"/>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19.3 months</w:t>
            </w:r>
          </w:p>
        </w:tc>
        <w:tc>
          <w:tcPr>
            <w:tcW w:w="1460" w:type="dxa"/>
            <w:vAlign w:val="bottom"/>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4.3 months</w:t>
            </w:r>
          </w:p>
        </w:tc>
        <w:tc>
          <w:tcPr>
            <w:tcW w:w="1460" w:type="dxa"/>
            <w:vAlign w:val="bottom"/>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18.3 months</w:t>
            </w:r>
          </w:p>
        </w:tc>
        <w:tc>
          <w:tcPr>
            <w:tcW w:w="13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13.8 months</w:t>
            </w:r>
          </w:p>
        </w:tc>
      </w:tr>
      <w:tr>
        <w:trPr>
          <w:trHeight w:val="23"/>
        </w:trPr>
        <w:tc>
          <w:tcPr>
            <w:tcW w:w="5520" w:type="dxa"/>
            <w:vAlign w:val="bottom"/>
            <w:shd w:val="clear" w:color="auto" w:fill="E0E7ED"/>
          </w:tcPr>
          <w:p>
            <w:pPr>
              <w:spacing w:after="0"/>
              <w:rPr>
                <w:sz w:val="2"/>
                <w:szCs w:val="2"/>
                <w:color w:val="auto"/>
              </w:rPr>
            </w:pPr>
          </w:p>
        </w:tc>
        <w:tc>
          <w:tcPr>
            <w:tcW w:w="13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3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3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360" w:type="dxa"/>
            <w:vAlign w:val="bottom"/>
            <w:shd w:val="clear" w:color="auto" w:fill="E0E7ED"/>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of Modified Loans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closely monitors the performance of the loans that are modified for borrowers experiencing financial difficulty to understand the effectiveness of its modification efforts. The following table depicts the payment performance of loans modified during the last twelve months: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rPr>
              <w:t>As of June 30, 2025</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3"/>
        </w:trPr>
        <w:tc>
          <w:tcPr>
            <w:tcW w:w="55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30-89 Days</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90+ Days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ind w:right="174"/>
              <w:spacing w:after="0"/>
              <w:rPr>
                <w:sz w:val="20"/>
                <w:szCs w:val="20"/>
                <w:color w:val="auto"/>
              </w:rPr>
            </w:pPr>
            <w:r>
              <w:rPr>
                <w:rFonts w:ascii="Arial" w:cs="Arial" w:eastAsia="Arial" w:hAnsi="Arial"/>
                <w:sz w:val="14"/>
                <w:szCs w:val="14"/>
                <w:b w:val="1"/>
                <w:bCs w:val="1"/>
                <w:color w:val="auto"/>
              </w:rPr>
              <w:t>Non-accrual</w:t>
            </w:r>
          </w:p>
        </w:tc>
      </w:tr>
      <w:tr>
        <w:trPr>
          <w:trHeight w:val="250"/>
        </w:trPr>
        <w:tc>
          <w:tcPr>
            <w:tcW w:w="550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Modified Loans</w:t>
            </w:r>
          </w:p>
        </w:tc>
        <w:tc>
          <w:tcPr>
            <w:tcW w:w="280" w:type="dxa"/>
            <w:vAlign w:val="bottom"/>
            <w:tcBorders>
              <w:top w:val="single" w:sz="8" w:color="auto"/>
            </w:tcBorders>
            <w:shd w:val="clear" w:color="auto" w:fill="E0E7ED"/>
          </w:tcPr>
          <w:p>
            <w:pPr>
              <w:spacing w:after="0"/>
              <w:rPr>
                <w:sz w:val="21"/>
                <w:szCs w:val="21"/>
                <w:color w:val="auto"/>
              </w:rPr>
            </w:pPr>
          </w:p>
        </w:tc>
        <w:tc>
          <w:tcPr>
            <w:tcW w:w="10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2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43,420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467</w:t>
            </w:r>
          </w:p>
        </w:tc>
      </w:tr>
      <w:tr>
        <w:trPr>
          <w:trHeight w:val="23"/>
        </w:trPr>
        <w:tc>
          <w:tcPr>
            <w:tcW w:w="5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3,239</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gridSpan w:val="2"/>
            <w:shd w:val="clear" w:color="auto" w:fill="E0E7ED"/>
          </w:tcPr>
          <w:p>
            <w:pPr>
              <w:ind w:left="8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gridSpan w:val="2"/>
            <w:shd w:val="clear" w:color="auto" w:fill="E0E7ED"/>
          </w:tcPr>
          <w:p>
            <w:pPr>
              <w:ind w:left="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5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3"/>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color w:val="auto"/>
              </w:rPr>
              <w:t>Amortized cost of modified loans</w:t>
            </w:r>
          </w:p>
        </w:tc>
        <w:tc>
          <w:tcPr>
            <w:tcW w:w="280" w:type="dxa"/>
            <w:vAlign w:val="bottom"/>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51,846</w:t>
            </w:r>
          </w:p>
        </w:tc>
        <w:tc>
          <w:tcPr>
            <w:tcW w:w="100" w:type="dxa"/>
            <w:vAlign w:val="bottom"/>
            <w:shd w:val="clear" w:color="auto" w:fill="E0E7ED"/>
          </w:tcPr>
          <w:p>
            <w:pPr>
              <w:spacing w:after="0"/>
              <w:rPr>
                <w:sz w:val="24"/>
                <w:szCs w:val="24"/>
                <w:color w:val="auto"/>
              </w:rPr>
            </w:pPr>
          </w:p>
        </w:tc>
        <w:tc>
          <w:tcPr>
            <w:tcW w:w="220" w:type="dxa"/>
            <w:vAlign w:val="bottom"/>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E0E7ED"/>
          </w:tcPr>
          <w:p>
            <w:pPr>
              <w:ind w:left="8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0E7ED"/>
          </w:tcPr>
          <w:p>
            <w:pPr>
              <w:jc w:val="right"/>
              <w:ind w:right="836"/>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E0E7ED"/>
          </w:tcPr>
          <w:p>
            <w:pPr>
              <w:ind w:lef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467</w:t>
            </w: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default occurs when a loan is 90 days or more past due or transferred to non-accrual status. During the three and six months ended June 30, 2025, one C&amp;I and other commercial loan with a balance of $0.5 million experienced a default by being transferred to non-accrual status after having been modified (a payment deferral was provided to the borrower who was experiencing financial difficulty) during the 12 months before the default. No loans had a default during the three or six months ended June 30, 2024, after having been modified during the 12 months before that default for borrowers experiencing financial difficulty.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operation or sale of the underlying collateral and there are no other available and reliable sources of repayment. Loans are written down to the lower of cost or fair value of the underlying collateral, less estimated costs to sell. Busey had $50.0 million and $19.3 million of collateral dependent loans secured by real estate or business assets as of June 30, 2025, and December 31, 2024,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Busey’s recorded investment in residential real estate loans that were in the process of foreclosure was $5.7 million as of June 30,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Busey follows Federal Housing Finance Agency guidelines on single-family foreclosures and real estate owned evictions on portfolio loans.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ACL is a valuation account that is deducted from the portfolio loans’ amortized cost bases to present the net amount expected to be collected on the portfolio loans. The ACL is established through the provision for credit losses charged to income. Portfolio loans are charged off against the ACL when management believes the uncollectibility of a loan balance is confirmed. Recoveries are recognized up to the aggregate amount of previously charged-off balances.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ACL consists of three components: (i) specific allocations/individual reserves; (ii) quantitative reserves; and</w:t>
      </w:r>
    </w:p>
    <w:p>
      <w:pPr>
        <w:spacing w:after="0" w:line="1"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qualitative reserves.</w:t>
      </w:r>
    </w:p>
    <w:p>
      <w:pPr>
        <w:spacing w:after="0" w:line="166"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Specific allocations/individual reserves </w:t>
      </w:r>
      <w:r>
        <w:rPr>
          <w:rFonts w:ascii="Arial" w:cs="Arial" w:eastAsia="Arial" w:hAnsi="Arial"/>
          <w:sz w:val="18"/>
          <w:szCs w:val="18"/>
          <w:color w:val="auto"/>
        </w:rPr>
        <w:t>– When a loan no longer exhibits risk characteristics that are similar to other loans, that loan</w:t>
      </w:r>
      <w:r>
        <w:rPr>
          <w:rFonts w:ascii="Arial" w:cs="Arial" w:eastAsia="Arial" w:hAnsi="Arial"/>
          <w:sz w:val="18"/>
          <w:szCs w:val="18"/>
          <w:i w:val="1"/>
          <w:iCs w:val="1"/>
          <w:color w:val="auto"/>
        </w:rPr>
        <w:t xml:space="preserve"> </w:t>
      </w:r>
      <w:r>
        <w:rPr>
          <w:rFonts w:ascii="Arial" w:cs="Arial" w:eastAsia="Arial" w:hAnsi="Arial"/>
          <w:sz w:val="18"/>
          <w:szCs w:val="18"/>
          <w:color w:val="auto"/>
        </w:rPr>
        <w:t>is individually evaluated. Individual reserves are calculated for loans that are on a non-accrual status that are greater than a defined dollar threshold or loans that have disparate risk characteristics. Reserves may be based on collateral, for collateral-dependent loans, or on quantitative and qualitative factors, including expected cash flow, market sentiment, and guarantor support.</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6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Quantitative reserves </w:t>
      </w:r>
      <w:r>
        <w:rPr>
          <w:rFonts w:ascii="Arial" w:cs="Arial" w:eastAsia="Arial" w:hAnsi="Arial"/>
          <w:sz w:val="18"/>
          <w:szCs w:val="18"/>
          <w:color w:val="auto"/>
        </w:rPr>
        <w:t>– Busey implemented a new non-discounted cash flow model in the second quarter of 2025 that used</w:t>
      </w:r>
      <w:r>
        <w:rPr>
          <w:rFonts w:ascii="Arial" w:cs="Arial" w:eastAsia="Arial" w:hAnsi="Arial"/>
          <w:sz w:val="18"/>
          <w:szCs w:val="18"/>
          <w:i w:val="1"/>
          <w:iCs w:val="1"/>
          <w:color w:val="auto"/>
        </w:rPr>
        <w:t xml:space="preserve"> </w:t>
      </w:r>
      <w:r>
        <w:rPr>
          <w:rFonts w:ascii="Arial" w:cs="Arial" w:eastAsia="Arial" w:hAnsi="Arial"/>
          <w:sz w:val="18"/>
          <w:szCs w:val="18"/>
          <w:color w:val="auto"/>
        </w:rPr>
        <w:t>combined historical loan data from Busey Bank beginning in 2004 and CrossFirst Bank since its inception in 2007. The model incorporates various baseline forecast scenarios and national unemployment rates with either national gross domestic product, the national home price index, or the national commercial real estate price index. Further, prepayment and curtailment expectations are factored into the model. Due to the continued economic uncertainty in the markets in which the Company operates, Busey will continue to utilize a forecast period of 12 months with an immediate reversion to historical loss rates beyond this forecast period in its ACL estimate.</w:t>
      </w:r>
    </w:p>
    <w:p>
      <w:pPr>
        <w:spacing w:after="0" w:line="14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Qualitative reserves </w:t>
      </w:r>
      <w:r>
        <w:rPr>
          <w:rFonts w:ascii="Arial" w:cs="Arial" w:eastAsia="Arial" w:hAnsi="Arial"/>
          <w:sz w:val="18"/>
          <w:szCs w:val="18"/>
          <w:color w:val="auto"/>
        </w:rPr>
        <w:t>– Busey uses qualitative factors to adjust the historical loss factors for current and forecasted conditions. Busey</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considers the ten qualitative factors identified in the Interagency Guidance and ASC Topic 326 at each reporting date.</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tables summarize activity in the ACL attributable to each lending activity. Allocation of a portion of the ACL to one lending activity does not preclude its availability to absorb losses from other lending activities: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 2025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C&amp;I and Other</w:t>
            </w: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CRE</w:t>
            </w:r>
          </w:p>
        </w:tc>
        <w:tc>
          <w:tcPr>
            <w:tcW w:w="160" w:type="dxa"/>
            <w:vAlign w:val="bottom"/>
          </w:tcPr>
          <w:p>
            <w:pPr>
              <w:spacing w:after="0"/>
              <w:rPr>
                <w:sz w:val="12"/>
                <w:szCs w:val="12"/>
                <w:color w:val="auto"/>
              </w:rPr>
            </w:pPr>
          </w:p>
        </w:tc>
        <w:tc>
          <w:tcPr>
            <w:tcW w:w="13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balance, March 31, 2025</w:t>
            </w:r>
          </w:p>
        </w:tc>
        <w:tc>
          <w:tcPr>
            <w:tcW w:w="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89,304</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300" w:type="dxa"/>
            <w:vAlign w:val="bottom"/>
            <w:tcBorders>
              <w:top w:val="single" w:sz="8" w:color="auto"/>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68,478</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8,689</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26,399</w:t>
            </w:r>
          </w:p>
        </w:tc>
        <w:tc>
          <w:tcPr>
            <w:tcW w:w="80" w:type="dxa"/>
            <w:vAlign w:val="bottom"/>
            <w:tcBorders>
              <w:top w:val="single" w:sz="8" w:color="E0E7ED"/>
              <w:bottom w:val="single" w:sz="8" w:color="E0E7ED"/>
            </w:tcBorders>
            <w:shd w:val="clear" w:color="auto" w:fill="E0E7ED"/>
          </w:tcPr>
          <w:p>
            <w:pPr>
              <w:spacing w:after="0"/>
              <w:rPr>
                <w:sz w:val="21"/>
                <w:szCs w:val="21"/>
                <w:color w:val="auto"/>
              </w:rPr>
            </w:pPr>
          </w:p>
        </w:tc>
        <w:tc>
          <w:tcPr>
            <w:tcW w:w="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Borders>
              <w:top w:val="single" w:sz="8" w:color="E0E7ED"/>
              <w:bottom w:val="single" w:sz="8" w:color="E0E7ED"/>
            </w:tcBorders>
            <w:shd w:val="clear" w:color="auto" w:fill="E0E7ED"/>
          </w:tcPr>
          <w:p>
            <w:pPr>
              <w:spacing w:after="0"/>
              <w:rPr>
                <w:sz w:val="21"/>
                <w:szCs w:val="21"/>
                <w:color w:val="auto"/>
              </w:rPr>
            </w:pPr>
          </w:p>
        </w:tc>
        <w:tc>
          <w:tcPr>
            <w:tcW w:w="320" w:type="dxa"/>
            <w:vAlign w:val="bottom"/>
            <w:tcBorders>
              <w:top w:val="single" w:sz="8" w:color="auto"/>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195,210</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(18,863)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2,597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Charged-off</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(2,080)</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(10,916)</w:t>
            </w: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(13,383)</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3"/>
        </w:trPr>
        <w:tc>
          <w:tcPr>
            <w:tcW w:w="266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balance, June 30, 2025</w:t>
            </w: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68,578</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70,935</w:t>
            </w:r>
          </w:p>
        </w:tc>
        <w:tc>
          <w:tcPr>
            <w:tcW w:w="100" w:type="dxa"/>
            <w:vAlign w:val="bottom"/>
            <w:tcBorders>
              <w:bottom w:val="single" w:sz="8" w:color="E0E7ED"/>
            </w:tcBorders>
            <w:shd w:val="clear" w:color="auto" w:fill="E0E7ED"/>
          </w:tcPr>
          <w:p>
            <w:pPr>
              <w:spacing w:after="0"/>
              <w:rPr>
                <w:sz w:val="24"/>
                <w:szCs w:val="24"/>
                <w:color w:val="auto"/>
              </w:rPr>
            </w:pPr>
          </w:p>
        </w:tc>
        <w:tc>
          <w:tcPr>
            <w:tcW w:w="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29,042</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183,334</w:t>
            </w:r>
          </w:p>
        </w:tc>
        <w:tc>
          <w:tcPr>
            <w:tcW w:w="0" w:type="dxa"/>
            <w:vAlign w:val="bottom"/>
          </w:tcPr>
          <w:p>
            <w:pPr>
              <w:spacing w:after="0"/>
              <w:rPr>
                <w:sz w:val="1"/>
                <w:szCs w:val="1"/>
                <w:color w:val="auto"/>
              </w:rPr>
            </w:pPr>
          </w:p>
        </w:tc>
      </w:tr>
      <w:tr>
        <w:trPr>
          <w:trHeight w:val="20"/>
        </w:trPr>
        <w:tc>
          <w:tcPr>
            <w:tcW w:w="266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gridSpan w:val="2"/>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2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Three Months Ended June 30, 2024</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C&amp;I and Other</w:t>
            </w:r>
          </w:p>
        </w:tc>
        <w:tc>
          <w:tcPr>
            <w:tcW w:w="30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CRE</w:t>
            </w:r>
          </w:p>
        </w:tc>
        <w:tc>
          <w:tcPr>
            <w:tcW w:w="160" w:type="dxa"/>
            <w:vAlign w:val="bottom"/>
          </w:tcPr>
          <w:p>
            <w:pPr>
              <w:spacing w:after="0"/>
              <w:rPr>
                <w:sz w:val="12"/>
                <w:szCs w:val="12"/>
                <w:color w:val="auto"/>
              </w:rPr>
            </w:pPr>
          </w:p>
        </w:tc>
        <w:tc>
          <w:tcPr>
            <w:tcW w:w="13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6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balance, March 31, 2024</w:t>
            </w:r>
          </w:p>
        </w:tc>
        <w:tc>
          <w:tcPr>
            <w:tcW w:w="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26,207</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300" w:type="dxa"/>
            <w:vAlign w:val="bottom"/>
            <w:tcBorders>
              <w:top w:val="single" w:sz="8" w:color="auto"/>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33,505</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4,713</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24,281</w:t>
            </w:r>
          </w:p>
        </w:tc>
        <w:tc>
          <w:tcPr>
            <w:tcW w:w="80" w:type="dxa"/>
            <w:vAlign w:val="bottom"/>
            <w:tcBorders>
              <w:top w:val="single" w:sz="8" w:color="E0E7ED"/>
              <w:bottom w:val="single" w:sz="8" w:color="E0E7ED"/>
            </w:tcBorders>
            <w:shd w:val="clear" w:color="auto" w:fill="E0E7ED"/>
          </w:tcPr>
          <w:p>
            <w:pPr>
              <w:spacing w:after="0"/>
              <w:rPr>
                <w:sz w:val="21"/>
                <w:szCs w:val="21"/>
                <w:color w:val="auto"/>
              </w:rPr>
            </w:pPr>
          </w:p>
        </w:tc>
        <w:tc>
          <w:tcPr>
            <w:tcW w:w="20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2,856</w:t>
            </w:r>
          </w:p>
        </w:tc>
        <w:tc>
          <w:tcPr>
            <w:tcW w:w="80" w:type="dxa"/>
            <w:vAlign w:val="bottom"/>
            <w:tcBorders>
              <w:top w:val="single" w:sz="8" w:color="E0E7ED"/>
              <w:bottom w:val="single" w:sz="8" w:color="E0E7ED"/>
            </w:tcBorders>
            <w:shd w:val="clear" w:color="auto" w:fill="E0E7ED"/>
          </w:tcPr>
          <w:p>
            <w:pPr>
              <w:spacing w:after="0"/>
              <w:rPr>
                <w:sz w:val="21"/>
                <w:szCs w:val="21"/>
                <w:color w:val="auto"/>
              </w:rPr>
            </w:pPr>
          </w:p>
        </w:tc>
        <w:tc>
          <w:tcPr>
            <w:tcW w:w="320" w:type="dxa"/>
            <w:vAlign w:val="bottom"/>
            <w:tcBorders>
              <w:top w:val="single" w:sz="8" w:color="auto"/>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91,562</w:t>
            </w:r>
          </w:p>
        </w:tc>
        <w:tc>
          <w:tcPr>
            <w:tcW w:w="0" w:type="dxa"/>
            <w:vAlign w:val="bottom"/>
          </w:tcPr>
          <w:p>
            <w:pPr>
              <w:spacing w:after="0"/>
              <w:rPr>
                <w:sz w:val="1"/>
                <w:szCs w:val="1"/>
                <w:color w:val="auto"/>
              </w:rPr>
            </w:pPr>
          </w:p>
        </w:tc>
      </w:tr>
      <w:tr>
        <w:trPr>
          <w:trHeight w:val="270"/>
        </w:trPr>
        <w:tc>
          <w:tcPr>
            <w:tcW w:w="2660" w:type="dxa"/>
            <w:vAlign w:val="bottom"/>
          </w:tcPr>
          <w:p>
            <w:pPr>
              <w:ind w:left="180"/>
              <w:spacing w:after="0"/>
              <w:rPr>
                <w:sz w:val="20"/>
                <w:szCs w:val="20"/>
                <w:color w:val="auto"/>
              </w:rPr>
            </w:pPr>
            <w:r>
              <w:rPr>
                <w:rFonts w:ascii="Arial" w:cs="Arial" w:eastAsia="Arial" w:hAnsi="Arial"/>
                <w:sz w:val="18"/>
                <w:szCs w:val="18"/>
                <w:color w:val="auto"/>
              </w:rPr>
              <w:t>Day 1 PCD</w:t>
            </w:r>
            <w:r>
              <w:rPr>
                <w:rFonts w:ascii="Arial" w:cs="Arial" w:eastAsia="Arial" w:hAnsi="Arial"/>
                <w:sz w:val="23"/>
                <w:szCs w:val="23"/>
                <w:color w:val="auto"/>
                <w:vertAlign w:val="superscript"/>
              </w:rPr>
              <w:t>1</w:t>
            </w:r>
          </w:p>
        </w:tc>
        <w:tc>
          <w:tcPr>
            <w:tcW w:w="1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Provision for loan losses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E0E7ED"/>
            </w:tcBorders>
            <w:shd w:val="clear" w:color="auto" w:fill="E0E7ED"/>
          </w:tcPr>
          <w:p>
            <w:pPr>
              <w:spacing w:after="0"/>
              <w:rPr>
                <w:sz w:val="21"/>
                <w:szCs w:val="21"/>
                <w:color w:val="auto"/>
              </w:rPr>
            </w:pP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(651)</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(10,013)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(10,276)</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0E7ED"/>
            </w:tcBorders>
            <w:shd w:val="clear" w:color="auto" w:fill="E0E7ED"/>
          </w:tcPr>
          <w:p>
            <w:pPr>
              <w:spacing w:after="0"/>
              <w:rPr>
                <w:sz w:val="23"/>
                <w:szCs w:val="23"/>
                <w:color w:val="auto"/>
              </w:rPr>
            </w:pP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63"/>
        </w:trPr>
        <w:tc>
          <w:tcPr>
            <w:tcW w:w="2660" w:type="dxa"/>
            <w:vAlign w:val="bottom"/>
          </w:tcPr>
          <w:p>
            <w:pPr>
              <w:ind w:left="20"/>
              <w:spacing w:after="0"/>
              <w:rPr>
                <w:sz w:val="20"/>
                <w:szCs w:val="20"/>
                <w:color w:val="auto"/>
              </w:rPr>
            </w:pPr>
            <w:r>
              <w:rPr>
                <w:rFonts w:ascii="Arial" w:cs="Arial" w:eastAsia="Arial" w:hAnsi="Arial"/>
                <w:sz w:val="18"/>
                <w:szCs w:val="18"/>
                <w:color w:val="auto"/>
              </w:rPr>
              <w:t>ACL balance,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85,226</w:t>
            </w:r>
          </w:p>
        </w:tc>
        <w:tc>
          <w:tcPr>
            <w:tcW w:w="0" w:type="dxa"/>
            <w:vAlign w:val="bottom"/>
          </w:tcPr>
          <w:p>
            <w:pPr>
              <w:spacing w:after="0"/>
              <w:rPr>
                <w:sz w:val="1"/>
                <w:szCs w:val="1"/>
                <w:color w:val="auto"/>
              </w:rPr>
            </w:pPr>
          </w:p>
        </w:tc>
      </w:tr>
      <w:tr>
        <w:trPr>
          <w:trHeight w:val="21"/>
        </w:trPr>
        <w:tc>
          <w:tcPr>
            <w:tcW w:w="2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Day 1 PCD is attributable to the M&amp;M acquisition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r>
        <w:rPr>
          <w:rFonts w:ascii="Arial" w:cs="Arial" w:eastAsia="Arial" w:hAnsi="Arial"/>
          <w:sz w:val="14"/>
          <w:szCs w:val="14"/>
          <w:color w:val="auto"/>
        </w:rPr>
        <w: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 2025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C&amp;I and Other</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CRE</w:t>
            </w:r>
          </w:p>
        </w:tc>
        <w:tc>
          <w:tcPr>
            <w:tcW w:w="180" w:type="dxa"/>
            <w:vAlign w:val="bottom"/>
          </w:tcPr>
          <w:p>
            <w:pPr>
              <w:spacing w:after="0"/>
              <w:rPr>
                <w:sz w:val="12"/>
                <w:szCs w:val="12"/>
                <w:color w:val="auto"/>
              </w:rPr>
            </w:pPr>
          </w:p>
        </w:tc>
        <w:tc>
          <w:tcPr>
            <w:tcW w:w="12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2"/>
                <w:szCs w:val="12"/>
                <w:color w:val="auto"/>
              </w:rPr>
            </w:pPr>
          </w:p>
        </w:tc>
        <w:tc>
          <w:tcPr>
            <w:tcW w:w="104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6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color w:val="auto"/>
              </w:rPr>
              <w:t>ACL balance, December 31,</w:t>
            </w:r>
          </w:p>
        </w:tc>
        <w:tc>
          <w:tcPr>
            <w:tcW w:w="14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11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21,589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32,301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23,711</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83,404</w:t>
            </w:r>
          </w:p>
        </w:tc>
        <w:tc>
          <w:tcPr>
            <w:tcW w:w="0" w:type="dxa"/>
            <w:vAlign w:val="bottom"/>
          </w:tcPr>
          <w:p>
            <w:pPr>
              <w:spacing w:after="0"/>
              <w:rPr>
                <w:sz w:val="1"/>
                <w:szCs w:val="1"/>
                <w:color w:val="auto"/>
              </w:rPr>
            </w:pPr>
          </w:p>
        </w:tc>
      </w:tr>
      <w:tr>
        <w:trPr>
          <w:trHeight w:val="270"/>
        </w:trPr>
        <w:tc>
          <w:tcPr>
            <w:tcW w:w="2660" w:type="dxa"/>
            <w:vAlign w:val="bottom"/>
          </w:tcPr>
          <w:p>
            <w:pPr>
              <w:ind w:left="180"/>
              <w:spacing w:after="0"/>
              <w:rPr>
                <w:sz w:val="20"/>
                <w:szCs w:val="20"/>
                <w:color w:val="auto"/>
              </w:rPr>
            </w:pPr>
            <w:r>
              <w:rPr>
                <w:rFonts w:ascii="Arial" w:cs="Arial" w:eastAsia="Arial" w:hAnsi="Arial"/>
                <w:sz w:val="18"/>
                <w:szCs w:val="18"/>
                <w:color w:val="auto"/>
              </w:rPr>
              <w:t>Day 1 PCD</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75,569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1,430</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100,783</w:t>
            </w:r>
          </w:p>
        </w:tc>
        <w:tc>
          <w:tcPr>
            <w:tcW w:w="0" w:type="dxa"/>
            <w:vAlign w:val="bottom"/>
          </w:tcPr>
          <w:p>
            <w:pPr>
              <w:spacing w:after="0"/>
              <w:rPr>
                <w:sz w:val="1"/>
                <w:szCs w:val="1"/>
                <w:color w:val="auto"/>
              </w:rPr>
            </w:pPr>
          </w:p>
        </w:tc>
      </w:tr>
      <w:tr>
        <w:trPr>
          <w:trHeight w:val="222"/>
        </w:trPr>
        <w:tc>
          <w:tcPr>
            <w:tcW w:w="2660" w:type="dxa"/>
            <w:vAlign w:val="bottom"/>
            <w:shd w:val="clear" w:color="auto" w:fill="E0E7ED"/>
          </w:tcPr>
          <w:p>
            <w:pPr>
              <w:ind w:left="180"/>
              <w:spacing w:after="0"/>
              <w:rPr>
                <w:sz w:val="20"/>
                <w:szCs w:val="20"/>
                <w:color w:val="auto"/>
              </w:rPr>
            </w:pPr>
            <w:r>
              <w:rPr>
                <w:rFonts w:ascii="Arial" w:cs="Arial" w:eastAsia="Arial" w:hAnsi="Arial"/>
                <w:sz w:val="18"/>
                <w:szCs w:val="18"/>
                <w:color w:val="auto"/>
              </w:rPr>
              <w:t>Day 2 Provision for loan</w:t>
            </w:r>
          </w:p>
        </w:tc>
        <w:tc>
          <w:tcPr>
            <w:tcW w:w="14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660" w:type="dxa"/>
            <w:vAlign w:val="bottom"/>
            <w:shd w:val="clear" w:color="auto" w:fill="E0E7ED"/>
          </w:tcPr>
          <w:p>
            <w:pPr>
              <w:ind w:left="180"/>
              <w:spacing w:after="0"/>
              <w:rPr>
                <w:sz w:val="20"/>
                <w:szCs w:val="20"/>
                <w:color w:val="auto"/>
              </w:rPr>
            </w:pPr>
            <w:r>
              <w:rPr>
                <w:rFonts w:ascii="Arial" w:cs="Arial" w:eastAsia="Arial" w:hAnsi="Arial"/>
                <w:sz w:val="18"/>
                <w:szCs w:val="18"/>
                <w:color w:val="auto"/>
              </w:rPr>
              <w:t>losses</w:t>
            </w:r>
            <w:r>
              <w:rPr>
                <w:rFonts w:ascii="Arial" w:cs="Arial" w:eastAsia="Arial" w:hAnsi="Arial"/>
                <w:sz w:val="23"/>
                <w:szCs w:val="23"/>
                <w:color w:val="auto"/>
                <w:vertAlign w:val="superscript"/>
              </w:rPr>
              <w:t>2</w:t>
            </w:r>
          </w:p>
        </w:tc>
        <w:tc>
          <w:tcPr>
            <w:tcW w:w="140" w:type="dxa"/>
            <w:vAlign w:val="bottom"/>
            <w:shd w:val="clear" w:color="auto" w:fill="E0E7ED"/>
          </w:tcPr>
          <w:p>
            <w:pPr>
              <w:spacing w:after="0"/>
              <w:rPr>
                <w:sz w:val="22"/>
                <w:szCs w:val="22"/>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22,648</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15,104</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2,911</w:t>
            </w: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1,628</w:t>
            </w:r>
          </w:p>
        </w:tc>
        <w:tc>
          <w:tcPr>
            <w:tcW w:w="8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142</w:t>
            </w: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42,433</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(18,240)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12,977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Charged-off</w:t>
            </w:r>
          </w:p>
        </w:tc>
        <w:tc>
          <w:tcPr>
            <w:tcW w:w="1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(33,301)</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(11,169)</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(119)</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(629)</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(45,218)</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3"/>
        </w:trPr>
        <w:tc>
          <w:tcPr>
            <w:tcW w:w="266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6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balance, June 30, 2025</w:t>
            </w:r>
          </w:p>
        </w:tc>
        <w:tc>
          <w:tcPr>
            <w:tcW w:w="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68,578</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70,935</w:t>
            </w: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29,042</w:t>
            </w:r>
          </w:p>
        </w:tc>
        <w:tc>
          <w:tcPr>
            <w:tcW w:w="8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1,707</w:t>
            </w:r>
          </w:p>
        </w:tc>
        <w:tc>
          <w:tcPr>
            <w:tcW w:w="8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183,334</w:t>
            </w:r>
          </w:p>
        </w:tc>
        <w:tc>
          <w:tcPr>
            <w:tcW w:w="0" w:type="dxa"/>
            <w:vAlign w:val="bottom"/>
          </w:tcPr>
          <w:p>
            <w:pPr>
              <w:spacing w:after="0"/>
              <w:rPr>
                <w:sz w:val="1"/>
                <w:szCs w:val="1"/>
                <w:color w:val="auto"/>
              </w:rPr>
            </w:pPr>
          </w:p>
        </w:tc>
      </w:tr>
      <w:tr>
        <w:trPr>
          <w:trHeight w:val="20"/>
        </w:trPr>
        <w:tc>
          <w:tcPr>
            <w:tcW w:w="2660" w:type="dxa"/>
            <w:vAlign w:val="bottom"/>
            <w:tcBorders>
              <w:top w:val="single" w:sz="8" w:color="E0E7ED"/>
            </w:tcBorders>
          </w:tcPr>
          <w:p>
            <w:pPr>
              <w:spacing w:after="0" w:line="20" w:lineRule="exact"/>
              <w:rPr>
                <w:sz w:val="1"/>
                <w:szCs w:val="1"/>
                <w:color w:val="auto"/>
              </w:rPr>
            </w:pPr>
          </w:p>
        </w:tc>
        <w:tc>
          <w:tcPr>
            <w:tcW w:w="14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00" w:hanging="330"/>
        <w:spacing w:after="0" w:line="251" w:lineRule="auto"/>
        <w:tabs>
          <w:tab w:leader="none" w:pos="525"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Day 1 PCD is attributable to the CrossFirst acquisition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r>
        <w:rPr>
          <w:rFonts w:ascii="Arial" w:cs="Arial" w:eastAsia="Arial" w:hAnsi="Arial"/>
          <w:sz w:val="14"/>
          <w:szCs w:val="14"/>
          <w:color w:val="auto"/>
        </w:rPr>
        <w:t>), and represents the initial adjustment to the fair value of the PCD loans.</w:t>
      </w:r>
    </w:p>
    <w:p>
      <w:pPr>
        <w:spacing w:after="0" w:line="169" w:lineRule="exact"/>
        <w:rPr>
          <w:rFonts w:ascii="Arial" w:cs="Arial" w:eastAsia="Arial" w:hAnsi="Arial"/>
          <w:sz w:val="14"/>
          <w:szCs w:val="14"/>
          <w:color w:val="auto"/>
        </w:rPr>
      </w:pPr>
    </w:p>
    <w:p>
      <w:pPr>
        <w:ind w:left="500" w:right="20" w:hanging="330"/>
        <w:spacing w:after="0" w:line="281" w:lineRule="auto"/>
        <w:tabs>
          <w:tab w:leader="none" w:pos="498"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Day 2 provision for loan losses is attributable to the CrossFirst acquisition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i w:val="1"/>
          <w:iCs w:val="1"/>
          <w:color w:val="auto"/>
        </w:rPr>
        <w:t>”</w:t>
      </w:r>
      <w:r>
        <w:rPr>
          <w:rFonts w:ascii="Arial" w:cs="Arial" w:eastAsia="Arial" w:hAnsi="Arial"/>
          <w:sz w:val="14"/>
          <w:szCs w:val="14"/>
          <w:color w:val="auto"/>
        </w:rPr>
        <w:t>), and represents the initial provision for non-PCD loans.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Six Months Ended June 30, 2024</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C&amp;I and Other</w:t>
            </w:r>
          </w:p>
        </w:tc>
        <w:tc>
          <w:tcPr>
            <w:tcW w:w="32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CRE</w:t>
            </w:r>
          </w:p>
        </w:tc>
        <w:tc>
          <w:tcPr>
            <w:tcW w:w="180" w:type="dxa"/>
            <w:vAlign w:val="bottom"/>
          </w:tcPr>
          <w:p>
            <w:pPr>
              <w:spacing w:after="0"/>
              <w:rPr>
                <w:sz w:val="12"/>
                <w:szCs w:val="12"/>
                <w:color w:val="auto"/>
              </w:rPr>
            </w:pPr>
          </w:p>
        </w:tc>
        <w:tc>
          <w:tcPr>
            <w:tcW w:w="128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2"/>
                <w:szCs w:val="12"/>
                <w:color w:val="auto"/>
              </w:rPr>
            </w:pPr>
          </w:p>
        </w:tc>
        <w:tc>
          <w:tcPr>
            <w:tcW w:w="124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Retail</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320" w:type="dxa"/>
            <w:vAlign w:val="bottom"/>
          </w:tcPr>
          <w:p>
            <w:pPr>
              <w:spacing w:after="0"/>
              <w:rPr>
                <w:sz w:val="12"/>
                <w:szCs w:val="12"/>
                <w:color w:val="auto"/>
              </w:rPr>
            </w:pPr>
          </w:p>
        </w:tc>
        <w:tc>
          <w:tcPr>
            <w:tcW w:w="104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2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Real Estate</w:t>
            </w: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6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color w:val="auto"/>
              </w:rPr>
              <w:t>ACL balance, December 31,</w:t>
            </w:r>
          </w:p>
        </w:tc>
        <w:tc>
          <w:tcPr>
            <w:tcW w:w="14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2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11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11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21,256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35,465</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5,163</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26,298</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3,558</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91,740</w:t>
            </w:r>
          </w:p>
        </w:tc>
        <w:tc>
          <w:tcPr>
            <w:tcW w:w="0" w:type="dxa"/>
            <w:vAlign w:val="bottom"/>
          </w:tcPr>
          <w:p>
            <w:pPr>
              <w:spacing w:after="0"/>
              <w:rPr>
                <w:sz w:val="1"/>
                <w:szCs w:val="1"/>
                <w:color w:val="auto"/>
              </w:rPr>
            </w:pPr>
          </w:p>
        </w:tc>
      </w:tr>
      <w:tr>
        <w:trPr>
          <w:trHeight w:val="270"/>
        </w:trPr>
        <w:tc>
          <w:tcPr>
            <w:tcW w:w="2660" w:type="dxa"/>
            <w:vAlign w:val="bottom"/>
          </w:tcPr>
          <w:p>
            <w:pPr>
              <w:ind w:left="180"/>
              <w:spacing w:after="0"/>
              <w:rPr>
                <w:sz w:val="20"/>
                <w:szCs w:val="20"/>
                <w:color w:val="auto"/>
              </w:rPr>
            </w:pPr>
            <w:r>
              <w:rPr>
                <w:rFonts w:ascii="Arial" w:cs="Arial" w:eastAsia="Arial" w:hAnsi="Arial"/>
                <w:sz w:val="18"/>
                <w:szCs w:val="18"/>
                <w:color w:val="auto"/>
              </w:rPr>
              <w:t>Day 1 PCD</w:t>
            </w:r>
            <w:r>
              <w:rPr>
                <w:rFonts w:ascii="Arial" w:cs="Arial" w:eastAsia="Arial" w:hAnsi="Arial"/>
                <w:sz w:val="23"/>
                <w:szCs w:val="23"/>
                <w:color w:val="auto"/>
                <w:vertAlign w:val="superscript"/>
              </w:rPr>
              <w:t>1</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5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Provision for loan losses</w:t>
            </w:r>
          </w:p>
        </w:tc>
        <w:tc>
          <w:tcPr>
            <w:tcW w:w="1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13,243</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(2,744)</w:t>
            </w:r>
          </w:p>
        </w:tc>
        <w:tc>
          <w:tcPr>
            <w:tcW w:w="8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(972)</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7,315</w:t>
            </w:r>
          </w:p>
        </w:tc>
        <w:tc>
          <w:tcPr>
            <w:tcW w:w="0" w:type="dxa"/>
            <w:vAlign w:val="bottom"/>
          </w:tcPr>
          <w:p>
            <w:pPr>
              <w:spacing w:after="0"/>
              <w:rPr>
                <w:sz w:val="1"/>
                <w:szCs w:val="1"/>
                <w:color w:val="auto"/>
              </w:rPr>
            </w:pPr>
          </w:p>
        </w:tc>
      </w:tr>
      <w:tr>
        <w:trPr>
          <w:trHeight w:val="247"/>
        </w:trPr>
        <w:tc>
          <w:tcPr>
            <w:tcW w:w="266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(15,736)</w:t>
            </w: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Recoveries</w:t>
            </w:r>
          </w:p>
        </w:tc>
        <w:tc>
          <w:tcPr>
            <w:tcW w:w="14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63"/>
        </w:trPr>
        <w:tc>
          <w:tcPr>
            <w:tcW w:w="2660" w:type="dxa"/>
            <w:vAlign w:val="bottom"/>
          </w:tcPr>
          <w:p>
            <w:pPr>
              <w:ind w:left="20"/>
              <w:spacing w:after="0"/>
              <w:rPr>
                <w:sz w:val="20"/>
                <w:szCs w:val="20"/>
                <w:color w:val="auto"/>
              </w:rPr>
            </w:pPr>
            <w:r>
              <w:rPr>
                <w:rFonts w:ascii="Arial" w:cs="Arial" w:eastAsia="Arial" w:hAnsi="Arial"/>
                <w:sz w:val="18"/>
                <w:szCs w:val="18"/>
                <w:color w:val="auto"/>
              </w:rPr>
              <w:t>ACL balance,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20,286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23,729</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85,226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Day 1 PCD is attributable to the M&amp;M acquisition (see “</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color w:val="auto"/>
        </w:rPr>
        <w:t>.”)</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Net charge-offs during the six months ended June 30, 2025, included $31.1 million related to PCD loans acquired from CrossFirst Bank, which were fully reserved at acquisition and did not require recording additional provision expense.</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LEASES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 as the Lessee</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Busey has operating leases consisting primarily of equipment leases and real estate leases for banking centers, ATM locations, and office space. The following table summarizes lease-related balances that Busey reported on its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and lease terms: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2"/>
                <w:szCs w:val="12"/>
                <w:color w:val="auto"/>
              </w:rPr>
            </w:pPr>
          </w:p>
        </w:tc>
        <w:tc>
          <w:tcPr>
            <w:tcW w:w="13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300" w:type="dxa"/>
            <w:vAlign w:val="bottom"/>
          </w:tcPr>
          <w:p>
            <w:pPr>
              <w:jc w:val="right"/>
              <w:ind w:right="19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120" w:type="dxa"/>
            <w:vAlign w:val="bottom"/>
            <w:tcBorders>
              <w:bottom w:val="single" w:sz="8" w:color="E0E7ED"/>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1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Lease balances</w:t>
            </w:r>
          </w:p>
        </w:tc>
        <w:tc>
          <w:tcPr>
            <w:tcW w:w="300" w:type="dxa"/>
            <w:vAlign w:val="bottom"/>
            <w:shd w:val="clear" w:color="auto" w:fill="E0E7ED"/>
          </w:tcPr>
          <w:p>
            <w:pPr>
              <w:spacing w:after="0"/>
              <w:rPr>
                <w:sz w:val="21"/>
                <w:szCs w:val="21"/>
                <w:color w:val="auto"/>
              </w:rPr>
            </w:pPr>
          </w:p>
        </w:tc>
        <w:tc>
          <w:tcPr>
            <w:tcW w:w="12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120" w:type="dxa"/>
            <w:vAlign w:val="bottom"/>
          </w:tcPr>
          <w:p>
            <w:pPr>
              <w:ind w:left="180"/>
              <w:spacing w:after="0"/>
              <w:rPr>
                <w:sz w:val="20"/>
                <w:szCs w:val="20"/>
                <w:color w:val="auto"/>
              </w:rPr>
            </w:pPr>
            <w:r>
              <w:rPr>
                <w:rFonts w:ascii="Arial" w:cs="Arial" w:eastAsia="Arial" w:hAnsi="Arial"/>
                <w:sz w:val="18"/>
                <w:szCs w:val="18"/>
                <w:color w:val="auto"/>
              </w:rPr>
              <w:t>Right of use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7"/>
              <w:spacing w:after="0"/>
              <w:rPr>
                <w:sz w:val="20"/>
                <w:szCs w:val="20"/>
                <w:color w:val="auto"/>
              </w:rPr>
            </w:pPr>
            <w:r>
              <w:rPr>
                <w:rFonts w:ascii="Arial" w:cs="Arial" w:eastAsia="Arial" w:hAnsi="Arial"/>
                <w:sz w:val="18"/>
                <w:szCs w:val="18"/>
                <w:color w:val="auto"/>
              </w:rPr>
              <w:t>38,065</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5"/>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Lease liabilities</w:t>
            </w:r>
          </w:p>
        </w:tc>
        <w:tc>
          <w:tcPr>
            <w:tcW w:w="30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ind w:right="157"/>
              <w:spacing w:after="0"/>
              <w:rPr>
                <w:sz w:val="20"/>
                <w:szCs w:val="20"/>
                <w:color w:val="auto"/>
              </w:rPr>
            </w:pPr>
            <w:r>
              <w:rPr>
                <w:rFonts w:ascii="Arial" w:cs="Arial" w:eastAsia="Arial" w:hAnsi="Arial"/>
                <w:sz w:val="18"/>
                <w:szCs w:val="18"/>
                <w:color w:val="auto"/>
              </w:rPr>
              <w:t>39,235</w:t>
            </w:r>
          </w:p>
        </w:tc>
        <w:tc>
          <w:tcPr>
            <w:tcW w:w="8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ind w:right="155"/>
              <w:spacing w:after="0"/>
              <w:rPr>
                <w:sz w:val="20"/>
                <w:szCs w:val="20"/>
                <w:color w:val="auto"/>
              </w:rPr>
            </w:pPr>
            <w:r>
              <w:rPr>
                <w:rFonts w:ascii="Arial" w:cs="Arial" w:eastAsia="Arial" w:hAnsi="Arial"/>
                <w:sz w:val="18"/>
                <w:szCs w:val="18"/>
                <w:color w:val="auto"/>
              </w:rPr>
              <w:t>11,040</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Lease terms</w:t>
            </w: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120" w:type="dxa"/>
            <w:vAlign w:val="bottom"/>
          </w:tcPr>
          <w:p>
            <w:pPr>
              <w:ind w:left="180"/>
              <w:spacing w:after="0"/>
              <w:rPr>
                <w:sz w:val="20"/>
                <w:szCs w:val="20"/>
                <w:color w:val="auto"/>
              </w:rPr>
            </w:pPr>
            <w:r>
              <w:rPr>
                <w:rFonts w:ascii="Arial" w:cs="Arial" w:eastAsia="Arial" w:hAnsi="Arial"/>
                <w:sz w:val="18"/>
                <w:szCs w:val="18"/>
                <w:color w:val="auto"/>
              </w:rPr>
              <w:t>Year through which lease terms extend</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3"/>
        </w:trPr>
        <w:tc>
          <w:tcPr>
            <w:tcW w:w="8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gridSpan w:val="2"/>
            <w:shd w:val="clear" w:color="auto" w:fill="E0E7ED"/>
          </w:tcPr>
          <w:p>
            <w:pPr>
              <w:jc w:val="right"/>
              <w:ind w:right="100"/>
              <w:spacing w:after="0"/>
              <w:rPr>
                <w:sz w:val="20"/>
                <w:szCs w:val="20"/>
                <w:color w:val="auto"/>
              </w:rPr>
            </w:pPr>
            <w:r>
              <w:rPr>
                <w:rFonts w:ascii="Arial" w:cs="Arial" w:eastAsia="Arial" w:hAnsi="Arial"/>
                <w:sz w:val="18"/>
                <w:szCs w:val="18"/>
                <w:color w:val="auto"/>
              </w:rPr>
              <w:t>8.96 years</w:t>
            </w: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7.55 years</w:t>
            </w:r>
          </w:p>
        </w:tc>
        <w:tc>
          <w:tcPr>
            <w:tcW w:w="0" w:type="dxa"/>
            <w:vAlign w:val="bottom"/>
          </w:tcPr>
          <w:p>
            <w:pPr>
              <w:spacing w:after="0"/>
              <w:rPr>
                <w:sz w:val="1"/>
                <w:szCs w:val="1"/>
                <w:color w:val="auto"/>
              </w:rPr>
            </w:pPr>
          </w:p>
        </w:tc>
      </w:tr>
      <w:tr>
        <w:trPr>
          <w:trHeight w:val="247"/>
        </w:trPr>
        <w:tc>
          <w:tcPr>
            <w:tcW w:w="8120" w:type="dxa"/>
            <w:vAlign w:val="bottom"/>
          </w:tcPr>
          <w:p>
            <w:pPr>
              <w:ind w:left="18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4.39 %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3.77 %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presents lease costs, which are included in net occupancy and equipment expense in the </w:t>
      </w:r>
      <w:r>
        <w:rPr>
          <w:rFonts w:ascii="Arial" w:cs="Arial" w:eastAsia="Arial" w:hAnsi="Arial"/>
          <w:sz w:val="18"/>
          <w:szCs w:val="18"/>
          <w:u w:val="single" w:color="auto"/>
          <w:color w:val="0000FF"/>
        </w:rPr>
        <w:t>Consolidated Statements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Income (Unaudited)</w:t>
      </w:r>
      <w:r>
        <w:rPr>
          <w:rFonts w:ascii="Arial" w:cs="Arial" w:eastAsia="Arial" w:hAnsi="Arial"/>
          <w:sz w:val="18"/>
          <w:szCs w:val="18"/>
          <w:color w:val="000000"/>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9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Lease costs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 costs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980" w:type="dxa"/>
            <w:vAlign w:val="bottom"/>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3"/>
              </w:rPr>
              <w:t>559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1,094</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Variable lease costs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E0E7ED"/>
            </w:tcBorders>
            <w:shd w:val="clear" w:color="auto" w:fill="E0E7ED"/>
          </w:tcPr>
          <w:p>
            <w:pPr>
              <w:spacing w:after="0"/>
              <w:rPr>
                <w:sz w:val="21"/>
                <w:szCs w:val="21"/>
                <w:color w:val="auto"/>
              </w:rPr>
            </w:pPr>
          </w:p>
        </w:tc>
        <w:tc>
          <w:tcPr>
            <w:tcW w:w="980" w:type="dxa"/>
            <w:vAlign w:val="bottom"/>
            <w:tcBorders>
              <w:bottom w:val="single" w:sz="8" w:color="E0E7ED"/>
            </w:tcBorders>
            <w:shd w:val="clear" w:color="auto" w:fill="E0E7ED"/>
          </w:tcPr>
          <w:p>
            <w:pPr>
              <w:spacing w:after="0"/>
              <w:rPr>
                <w:sz w:val="21"/>
                <w:szCs w:val="21"/>
                <w:color w:val="auto"/>
              </w:rPr>
            </w:pPr>
          </w:p>
        </w:tc>
        <w:tc>
          <w:tcPr>
            <w:tcW w:w="3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Short-term lease costs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
        </w:trPr>
        <w:tc>
          <w:tcPr>
            <w:tcW w:w="55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lease cost</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E0E7ED"/>
            </w:tcBorders>
            <w:shd w:val="clear" w:color="auto" w:fill="E0E7ED"/>
          </w:tcPr>
          <w:p>
            <w:pPr>
              <w:spacing w:after="0"/>
              <w:rPr>
                <w:sz w:val="24"/>
                <w:szCs w:val="24"/>
                <w:color w:val="auto"/>
              </w:rPr>
            </w:pPr>
          </w:p>
        </w:tc>
        <w:tc>
          <w:tcPr>
            <w:tcW w:w="980" w:type="dxa"/>
            <w:vAlign w:val="bottom"/>
            <w:tcBorders>
              <w:bottom w:val="single" w:sz="8" w:color="auto"/>
            </w:tcBorders>
            <w:shd w:val="clear" w:color="auto" w:fill="E0E7ED"/>
          </w:tcPr>
          <w:p>
            <w:pPr>
              <w:jc w:val="right"/>
              <w:ind w:right="776"/>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3"/>
              </w:rPr>
              <w:t>618</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1,180</w:t>
            </w: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980" w:type="dxa"/>
            <w:vAlign w:val="bottom"/>
            <w:tcBorders>
              <w:top w:val="single" w:sz="8" w:color="E0E7ED"/>
              <w:bottom w:val="single" w:sz="8" w:color="auto"/>
            </w:tcBorders>
          </w:tcPr>
          <w:p>
            <w:pPr>
              <w:spacing w:after="0" w:line="20" w:lineRule="exact"/>
              <w:rPr>
                <w:sz w:val="1"/>
                <w:szCs w:val="1"/>
                <w:color w:val="auto"/>
              </w:rPr>
            </w:pPr>
          </w:p>
        </w:tc>
        <w:tc>
          <w:tcPr>
            <w:tcW w:w="3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Cash paid for amounts included in the measurement of lease liabilities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 cash flows – Fixed payments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417"/>
              <w:spacing w:after="0"/>
              <w:rPr>
                <w:sz w:val="20"/>
                <w:szCs w:val="20"/>
                <w:color w:val="auto"/>
              </w:rPr>
            </w:pPr>
            <w:r>
              <w:rPr>
                <w:rFonts w:ascii="Arial" w:cs="Arial" w:eastAsia="Arial" w:hAnsi="Arial"/>
                <w:sz w:val="18"/>
                <w:szCs w:val="18"/>
                <w:color w:val="auto"/>
                <w:w w:val="97"/>
              </w:rPr>
              <w:t>1,707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1,037</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Operating lease cash flows – Liability reduction</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center"/>
              <w:ind w:left="417"/>
              <w:spacing w:after="0"/>
              <w:rPr>
                <w:sz w:val="20"/>
                <w:szCs w:val="20"/>
                <w:color w:val="auto"/>
              </w:rPr>
            </w:pPr>
            <w:r>
              <w:rPr>
                <w:rFonts w:ascii="Arial" w:cs="Arial" w:eastAsia="Arial" w:hAnsi="Arial"/>
                <w:sz w:val="18"/>
                <w:szCs w:val="18"/>
                <w:color w:val="auto"/>
                <w:w w:val="97"/>
              </w:rPr>
              <w:t>1,289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1,973</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844</w:t>
            </w:r>
          </w:p>
        </w:tc>
      </w:tr>
      <w:tr>
        <w:trPr>
          <w:trHeight w:val="224"/>
        </w:trPr>
        <w:tc>
          <w:tcPr>
            <w:tcW w:w="5500" w:type="dxa"/>
            <w:vAlign w:val="bottom"/>
          </w:tcPr>
          <w:p>
            <w:pPr>
              <w:ind w:left="180"/>
              <w:spacing w:after="0"/>
              <w:rPr>
                <w:sz w:val="20"/>
                <w:szCs w:val="20"/>
                <w:color w:val="auto"/>
              </w:rPr>
            </w:pPr>
            <w:r>
              <w:rPr>
                <w:rFonts w:ascii="Arial" w:cs="Arial" w:eastAsia="Arial" w:hAnsi="Arial"/>
                <w:sz w:val="18"/>
                <w:szCs w:val="18"/>
                <w:color w:val="auto"/>
              </w:rPr>
              <w:t>Right of use assets obtained during the period in exchange for</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2"/>
        </w:trPr>
        <w:tc>
          <w:tcPr>
            <w:tcW w:w="5500" w:type="dxa"/>
            <w:vAlign w:val="bottom"/>
          </w:tcPr>
          <w:p>
            <w:pPr>
              <w:ind w:left="180"/>
              <w:spacing w:after="0"/>
              <w:rPr>
                <w:sz w:val="20"/>
                <w:szCs w:val="20"/>
                <w:color w:val="auto"/>
              </w:rPr>
            </w:pPr>
            <w:r>
              <w:rPr>
                <w:rFonts w:ascii="Arial" w:cs="Arial" w:eastAsia="Arial" w:hAnsi="Arial"/>
                <w:sz w:val="18"/>
                <w:szCs w:val="18"/>
                <w:color w:val="auto"/>
              </w:rPr>
              <w:t>operating lease liabilities</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100" w:type="dxa"/>
            <w:vAlign w:val="bottom"/>
          </w:tcPr>
          <w:p>
            <w:pPr>
              <w:jc w:val="center"/>
              <w:ind w:left="417"/>
              <w:spacing w:after="0"/>
              <w:rPr>
                <w:sz w:val="20"/>
                <w:szCs w:val="20"/>
                <w:color w:val="auto"/>
              </w:rPr>
            </w:pPr>
            <w:r>
              <w:rPr>
                <w:rFonts w:ascii="Arial" w:cs="Arial" w:eastAsia="Arial" w:hAnsi="Arial"/>
                <w:sz w:val="18"/>
                <w:szCs w:val="18"/>
                <w:color w:val="auto"/>
                <w:w w:val="98"/>
              </w:rPr>
              <w:t>(1,115)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62" w:lineRule="auto"/>
        <w:tabs>
          <w:tab w:leader="none" w:pos="525"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The six months ended June 30, 2025, included $29.6 million right of use assets recognized in connection with the acquisition of CrossFirst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Note 2. Mergers and</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Acquisitions</w:t>
      </w:r>
      <w:r>
        <w:rPr>
          <w:rFonts w:ascii="Arial" w:cs="Arial" w:eastAsia="Arial" w:hAnsi="Arial"/>
          <w:sz w:val="14"/>
          <w:szCs w:val="14"/>
          <w:i w:val="1"/>
          <w:iCs w:val="1"/>
          <w:color w:val="000000"/>
        </w:rPr>
        <w:t>”</w:t>
      </w:r>
      <w:r>
        <w:rPr>
          <w:rFonts w:ascii="Arial" w:cs="Arial" w:eastAsia="Arial" w:hAnsi="Arial"/>
          <w:sz w:val="14"/>
          <w:szCs w:val="14"/>
          <w:color w:val="000000"/>
        </w:rPr>
        <w:t>). The three and six months ended June 30, 2024, included $0.3 million right of use assets recognized in connection with the acquisition of M&amp;M (see</w:t>
      </w:r>
      <w:r>
        <w:rPr>
          <w:rFonts w:ascii="Arial" w:cs="Arial" w:eastAsia="Arial" w:hAnsi="Arial"/>
          <w:sz w:val="14"/>
          <w:szCs w:val="14"/>
          <w:i w:val="1"/>
          <w:iCs w:val="1"/>
          <w:color w:val="0000FF"/>
        </w:rPr>
        <w:t xml:space="preserve"> </w:t>
      </w:r>
      <w:r>
        <w:rPr>
          <w:rFonts w:ascii="Arial" w:cs="Arial" w:eastAsia="Arial" w:hAnsi="Arial"/>
          <w:sz w:val="14"/>
          <w:szCs w:val="14"/>
          <w:color w:val="000000"/>
        </w:rPr>
        <w:t>“</w:t>
      </w:r>
      <w:r>
        <w:rPr>
          <w:rFonts w:ascii="Arial" w:cs="Arial" w:eastAsia="Arial" w:hAnsi="Arial"/>
          <w:sz w:val="14"/>
          <w:szCs w:val="14"/>
          <w:i w:val="1"/>
          <w:iCs w:val="1"/>
          <w:u w:val="single" w:color="auto"/>
          <w:color w:val="0000FF"/>
        </w:rPr>
        <w:t>Note 2. Mergers and Acquisitions</w:t>
      </w:r>
      <w:r>
        <w:rPr>
          <w:rFonts w:ascii="Arial" w:cs="Arial" w:eastAsia="Arial" w:hAnsi="Arial"/>
          <w:sz w:val="14"/>
          <w:szCs w:val="14"/>
          <w:color w:val="000000"/>
        </w:rPr>
        <w:t>”), and an additional $0.7 million recognized in connection with a lease amendment that was executed subsequent to the M&amp;M acquisition for a lease that was obtained in that acquisition.</w:t>
      </w:r>
    </w:p>
    <w:p>
      <w:pPr>
        <w:spacing w:after="0" w:line="38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Busey was obligated under noncancelable operating leases for office space and other commitments. Future undiscounted lease payments with initial terms of one year or more,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1200" w:type="dxa"/>
            <w:vAlign w:val="bottom"/>
          </w:tcPr>
          <w:p>
            <w:pPr>
              <w:jc w:val="right"/>
              <w:ind w:right="433"/>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6"/>
        </w:trPr>
        <w:tc>
          <w:tcPr>
            <w:tcW w:w="986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250"/>
        </w:trPr>
        <w:tc>
          <w:tcPr>
            <w:tcW w:w="98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Rent commitments</w:t>
            </w: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Remainder of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6,549</w:t>
            </w: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6,161</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2028</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5,682</w:t>
            </w: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4,684</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2030</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17,796</w:t>
            </w:r>
          </w:p>
        </w:tc>
        <w:tc>
          <w:tcPr>
            <w:tcW w:w="0" w:type="dxa"/>
            <w:vAlign w:val="bottom"/>
          </w:tcPr>
          <w:p>
            <w:pPr>
              <w:spacing w:after="0"/>
              <w:rPr>
                <w:sz w:val="1"/>
                <w:szCs w:val="1"/>
                <w:color w:val="auto"/>
              </w:rPr>
            </w:pPr>
          </w:p>
        </w:tc>
      </w:tr>
      <w:tr>
        <w:trPr>
          <w:trHeight w:val="23"/>
        </w:trPr>
        <w:tc>
          <w:tcPr>
            <w:tcW w:w="986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8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undiscounted cash flows</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48,120</w:t>
            </w:r>
          </w:p>
        </w:tc>
        <w:tc>
          <w:tcPr>
            <w:tcW w:w="0" w:type="dxa"/>
            <w:vAlign w:val="bottom"/>
          </w:tcPr>
          <w:p>
            <w:pPr>
              <w:spacing w:after="0"/>
              <w:rPr>
                <w:sz w:val="1"/>
                <w:szCs w:val="1"/>
                <w:color w:val="auto"/>
              </w:rPr>
            </w:pPr>
          </w:p>
        </w:tc>
      </w:tr>
      <w:tr>
        <w:trPr>
          <w:trHeight w:val="247"/>
        </w:trPr>
        <w:tc>
          <w:tcPr>
            <w:tcW w:w="9860" w:type="dxa"/>
            <w:vAlign w:val="bottom"/>
          </w:tcPr>
          <w:p>
            <w:pPr>
              <w:ind w:left="20"/>
              <w:spacing w:after="0"/>
              <w:rPr>
                <w:sz w:val="20"/>
                <w:szCs w:val="20"/>
                <w:color w:val="auto"/>
              </w:rPr>
            </w:pPr>
            <w:r>
              <w:rPr>
                <w:rFonts w:ascii="Arial" w:cs="Arial" w:eastAsia="Arial" w:hAnsi="Arial"/>
                <w:sz w:val="18"/>
                <w:szCs w:val="18"/>
                <w:color w:val="auto"/>
              </w:rPr>
              <w:t>Less: Amounts representing interest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8,885</w:t>
            </w:r>
          </w:p>
        </w:tc>
        <w:tc>
          <w:tcPr>
            <w:tcW w:w="0" w:type="dxa"/>
            <w:vAlign w:val="bottom"/>
          </w:tcPr>
          <w:p>
            <w:pPr>
              <w:spacing w:after="0"/>
              <w:rPr>
                <w:sz w:val="1"/>
                <w:szCs w:val="1"/>
                <w:color w:val="auto"/>
              </w:rPr>
            </w:pPr>
          </w:p>
        </w:tc>
      </w:tr>
      <w:tr>
        <w:trPr>
          <w:trHeight w:val="23"/>
        </w:trPr>
        <w:tc>
          <w:tcPr>
            <w:tcW w:w="986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98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39,235</w:t>
            </w:r>
          </w:p>
        </w:tc>
        <w:tc>
          <w:tcPr>
            <w:tcW w:w="0" w:type="dxa"/>
            <w:vAlign w:val="bottom"/>
          </w:tcPr>
          <w:p>
            <w:pPr>
              <w:spacing w:after="0"/>
              <w:rPr>
                <w:sz w:val="1"/>
                <w:szCs w:val="1"/>
                <w:color w:val="auto"/>
              </w:rPr>
            </w:pPr>
          </w:p>
        </w:tc>
      </w:tr>
      <w:tr>
        <w:trPr>
          <w:trHeight w:val="20"/>
        </w:trPr>
        <w:tc>
          <w:tcPr>
            <w:tcW w:w="986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right="460"/>
        <w:spacing w:after="0" w:line="461" w:lineRule="auto"/>
        <w:rPr>
          <w:sz w:val="20"/>
          <w:szCs w:val="20"/>
          <w:color w:val="auto"/>
        </w:rPr>
      </w:pPr>
      <w:r>
        <w:rPr>
          <w:rFonts w:ascii="Arial" w:cs="Arial" w:eastAsia="Arial" w:hAnsi="Arial"/>
          <w:sz w:val="18"/>
          <w:szCs w:val="18"/>
          <w:color w:val="auto"/>
        </w:rPr>
        <w:t xml:space="preserve">As of June 30, 2025, Busey had commitments totaling $6.0 million for two lease contracts with future accounting commencement dates. </w:t>
      </w:r>
      <w:r>
        <w:rPr>
          <w:rFonts w:ascii="Arial" w:cs="Arial" w:eastAsia="Arial" w:hAnsi="Arial"/>
          <w:sz w:val="18"/>
          <w:szCs w:val="18"/>
          <w:b w:val="1"/>
          <w:bCs w:val="1"/>
          <w:i w:val="1"/>
          <w:iCs w:val="1"/>
          <w:color w:val="auto"/>
        </w:rPr>
        <w:t>Busey as the Lessor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Busey leases office and parking spaces to outside parties. Revenues recorded in connection with these leases, reported in other income 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Busey’s </w:t>
      </w:r>
      <w:r>
        <w:rPr>
          <w:rFonts w:ascii="Arial" w:cs="Arial" w:eastAsia="Arial" w:hAnsi="Arial"/>
          <w:sz w:val="18"/>
          <w:szCs w:val="18"/>
          <w:u w:val="single" w:color="auto"/>
          <w:color w:val="0000FF"/>
        </w:rPr>
        <w:t>Consolidated Statements of Income (Unaudited)</w:t>
      </w:r>
      <w:r>
        <w:rPr>
          <w:rFonts w:ascii="Arial" w:cs="Arial" w:eastAsia="Arial" w:hAnsi="Arial"/>
          <w:sz w:val="18"/>
          <w:szCs w:val="18"/>
          <w:color w:val="auto"/>
        </w:rPr>
        <w:t>, are summarized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2024</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r>
      <w:tr>
        <w:trPr>
          <w:trHeight w:val="24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color w:val="auto"/>
              </w:rPr>
              <w:t>Rental income</w:t>
            </w:r>
          </w:p>
        </w:tc>
        <w:tc>
          <w:tcPr>
            <w:tcW w:w="920" w:type="dxa"/>
            <w:vAlign w:val="bottom"/>
            <w:shd w:val="clear" w:color="auto" w:fill="E0E7ED"/>
          </w:tcPr>
          <w:p>
            <w:pPr>
              <w:jc w:val="right"/>
              <w:ind w:right="722"/>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E0E7ED"/>
          </w:tcPr>
          <w:p>
            <w:pPr>
              <w:spacing w:after="0"/>
              <w:rPr>
                <w:sz w:val="20"/>
                <w:szCs w:val="20"/>
                <w:color w:val="auto"/>
              </w:rPr>
            </w:pPr>
          </w:p>
        </w:tc>
        <w:tc>
          <w:tcPr>
            <w:tcW w:w="980" w:type="dxa"/>
            <w:vAlign w:val="bottom"/>
            <w:shd w:val="clear" w:color="auto" w:fill="E0E7ED"/>
          </w:tcPr>
          <w:p>
            <w:pPr>
              <w:jc w:val="right"/>
              <w:ind w:right="77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3"/>
              </w:rPr>
              <w:t>204</w:t>
            </w: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ind w:right="2"/>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406</w:t>
            </w:r>
          </w:p>
        </w:tc>
      </w:tr>
      <w:tr>
        <w:trPr>
          <w:trHeight w:val="23"/>
        </w:trPr>
        <w:tc>
          <w:tcPr>
            <w:tcW w:w="5500" w:type="dxa"/>
            <w:vAlign w:val="bottom"/>
            <w:shd w:val="clear" w:color="auto" w:fill="E0E7ED"/>
          </w:tcPr>
          <w:p>
            <w:pPr>
              <w:spacing w:after="0"/>
              <w:rPr>
                <w:sz w:val="2"/>
                <w:szCs w:val="2"/>
                <w:color w:val="auto"/>
              </w:rPr>
            </w:pPr>
          </w:p>
        </w:tc>
        <w:tc>
          <w:tcPr>
            <w:tcW w:w="920" w:type="dxa"/>
            <w:vAlign w:val="bottom"/>
            <w:shd w:val="clear" w:color="auto" w:fill="E0E7ED"/>
          </w:tcPr>
          <w:p>
            <w:pPr>
              <w:spacing w:after="0"/>
              <w:rPr>
                <w:sz w:val="2"/>
                <w:szCs w:val="2"/>
                <w:color w:val="auto"/>
              </w:rPr>
            </w:pPr>
          </w:p>
        </w:tc>
        <w:tc>
          <w:tcPr>
            <w:tcW w:w="4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980" w:type="dxa"/>
            <w:vAlign w:val="bottom"/>
            <w:shd w:val="clear" w:color="auto" w:fill="E0E7ED"/>
          </w:tcPr>
          <w:p>
            <w:pPr>
              <w:spacing w:after="0"/>
              <w:rPr>
                <w:sz w:val="2"/>
                <w:szCs w:val="2"/>
                <w:color w:val="auto"/>
              </w:rPr>
            </w:pPr>
          </w:p>
        </w:tc>
        <w:tc>
          <w:tcPr>
            <w:tcW w:w="3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0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20" w:type="dxa"/>
            <w:vAlign w:val="bottom"/>
            <w:shd w:val="clear" w:color="auto" w:fill="E0E7ED"/>
          </w:tcPr>
          <w:p>
            <w:pPr>
              <w:spacing w:after="0"/>
              <w:rPr>
                <w:sz w:val="2"/>
                <w:szCs w:val="2"/>
                <w:color w:val="auto"/>
              </w:rPr>
            </w:pPr>
          </w:p>
        </w:tc>
        <w:tc>
          <w:tcPr>
            <w:tcW w:w="1040" w:type="dxa"/>
            <w:vAlign w:val="bottom"/>
            <w:shd w:val="clear" w:color="auto" w:fill="E0E7ED"/>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Noncancellable terms for these leases, all of which are operating leases, extend through 2030. Under the terms of these lease agreements,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Busey is entitled to receive aggregate future minimum lease payments as shown in the table below:</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4"/>
                <w:szCs w:val="14"/>
                <w:color w:val="auto"/>
              </w:rPr>
            </w:pPr>
          </w:p>
        </w:tc>
        <w:tc>
          <w:tcPr>
            <w:tcW w:w="1200" w:type="dxa"/>
            <w:vAlign w:val="bottom"/>
          </w:tcPr>
          <w:p>
            <w:pPr>
              <w:jc w:val="right"/>
              <w:ind w:right="434"/>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986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250"/>
        </w:trPr>
        <w:tc>
          <w:tcPr>
            <w:tcW w:w="98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Rents to be received</w:t>
            </w: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Remainder of 2025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2026</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2028</w:t>
            </w: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7"/>
        </w:trPr>
        <w:tc>
          <w:tcPr>
            <w:tcW w:w="9860" w:type="dxa"/>
            <w:vAlign w:val="bottom"/>
          </w:tcPr>
          <w:p>
            <w:pPr>
              <w:ind w:left="180"/>
              <w:spacing w:after="0"/>
              <w:rPr>
                <w:sz w:val="20"/>
                <w:szCs w:val="20"/>
                <w:color w:val="auto"/>
              </w:rPr>
            </w:pPr>
            <w:r>
              <w:rPr>
                <w:rFonts w:ascii="Arial" w:cs="Arial" w:eastAsia="Arial" w:hAnsi="Arial"/>
                <w:sz w:val="18"/>
                <w:szCs w:val="18"/>
                <w:color w:val="auto"/>
              </w:rPr>
              <w:t>2029</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
        </w:trPr>
        <w:tc>
          <w:tcPr>
            <w:tcW w:w="9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2030</w:t>
            </w: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63"/>
        </w:trPr>
        <w:tc>
          <w:tcPr>
            <w:tcW w:w="9860" w:type="dxa"/>
            <w:vAlign w:val="bottom"/>
          </w:tcPr>
          <w:p>
            <w:pPr>
              <w:ind w:left="20"/>
              <w:spacing w:after="0"/>
              <w:rPr>
                <w:sz w:val="20"/>
                <w:szCs w:val="20"/>
                <w:color w:val="auto"/>
              </w:rPr>
            </w:pPr>
            <w:r>
              <w:rPr>
                <w:rFonts w:ascii="Arial" w:cs="Arial" w:eastAsia="Arial" w:hAnsi="Arial"/>
                <w:sz w:val="18"/>
                <w:szCs w:val="18"/>
                <w:color w:val="auto"/>
              </w:rPr>
              <w:t>Total lease payments from operating leases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
        </w:trPr>
        <w:tc>
          <w:tcPr>
            <w:tcW w:w="9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DEPOSITS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Busey’s deposits is presented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2"/>
                <w:szCs w:val="12"/>
                <w:color w:val="auto"/>
              </w:rPr>
            </w:pPr>
          </w:p>
        </w:tc>
        <w:tc>
          <w:tcPr>
            <w:tcW w:w="12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Deposits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Noninterest-bearing demand deposits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3,590,363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2,719,907</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Interest-bearing transaction deposits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3,216,601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2,423,237</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Saving deposits and money market deposits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6,362,352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3,348,711</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Time deposits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2,632,456</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1,490,635</w:t>
            </w: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Total deposits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15,801,772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9,982,490</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8"/>
                <w:szCs w:val="18"/>
                <w:color w:val="auto"/>
              </w:rPr>
              <w:t>Additional information about Busey’s deposits is presented in the table below:</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8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w w:val="99"/>
              </w:rPr>
              <w:t>June 30,</w:t>
            </w:r>
          </w:p>
        </w:tc>
        <w:tc>
          <w:tcPr>
            <w:tcW w:w="180" w:type="dxa"/>
            <w:vAlign w:val="bottom"/>
          </w:tcPr>
          <w:p>
            <w:pPr>
              <w:spacing w:after="0"/>
              <w:rPr>
                <w:sz w:val="12"/>
                <w:szCs w:val="12"/>
                <w:color w:val="auto"/>
              </w:rPr>
            </w:pPr>
          </w:p>
        </w:tc>
        <w:tc>
          <w:tcPr>
            <w:tcW w:w="12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4"/>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Brokered savings deposits and money market deposits</w:t>
            </w:r>
          </w:p>
        </w:tc>
        <w:tc>
          <w:tcPr>
            <w:tcW w:w="26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133,986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47"/>
        </w:trPr>
        <w:tc>
          <w:tcPr>
            <w:tcW w:w="8400" w:type="dxa"/>
            <w:vAlign w:val="bottom"/>
          </w:tcPr>
          <w:p>
            <w:pPr>
              <w:ind w:left="20"/>
              <w:spacing w:after="0"/>
              <w:rPr>
                <w:sz w:val="20"/>
                <w:szCs w:val="20"/>
                <w:color w:val="auto"/>
              </w:rPr>
            </w:pPr>
            <w:r>
              <w:rPr>
                <w:rFonts w:ascii="Arial" w:cs="Arial" w:eastAsia="Arial" w:hAnsi="Arial"/>
                <w:sz w:val="18"/>
                <w:szCs w:val="18"/>
                <w:color w:val="auto"/>
              </w:rPr>
              <w:t>Brokered time deposits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219,628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7,088</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Aggregate amount of time deposits with a minimum denomination of $100,000</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1,672,181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860,193</w:t>
            </w: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Aggregate amount of time deposits with a minimum denomination that meets or exceeds the FDIC</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400" w:type="dxa"/>
            <w:vAlign w:val="bottom"/>
          </w:tcPr>
          <w:p>
            <w:pPr>
              <w:ind w:left="20"/>
              <w:spacing w:after="0"/>
              <w:rPr>
                <w:sz w:val="20"/>
                <w:szCs w:val="20"/>
                <w:color w:val="auto"/>
              </w:rPr>
            </w:pPr>
            <w:r>
              <w:rPr>
                <w:rFonts w:ascii="Arial" w:cs="Arial" w:eastAsia="Arial" w:hAnsi="Arial"/>
                <w:sz w:val="18"/>
                <w:szCs w:val="18"/>
                <w:color w:val="auto"/>
              </w:rPr>
              <w:t>insurance limit of $250,000</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827,762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334,503</w:t>
            </w:r>
          </w:p>
        </w:tc>
        <w:tc>
          <w:tcPr>
            <w:tcW w:w="0" w:type="dxa"/>
            <w:vAlign w:val="bottom"/>
          </w:tcPr>
          <w:p>
            <w:pPr>
              <w:spacing w:after="0"/>
              <w:rPr>
                <w:sz w:val="1"/>
                <w:szCs w:val="1"/>
                <w:color w:val="auto"/>
              </w:rPr>
            </w:pPr>
          </w:p>
        </w:tc>
      </w:tr>
      <w:tr>
        <w:trPr>
          <w:trHeight w:val="513"/>
        </w:trPr>
        <w:tc>
          <w:tcPr>
            <w:tcW w:w="8400" w:type="dxa"/>
            <w:vAlign w:val="bottom"/>
          </w:tcPr>
          <w:p>
            <w:pPr>
              <w:spacing w:after="0"/>
              <w:rPr>
                <w:sz w:val="20"/>
                <w:szCs w:val="20"/>
                <w:color w:val="auto"/>
              </w:rPr>
            </w:pPr>
            <w:r>
              <w:rPr>
                <w:rFonts w:ascii="Arial" w:cs="Arial" w:eastAsia="Arial" w:hAnsi="Arial"/>
                <w:sz w:val="18"/>
                <w:szCs w:val="18"/>
                <w:color w:val="auto"/>
              </w:rPr>
              <w:t>Scheduled maturities of time deposits are presented in the table below:</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264"/>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Time deposits by schedule of maturities</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Remainder of 2025</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2,065,405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2026</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528,135</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2027</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20,599</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2028</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10,365</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2030</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2,119</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
        </w:trPr>
        <w:tc>
          <w:tcPr>
            <w:tcW w:w="8400" w:type="dxa"/>
            <w:vAlign w:val="bottom"/>
            <w:tcBorders>
              <w:bottom w:val="single" w:sz="8" w:color="E0E7ED"/>
            </w:tcBorders>
          </w:tcPr>
          <w:p>
            <w:pPr>
              <w:spacing w:after="0"/>
              <w:rPr>
                <w:sz w:val="2"/>
                <w:szCs w:val="2"/>
                <w:color w:val="auto"/>
              </w:rPr>
            </w:pPr>
          </w:p>
        </w:tc>
        <w:tc>
          <w:tcPr>
            <w:tcW w:w="260" w:type="dxa"/>
            <w:vAlign w:val="bottom"/>
            <w:tcBorders>
              <w:bottom w:val="single" w:sz="8" w:color="E0E7ED"/>
            </w:tcBorders>
          </w:tcPr>
          <w:p>
            <w:pPr>
              <w:spacing w:after="0"/>
              <w:rPr>
                <w:sz w:val="2"/>
                <w:szCs w:val="2"/>
                <w:color w:val="auto"/>
              </w:rPr>
            </w:pPr>
          </w:p>
        </w:tc>
        <w:tc>
          <w:tcPr>
            <w:tcW w:w="110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Time deposits</w:t>
            </w:r>
          </w:p>
        </w:tc>
        <w:tc>
          <w:tcPr>
            <w:tcW w:w="260" w:type="dxa"/>
            <w:vAlign w:val="bottom"/>
            <w:tcBorders>
              <w:bottom w:val="single" w:sz="8" w:color="E0E7ED"/>
            </w:tcBorders>
            <w:shd w:val="clear" w:color="auto" w:fill="E0E7ED"/>
          </w:tcPr>
          <w:p>
            <w:pPr>
              <w:spacing w:after="0"/>
              <w:rPr>
                <w:sz w:val="24"/>
                <w:szCs w:val="24"/>
                <w:color w:val="auto"/>
              </w:rPr>
            </w:pPr>
          </w:p>
        </w:tc>
        <w:tc>
          <w:tcPr>
            <w:tcW w:w="1100" w:type="dxa"/>
            <w:vAlign w:val="bottom"/>
            <w:tcBorders>
              <w:bottom w:val="single" w:sz="8" w:color="E0E7ED"/>
            </w:tcBorders>
            <w:shd w:val="clear" w:color="auto" w:fill="E0E7ED"/>
          </w:tcPr>
          <w:p>
            <w:pPr>
              <w:spacing w:after="0"/>
              <w:rPr>
                <w:sz w:val="24"/>
                <w:szCs w:val="24"/>
                <w:color w:val="auto"/>
              </w:rPr>
            </w:pPr>
          </w:p>
        </w:tc>
        <w:tc>
          <w:tcPr>
            <w:tcW w:w="10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2,632,456</w:t>
            </w:r>
          </w:p>
        </w:tc>
        <w:tc>
          <w:tcPr>
            <w:tcW w:w="0" w:type="dxa"/>
            <w:vAlign w:val="bottom"/>
          </w:tcPr>
          <w:p>
            <w:pPr>
              <w:spacing w:after="0"/>
              <w:rPr>
                <w:sz w:val="1"/>
                <w:szCs w:val="1"/>
                <w:color w:val="auto"/>
              </w:rPr>
            </w:pPr>
          </w:p>
        </w:tc>
      </w:tr>
      <w:tr>
        <w:trPr>
          <w:trHeight w:val="20"/>
        </w:trPr>
        <w:tc>
          <w:tcPr>
            <w:tcW w:w="84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1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Sold Under Agreements to Repurchase</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daily. Securities sold under agreements to repurchase are reflected at the amount of cash received in connection with the transaction. The underlying securities are held by Busey’s safekeeping agent. Busey may be required to provide additional collateral based on fluctuations in the fair value of the underlying securities. Securities sold under agreements to repurchase were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1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00" w:type="dxa"/>
            <w:vAlign w:val="bottom"/>
          </w:tcPr>
          <w:p>
            <w:pPr>
              <w:spacing w:after="0"/>
              <w:rPr>
                <w:sz w:val="12"/>
                <w:szCs w:val="12"/>
                <w:color w:val="auto"/>
              </w:rPr>
            </w:pPr>
          </w:p>
        </w:tc>
        <w:tc>
          <w:tcPr>
            <w:tcW w:w="104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100" w:type="dxa"/>
            <w:vAlign w:val="bottom"/>
            <w:tcBorders>
              <w:bottom w:val="single" w:sz="8" w:color="E0E7ED"/>
            </w:tcBorders>
            <w:vMerge w:val="continue"/>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2025</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158,030</w:t>
            </w:r>
          </w:p>
        </w:tc>
        <w:tc>
          <w:tcPr>
            <w:tcW w:w="500" w:type="dxa"/>
            <w:vAlign w:val="bottom"/>
            <w:tcBorders>
              <w:bottom w:val="single" w:sz="8" w:color="E0E7ED"/>
            </w:tcBorders>
            <w:gridSpan w:val="3"/>
            <w:shd w:val="clear" w:color="auto" w:fill="E0E7ED"/>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E0E7ED"/>
            </w:tcBorders>
            <w:shd w:val="clear" w:color="auto" w:fill="E0E7ED"/>
          </w:tcPr>
          <w:p>
            <w:pPr>
              <w:jc w:val="right"/>
              <w:ind w:right="159"/>
              <w:spacing w:after="0"/>
              <w:rPr>
                <w:sz w:val="20"/>
                <w:szCs w:val="20"/>
                <w:color w:val="auto"/>
              </w:rPr>
            </w:pPr>
            <w:r>
              <w:rPr>
                <w:rFonts w:ascii="Arial" w:cs="Arial" w:eastAsia="Arial" w:hAnsi="Arial"/>
                <w:sz w:val="18"/>
                <w:szCs w:val="18"/>
                <w:color w:val="auto"/>
              </w:rPr>
              <w:t>155,610</w:t>
            </w:r>
          </w:p>
        </w:tc>
        <w:tc>
          <w:tcPr>
            <w:tcW w:w="0" w:type="dxa"/>
            <w:vAlign w:val="bottom"/>
          </w:tcPr>
          <w:p>
            <w:pPr>
              <w:spacing w:after="0"/>
              <w:rPr>
                <w:sz w:val="1"/>
                <w:szCs w:val="1"/>
                <w:color w:val="auto"/>
              </w:rPr>
            </w:pPr>
          </w:p>
        </w:tc>
      </w:tr>
      <w:tr>
        <w:trPr>
          <w:trHeight w:val="247"/>
        </w:trPr>
        <w:tc>
          <w:tcPr>
            <w:tcW w:w="810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30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2.63 %</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Line of Credit</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28, 2021, Busey entered into a Second Amended and Restated Credit Agreement, pursuant to which Busey has access to a $40.0 million revolving line of credit bearing an interest rate of 1.80% plus the one-month forward-looking term rate based on SOFR. After executing subsequent amendments, the current termination date for the revolving line of credit is April 30, 2026. As of June 30, 2025, there was no balance outstanding on the revolving line of credit. The revolving line of credit incurs an insignificant non-usage fee based on any undrawn amounts.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9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Busey had no short term borrowings as of either June 30, 2025, or December 31, 2024. When applicable, Busey’s short-term borrowings include loans maturing within one year of the loan origination date, the current portion of long-term debt that is due within 12 months, and federal funds purchased. Federal funds purchased are short-term borrowings that generally mature between one day and 90 days.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Busey’s long-term debt consists of loans maturing more than one year from the loan origination date, excluding the current portion that is due within 12 months. Long-term debt is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center"/>
              <w:ind w:right="97"/>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Long-term debt</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FHLB borrowings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78,888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Secured borrowings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7,669</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Funds borrowed from the FHLB, listed above, consisted of twelve notes with a weighted average interest rate of 2.22% and a weighted average maturity period of 2.55 years as of June 30, 2025. Maturity dates for the long-term FHLB borrowings range from August 2027 through October 2028.</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Acquired SBA loans that did not qualify for sale accounting treatment are presented as secured borrowings. Secured borrowings consisted of nine notes with a weighted average maturity period of 17.71 years as of June 30, 2025. Maturity dates for the secured borrowings range from September 2030 to March 2046.</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Subordinated Notes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2020, Busey issued $ 125.0 million of fixed-to-floating rate subordinated notes scheduled to mature on June 1, 2030. The subordinated notes, which qualified as Tier 2 capital for regulatory purposes, bore interest at an annual rate of 5.25% for the first five years after issuance. Thereafter, the notes were to bear interest at a floating rate equal to a three-month benchmark rate plus a spread of 5.11%, as calculated on each applicable determination date. The subordinated notes, which were unsecured obligations of the Company, had an optional redemption, in whole or in part, on any interest payment date on or after June 1, 2025. On June 1, 2025, Busey redeemed the entire $125.0 million outstanding principal amount of the subordinated notes.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June 2, 2022, Busey issued $100.0 million aggregate principal amount of 5.000% fixed-to-floating rate subordinated notes maturing June 15, 2032, which qualify as Tier 2 capital for regulatory purposes. The price to the public for the subordinated notes was 100% of the principal amount of the subordinated notes. Interest on the subordinated notes accrues at a rate equal to (1) 5.000% per annum from the original issue date to, but excluding, June 15, 2027, payable semiannually in arrears, and (2) a floating rate per annum equal to a benchmark rate, which is the Three-Month Term SOFR (as defined in the subordinated notes), plus a spread of 252 bps from and including June 15, 2027, payable quarterly in arrears. The subordinated notes have an optional redemption, in whole or in part, on any interest payment date on or after June 15, 2027.</w:t>
      </w:r>
    </w:p>
    <w:p>
      <w:pPr>
        <w:spacing w:after="0" w:line="1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Associated with the M&amp;M acquisition completed on April 1, 2024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Note 2. Mergers and Acquisitions</w:t>
      </w:r>
      <w:r>
        <w:rPr>
          <w:rFonts w:ascii="Arial" w:cs="Arial" w:eastAsia="Arial" w:hAnsi="Arial"/>
          <w:sz w:val="18"/>
          <w:szCs w:val="18"/>
          <w:i w:val="1"/>
          <w:iCs w:val="1"/>
          <w:color w:val="auto"/>
        </w:rPr>
        <w:t>”</w:t>
      </w:r>
      <w:r>
        <w:rPr>
          <w:rFonts w:ascii="Arial" w:cs="Arial" w:eastAsia="Arial" w:hAnsi="Arial"/>
          <w:sz w:val="18"/>
          <w:szCs w:val="18"/>
          <w:color w:val="auto"/>
        </w:rPr>
        <w:t>), Busey acquired $4.0 million of 5.25% fixed-to-floating rate subordinated notes maturing December 4, 2030, which qualify as Tier 2 capital for regulatory purposes. Interest on the subordinated notes accrues at a rate equal to (1) 5.25% per annum from the original issue date to December 4, 2025, and (2) a floating rate per annum equal to a benchmark rate, which is the Three-Month Term SOFR (as defined in the subordinated notes), plus a spread of 497 bps from December 4, 2025. The subordinated notes have an optional redemption, in whole or in part, on or after December 4, 2025. At June 30, 2025, there was an immaterial amount of fair value discount outstanding, to be accreted through the earliest optional redemption date.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Unamortized debt issuance costs related to Busey’s subordinated notes are presented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9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June 30,</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400" w:type="dxa"/>
            <w:vAlign w:val="bottom"/>
            <w:tcBorders>
              <w:bottom w:val="single" w:sz="8" w:color="E0E7ED"/>
            </w:tcBorders>
            <w:vMerge w:val="continue"/>
          </w:tcPr>
          <w:p>
            <w:pPr>
              <w:spacing w:after="0"/>
              <w:rPr>
                <w:sz w:val="15"/>
                <w:szCs w:val="15"/>
                <w:color w:val="auto"/>
              </w:rPr>
            </w:pPr>
          </w:p>
        </w:tc>
        <w:tc>
          <w:tcPr>
            <w:tcW w:w="98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38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Unamortized debt issuance costs</w:t>
            </w:r>
          </w:p>
        </w:tc>
        <w:tc>
          <w:tcPr>
            <w:tcW w:w="98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Subordinated notes issued in 2020</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Subordinated notes issued in 2022</w:t>
            </w:r>
          </w:p>
        </w:tc>
        <w:tc>
          <w:tcPr>
            <w:tcW w:w="980" w:type="dxa"/>
            <w:vAlign w:val="bottom"/>
            <w:tcBorders>
              <w:bottom w:val="single" w:sz="8" w:color="E0E7ED"/>
            </w:tcBorders>
            <w:shd w:val="clear" w:color="auto" w:fill="E0E7ED"/>
          </w:tcPr>
          <w:p>
            <w:pPr>
              <w:spacing w:after="0"/>
              <w:rPr>
                <w:sz w:val="23"/>
                <w:szCs w:val="23"/>
                <w:color w:val="auto"/>
              </w:rPr>
            </w:pPr>
          </w:p>
        </w:tc>
        <w:tc>
          <w:tcPr>
            <w:tcW w:w="3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807</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Total unamortized debt issuance costs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REGULATORY CAPITAL</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First Busey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First Busey's consolidated financial statements. Capital amounts and classification also are subject to qualitative judgments by regulators about components, risk weightings, and other factors.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June 30, 2025 and 2024, all capital ratios of First Busey and its subsidiary bank exceeded well capitalized levels under the applicable regulatory capital adequacy guidelines. Management believes that no events or changes have occurred subsequent to June 30, 2025, that would change this designation.</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Amounts and Ratios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regulatory capital requirements applicable to First Busey and its subsidiary bank:</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rPr>
              <w:t>As of June 30, 2025</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restart"/>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36"/>
              <w:spacing w:after="0" w:line="147" w:lineRule="exact"/>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Actual</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3"/>
          </w:tcPr>
          <w:p>
            <w:pPr>
              <w:jc w:val="center"/>
              <w:ind w:left="436"/>
              <w:spacing w:after="0" w:line="145" w:lineRule="exact"/>
              <w:rPr>
                <w:sz w:val="20"/>
                <w:szCs w:val="20"/>
                <w:color w:val="auto"/>
              </w:rPr>
            </w:pPr>
            <w:r>
              <w:rPr>
                <w:rFonts w:ascii="Arial" w:cs="Arial" w:eastAsia="Arial" w:hAnsi="Arial"/>
                <w:sz w:val="14"/>
                <w:szCs w:val="14"/>
                <w:b w:val="1"/>
                <w:bCs w:val="1"/>
                <w:color w:val="auto"/>
              </w:rPr>
              <w:t>To Be Well</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rPr>
              <w:t>Capital Requirement</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rPr>
              <w:t>Capitalized</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5"/>
                <w:szCs w:val="15"/>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5"/>
                <w:szCs w:val="15"/>
                <w:color w:val="auto"/>
              </w:rPr>
            </w:pPr>
          </w:p>
        </w:tc>
        <w:tc>
          <w:tcPr>
            <w:tcW w:w="14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4"/>
        </w:trPr>
        <w:tc>
          <w:tcPr>
            <w:tcW w:w="368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Common equity Tier 1 capital to risk</w:t>
            </w:r>
          </w:p>
        </w:tc>
        <w:tc>
          <w:tcPr>
            <w:tcW w:w="26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8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0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80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0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78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6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weighted assets</w:t>
            </w: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8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8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8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1,888,100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12.22 %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695,299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1,004,321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2,098,016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13.62 %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692,964</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8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4.50 %</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1,000,949</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8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8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68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2,110,850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13.66 %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927,065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1,236,087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2,098,016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13.62 %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923,953</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8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6.00 %</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1,231,937</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6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8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80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68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2,434,172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15.75 %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1,236,087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1,545,109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2,237,760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14.53 %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1,231,937</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8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8.00 %</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1,539,921</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Leverage ratio of Tier 1 capital to</w:t>
            </w: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8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80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6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average assets</w:t>
            </w: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8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80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68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2,110,850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11.26 %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749,585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3"/>
          </w:tcPr>
          <w:p>
            <w:pPr>
              <w:ind w:left="76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680" w:type="dxa"/>
            <w:vAlign w:val="bottom"/>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2,098,016</w:t>
            </w: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8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11.22 %</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747,971</w:t>
            </w:r>
          </w:p>
        </w:tc>
        <w:tc>
          <w:tcPr>
            <w:tcW w:w="8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8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4.00 %</w:t>
            </w: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934,963</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
        </w:trPr>
        <w:tc>
          <w:tcPr>
            <w:tcW w:w="368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80" w:type="dxa"/>
            <w:vAlign w:val="bottom"/>
            <w:shd w:val="clear" w:color="auto" w:fill="E0E7ED"/>
          </w:tcPr>
          <w:p>
            <w:pPr>
              <w:spacing w:after="0"/>
              <w:rPr>
                <w:sz w:val="2"/>
                <w:szCs w:val="2"/>
                <w:color w:val="auto"/>
              </w:rPr>
            </w:pPr>
          </w:p>
        </w:tc>
        <w:tc>
          <w:tcPr>
            <w:tcW w:w="8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8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800" w:type="dxa"/>
            <w:vAlign w:val="bottom"/>
            <w:shd w:val="clear" w:color="auto" w:fill="E0E7ED"/>
          </w:tcPr>
          <w:p>
            <w:pPr>
              <w:spacing w:after="0"/>
              <w:rPr>
                <w:sz w:val="2"/>
                <w:szCs w:val="2"/>
                <w:color w:val="auto"/>
              </w:rPr>
            </w:pPr>
          </w:p>
        </w:tc>
        <w:tc>
          <w:tcPr>
            <w:tcW w:w="8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78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rPr>
              <w:t>As of December 31, 2024</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vMerge w:val="restart"/>
          </w:tcPr>
          <w:p>
            <w:pPr>
              <w:jc w:val="center"/>
              <w:ind w:left="456"/>
              <w:spacing w:after="0"/>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gridSpan w:val="3"/>
          </w:tcPr>
          <w:p>
            <w:pPr>
              <w:jc w:val="center"/>
              <w:ind w:left="436"/>
              <w:spacing w:after="0" w:line="142" w:lineRule="exact"/>
              <w:rPr>
                <w:sz w:val="20"/>
                <w:szCs w:val="20"/>
                <w:color w:val="auto"/>
              </w:rPr>
            </w:pPr>
            <w:r>
              <w:rPr>
                <w:rFonts w:ascii="Arial" w:cs="Arial" w:eastAsia="Arial" w:hAnsi="Arial"/>
                <w:sz w:val="14"/>
                <w:szCs w:val="14"/>
                <w:b w:val="1"/>
                <w:bCs w:val="1"/>
                <w:color w:val="auto"/>
              </w:rPr>
              <w:t>Minimum</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40" w:type="dxa"/>
            <w:vAlign w:val="bottom"/>
            <w:gridSpan w:val="3"/>
            <w:vMerge w:val="restart"/>
          </w:tcPr>
          <w:p>
            <w:pPr>
              <w:ind w:left="740"/>
              <w:spacing w:after="0"/>
              <w:rPr>
                <w:sz w:val="20"/>
                <w:szCs w:val="20"/>
                <w:color w:val="auto"/>
              </w:rPr>
            </w:pPr>
            <w:r>
              <w:rPr>
                <w:rFonts w:ascii="Arial" w:cs="Arial" w:eastAsia="Arial" w:hAnsi="Arial"/>
                <w:sz w:val="14"/>
                <w:szCs w:val="14"/>
                <w:b w:val="1"/>
                <w:bCs w:val="1"/>
                <w:color w:val="auto"/>
              </w:rPr>
              <w:t>Actual</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20" w:type="dxa"/>
            <w:vAlign w:val="bottom"/>
            <w:gridSpan w:val="3"/>
          </w:tcPr>
          <w:p>
            <w:pPr>
              <w:jc w:val="center"/>
              <w:ind w:left="456"/>
              <w:spacing w:after="0" w:line="135" w:lineRule="exact"/>
              <w:rPr>
                <w:sz w:val="20"/>
                <w:szCs w:val="20"/>
                <w:color w:val="auto"/>
              </w:rPr>
            </w:pPr>
            <w:r>
              <w:rPr>
                <w:rFonts w:ascii="Arial" w:cs="Arial" w:eastAsia="Arial" w:hAnsi="Arial"/>
                <w:sz w:val="14"/>
                <w:szCs w:val="14"/>
                <w:b w:val="1"/>
                <w:bCs w:val="1"/>
                <w:color w:val="auto"/>
              </w:rPr>
              <w:t>To Be Well</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rPr>
              <w:t>Capital Requirement</w:t>
            </w: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left="456"/>
              <w:spacing w:after="0"/>
              <w:rPr>
                <w:sz w:val="20"/>
                <w:szCs w:val="20"/>
                <w:color w:val="auto"/>
              </w:rPr>
            </w:pPr>
            <w:r>
              <w:rPr>
                <w:rFonts w:ascii="Arial" w:cs="Arial" w:eastAsia="Arial" w:hAnsi="Arial"/>
                <w:sz w:val="14"/>
                <w:szCs w:val="14"/>
                <w:b w:val="1"/>
                <w:bCs w:val="1"/>
                <w:color w:val="auto"/>
              </w:rPr>
              <w:t>Capitalized</w:t>
            </w:r>
          </w:p>
        </w:tc>
        <w:tc>
          <w:tcPr>
            <w:tcW w:w="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7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5"/>
                <w:szCs w:val="15"/>
                <w:color w:val="auto"/>
              </w:rPr>
            </w:pPr>
          </w:p>
        </w:tc>
        <w:tc>
          <w:tcPr>
            <w:tcW w:w="134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Ratio</w:t>
            </w:r>
          </w:p>
        </w:tc>
        <w:tc>
          <w:tcPr>
            <w:tcW w:w="240" w:type="dxa"/>
            <w:vAlign w:val="bottom"/>
          </w:tcPr>
          <w:p>
            <w:pPr>
              <w:spacing w:after="0"/>
              <w:rPr>
                <w:sz w:val="15"/>
                <w:szCs w:val="15"/>
                <w:color w:val="auto"/>
              </w:rPr>
            </w:pPr>
          </w:p>
        </w:tc>
        <w:tc>
          <w:tcPr>
            <w:tcW w:w="140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Ratio</w:t>
            </w:r>
          </w:p>
        </w:tc>
        <w:tc>
          <w:tcPr>
            <w:tcW w:w="260" w:type="dxa"/>
            <w:vAlign w:val="bottom"/>
          </w:tcPr>
          <w:p>
            <w:pPr>
              <w:spacing w:after="0"/>
              <w:rPr>
                <w:sz w:val="15"/>
                <w:szCs w:val="15"/>
                <w:color w:val="auto"/>
              </w:rPr>
            </w:pPr>
          </w:p>
        </w:tc>
        <w:tc>
          <w:tcPr>
            <w:tcW w:w="1420" w:type="dxa"/>
            <w:vAlign w:val="bottom"/>
            <w:gridSpan w:val="3"/>
          </w:tcPr>
          <w:p>
            <w:pPr>
              <w:ind w:left="1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52"/>
              <w:spacing w:after="0"/>
              <w:rPr>
                <w:sz w:val="20"/>
                <w:szCs w:val="20"/>
                <w:color w:val="auto"/>
              </w:rPr>
            </w:pPr>
            <w:r>
              <w:rPr>
                <w:rFonts w:ascii="Arial" w:cs="Arial" w:eastAsia="Arial" w:hAnsi="Arial"/>
                <w:sz w:val="14"/>
                <w:szCs w:val="14"/>
                <w:b w:val="1"/>
                <w:bCs w:val="1"/>
                <w:color w:val="auto"/>
              </w:rPr>
              <w:t>Ratio</w:t>
            </w:r>
          </w:p>
        </w:tc>
        <w:tc>
          <w:tcPr>
            <w:tcW w:w="0" w:type="dxa"/>
            <w:vAlign w:val="bottom"/>
          </w:tcPr>
          <w:p>
            <w:pPr>
              <w:spacing w:after="0"/>
              <w:rPr>
                <w:sz w:val="1"/>
                <w:szCs w:val="1"/>
                <w:color w:val="auto"/>
              </w:rPr>
            </w:pPr>
          </w:p>
        </w:tc>
      </w:tr>
      <w:tr>
        <w:trPr>
          <w:trHeight w:val="204"/>
        </w:trPr>
        <w:tc>
          <w:tcPr>
            <w:tcW w:w="370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Common equity Tier 1 capital to risk</w:t>
            </w:r>
          </w:p>
        </w:tc>
        <w:tc>
          <w:tcPr>
            <w:tcW w:w="26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8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7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78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7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weighted assets</w:t>
            </w: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8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1,237,301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14.10 %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394,840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570,325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1,438,296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16.46 %</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393,277</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4.50 %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568,067</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6.50 %</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1,314,301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14.98 %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526,453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701,938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1,438,296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16.46 %</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524,369</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6.00 %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699,159</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8.00 %</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7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8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78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1,625,943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18.53 %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701,938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877,422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1,520,938</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8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17.40 %</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699,159</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8.00 %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873,949</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7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0"/>
        </w:trPr>
        <w:tc>
          <w:tcPr>
            <w:tcW w:w="3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37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Leverage ratio of Tier 1 capital to average</w:t>
            </w: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8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7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7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8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78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700" w:type="dxa"/>
            <w:vAlign w:val="bottom"/>
          </w:tcPr>
          <w:p>
            <w:pPr>
              <w:ind w:left="180"/>
              <w:spacing w:after="0"/>
              <w:rPr>
                <w:sz w:val="20"/>
                <w:szCs w:val="20"/>
                <w:color w:val="auto"/>
              </w:rPr>
            </w:pPr>
            <w:r>
              <w:rPr>
                <w:rFonts w:ascii="Arial" w:cs="Arial" w:eastAsia="Arial" w:hAnsi="Arial"/>
                <w:sz w:val="18"/>
                <w:szCs w:val="18"/>
                <w:color w:val="auto"/>
              </w:rPr>
              <w:t>First Busey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1,314,301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11.06 %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475,348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gridSpan w:val="3"/>
          </w:tcPr>
          <w:p>
            <w:pPr>
              <w:ind w:left="740"/>
              <w:spacing w:after="0"/>
              <w:rPr>
                <w:sz w:val="20"/>
                <w:szCs w:val="20"/>
                <w:color w:val="auto"/>
              </w:rPr>
            </w:pPr>
            <w:r>
              <w:rPr>
                <w:rFonts w:ascii="Arial" w:cs="Arial" w:eastAsia="Arial" w:hAnsi="Arial"/>
                <w:sz w:val="18"/>
                <w:szCs w:val="18"/>
                <w:color w:val="auto"/>
              </w:rPr>
              <w:t>N/A</w:t>
            </w:r>
          </w:p>
        </w:tc>
        <w:tc>
          <w:tcPr>
            <w:tcW w:w="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
        </w:trPr>
        <w:tc>
          <w:tcPr>
            <w:tcW w:w="3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37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Busey Bank</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1,438,296</w:t>
            </w: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8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12.14 %</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473,878</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4.00 %</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592,347</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7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r>
        <w:trPr>
          <w:trHeight w:val="23"/>
        </w:trPr>
        <w:tc>
          <w:tcPr>
            <w:tcW w:w="37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80" w:type="dxa"/>
            <w:vAlign w:val="bottom"/>
            <w:shd w:val="clear" w:color="auto" w:fill="E0E7ED"/>
          </w:tcPr>
          <w:p>
            <w:pPr>
              <w:spacing w:after="0"/>
              <w:rPr>
                <w:sz w:val="2"/>
                <w:szCs w:val="2"/>
                <w:color w:val="auto"/>
              </w:rPr>
            </w:pPr>
          </w:p>
        </w:tc>
        <w:tc>
          <w:tcPr>
            <w:tcW w:w="8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7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78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Conservation Buffer</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(1) common equity Tier 1 capital to risk-weighted assets of at least 7.0%, which First Busey exceeded by 522 bps as of June 30, 2025, (2) Tier 1 capital to risk-weighted assets of at least 8.5%, which First Busey exceeded by 516 bps as of June 30, 2025, and (3) total capital to risk-weighted assets of at least 10.5%, which First Busey exceeded by 525 bps as of June 30, 2025.</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TAX CREDIT INVESTMENTS AND OTHER INVESTMENTS IN UNCONSOLIDATED ENTITIES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Busey’s investments in unconsolidated entities and related unfunded investment obligations are reflected in other assets and other liabilities on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and are summarized in the table below for the periods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8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68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38"/>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68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Investments in unconsolidated entities</w:t>
            </w:r>
          </w:p>
        </w:tc>
        <w:tc>
          <w:tcPr>
            <w:tcW w:w="14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820" w:type="dxa"/>
            <w:vAlign w:val="bottom"/>
          </w:tcPr>
          <w:p>
            <w:pPr>
              <w:ind w:left="180"/>
              <w:spacing w:after="0"/>
              <w:rPr>
                <w:sz w:val="20"/>
                <w:szCs w:val="20"/>
                <w:color w:val="auto"/>
              </w:rPr>
            </w:pPr>
            <w:r>
              <w:rPr>
                <w:rFonts w:ascii="Arial" w:cs="Arial" w:eastAsia="Arial" w:hAnsi="Arial"/>
                <w:sz w:val="18"/>
                <w:szCs w:val="18"/>
                <w:color w:val="auto"/>
              </w:rPr>
              <w:t>Funded investments</w:t>
            </w: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w w:val="99"/>
              </w:rPr>
              <w:t>Other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88,846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70,796</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Unfunded investments</w:t>
            </w:r>
          </w:p>
        </w:tc>
        <w:tc>
          <w:tcPr>
            <w:tcW w:w="1580" w:type="dxa"/>
            <w:vAlign w:val="bottom"/>
            <w:tcBorders>
              <w:bottom w:val="single" w:sz="8" w:color="E0E7ED"/>
            </w:tcBorders>
            <w:gridSpan w:val="2"/>
            <w:shd w:val="clear" w:color="auto" w:fill="E0E7ED"/>
          </w:tcPr>
          <w:p>
            <w:pPr>
              <w:jc w:val="right"/>
              <w:ind w:right="540"/>
              <w:spacing w:after="0"/>
              <w:rPr>
                <w:sz w:val="20"/>
                <w:szCs w:val="20"/>
                <w:color w:val="auto"/>
              </w:rPr>
            </w:pPr>
            <w:r>
              <w:rPr>
                <w:rFonts w:ascii="Arial" w:cs="Arial" w:eastAsia="Arial" w:hAnsi="Arial"/>
                <w:sz w:val="18"/>
                <w:szCs w:val="18"/>
                <w:color w:val="auto"/>
                <w:w w:val="99"/>
              </w:rPr>
              <w:t>Other assets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54,701</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61,210</w:t>
            </w:r>
          </w:p>
        </w:tc>
        <w:tc>
          <w:tcPr>
            <w:tcW w:w="0" w:type="dxa"/>
            <w:vAlign w:val="bottom"/>
          </w:tcPr>
          <w:p>
            <w:pPr>
              <w:spacing w:after="0"/>
              <w:rPr>
                <w:sz w:val="1"/>
                <w:szCs w:val="1"/>
                <w:color w:val="auto"/>
              </w:rPr>
            </w:pPr>
          </w:p>
        </w:tc>
      </w:tr>
      <w:tr>
        <w:trPr>
          <w:trHeight w:val="241"/>
        </w:trPr>
        <w:tc>
          <w:tcPr>
            <w:tcW w:w="6820" w:type="dxa"/>
            <w:vAlign w:val="bottom"/>
          </w:tcPr>
          <w:p>
            <w:pPr>
              <w:ind w:left="20"/>
              <w:spacing w:after="0"/>
              <w:rPr>
                <w:sz w:val="20"/>
                <w:szCs w:val="20"/>
                <w:color w:val="auto"/>
              </w:rPr>
            </w:pPr>
            <w:r>
              <w:rPr>
                <w:rFonts w:ascii="Arial" w:cs="Arial" w:eastAsia="Arial" w:hAnsi="Arial"/>
                <w:sz w:val="18"/>
                <w:szCs w:val="18"/>
                <w:color w:val="auto"/>
              </w:rPr>
              <w:t>Investments in unconsolidated entities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143,547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132,006</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82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20" w:type="dxa"/>
            <w:vAlign w:val="bottom"/>
          </w:tcPr>
          <w:p>
            <w:pPr>
              <w:ind w:left="20"/>
              <w:spacing w:after="0"/>
              <w:rPr>
                <w:sz w:val="20"/>
                <w:szCs w:val="20"/>
                <w:color w:val="auto"/>
              </w:rPr>
            </w:pPr>
            <w:r>
              <w:rPr>
                <w:rFonts w:ascii="Arial" w:cs="Arial" w:eastAsia="Arial" w:hAnsi="Arial"/>
                <w:sz w:val="18"/>
                <w:szCs w:val="18"/>
                <w:color w:val="auto"/>
              </w:rPr>
              <w:t>Unfunded investment obligations</w:t>
            </w:r>
          </w:p>
        </w:tc>
        <w:tc>
          <w:tcPr>
            <w:tcW w:w="158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54,701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61,210</w:t>
            </w:r>
          </w:p>
        </w:tc>
        <w:tc>
          <w:tcPr>
            <w:tcW w:w="0" w:type="dxa"/>
            <w:vAlign w:val="bottom"/>
          </w:tcPr>
          <w:p>
            <w:pPr>
              <w:spacing w:after="0"/>
              <w:rPr>
                <w:sz w:val="1"/>
                <w:szCs w:val="1"/>
                <w:color w:val="auto"/>
              </w:rPr>
            </w:pPr>
          </w:p>
        </w:tc>
      </w:tr>
      <w:tr>
        <w:trPr>
          <w:trHeight w:val="23"/>
        </w:trPr>
        <w:tc>
          <w:tcPr>
            <w:tcW w:w="68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Upon adoption of ASU 2023-02 on January 1, 2024, Busey elected to apply the proportional amortization method in accounting for investments in tax-advantaged projects. Income tax credits and other tax benefits related to these investments, net of investment amortization, are included as a component of Busey’s estimated annual effective tax rate used for the calculation of income taxes presented on the </w:t>
      </w:r>
      <w:r>
        <w:rPr>
          <w:rFonts w:ascii="Arial" w:cs="Arial" w:eastAsia="Arial" w:hAnsi="Arial"/>
          <w:sz w:val="18"/>
          <w:szCs w:val="18"/>
          <w:u w:val="single" w:color="auto"/>
          <w:color w:val="0000FF"/>
        </w:rPr>
        <w:t>Consolidated Statements of Income (Unaudited)</w:t>
      </w:r>
      <w:r>
        <w:rPr>
          <w:rFonts w:ascii="Arial" w:cs="Arial" w:eastAsia="Arial" w:hAnsi="Arial"/>
          <w:sz w:val="18"/>
          <w:szCs w:val="18"/>
          <w:color w:val="auto"/>
        </w:rPr>
        <w:t>. Actual amounts of income tax credits and other benefits, along with the investment amortization, are presented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2024</w:t>
            </w:r>
          </w:p>
        </w:tc>
      </w:tr>
      <w:tr>
        <w:trPr>
          <w:trHeight w:val="243"/>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Income tax credits and other tax benefits</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4,319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3,800</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8,908</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7,901</w:t>
            </w:r>
          </w:p>
        </w:tc>
      </w:tr>
      <w:tr>
        <w:trPr>
          <w:trHeight w:val="247"/>
        </w:trPr>
        <w:tc>
          <w:tcPr>
            <w:tcW w:w="5500" w:type="dxa"/>
            <w:vAlign w:val="bottom"/>
          </w:tcPr>
          <w:p>
            <w:pPr>
              <w:ind w:left="20"/>
              <w:spacing w:after="0"/>
              <w:rPr>
                <w:sz w:val="20"/>
                <w:szCs w:val="20"/>
                <w:color w:val="auto"/>
              </w:rPr>
            </w:pPr>
            <w:r>
              <w:rPr>
                <w:rFonts w:ascii="Arial" w:cs="Arial" w:eastAsia="Arial" w:hAnsi="Arial"/>
                <w:sz w:val="18"/>
                <w:szCs w:val="18"/>
                <w:color w:val="auto"/>
              </w:rPr>
              <w:t>Amortization of investments in tax-advantaged projects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7,018</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CrossFirst Acquisition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CrossFirst acquisition impacted Busey and CrossFirst equity awards: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of Busey’s Equity Awards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closing of the CrossFirst acquisition, except as otherwise provided in the CrossFirst Merger Agreement, Busey equity awards generally remain outstanding and subject to the same terms and conditions as applied immediately prior to the time at which the CrossFirst acquisition became effective (the “effective time”). Notable changes to Busey’s equity awards are as follows:</w:t>
      </w:r>
    </w:p>
    <w:p>
      <w:pPr>
        <w:spacing w:after="0" w:line="144" w:lineRule="exact"/>
        <w:rPr>
          <w:sz w:val="20"/>
          <w:szCs w:val="20"/>
          <w:color w:val="auto"/>
        </w:rPr>
      </w:pPr>
    </w:p>
    <w:p>
      <w:pPr>
        <w:jc w:val="both"/>
        <w:ind w:left="660" w:hanging="328"/>
        <w:spacing w:after="0" w:line="256" w:lineRule="auto"/>
        <w:tabs>
          <w:tab w:leader="none" w:pos="65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ROATCE PSUs </w:t>
      </w:r>
      <w:r>
        <w:rPr>
          <w:rFonts w:ascii="Arial" w:cs="Arial" w:eastAsia="Arial" w:hAnsi="Arial"/>
          <w:sz w:val="18"/>
          <w:szCs w:val="18"/>
          <w:color w:val="auto"/>
        </w:rPr>
        <w:t>— Each PSU issued by Busey that is earned based on Core Return on Average Tangible Common Equity (the</w:t>
      </w:r>
      <w:r>
        <w:rPr>
          <w:rFonts w:ascii="Arial" w:cs="Arial" w:eastAsia="Arial" w:hAnsi="Arial"/>
          <w:sz w:val="18"/>
          <w:szCs w:val="18"/>
          <w:i w:val="1"/>
          <w:iCs w:val="1"/>
          <w:color w:val="auto"/>
        </w:rPr>
        <w:t xml:space="preserve"> </w:t>
      </w:r>
      <w:r>
        <w:rPr>
          <w:rFonts w:ascii="Arial" w:cs="Arial" w:eastAsia="Arial" w:hAnsi="Arial"/>
          <w:sz w:val="18"/>
          <w:szCs w:val="18"/>
          <w:color w:val="auto"/>
        </w:rPr>
        <w:t>“ROATCE PSUs”) and was outstanding immediately prior to the effective time was deemed earned with the achievement of the applicable performance goals based on actual performance through December 31, 2024, the latest practicable date prior to the effective time, and otherwise remains subject to the same terms and conditions (including service-based vesting terms) as applied to such ROATCE PSUs immediately prior to the effective time. The ROATCE PSUs have been deemed earned (i) at 100% of the target level of performance, for the ROATCE PSUs granted in 2023 and (ii) at 75% of the target level of performance, for the ROATCE PSUs granted in 2024.</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left="660" w:hanging="328"/>
        <w:spacing w:after="0" w:line="253"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TSR PSUs </w:t>
      </w:r>
      <w:r>
        <w:rPr>
          <w:rFonts w:ascii="Arial" w:cs="Arial" w:eastAsia="Arial" w:hAnsi="Arial"/>
          <w:sz w:val="18"/>
          <w:szCs w:val="18"/>
          <w:color w:val="auto"/>
        </w:rPr>
        <w:t>— Each Busey PSU previously granted that is tied to total stockholder return (“TSR”, and such PSUs, the “TSR PSUs”)</w:t>
      </w:r>
      <w:r>
        <w:rPr>
          <w:rFonts w:ascii="Arial" w:cs="Arial" w:eastAsia="Arial" w:hAnsi="Arial"/>
          <w:sz w:val="18"/>
          <w:szCs w:val="18"/>
          <w:i w:val="1"/>
          <w:iCs w:val="1"/>
          <w:color w:val="auto"/>
        </w:rPr>
        <w:t xml:space="preserve"> </w:t>
      </w:r>
      <w:r>
        <w:rPr>
          <w:rFonts w:ascii="Arial" w:cs="Arial" w:eastAsia="Arial" w:hAnsi="Arial"/>
          <w:sz w:val="18"/>
          <w:szCs w:val="18"/>
          <w:color w:val="auto"/>
        </w:rPr>
        <w:t>with a performance period that ended December 31, 2024, (excluding TSR PSUs previously held by retirees) was replaced, and each TSR PSU outstanding immediately prior to the effective time with performance periods ending December 31, 2025, and December 31, 2026, (including existing TSR PSUs held by retirees) was modified, each effective March 1, 2025, such that the resulting new or modified PSUs (collectively, the “Merger PSUs”) will be earned based on Busey’s relative TSR rank as compared to the KBW Regional Banking Index, measured at the end of a performance period commencing January 1, 2025, and ending December 31, 2026. The Merger PSUs are subject to the terms and conditions of Busey’s Amended 2020 Equity Incentive Plan and the applicable award agreements. The target number of PSUs subject to each such Merger PSU was determined based on the number of PSUs that would have been earned in respect of the corresponding TSR PSU had performance for such corresponding TSR PSU been determined based on actual performance as of August 26, 2024, the day immediately prior to the announcement of the Merger, which is (i) in the case of the 2022 TSR PSUs, 94.5% of the original target level of performance, (ii) in the case of the 2023 TSR PSUs, 96.2% of the original target level of performance, and (iii) in the case of the 2024 TSR PSUs, 76.9% of the original target level of performance. Such target number also reflects the number of dividend equivalents accrued in respect of the corresponding existing TSR PSU that would have been earned based on the same actual TSR performance.</w:t>
      </w:r>
    </w:p>
    <w:p>
      <w:pPr>
        <w:spacing w:after="0" w:line="144"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Busey RSUs </w:t>
      </w:r>
      <w:r>
        <w:rPr>
          <w:rFonts w:ascii="Arial" w:cs="Arial" w:eastAsia="Arial" w:hAnsi="Arial"/>
          <w:sz w:val="18"/>
          <w:szCs w:val="18"/>
          <w:color w:val="auto"/>
        </w:rPr>
        <w:t>— Each outstanding Busey time-based restricted stock unit award (the “Busey RSUs”) will vest in equal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installments over three (3) years following the effective time; provided that if any Busey RSU would otherwise vest by its terms on an earlier date, any then-unvested portion as of such date shall vest on such original vesting date.</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Each Busey equity award will be subject to double-trigger vesting upon an involuntary termination within twelve (12) months following the effective time (at target performance, in the case of Merger PSUs).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of CrossFirst’s Equity Awards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Equity awards based on CrossFirst Common Stock that were outstanding immediately prior to the effective time were converted, at the effective time, either to Busey Common Stock or to equity awards based on Busey Common Stock, as follows:</w:t>
      </w:r>
    </w:p>
    <w:p>
      <w:pPr>
        <w:spacing w:after="0" w:line="126" w:lineRule="exact"/>
        <w:rPr>
          <w:sz w:val="20"/>
          <w:szCs w:val="20"/>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Director equity awards </w:t>
      </w:r>
      <w:r>
        <w:rPr>
          <w:rFonts w:ascii="Arial" w:cs="Arial" w:eastAsia="Arial" w:hAnsi="Arial"/>
          <w:sz w:val="18"/>
          <w:szCs w:val="18"/>
          <w:color w:val="auto"/>
        </w:rPr>
        <w:t>— Each CrossFirst restricted stock award held by a CrossFirst non-employee director and each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CrossFirst Common Stock that was credited to a director participant’s account under the CrossFirst 2018 Directors’ Deferred Fee Plan was converted into the right to receive 0.6675 shares of Busey Common Stock (the “Exchange Ratio”).</w:t>
      </w:r>
    </w:p>
    <w:p>
      <w:pPr>
        <w:spacing w:after="0" w:line="130"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CrossFirst RSUs </w:t>
      </w:r>
      <w:r>
        <w:rPr>
          <w:rFonts w:ascii="Arial" w:cs="Arial" w:eastAsia="Arial" w:hAnsi="Arial"/>
          <w:sz w:val="18"/>
          <w:szCs w:val="18"/>
          <w:color w:val="auto"/>
        </w:rPr>
        <w:t>— Each CrossFirst time-based restricted stock unit award (“CrossFirst RSU”) was converted into a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 in respect of Busey Common Stock (a “Busey RSU”) based on the Exchange Ratio, rounded to the nearest whole share, subject to the same terms and conditions as were applicable to the CrossFirst RSUs prior to the effective time.</w:t>
      </w:r>
    </w:p>
    <w:p>
      <w:pPr>
        <w:spacing w:after="0" w:line="130" w:lineRule="exact"/>
        <w:rPr>
          <w:rFonts w:ascii="Arial" w:cs="Arial" w:eastAsia="Arial" w:hAnsi="Arial"/>
          <w:sz w:val="18"/>
          <w:szCs w:val="18"/>
          <w:i w:val="1"/>
          <w:iCs w:val="1"/>
          <w:color w:val="auto"/>
        </w:rPr>
      </w:pPr>
    </w:p>
    <w:p>
      <w:pPr>
        <w:jc w:val="both"/>
        <w:ind w:left="660" w:hanging="328"/>
        <w:spacing w:after="0" w:line="259"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CrossFirst PSUs </w:t>
      </w:r>
      <w:r>
        <w:rPr>
          <w:rFonts w:ascii="Arial" w:cs="Arial" w:eastAsia="Arial" w:hAnsi="Arial"/>
          <w:sz w:val="18"/>
          <w:szCs w:val="18"/>
          <w:color w:val="auto"/>
        </w:rPr>
        <w:t>— Each CrossFirst performance-based restricted stock unit award (“CrossFirst PSU”) was converted into a time-based Busey RSU based on the Exchange Ratio, subject to the same terms and conditions as were applicable to the CrossFirst PSUs prior to the effective time, assuming the achievement of the applicable performance goals based on, for the CrossFirst PSUs granted in 2023, actual performance through December 31, 2024, and, for the CrossFirst PSUs granted in 2024, target performance, rounded to the nearest whole share.</w:t>
      </w:r>
    </w:p>
    <w:p>
      <w:pPr>
        <w:spacing w:after="0" w:line="152" w:lineRule="exact"/>
        <w:rPr>
          <w:rFonts w:ascii="Arial" w:cs="Arial" w:eastAsia="Arial" w:hAnsi="Arial"/>
          <w:sz w:val="18"/>
          <w:szCs w:val="18"/>
          <w:i w:val="1"/>
          <w:iCs w:val="1"/>
          <w:color w:val="auto"/>
        </w:rPr>
      </w:pPr>
    </w:p>
    <w:p>
      <w:pPr>
        <w:jc w:val="both"/>
        <w:ind w:left="660" w:hanging="328"/>
        <w:spacing w:after="0" w:line="268" w:lineRule="auto"/>
        <w:tabs>
          <w:tab w:leader="none" w:pos="655"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CrossFirst SSARs </w:t>
      </w:r>
      <w:r>
        <w:rPr>
          <w:rFonts w:ascii="Arial" w:cs="Arial" w:eastAsia="Arial" w:hAnsi="Arial"/>
          <w:sz w:val="18"/>
          <w:szCs w:val="18"/>
          <w:color w:val="auto"/>
        </w:rPr>
        <w:t>— Each CrossFirst SSAR was converted into a stock appreciation right in respect of Busey Common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Exchange Ratio, rounded down to the nearest whole share (and exercise price rounded up to the nearest cent), generally subject to the same terms and conditions as were applicable to the CrossFirst SSAR prior to the effective time.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has outstanding stock options assumed from a 2017 acquisition. A summary of the status of, and changes in, Busey's stock option awards for the six months ended June 30, 2025,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Weighted-</w:t>
            </w: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76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rPr>
              <w:t>Average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Average</w:t>
            </w:r>
          </w:p>
        </w:tc>
        <w:tc>
          <w:tcPr>
            <w:tcW w:w="176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Remaining</w:t>
            </w:r>
          </w:p>
        </w:tc>
        <w:tc>
          <w:tcPr>
            <w:tcW w:w="1300" w:type="dxa"/>
            <w:vAlign w:val="bottom"/>
            <w:vMerge w:val="restart"/>
          </w:tcPr>
          <w:p>
            <w:pPr>
              <w:jc w:val="right"/>
              <w:ind w:right="377"/>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4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Options</w:t>
            </w:r>
          </w:p>
        </w:tc>
        <w:tc>
          <w:tcPr>
            <w:tcW w:w="100" w:type="dxa"/>
            <w:vAlign w:val="bottom"/>
            <w:vMerge w:val="restart"/>
          </w:tcPr>
          <w:p>
            <w:pPr>
              <w:spacing w:after="0"/>
              <w:rPr>
                <w:sz w:val="11"/>
                <w:szCs w:val="11"/>
                <w:color w:val="auto"/>
              </w:rPr>
            </w:pPr>
          </w:p>
        </w:tc>
        <w:tc>
          <w:tcPr>
            <w:tcW w:w="1480" w:type="dxa"/>
            <w:vAlign w:val="bottom"/>
            <w:vMerge w:val="restart"/>
          </w:tcPr>
          <w:p>
            <w:pPr>
              <w:jc w:val="right"/>
              <w:ind w:right="41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rPr>
              <w:t>Exercise</w:t>
            </w:r>
          </w:p>
        </w:tc>
        <w:tc>
          <w:tcPr>
            <w:tcW w:w="176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Contractual</w:t>
            </w: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9"/>
              </w:rPr>
              <w:t>Price</w:t>
            </w:r>
          </w:p>
        </w:tc>
        <w:tc>
          <w:tcPr>
            <w:tcW w:w="80" w:type="dxa"/>
            <w:vAlign w:val="bottom"/>
            <w:tcBorders>
              <w:bottom w:val="single" w:sz="8" w:color="E0E7ED"/>
            </w:tcBorders>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63"/>
        </w:trPr>
        <w:tc>
          <w:tcPr>
            <w:tcW w:w="504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Outstanding at December 31, 2024</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15,106</w:t>
            </w:r>
          </w:p>
        </w:tc>
        <w:tc>
          <w:tcPr>
            <w:tcW w:w="34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23.53</w:t>
            </w:r>
          </w:p>
        </w:tc>
        <w:tc>
          <w:tcPr>
            <w:tcW w:w="80" w:type="dxa"/>
            <w:vAlign w:val="bottom"/>
            <w:tcBorders>
              <w:bottom w:val="single" w:sz="8" w:color="E0E7ED"/>
            </w:tcBorders>
            <w:shd w:val="clear" w:color="auto" w:fill="E0E7ED"/>
          </w:tcPr>
          <w:p>
            <w:pPr>
              <w:spacing w:after="0"/>
              <w:rPr>
                <w:sz w:val="22"/>
                <w:szCs w:val="22"/>
                <w:color w:val="auto"/>
              </w:rPr>
            </w:pPr>
          </w:p>
        </w:tc>
        <w:tc>
          <w:tcPr>
            <w:tcW w:w="1760" w:type="dxa"/>
            <w:vAlign w:val="bottom"/>
            <w:tcBorders>
              <w:bottom w:val="single" w:sz="8" w:color="E0E7ED"/>
            </w:tcBorders>
            <w:gridSpan w:val="3"/>
            <w:shd w:val="clear" w:color="auto" w:fill="E0E7ED"/>
          </w:tcPr>
          <w:p>
            <w:pPr>
              <w:ind w:left="620"/>
              <w:spacing w:after="0"/>
              <w:rPr>
                <w:sz w:val="20"/>
                <w:szCs w:val="20"/>
                <w:color w:val="auto"/>
              </w:rPr>
            </w:pPr>
            <w:r>
              <w:rPr>
                <w:rFonts w:ascii="Arial" w:cs="Arial" w:eastAsia="Arial" w:hAnsi="Arial"/>
                <w:sz w:val="18"/>
                <w:szCs w:val="18"/>
                <w:color w:val="auto"/>
              </w:rPr>
              <w:t>1.87 years  $</w:t>
            </w: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15,106</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2"/>
                <w:szCs w:val="22"/>
                <w:color w:val="auto"/>
              </w:rPr>
            </w:pPr>
          </w:p>
        </w:tc>
        <w:tc>
          <w:tcPr>
            <w:tcW w:w="1760" w:type="dxa"/>
            <w:vAlign w:val="bottom"/>
            <w:gridSpan w:val="3"/>
          </w:tcPr>
          <w:p>
            <w:pPr>
              <w:ind w:left="620"/>
              <w:spacing w:after="0"/>
              <w:rPr>
                <w:sz w:val="20"/>
                <w:szCs w:val="20"/>
                <w:color w:val="auto"/>
              </w:rPr>
            </w:pPr>
            <w:r>
              <w:rPr>
                <w:rFonts w:ascii="Arial" w:cs="Arial" w:eastAsia="Arial" w:hAnsi="Arial"/>
                <w:sz w:val="18"/>
                <w:szCs w:val="18"/>
                <w:color w:val="auto"/>
              </w:rPr>
              <w:t>1.38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E0E7ED"/>
            </w:tcBorders>
          </w:tcPr>
          <w:p>
            <w:pPr>
              <w:spacing w:after="0" w:line="20" w:lineRule="exact"/>
              <w:rPr>
                <w:sz w:val="1"/>
                <w:szCs w:val="1"/>
                <w:color w:val="auto"/>
              </w:rPr>
            </w:pPr>
          </w:p>
        </w:tc>
        <w:tc>
          <w:tcPr>
            <w:tcW w:w="12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48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13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24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14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3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Exercisable at June 30, 2025</w:t>
            </w:r>
          </w:p>
        </w:tc>
        <w:tc>
          <w:tcPr>
            <w:tcW w:w="1480" w:type="dxa"/>
            <w:vAlign w:val="bottom"/>
          </w:tcPr>
          <w:p>
            <w:pPr>
              <w:jc w:val="right"/>
              <w:spacing w:after="0"/>
              <w:rPr>
                <w:sz w:val="20"/>
                <w:szCs w:val="20"/>
                <w:color w:val="auto"/>
              </w:rPr>
            </w:pPr>
            <w:r>
              <w:rPr>
                <w:rFonts w:ascii="Arial" w:cs="Arial" w:eastAsia="Arial" w:hAnsi="Arial"/>
                <w:sz w:val="18"/>
                <w:szCs w:val="18"/>
                <w:color w:val="auto"/>
              </w:rPr>
              <w:t>15,106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1"/>
                <w:szCs w:val="21"/>
                <w:color w:val="auto"/>
              </w:rPr>
            </w:pPr>
          </w:p>
        </w:tc>
        <w:tc>
          <w:tcPr>
            <w:tcW w:w="1760" w:type="dxa"/>
            <w:vAlign w:val="bottom"/>
            <w:gridSpan w:val="3"/>
          </w:tcPr>
          <w:p>
            <w:pPr>
              <w:ind w:left="620"/>
              <w:spacing w:after="0"/>
              <w:rPr>
                <w:sz w:val="20"/>
                <w:szCs w:val="20"/>
                <w:color w:val="auto"/>
              </w:rPr>
            </w:pPr>
            <w:r>
              <w:rPr>
                <w:rFonts w:ascii="Arial" w:cs="Arial" w:eastAsia="Arial" w:hAnsi="Arial"/>
                <w:sz w:val="18"/>
                <w:szCs w:val="18"/>
                <w:color w:val="auto"/>
              </w:rPr>
              <w:t>1.38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Settled Appreciation Rights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Busey issued replacement awards in the form of SSARs as part of the acquisition of CrossFirst. These awards were issued under the CrossFirst Bankshares 2018 Omnibus Equity Incentive Plan with exercise prices equal to the closing price of CrossFirst’s common shares on the original date for each award adjusted by the Exchange Ratio of 0.6675, rounded up to the nearest cent. At grant, SSARs typically vested ratably over seven years of continuous service with a ten-year or fifteen-year contractual term. At grant, replacement SSARs had a weighted average remaining contractual term of 5.4 years, and unvested replacement SSARs had a weighted average remaining vesting period of 3.2 years. The fair value of each SSAR was estimated at acquisition date using a Monte Carlo simulation since the awards were all in-the-money. The fair value of SSARs that have vested during 2025 was $3.6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SSAR activity during 2025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ind w:right="137"/>
              <w:spacing w:after="0"/>
              <w:rPr>
                <w:sz w:val="20"/>
                <w:szCs w:val="20"/>
                <w:color w:val="auto"/>
              </w:rPr>
            </w:pPr>
            <w:r>
              <w:rPr>
                <w:rFonts w:ascii="Arial" w:cs="Arial" w:eastAsia="Arial" w:hAnsi="Arial"/>
                <w:sz w:val="14"/>
                <w:szCs w:val="14"/>
                <w:b w:val="1"/>
                <w:bCs w:val="1"/>
                <w:color w:val="auto"/>
              </w:rPr>
              <w:t>Weighted-</w:t>
            </w:r>
          </w:p>
        </w:tc>
        <w:tc>
          <w:tcPr>
            <w:tcW w:w="100" w:type="dxa"/>
            <w:vAlign w:val="bottom"/>
          </w:tcPr>
          <w:p>
            <w:pPr>
              <w:spacing w:after="0"/>
              <w:rPr>
                <w:sz w:val="14"/>
                <w:szCs w:val="14"/>
                <w:color w:val="auto"/>
              </w:rPr>
            </w:pPr>
          </w:p>
        </w:tc>
        <w:tc>
          <w:tcPr>
            <w:tcW w:w="16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Average</w:t>
            </w: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2"/>
                <w:szCs w:val="12"/>
                <w:color w:val="auto"/>
              </w:rPr>
            </w:pPr>
          </w:p>
        </w:tc>
        <w:tc>
          <w:tcPr>
            <w:tcW w:w="16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Remaining</w:t>
            </w:r>
          </w:p>
        </w:tc>
        <w:tc>
          <w:tcPr>
            <w:tcW w:w="120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35"/>
        </w:trPr>
        <w:tc>
          <w:tcPr>
            <w:tcW w:w="5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SSARs</w:t>
            </w:r>
          </w:p>
        </w:tc>
        <w:tc>
          <w:tcPr>
            <w:tcW w:w="100" w:type="dxa"/>
            <w:vAlign w:val="bottom"/>
            <w:vMerge w:val="restart"/>
          </w:tcPr>
          <w:p>
            <w:pPr>
              <w:spacing w:after="0"/>
              <w:rPr>
                <w:sz w:val="11"/>
                <w:szCs w:val="11"/>
                <w:color w:val="auto"/>
              </w:rPr>
            </w:pPr>
          </w:p>
        </w:tc>
        <w:tc>
          <w:tcPr>
            <w:tcW w:w="134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140" w:type="dxa"/>
            <w:vAlign w:val="bottom"/>
          </w:tcPr>
          <w:p>
            <w:pPr>
              <w:jc w:val="center"/>
              <w:ind w:right="137"/>
              <w:spacing w:after="0" w:line="135"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1"/>
                <w:szCs w:val="11"/>
                <w:color w:val="auto"/>
              </w:rPr>
            </w:pPr>
          </w:p>
        </w:tc>
        <w:tc>
          <w:tcPr>
            <w:tcW w:w="16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Contractual</w:t>
            </w: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4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Price</w:t>
            </w:r>
          </w:p>
        </w:tc>
        <w:tc>
          <w:tcPr>
            <w:tcW w:w="100" w:type="dxa"/>
            <w:vAlign w:val="bottom"/>
            <w:tcBorders>
              <w:bottom w:val="single" w:sz="8" w:color="E0E7ED"/>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10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Value ($000's)</w:t>
            </w:r>
          </w:p>
        </w:tc>
        <w:tc>
          <w:tcPr>
            <w:tcW w:w="0" w:type="dxa"/>
            <w:vAlign w:val="bottom"/>
          </w:tcPr>
          <w:p>
            <w:pPr>
              <w:spacing w:after="0"/>
              <w:rPr>
                <w:sz w:val="1"/>
                <w:szCs w:val="1"/>
                <w:color w:val="auto"/>
              </w:rPr>
            </w:pPr>
          </w:p>
        </w:tc>
      </w:tr>
      <w:tr>
        <w:trPr>
          <w:trHeight w:val="243"/>
        </w:trPr>
        <w:tc>
          <w:tcPr>
            <w:tcW w:w="552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Outstanding at December 31, 2024</w:t>
            </w:r>
          </w:p>
        </w:tc>
        <w:tc>
          <w:tcPr>
            <w:tcW w:w="1660" w:type="dxa"/>
            <w:vAlign w:val="bottom"/>
            <w:tcBorders>
              <w:bottom w:val="single" w:sz="8" w:color="E0E7ED"/>
            </w:tcBorders>
            <w:gridSpan w:val="3"/>
            <w:shd w:val="clear" w:color="auto" w:fill="E0E7ED"/>
          </w:tcPr>
          <w:p>
            <w:pPr>
              <w:ind w:left="108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0E7ED"/>
            </w:tcBorders>
            <w:shd w:val="clear" w:color="auto" w:fill="E0E7ED"/>
          </w:tcPr>
          <w:p>
            <w:pPr>
              <w:spacing w:after="0"/>
              <w:rPr>
                <w:sz w:val="21"/>
                <w:szCs w:val="21"/>
                <w:color w:val="auto"/>
              </w:rPr>
            </w:pPr>
          </w:p>
        </w:tc>
        <w:tc>
          <w:tcPr>
            <w:tcW w:w="1620" w:type="dxa"/>
            <w:vAlign w:val="bottom"/>
            <w:tcBorders>
              <w:bottom w:val="single" w:sz="8" w:color="E0E7ED"/>
            </w:tcBorders>
            <w:gridSpan w:val="3"/>
            <w:shd w:val="clear" w:color="auto" w:fill="E0E7ED"/>
          </w:tcPr>
          <w:p>
            <w:pPr>
              <w:ind w:left="1100"/>
              <w:spacing w:after="0"/>
              <w:rPr>
                <w:sz w:val="20"/>
                <w:szCs w:val="20"/>
                <w:color w:val="auto"/>
              </w:rPr>
            </w:pPr>
            <w:r>
              <w:rPr>
                <w:rFonts w:ascii="Arial" w:cs="Arial" w:eastAsia="Arial" w:hAnsi="Arial"/>
                <w:sz w:val="18"/>
                <w:szCs w:val="18"/>
                <w:color w:val="auto"/>
              </w:rPr>
              <w:t>—  $</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Replacement of CrossFirst SSARs</w:t>
            </w:r>
          </w:p>
        </w:tc>
        <w:tc>
          <w:tcPr>
            <w:tcW w:w="1340" w:type="dxa"/>
            <w:vAlign w:val="bottom"/>
          </w:tcPr>
          <w:p>
            <w:pPr>
              <w:jc w:val="right"/>
              <w:spacing w:after="0"/>
              <w:rPr>
                <w:sz w:val="20"/>
                <w:szCs w:val="20"/>
                <w:color w:val="auto"/>
              </w:rPr>
            </w:pPr>
            <w:r>
              <w:rPr>
                <w:rFonts w:ascii="Arial" w:cs="Arial" w:eastAsia="Arial" w:hAnsi="Arial"/>
                <w:sz w:val="18"/>
                <w:szCs w:val="18"/>
                <w:color w:val="auto"/>
              </w:rPr>
              <w:t>424,390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gridSpan w:val="2"/>
            <w:shd w:val="clear" w:color="auto" w:fill="E0E7ED"/>
          </w:tcPr>
          <w:p>
            <w:pPr>
              <w:ind w:left="180"/>
              <w:spacing w:after="0"/>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1</w:t>
            </w: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(80,033)</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10.93</w:t>
            </w:r>
          </w:p>
        </w:tc>
        <w:tc>
          <w:tcPr>
            <w:tcW w:w="100" w:type="dxa"/>
            <w:vAlign w:val="bottom"/>
            <w:shd w:val="clear" w:color="auto" w:fill="E0E7ED"/>
          </w:tcPr>
          <w:p>
            <w:pPr>
              <w:spacing w:after="0"/>
              <w:rPr>
                <w:sz w:val="23"/>
                <w:szCs w:val="23"/>
                <w:color w:val="auto"/>
              </w:rPr>
            </w:pPr>
          </w:p>
        </w:tc>
        <w:tc>
          <w:tcPr>
            <w:tcW w:w="13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6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5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6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Expired</w:t>
            </w:r>
          </w:p>
        </w:tc>
        <w:tc>
          <w:tcPr>
            <w:tcW w:w="1660" w:type="dxa"/>
            <w:vAlign w:val="bottom"/>
            <w:tcBorders>
              <w:bottom w:val="single" w:sz="8" w:color="E0E7ED"/>
            </w:tcBorders>
            <w:gridSpan w:val="3"/>
            <w:shd w:val="clear" w:color="auto" w:fill="E0E7ED"/>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0E7ED"/>
            </w:tcBorders>
            <w:shd w:val="clear" w:color="auto" w:fill="E0E7ED"/>
          </w:tcPr>
          <w:p>
            <w:pPr>
              <w:spacing w:after="0"/>
              <w:rPr>
                <w:sz w:val="23"/>
                <w:szCs w:val="23"/>
                <w:color w:val="auto"/>
              </w:rPr>
            </w:pPr>
          </w:p>
        </w:tc>
        <w:tc>
          <w:tcPr>
            <w:tcW w:w="1360" w:type="dxa"/>
            <w:vAlign w:val="bottom"/>
            <w:tcBorders>
              <w:bottom w:val="single" w:sz="8" w:color="E0E7ED"/>
            </w:tcBorders>
            <w:shd w:val="clear" w:color="auto" w:fill="E0E7ED"/>
          </w:tcPr>
          <w:p>
            <w:pPr>
              <w:spacing w:after="0"/>
              <w:rPr>
                <w:sz w:val="23"/>
                <w:szCs w:val="23"/>
                <w:color w:val="auto"/>
              </w:rPr>
            </w:pPr>
          </w:p>
        </w:tc>
        <w:tc>
          <w:tcPr>
            <w:tcW w:w="100" w:type="dxa"/>
            <w:vAlign w:val="bottom"/>
            <w:tcBorders>
              <w:bottom w:val="single" w:sz="8" w:color="E0E7ED"/>
            </w:tcBorders>
            <w:shd w:val="clear" w:color="auto" w:fill="E0E7ED"/>
          </w:tcPr>
          <w:p>
            <w:pPr>
              <w:spacing w:after="0"/>
              <w:rPr>
                <w:sz w:val="23"/>
                <w:szCs w:val="23"/>
                <w:color w:val="auto"/>
              </w:rPr>
            </w:pP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Outstanding at June 30, 2025</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344,357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16.91</w:t>
            </w:r>
          </w:p>
        </w:tc>
        <w:tc>
          <w:tcPr>
            <w:tcW w:w="100" w:type="dxa"/>
            <w:vAlign w:val="bottom"/>
          </w:tcPr>
          <w:p>
            <w:pPr>
              <w:spacing w:after="0"/>
              <w:rPr>
                <w:sz w:val="22"/>
                <w:szCs w:val="22"/>
                <w:color w:val="auto"/>
              </w:rPr>
            </w:pPr>
          </w:p>
        </w:tc>
        <w:tc>
          <w:tcPr>
            <w:tcW w:w="1620" w:type="dxa"/>
            <w:vAlign w:val="bottom"/>
            <w:gridSpan w:val="3"/>
          </w:tcPr>
          <w:p>
            <w:pPr>
              <w:ind w:left="500"/>
              <w:spacing w:after="0"/>
              <w:rPr>
                <w:sz w:val="20"/>
                <w:szCs w:val="20"/>
                <w:color w:val="auto"/>
              </w:rPr>
            </w:pPr>
            <w:r>
              <w:rPr>
                <w:rFonts w:ascii="Arial" w:cs="Arial" w:eastAsia="Arial" w:hAnsi="Arial"/>
                <w:sz w:val="18"/>
                <w:szCs w:val="18"/>
                <w:color w:val="auto"/>
              </w:rPr>
              <w:t>4.90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0"/>
        </w:trPr>
        <w:tc>
          <w:tcPr>
            <w:tcW w:w="54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E0E7ED"/>
            </w:tcBorders>
          </w:tcPr>
          <w:p>
            <w:pPr>
              <w:spacing w:after="0" w:line="20" w:lineRule="exact"/>
              <w:rPr>
                <w:sz w:val="1"/>
                <w:szCs w:val="1"/>
                <w:color w:val="auto"/>
              </w:rPr>
            </w:pPr>
          </w:p>
        </w:tc>
        <w:tc>
          <w:tcPr>
            <w:tcW w:w="11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3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2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6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520" w:type="dxa"/>
            <w:vAlign w:val="bottom"/>
            <w:gridSpan w:val="2"/>
          </w:tcPr>
          <w:p>
            <w:pPr>
              <w:ind w:left="20"/>
              <w:spacing w:after="0"/>
              <w:rPr>
                <w:sz w:val="20"/>
                <w:szCs w:val="20"/>
                <w:color w:val="auto"/>
              </w:rPr>
            </w:pPr>
            <w:r>
              <w:rPr>
                <w:rFonts w:ascii="Arial" w:cs="Arial" w:eastAsia="Arial" w:hAnsi="Arial"/>
                <w:sz w:val="18"/>
                <w:szCs w:val="18"/>
                <w:color w:val="auto"/>
              </w:rPr>
              <w:t>Exercisable at June 30, 2025</w:t>
            </w:r>
          </w:p>
        </w:tc>
        <w:tc>
          <w:tcPr>
            <w:tcW w:w="1340" w:type="dxa"/>
            <w:vAlign w:val="bottom"/>
          </w:tcPr>
          <w:p>
            <w:pPr>
              <w:jc w:val="right"/>
              <w:spacing w:after="0"/>
              <w:rPr>
                <w:sz w:val="20"/>
                <w:szCs w:val="20"/>
                <w:color w:val="auto"/>
              </w:rPr>
            </w:pPr>
            <w:r>
              <w:rPr>
                <w:rFonts w:ascii="Arial" w:cs="Arial" w:eastAsia="Arial" w:hAnsi="Arial"/>
                <w:sz w:val="18"/>
                <w:szCs w:val="18"/>
                <w:color w:val="auto"/>
              </w:rPr>
              <w:t>307,153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1"/>
                <w:szCs w:val="21"/>
                <w:color w:val="auto"/>
              </w:rPr>
            </w:pPr>
          </w:p>
        </w:tc>
        <w:tc>
          <w:tcPr>
            <w:tcW w:w="1620" w:type="dxa"/>
            <w:vAlign w:val="bottom"/>
            <w:gridSpan w:val="3"/>
          </w:tcPr>
          <w:p>
            <w:pPr>
              <w:ind w:left="500"/>
              <w:spacing w:after="0"/>
              <w:rPr>
                <w:sz w:val="20"/>
                <w:szCs w:val="20"/>
                <w:color w:val="auto"/>
              </w:rPr>
            </w:pPr>
            <w:r>
              <w:rPr>
                <w:rFonts w:ascii="Arial" w:cs="Arial" w:eastAsia="Arial" w:hAnsi="Arial"/>
                <w:sz w:val="18"/>
                <w:szCs w:val="18"/>
                <w:color w:val="auto"/>
              </w:rPr>
              <w:t>4.93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1,975</w:t>
            </w:r>
          </w:p>
        </w:tc>
        <w:tc>
          <w:tcPr>
            <w:tcW w:w="0" w:type="dxa"/>
            <w:vAlign w:val="bottom"/>
          </w:tcPr>
          <w:p>
            <w:pPr>
              <w:spacing w:after="0"/>
              <w:rPr>
                <w:sz w:val="1"/>
                <w:szCs w:val="1"/>
                <w:color w:val="auto"/>
              </w:rPr>
            </w:pPr>
          </w:p>
        </w:tc>
      </w:tr>
      <w:tr>
        <w:trPr>
          <w:trHeight w:val="764"/>
        </w:trPr>
        <w:tc>
          <w:tcPr>
            <w:tcW w:w="5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920" w:type="dxa"/>
            <w:vAlign w:val="bottom"/>
            <w:gridSpan w:val="5"/>
          </w:tcPr>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49</w:t>
            </w:r>
          </w:p>
        </w:tc>
        <w:tc>
          <w:tcPr>
            <w:tcW w:w="0" w:type="dxa"/>
            <w:vAlign w:val="bottom"/>
          </w:tcPr>
          <w:p>
            <w:pPr>
              <w:spacing w:after="0"/>
              <w:rPr>
                <w:sz w:val="1"/>
                <w:szCs w:val="1"/>
                <w:color w:val="auto"/>
              </w:rPr>
            </w:pPr>
          </w:p>
        </w:tc>
      </w:tr>
      <w:tr>
        <w:trPr>
          <w:trHeight w:val="278"/>
        </w:trPr>
        <w:tc>
          <w:tcPr>
            <w:tcW w:w="5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60" w:hanging="390"/>
        <w:spacing w:after="0"/>
        <w:tabs>
          <w:tab w:leader="none" w:pos="5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aggregate intrinsic value of SSARs exercised during 2025 was $0.9 million.</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provides the range of assumptions used in the Monte Carlo simulations to value CrossFirst awards that were replaced at acquisition, the weighted average grant date fair value, and information related to SSARs exercised for the indicated periods, as well as the remaining compensation cost to be recognized and the period over which the amount will be recognized as of the dates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7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2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Six Months Ended June 30, 2025</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Assumptions</w:t>
            </w:r>
          </w:p>
        </w:tc>
        <w:tc>
          <w:tcPr>
            <w:tcW w:w="1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8"/>
        </w:trPr>
        <w:tc>
          <w:tcPr>
            <w:tcW w:w="8720" w:type="dxa"/>
            <w:vAlign w:val="bottom"/>
            <w:shd w:val="clear" w:color="auto" w:fill="E0E7ED"/>
          </w:tcPr>
          <w:p>
            <w:pPr>
              <w:ind w:left="180"/>
              <w:spacing w:after="0"/>
              <w:rPr>
                <w:sz w:val="20"/>
                <w:szCs w:val="20"/>
                <w:color w:val="auto"/>
              </w:rPr>
            </w:pPr>
            <w:r>
              <w:rPr>
                <w:rFonts w:ascii="Arial" w:cs="Arial" w:eastAsia="Arial" w:hAnsi="Arial"/>
                <w:sz w:val="18"/>
                <w:szCs w:val="18"/>
                <w:color w:val="auto"/>
              </w:rPr>
              <w:t>Expected volatility</w:t>
            </w:r>
            <w:r>
              <w:rPr>
                <w:rFonts w:ascii="Arial" w:cs="Arial" w:eastAsia="Arial" w:hAnsi="Arial"/>
                <w:sz w:val="23"/>
                <w:szCs w:val="23"/>
                <w:color w:val="auto"/>
                <w:vertAlign w:val="superscript"/>
              </w:rPr>
              <w:t>1</w:t>
            </w: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29.10%</w:t>
            </w:r>
          </w:p>
        </w:tc>
        <w:tc>
          <w:tcPr>
            <w:tcW w:w="1340" w:type="dxa"/>
            <w:vAlign w:val="bottom"/>
            <w:shd w:val="clear" w:color="auto" w:fill="E0E7ED"/>
          </w:tcPr>
          <w:p>
            <w:pPr>
              <w:ind w:left="20"/>
              <w:spacing w:after="0"/>
              <w:rPr>
                <w:sz w:val="20"/>
                <w:szCs w:val="20"/>
                <w:color w:val="auto"/>
              </w:rPr>
            </w:pPr>
            <w:r>
              <w:rPr>
                <w:rFonts w:ascii="Arial" w:cs="Arial" w:eastAsia="Arial" w:hAnsi="Arial"/>
                <w:sz w:val="18"/>
                <w:szCs w:val="18"/>
                <w:color w:val="auto"/>
              </w:rPr>
              <w:t>– 36.70%</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Expected dividends</w:t>
            </w:r>
            <w:r>
              <w:rPr>
                <w:rFonts w:ascii="Arial" w:cs="Arial" w:eastAsia="Arial" w:hAnsi="Arial"/>
                <w:sz w:val="23"/>
                <w:szCs w:val="23"/>
                <w:color w:val="auto"/>
                <w:vertAlign w:val="superscript"/>
              </w:rPr>
              <w:t>2</w:t>
            </w:r>
          </w:p>
        </w:tc>
        <w:tc>
          <w:tcPr>
            <w:tcW w:w="2520" w:type="dxa"/>
            <w:vAlign w:val="bottom"/>
            <w:gridSpan w:val="2"/>
          </w:tcPr>
          <w:p>
            <w:pPr>
              <w:jc w:val="center"/>
              <w:spacing w:after="0"/>
              <w:rPr>
                <w:sz w:val="20"/>
                <w:szCs w:val="20"/>
                <w:color w:val="auto"/>
              </w:rPr>
            </w:pPr>
            <w:r>
              <w:rPr>
                <w:rFonts w:ascii="Arial" w:cs="Arial" w:eastAsia="Arial" w:hAnsi="Arial"/>
                <w:sz w:val="18"/>
                <w:szCs w:val="18"/>
                <w:color w:val="auto"/>
              </w:rPr>
              <w:t>4.17%</w:t>
            </w:r>
          </w:p>
        </w:tc>
      </w:tr>
      <w:tr>
        <w:trPr>
          <w:trHeight w:val="270"/>
        </w:trPr>
        <w:tc>
          <w:tcPr>
            <w:tcW w:w="8720" w:type="dxa"/>
            <w:vAlign w:val="bottom"/>
            <w:shd w:val="clear" w:color="auto" w:fill="E0E7ED"/>
          </w:tcPr>
          <w:p>
            <w:pPr>
              <w:ind w:left="180"/>
              <w:spacing w:after="0"/>
              <w:rPr>
                <w:sz w:val="20"/>
                <w:szCs w:val="20"/>
                <w:color w:val="auto"/>
              </w:rPr>
            </w:pPr>
            <w:r>
              <w:rPr>
                <w:rFonts w:ascii="Arial" w:cs="Arial" w:eastAsia="Arial" w:hAnsi="Arial"/>
                <w:sz w:val="18"/>
                <w:szCs w:val="18"/>
                <w:color w:val="auto"/>
              </w:rPr>
              <w:t>Simulation term</w:t>
            </w:r>
            <w:r>
              <w:rPr>
                <w:rFonts w:ascii="Arial" w:cs="Arial" w:eastAsia="Arial" w:hAnsi="Arial"/>
                <w:sz w:val="23"/>
                <w:szCs w:val="23"/>
                <w:color w:val="auto"/>
                <w:vertAlign w:val="superscript"/>
              </w:rPr>
              <w:t>3, 4, 5</w:t>
            </w:r>
          </w:p>
        </w:tc>
        <w:tc>
          <w:tcPr>
            <w:tcW w:w="2520" w:type="dxa"/>
            <w:vAlign w:val="bottom"/>
            <w:gridSpan w:val="2"/>
            <w:shd w:val="clear" w:color="auto" w:fill="E0E7ED"/>
          </w:tcPr>
          <w:p>
            <w:pPr>
              <w:jc w:val="center"/>
              <w:spacing w:after="0"/>
              <w:rPr>
                <w:sz w:val="20"/>
                <w:szCs w:val="20"/>
                <w:color w:val="auto"/>
              </w:rPr>
            </w:pPr>
            <w:r>
              <w:rPr>
                <w:rFonts w:ascii="Arial" w:cs="Arial" w:eastAsia="Arial" w:hAnsi="Arial"/>
                <w:sz w:val="18"/>
                <w:szCs w:val="18"/>
                <w:color w:val="auto"/>
                <w:w w:val="99"/>
              </w:rPr>
              <w:t>4.20 years – 5.69 years</w:t>
            </w:r>
          </w:p>
        </w:tc>
      </w:tr>
      <w:tr>
        <w:trPr>
          <w:trHeight w:val="270"/>
        </w:trPr>
        <w:tc>
          <w:tcPr>
            <w:tcW w:w="8720" w:type="dxa"/>
            <w:vAlign w:val="bottom"/>
          </w:tcPr>
          <w:p>
            <w:pPr>
              <w:ind w:left="180"/>
              <w:spacing w:after="0"/>
              <w:rPr>
                <w:sz w:val="20"/>
                <w:szCs w:val="20"/>
                <w:color w:val="auto"/>
              </w:rPr>
            </w:pPr>
            <w:r>
              <w:rPr>
                <w:rFonts w:ascii="Arial" w:cs="Arial" w:eastAsia="Arial" w:hAnsi="Arial"/>
                <w:sz w:val="18"/>
                <w:szCs w:val="18"/>
                <w:color w:val="auto"/>
              </w:rPr>
              <w:t>Risk-free rate</w:t>
            </w:r>
            <w:r>
              <w:rPr>
                <w:rFonts w:ascii="Arial" w:cs="Arial" w:eastAsia="Arial" w:hAnsi="Arial"/>
                <w:sz w:val="23"/>
                <w:szCs w:val="23"/>
                <w:color w:val="auto"/>
                <w:vertAlign w:val="superscript"/>
              </w:rPr>
              <w:t>6</w:t>
            </w: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340" w:type="dxa"/>
            <w:vAlign w:val="bottom"/>
          </w:tcPr>
          <w:p>
            <w:pPr>
              <w:ind w:left="20"/>
              <w:spacing w:after="0"/>
              <w:rPr>
                <w:sz w:val="20"/>
                <w:szCs w:val="20"/>
                <w:color w:val="auto"/>
              </w:rPr>
            </w:pPr>
            <w:r>
              <w:rPr>
                <w:rFonts w:ascii="Arial" w:cs="Arial" w:eastAsia="Arial" w:hAnsi="Arial"/>
                <w:sz w:val="18"/>
                <w:szCs w:val="18"/>
                <w:color w:val="auto"/>
              </w:rPr>
              <w:t>– 4.03%</w:t>
            </w:r>
          </w:p>
        </w:tc>
      </w:tr>
      <w:tr>
        <w:trPr>
          <w:trHeight w:val="247"/>
        </w:trPr>
        <w:tc>
          <w:tcPr>
            <w:tcW w:w="8720" w:type="dxa"/>
            <w:vAlign w:val="bottom"/>
            <w:shd w:val="clear" w:color="auto" w:fill="E0E7ED"/>
          </w:tcPr>
          <w:p>
            <w:pPr>
              <w:ind w:left="20"/>
              <w:spacing w:after="0"/>
              <w:rPr>
                <w:sz w:val="20"/>
                <w:szCs w:val="20"/>
                <w:color w:val="auto"/>
              </w:rPr>
            </w:pPr>
            <w:r>
              <w:rPr>
                <w:rFonts w:ascii="Arial" w:cs="Arial" w:eastAsia="Arial" w:hAnsi="Arial"/>
                <w:sz w:val="18"/>
                <w:szCs w:val="18"/>
                <w:color w:val="auto"/>
              </w:rPr>
              <w:t>Weighted average grant date fair value per share</w:t>
            </w:r>
          </w:p>
        </w:tc>
        <w:tc>
          <w:tcPr>
            <w:tcW w:w="1180" w:type="dxa"/>
            <w:vAlign w:val="bottom"/>
            <w:shd w:val="clear" w:color="auto" w:fill="E0E7ED"/>
          </w:tcPr>
          <w:p>
            <w:pPr>
              <w:jc w:val="right"/>
              <w:ind w:right="973"/>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8.94</w:t>
            </w:r>
          </w:p>
        </w:tc>
      </w:tr>
      <w:tr>
        <w:trPr>
          <w:trHeight w:val="23"/>
        </w:trPr>
        <w:tc>
          <w:tcPr>
            <w:tcW w:w="8720" w:type="dxa"/>
            <w:vAlign w:val="bottom"/>
            <w:shd w:val="clear" w:color="auto" w:fill="E0E7ED"/>
          </w:tcPr>
          <w:p>
            <w:pPr>
              <w:spacing w:after="0"/>
              <w:rPr>
                <w:sz w:val="2"/>
                <w:szCs w:val="2"/>
                <w:color w:val="auto"/>
              </w:rPr>
            </w:pPr>
          </w:p>
        </w:tc>
        <w:tc>
          <w:tcPr>
            <w:tcW w:w="1180" w:type="dxa"/>
            <w:vAlign w:val="bottom"/>
            <w:shd w:val="clear" w:color="auto" w:fill="E0E7ED"/>
          </w:tcPr>
          <w:p>
            <w:pPr>
              <w:spacing w:after="0"/>
              <w:rPr>
                <w:sz w:val="2"/>
                <w:szCs w:val="2"/>
                <w:color w:val="auto"/>
              </w:rPr>
            </w:pPr>
          </w:p>
        </w:tc>
        <w:tc>
          <w:tcPr>
            <w:tcW w:w="1340" w:type="dxa"/>
            <w:vAlign w:val="bottom"/>
            <w:shd w:val="clear" w:color="auto" w:fill="E0E7ED"/>
          </w:tcPr>
          <w:p>
            <w:pPr>
              <w:spacing w:after="0"/>
              <w:rPr>
                <w:sz w:val="2"/>
                <w:szCs w:val="2"/>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Expected volatility was calculated using a historical volatility of Busey’s stock price over a period commensurate with the simulation term of the SSARs.</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dividend yield was calculated using Busey’s annual dividend and closing stock price on the date of acquisition.</w:t>
      </w:r>
    </w:p>
    <w:p>
      <w:pPr>
        <w:spacing w:after="0" w:line="1" w:lineRule="exact"/>
        <w:rPr>
          <w:rFonts w:ascii="Arial" w:cs="Arial" w:eastAsia="Arial" w:hAnsi="Arial"/>
          <w:sz w:val="14"/>
          <w:szCs w:val="14"/>
          <w:color w:val="auto"/>
        </w:rPr>
      </w:pPr>
    </w:p>
    <w:p>
      <w:pPr>
        <w:ind w:left="500" w:hanging="330"/>
        <w:spacing w:after="0" w:line="261" w:lineRule="auto"/>
        <w:tabs>
          <w:tab w:leader="none" w:pos="498"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simulation term was commensurate with the midpoint of the longest expected term across all SSARs and was impacted by expected exercise behavior and termination rate.</w:t>
      </w:r>
    </w:p>
    <w:p>
      <w:pPr>
        <w:ind w:left="500" w:hanging="330"/>
        <w:spacing w:after="0" w:line="261" w:lineRule="auto"/>
        <w:tabs>
          <w:tab w:leader="none" w:pos="498"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a component of determining the simulation term, exercise was assumed to occur at the earlier of the midpoint of i) the greater of the weighted average time to vest or the time the options are in the money, and the time the SSARs expires, ii) 90 days following the occurrence of a termination or iii) the end of the contractual term.</w:t>
      </w:r>
    </w:p>
    <w:p>
      <w:pPr>
        <w:ind w:left="500" w:hanging="330"/>
        <w:spacing w:after="0" w:line="251" w:lineRule="auto"/>
        <w:tabs>
          <w:tab w:leader="none" w:pos="498" w:val="left"/>
        </w:tabs>
        <w:numPr>
          <w:ilvl w:val="0"/>
          <w:numId w:val="26"/>
        </w:numPr>
        <w:rPr>
          <w:rFonts w:ascii="Arial" w:cs="Arial" w:eastAsia="Arial" w:hAnsi="Arial"/>
          <w:sz w:val="14"/>
          <w:szCs w:val="14"/>
          <w:color w:val="auto"/>
        </w:rPr>
      </w:pPr>
      <w:r>
        <w:rPr>
          <w:rFonts w:ascii="Arial" w:cs="Arial" w:eastAsia="Arial" w:hAnsi="Arial"/>
          <w:sz w:val="14"/>
          <w:szCs w:val="14"/>
          <w:color w:val="auto"/>
        </w:rPr>
        <w:t>As a component of determining the simulation term, termination rate was assumed to be between 25% and 50% in the first year following the acquisition and 5% for every year thereafter.</w:t>
      </w: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The risk-free rate for the simulation term of the SSARs was based on the continuously compounded semi-annual zero-coupon U.S. Treasury rates.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has granted RSU, PSU, and DSU awards under the terms of its 2020 Equity Plan. Upon vesting and delivery, shares are expected, though not required, to be issued from treasury stock. There were 683,423 shares available for issuance under the 2020 Equity Plan as of June 30, 2025.</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description of RSU, PSU, and DSU awards granted in 2025 under the terms of the 2020 Equity Plan is provided below. Further information related to awards granted in prior years has been presented in the Annual Reports previously filed with the SEC corresponding to the year of each award grant.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RSU Awards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grants RSU awards to members of management periodically throughout the year. RSU awards are stock-based awards for which vesting is conditional upon meeting established service criteria. Each RSU represents the future right to receive one share of Busey’s common stock. Recipients earn quarterly dividend equivalents on their respective RSUs, which entitle the recipients to additional units. Therefore, dividends earned each quarter compound based upon the updated unit balances.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26, 2025, under the terms of the 2020 Equity Plan, Busey granted 348,269 RSUs to members of management. The grant date fair value of the award was $7.7 million, which will be recognized as compensation expense over the requisite service period. These awards will vest in equal installments on each of the first three anniversaries of the grant date. The terms of these awards included an accelerated vesting provision upon eligible retirement from Busey, after a one-year minimum requisite service period.</w:t>
      </w:r>
    </w:p>
    <w:p>
      <w:pPr>
        <w:spacing w:after="0" w:line="13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On May 29, 2025, under the terms of the 2020 Equity Plan, Busey granted 4,494 RSUs to members of management. The grant date fair value of the award was $ 0.1 million, which will be recognized as compensation expense over the requisite service period. These awards will vest in equal installments on each of the first three anniversaries of the grant date.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Busey’s RSU awards for the six months ended June 30, 2025,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76"/>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RSU Awards</w:t>
            </w:r>
          </w:p>
        </w:tc>
        <w:tc>
          <w:tcPr>
            <w:tcW w:w="100" w:type="dxa"/>
            <w:vAlign w:val="bottom"/>
            <w:vMerge w:val="restart"/>
          </w:tcPr>
          <w:p>
            <w:pPr>
              <w:spacing w:after="0"/>
              <w:rPr>
                <w:sz w:val="11"/>
                <w:szCs w:val="11"/>
                <w:color w:val="auto"/>
              </w:rPr>
            </w:pPr>
          </w:p>
        </w:tc>
        <w:tc>
          <w:tcPr>
            <w:tcW w:w="148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176"/>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6"/>
        </w:trPr>
        <w:tc>
          <w:tcPr>
            <w:tcW w:w="8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Nonvested at December 31, 2024</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1,066,772</w:t>
            </w:r>
          </w:p>
        </w:tc>
        <w:tc>
          <w:tcPr>
            <w:tcW w:w="36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21.80</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Conversion of Busey ROATCE PSUs to RSUs</w:t>
            </w:r>
          </w:p>
        </w:tc>
        <w:tc>
          <w:tcPr>
            <w:tcW w:w="1480" w:type="dxa"/>
            <w:vAlign w:val="bottom"/>
          </w:tcPr>
          <w:p>
            <w:pPr>
              <w:jc w:val="right"/>
              <w:spacing w:after="0"/>
              <w:rPr>
                <w:sz w:val="20"/>
                <w:szCs w:val="20"/>
                <w:color w:val="auto"/>
              </w:rPr>
            </w:pPr>
            <w:r>
              <w:rPr>
                <w:rFonts w:ascii="Arial" w:cs="Arial" w:eastAsia="Arial" w:hAnsi="Arial"/>
                <w:sz w:val="18"/>
                <w:szCs w:val="18"/>
                <w:color w:val="auto"/>
              </w:rPr>
              <w:t>157,094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Replacement of CrossFirst RSUs and PSUs</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341,048</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352,763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Dividend equivalents earned</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32,855</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(98,014)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(107,568)</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21.99</w:t>
            </w:r>
          </w:p>
        </w:tc>
        <w:tc>
          <w:tcPr>
            <w:tcW w:w="0" w:type="dxa"/>
            <w:vAlign w:val="bottom"/>
          </w:tcPr>
          <w:p>
            <w:pPr>
              <w:spacing w:after="0"/>
              <w:rPr>
                <w:sz w:val="1"/>
                <w:szCs w:val="1"/>
                <w:color w:val="auto"/>
              </w:rPr>
            </w:pPr>
          </w:p>
        </w:tc>
      </w:tr>
      <w:tr>
        <w:trPr>
          <w:trHeight w:val="26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Nonvested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1,744,950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PSU Awards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Busey grants PSU awards to members of management periodically throughout the year. PSU awards are stock-based awards for which vesting is conditional upon meeting established performance criteria for the applicable performance period and providing continuous service through the end of such performance period. Each PSU represents the future right to receive one share of Busey’s common stock. The number of PSUs that ultimately vest will be determined based on the extent to which the established performance criteria are achieved. Busey’s PSUs are subject to accelerated service-based vesting conditions upon eligible retirement from Busey. After performance determination, dividend equivalents are compounded based upon the updated PSU balances at each dividend date during the performance period.</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2025, under the terms of the 2020 Equity Plan, in connection with the CrossFirst acquisition, Busey granted a target of 59,471 Merger PSUs to replace the 2022 TSR PSUs with a maximum award of 95,154 units. The actual number of units issued at the vesting date could range from 0% to 160% of the initial grant, depending on attaining a relative total stockholder return performance goal. The grant date fair value of the award, calculated using the Geometric Brownian Motion Model, is $1.3 million, which will be recognized in compensation expense over the performance period ending December 31, 2026.</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 relative total stockholder return performance goal. The grant date fair value of the award, calculated using the Geometric Brownian Motion Model, is $3.4 million, which will be recognized in compensation expense over the performance period ending December 31, 2027.</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26, 2025, under the terms of the 2020 Equity Plan, Busey granted a target of 174,126 PSUs with a maximum award of 278,602 units. The actual number of units issued at the vesting date could range from 0% to 160% of the initial grant, depending on attaining an adjusted return on average tangible common equity performance goal. The grant date fair value of the award was $3.9 million, which will be recognized in compensation expense over the performance period ending December 31, 2027. The actual amount of compensation expense recognized for these awards is subject to adjustment based on the extent to which performance goals are expected to be achieved.</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Busey’s PSU awards for the six months ended June 30, 2025, is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jc w:val="center"/>
              <w:ind w:right="177"/>
              <w:spacing w:after="0" w:line="14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PSU Awards</w:t>
            </w:r>
          </w:p>
        </w:tc>
        <w:tc>
          <w:tcPr>
            <w:tcW w:w="100" w:type="dxa"/>
            <w:vAlign w:val="bottom"/>
            <w:vMerge w:val="restart"/>
          </w:tcPr>
          <w:p>
            <w:pPr>
              <w:spacing w:after="0"/>
              <w:rPr>
                <w:sz w:val="11"/>
                <w:szCs w:val="11"/>
                <w:color w:val="auto"/>
              </w:rPr>
            </w:pP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Shares</w:t>
            </w:r>
            <w:r>
              <w:rPr>
                <w:rFonts w:ascii="Arial" w:cs="Arial" w:eastAsia="Arial" w:hAnsi="Arial"/>
                <w:sz w:val="9"/>
                <w:szCs w:val="9"/>
                <w:b w:val="1"/>
                <w:bCs w:val="1"/>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5"/>
        </w:trPr>
        <w:tc>
          <w:tcPr>
            <w:tcW w:w="80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81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Nonvested at December 31, 2024</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372,042</w:t>
            </w:r>
          </w:p>
        </w:tc>
        <w:tc>
          <w:tcPr>
            <w:tcW w:w="36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Modifications based on CrossFirst acquisition</w:t>
            </w:r>
            <w:r>
              <w:rPr>
                <w:rFonts w:ascii="Arial" w:cs="Arial" w:eastAsia="Arial" w:hAnsi="Arial"/>
                <w:sz w:val="23"/>
                <w:szCs w:val="23"/>
                <w:color w:val="auto"/>
                <w:vertAlign w:val="superscript"/>
              </w:rPr>
              <w:t>2</w:t>
            </w:r>
          </w:p>
        </w:tc>
        <w:tc>
          <w:tcPr>
            <w:tcW w:w="1480" w:type="dxa"/>
            <w:vAlign w:val="bottom"/>
          </w:tcPr>
          <w:p>
            <w:pPr>
              <w:jc w:val="right"/>
              <w:spacing w:after="0"/>
              <w:rPr>
                <w:sz w:val="20"/>
                <w:szCs w:val="20"/>
                <w:color w:val="auto"/>
              </w:rPr>
            </w:pPr>
            <w:r>
              <w:rPr>
                <w:rFonts w:ascii="Arial" w:cs="Arial" w:eastAsia="Arial" w:hAnsi="Arial"/>
                <w:sz w:val="18"/>
                <w:szCs w:val="18"/>
                <w:color w:val="auto"/>
              </w:rPr>
              <w:t>(181,828)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407,723</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Forfeited</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(32,620)</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6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Nonvested at June 30, 2025</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565,162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21.28</w:t>
            </w:r>
          </w:p>
        </w:tc>
        <w:tc>
          <w:tcPr>
            <w:tcW w:w="0" w:type="dxa"/>
            <w:vAlign w:val="bottom"/>
          </w:tcPr>
          <w:p>
            <w:pPr>
              <w:spacing w:after="0"/>
              <w:rPr>
                <w:sz w:val="1"/>
                <w:szCs w:val="1"/>
                <w:color w:val="auto"/>
              </w:rPr>
            </w:pPr>
          </w:p>
        </w:tc>
      </w:tr>
      <w:tr>
        <w:trPr>
          <w:trHeight w:val="21"/>
        </w:trPr>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Shares for PSU awards represent target shares at the grant date.</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Modifications include PSUs that were converted to RSUs as well as balance adjustments related to the 2023 TSR PSUs and the 2024 TSR PSUs.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DSU Awards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grants DSU awards to its non-employee directors. DSU awards are stock-based awards with a deferred settlement date. Each DSU represents the future right to receive one share of Busey’s common stock. DSUs vest over a one-year period following the grant date. Under the 2020 Equity Plan, DSUs are generally subject to the same terms as RSUs, except that following vesting of DSUs, settlement occurs within 30 days following the earlier of separation from the board or a change in control of the Company. After vesting and prior to delivery, DSUs will continue to earn dividend equivalents.</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26, 2025, under the terms of the 2020 Equity Plan, Busey granted 39,846 DSUs to non-employee directors. The grant date fair value of the award totaled $0.9 million and will be recognized as compensation expense over the requisite service period of one year. Subsequent to the requisite service period, the awards will become 100% vested.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Busey’s DSU awards for the six months ended June 30, 2025,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center"/>
              <w:ind w:right="177"/>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35"/>
        </w:trPr>
        <w:tc>
          <w:tcPr>
            <w:tcW w:w="8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35"/>
        </w:trPr>
        <w:tc>
          <w:tcPr>
            <w:tcW w:w="8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DSU Awards</w:t>
            </w:r>
          </w:p>
        </w:tc>
        <w:tc>
          <w:tcPr>
            <w:tcW w:w="100" w:type="dxa"/>
            <w:vAlign w:val="bottom"/>
            <w:vMerge w:val="restart"/>
          </w:tcPr>
          <w:p>
            <w:pPr>
              <w:spacing w:after="0"/>
              <w:rPr>
                <w:sz w:val="11"/>
                <w:szCs w:val="11"/>
                <w:color w:val="auto"/>
              </w:rPr>
            </w:pPr>
          </w:p>
        </w:tc>
        <w:tc>
          <w:tcPr>
            <w:tcW w:w="148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89"/>
        </w:trPr>
        <w:tc>
          <w:tcPr>
            <w:tcW w:w="8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0E7ED"/>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E0E7ED"/>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4"/>
        </w:trPr>
        <w:tc>
          <w:tcPr>
            <w:tcW w:w="81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Nonvested at December 31, 2024</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36,893</w:t>
            </w:r>
          </w:p>
        </w:tc>
        <w:tc>
          <w:tcPr>
            <w:tcW w:w="36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39,846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3"/>
        </w:trPr>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60" w:type="dxa"/>
            <w:vAlign w:val="bottom"/>
            <w:tcBorders>
              <w:bottom w:val="single" w:sz="8" w:color="E0E7ED"/>
            </w:tcBorders>
            <w:gridSpan w:val="2"/>
            <w:shd w:val="clear" w:color="auto" w:fill="E0E7ED"/>
          </w:tcPr>
          <w:p>
            <w:pPr>
              <w:ind w:left="180"/>
              <w:spacing w:after="0"/>
              <w:rPr>
                <w:sz w:val="20"/>
                <w:szCs w:val="20"/>
                <w:color w:val="auto"/>
              </w:rPr>
            </w:pPr>
            <w:r>
              <w:rPr>
                <w:rFonts w:ascii="Arial" w:cs="Arial" w:eastAsia="Arial" w:hAnsi="Arial"/>
                <w:sz w:val="18"/>
                <w:szCs w:val="18"/>
                <w:color w:val="auto"/>
              </w:rPr>
              <w:t>Dividend equivalents earned</w:t>
            </w: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4,474</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22.51</w:t>
            </w:r>
          </w:p>
        </w:tc>
        <w:tc>
          <w:tcPr>
            <w:tcW w:w="0" w:type="dxa"/>
            <w:vAlign w:val="bottom"/>
          </w:tcPr>
          <w:p>
            <w:pPr>
              <w:spacing w:after="0"/>
              <w:rPr>
                <w:sz w:val="1"/>
                <w:szCs w:val="1"/>
                <w:color w:val="auto"/>
              </w:rPr>
            </w:pPr>
          </w:p>
        </w:tc>
      </w:tr>
      <w:tr>
        <w:trPr>
          <w:trHeight w:val="247"/>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Vested</w:t>
            </w:r>
          </w:p>
        </w:tc>
        <w:tc>
          <w:tcPr>
            <w:tcW w:w="1480" w:type="dxa"/>
            <w:vAlign w:val="bottom"/>
          </w:tcPr>
          <w:p>
            <w:pPr>
              <w:jc w:val="right"/>
              <w:spacing w:after="0"/>
              <w:rPr>
                <w:sz w:val="20"/>
                <w:szCs w:val="20"/>
                <w:color w:val="auto"/>
              </w:rPr>
            </w:pPr>
            <w:r>
              <w:rPr>
                <w:rFonts w:ascii="Arial" w:cs="Arial" w:eastAsia="Arial" w:hAnsi="Arial"/>
                <w:sz w:val="18"/>
                <w:szCs w:val="18"/>
                <w:color w:val="auto"/>
              </w:rPr>
              <w:t>(40,885)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3"/>
        </w:trPr>
        <w:tc>
          <w:tcPr>
            <w:tcW w:w="806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E0E7ED"/>
            </w:tcBorders>
          </w:tcPr>
          <w:p>
            <w:pPr>
              <w:spacing w:after="0"/>
              <w:rPr>
                <w:sz w:val="2"/>
                <w:szCs w:val="2"/>
                <w:color w:val="auto"/>
              </w:rPr>
            </w:pPr>
          </w:p>
        </w:tc>
        <w:tc>
          <w:tcPr>
            <w:tcW w:w="124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Nonvested at June 30, 2025</w:t>
            </w:r>
          </w:p>
        </w:tc>
        <w:tc>
          <w:tcPr>
            <w:tcW w:w="14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40,328</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E0E7ED"/>
            </w:tcBorders>
            <w:shd w:val="clear" w:color="auto" w:fill="E0E7ED"/>
          </w:tcPr>
          <w:p>
            <w:pPr>
              <w:spacing w:after="0"/>
              <w:rPr>
                <w:sz w:val="24"/>
                <w:szCs w:val="24"/>
                <w:color w:val="auto"/>
              </w:rPr>
            </w:pPr>
          </w:p>
        </w:tc>
        <w:tc>
          <w:tcPr>
            <w:tcW w:w="12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0"/>
        </w:trPr>
        <w:tc>
          <w:tcPr>
            <w:tcW w:w="80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tcBorders>
          </w:tcPr>
          <w:p>
            <w:pPr>
              <w:spacing w:after="0" w:line="20" w:lineRule="exact"/>
              <w:rPr>
                <w:sz w:val="1"/>
                <w:szCs w:val="1"/>
                <w:color w:val="auto"/>
              </w:rPr>
            </w:pPr>
          </w:p>
        </w:tc>
        <w:tc>
          <w:tcPr>
            <w:tcW w:w="124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81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Vested and outstanding at June 30, 2025</w:t>
            </w: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142,922</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3"/>
        </w:trPr>
        <w:tc>
          <w:tcPr>
            <w:tcW w:w="8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4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24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ESPP initially reserved for issuance and purchase an aggregate of 600,000 shares of Busey’s common stock. The first offering under the ESPP began on July 1, 2021. There were 337,435 shares available for issuance under the ESPP as of June 30, 2025.</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Busey recognized compensation expense related to non-vested equity awards as summarized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2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300" w:type="dxa"/>
            <w:vAlign w:val="bottom"/>
            <w:gridSpan w:val="2"/>
          </w:tcPr>
          <w:p>
            <w:pPr>
              <w:ind w:left="800"/>
              <w:spacing w:after="0"/>
              <w:rPr>
                <w:sz w:val="20"/>
                <w:szCs w:val="20"/>
                <w:color w:val="auto"/>
              </w:rPr>
            </w:pPr>
            <w:r>
              <w:rPr>
                <w:rFonts w:ascii="Arial" w:cs="Arial" w:eastAsia="Arial" w:hAnsi="Arial"/>
                <w:sz w:val="14"/>
                <w:szCs w:val="14"/>
                <w:b w:val="1"/>
                <w:bCs w:val="1"/>
                <w:color w:val="auto"/>
              </w:rPr>
              <w:t>Location</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4"/>
        </w:trPr>
        <w:tc>
          <w:tcPr>
            <w:tcW w:w="320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Stock-based compensation</w:t>
            </w:r>
          </w:p>
        </w:tc>
        <w:tc>
          <w:tcPr>
            <w:tcW w:w="2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1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2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expense</w:t>
            </w:r>
          </w:p>
        </w:tc>
        <w:tc>
          <w:tcPr>
            <w:tcW w:w="2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200" w:type="dxa"/>
            <w:vAlign w:val="bottom"/>
          </w:tcPr>
          <w:p>
            <w:pPr>
              <w:ind w:left="180"/>
              <w:spacing w:after="0"/>
              <w:rPr>
                <w:sz w:val="20"/>
                <w:szCs w:val="20"/>
                <w:color w:val="auto"/>
              </w:rPr>
            </w:pPr>
            <w:r>
              <w:rPr>
                <w:rFonts w:ascii="Arial" w:cs="Arial" w:eastAsia="Arial" w:hAnsi="Arial"/>
                <w:sz w:val="18"/>
                <w:szCs w:val="18"/>
                <w:color w:val="auto"/>
              </w:rPr>
              <w:t>SSARs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Salaries, wages, and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2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RSU awards</w:t>
            </w:r>
          </w:p>
        </w:tc>
        <w:tc>
          <w:tcPr>
            <w:tcW w:w="230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Salaries, wages, and</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200" w:type="dxa"/>
            <w:vAlign w:val="bottom"/>
            <w:tcBorders>
              <w:bottom w:val="single" w:sz="8" w:color="E0E7ED"/>
            </w:tcBorders>
            <w:shd w:val="clear" w:color="auto" w:fill="E0E7ED"/>
          </w:tcPr>
          <w:p>
            <w:pPr>
              <w:spacing w:after="0"/>
              <w:rPr>
                <w:sz w:val="21"/>
                <w:szCs w:val="21"/>
                <w:color w:val="auto"/>
              </w:rPr>
            </w:pPr>
          </w:p>
        </w:tc>
        <w:tc>
          <w:tcPr>
            <w:tcW w:w="230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1,955</w:t>
            </w:r>
          </w:p>
        </w:tc>
        <w:tc>
          <w:tcPr>
            <w:tcW w:w="0" w:type="dxa"/>
            <w:vAlign w:val="bottom"/>
          </w:tcPr>
          <w:p>
            <w:pPr>
              <w:spacing w:after="0"/>
              <w:rPr>
                <w:sz w:val="1"/>
                <w:szCs w:val="1"/>
                <w:color w:val="auto"/>
              </w:rPr>
            </w:pPr>
          </w:p>
        </w:tc>
      </w:tr>
      <w:tr>
        <w:trPr>
          <w:trHeight w:val="224"/>
        </w:trPr>
        <w:tc>
          <w:tcPr>
            <w:tcW w:w="3200" w:type="dxa"/>
            <w:vAlign w:val="bottom"/>
          </w:tcPr>
          <w:p>
            <w:pPr>
              <w:ind w:left="180"/>
              <w:spacing w:after="0" w:line="224" w:lineRule="exact"/>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Salaries, wages, and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3"/>
        </w:trPr>
        <w:tc>
          <w:tcPr>
            <w:tcW w:w="32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DSU awards</w:t>
            </w:r>
          </w:p>
        </w:tc>
        <w:tc>
          <w:tcPr>
            <w:tcW w:w="230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expense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24"/>
        </w:trPr>
        <w:tc>
          <w:tcPr>
            <w:tcW w:w="3200" w:type="dxa"/>
            <w:vAlign w:val="bottom"/>
          </w:tcPr>
          <w:p>
            <w:pPr>
              <w:ind w:left="180"/>
              <w:spacing w:after="0"/>
              <w:rPr>
                <w:sz w:val="20"/>
                <w:szCs w:val="20"/>
                <w:color w:val="auto"/>
              </w:rPr>
            </w:pPr>
            <w:r>
              <w:rPr>
                <w:rFonts w:ascii="Arial" w:cs="Arial" w:eastAsia="Arial" w:hAnsi="Arial"/>
                <w:sz w:val="18"/>
                <w:szCs w:val="18"/>
                <w:color w:val="auto"/>
              </w:rPr>
              <w:t>ESPP</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Salaries, wages, and</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200" w:type="dxa"/>
            <w:vAlign w:val="bottom"/>
          </w:tcPr>
          <w:p>
            <w:pPr>
              <w:spacing w:after="0"/>
              <w:rPr>
                <w:sz w:val="20"/>
                <w:szCs w:val="20"/>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employee benefits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
        </w:trPr>
        <w:tc>
          <w:tcPr>
            <w:tcW w:w="3200" w:type="dxa"/>
            <w:vAlign w:val="bottom"/>
            <w:tcBorders>
              <w:bottom w:val="single" w:sz="8" w:color="E0E7ED"/>
            </w:tcBorders>
          </w:tcPr>
          <w:p>
            <w:pPr>
              <w:spacing w:after="0"/>
              <w:rPr>
                <w:sz w:val="2"/>
                <w:szCs w:val="2"/>
                <w:color w:val="auto"/>
              </w:rPr>
            </w:pPr>
          </w:p>
        </w:tc>
        <w:tc>
          <w:tcPr>
            <w:tcW w:w="220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20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Total stock-based compensation</w:t>
            </w:r>
          </w:p>
        </w:tc>
        <w:tc>
          <w:tcPr>
            <w:tcW w:w="22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60" w:type="dxa"/>
            <w:vAlign w:val="bottom"/>
            <w:vMerge w:val="restart"/>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5,433</w:t>
            </w:r>
          </w:p>
        </w:tc>
        <w:tc>
          <w:tcPr>
            <w:tcW w:w="100" w:type="dxa"/>
            <w:vAlign w:val="bottom"/>
            <w:shd w:val="clear" w:color="auto" w:fill="E0E7ED"/>
          </w:tcPr>
          <w:p>
            <w:pPr>
              <w:spacing w:after="0"/>
              <w:rPr>
                <w:sz w:val="17"/>
                <w:szCs w:val="17"/>
                <w:color w:val="auto"/>
              </w:rPr>
            </w:pPr>
          </w:p>
        </w:tc>
        <w:tc>
          <w:tcPr>
            <w:tcW w:w="320" w:type="dxa"/>
            <w:vAlign w:val="bottom"/>
            <w:vMerge w:val="restart"/>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1,134</w:t>
            </w:r>
          </w:p>
        </w:tc>
        <w:tc>
          <w:tcPr>
            <w:tcW w:w="100" w:type="dxa"/>
            <w:vAlign w:val="bottom"/>
            <w:shd w:val="clear" w:color="auto" w:fill="E0E7ED"/>
          </w:tcPr>
          <w:p>
            <w:pPr>
              <w:spacing w:after="0"/>
              <w:rPr>
                <w:sz w:val="17"/>
                <w:szCs w:val="17"/>
                <w:color w:val="auto"/>
              </w:rPr>
            </w:pPr>
          </w:p>
        </w:tc>
        <w:tc>
          <w:tcPr>
            <w:tcW w:w="300" w:type="dxa"/>
            <w:vAlign w:val="bottom"/>
            <w:vMerge w:val="restart"/>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8,827</w:t>
            </w:r>
          </w:p>
        </w:tc>
        <w:tc>
          <w:tcPr>
            <w:tcW w:w="100" w:type="dxa"/>
            <w:vAlign w:val="bottom"/>
            <w:shd w:val="clear" w:color="auto" w:fill="E0E7ED"/>
          </w:tcPr>
          <w:p>
            <w:pPr>
              <w:spacing w:after="0"/>
              <w:rPr>
                <w:sz w:val="17"/>
                <w:szCs w:val="17"/>
                <w:color w:val="auto"/>
              </w:rPr>
            </w:pPr>
          </w:p>
        </w:tc>
        <w:tc>
          <w:tcPr>
            <w:tcW w:w="320" w:type="dxa"/>
            <w:vAlign w:val="bottom"/>
            <w:vMerge w:val="restart"/>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55"/>
        </w:trPr>
        <w:tc>
          <w:tcPr>
            <w:tcW w:w="32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expense</w:t>
            </w:r>
          </w:p>
        </w:tc>
        <w:tc>
          <w:tcPr>
            <w:tcW w:w="220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auto"/>
            </w:tcBorders>
            <w:vMerge w:val="continue"/>
            <w:shd w:val="clear" w:color="auto" w:fill="E0E7ED"/>
          </w:tcPr>
          <w:p>
            <w:pPr>
              <w:spacing w:after="0"/>
              <w:rPr>
                <w:sz w:val="22"/>
                <w:szCs w:val="22"/>
                <w:color w:val="auto"/>
              </w:rPr>
            </w:pPr>
          </w:p>
        </w:tc>
        <w:tc>
          <w:tcPr>
            <w:tcW w:w="110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auto"/>
            </w:tcBorders>
            <w:vMerge w:val="continue"/>
            <w:shd w:val="clear" w:color="auto" w:fill="E0E7ED"/>
          </w:tcPr>
          <w:p>
            <w:pPr>
              <w:spacing w:after="0"/>
              <w:rPr>
                <w:sz w:val="22"/>
                <w:szCs w:val="22"/>
                <w:color w:val="auto"/>
              </w:rPr>
            </w:pPr>
          </w:p>
        </w:tc>
        <w:tc>
          <w:tcPr>
            <w:tcW w:w="104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auto"/>
            </w:tcBorders>
            <w:vMerge w:val="continue"/>
            <w:shd w:val="clear" w:color="auto" w:fill="E0E7ED"/>
          </w:tcPr>
          <w:p>
            <w:pPr>
              <w:spacing w:after="0"/>
              <w:rPr>
                <w:sz w:val="22"/>
                <w:szCs w:val="22"/>
                <w:color w:val="auto"/>
              </w:rPr>
            </w:pPr>
          </w:p>
        </w:tc>
        <w:tc>
          <w:tcPr>
            <w:tcW w:w="106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auto"/>
            </w:tcBorders>
            <w:vMerge w:val="continue"/>
            <w:shd w:val="clear" w:color="auto" w:fill="E0E7ED"/>
          </w:tcPr>
          <w:p>
            <w:pPr>
              <w:spacing w:after="0"/>
              <w:rPr>
                <w:sz w:val="22"/>
                <w:szCs w:val="22"/>
                <w:color w:val="auto"/>
              </w:rPr>
            </w:pPr>
          </w:p>
        </w:tc>
        <w:tc>
          <w:tcPr>
            <w:tcW w:w="1040" w:type="dxa"/>
            <w:vAlign w:val="bottom"/>
            <w:tcBorders>
              <w:bottom w:val="single" w:sz="8" w:color="auto"/>
            </w:tcBorders>
            <w:vMerge w:val="continue"/>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E0E7ED"/>
            </w:tcBorders>
          </w:tcPr>
          <w:p>
            <w:pPr>
              <w:spacing w:after="0" w:line="20" w:lineRule="exact"/>
              <w:rPr>
                <w:sz w:val="1"/>
                <w:szCs w:val="1"/>
                <w:color w:val="auto"/>
              </w:rPr>
            </w:pPr>
          </w:p>
        </w:tc>
        <w:tc>
          <w:tcPr>
            <w:tcW w:w="22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62" w:lineRule="auto"/>
        <w:tabs>
          <w:tab w:leader="none" w:pos="525"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Expense for PSU awards with a relative total stockholder return performance goal represents amounts based on target shares at the grant date. Expense for PSU awards with return on average tangible common equity and compounded annual revenue growth rate performance goals represents amounts based on target shares at the grant date, adjusted for performance expectations as of the date indicated.</w:t>
      </w:r>
    </w:p>
    <w:p>
      <w:pPr>
        <w:spacing w:after="0" w:line="178"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all outstanding stock options were fully vested, no compensation expense was recorded for stock options for the three or six months ended June 30, 2025, or 2024, and no unrecognized compensation expense remains for Busey’s stock option awards as of June 30, 2025.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Unamortized compensation expense related to non-vested equity awards is summarized in the table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Unamortized stock-based compensation</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SSARs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RSU awards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14,092</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7,093</w:t>
            </w:r>
          </w:p>
        </w:tc>
        <w:tc>
          <w:tcPr>
            <w:tcW w:w="0" w:type="dxa"/>
            <w:vAlign w:val="bottom"/>
          </w:tcPr>
          <w:p>
            <w:pPr>
              <w:spacing w:after="0"/>
              <w:rPr>
                <w:sz w:val="1"/>
                <w:szCs w:val="1"/>
                <w:color w:val="auto"/>
              </w:rPr>
            </w:pPr>
          </w:p>
        </w:tc>
      </w:tr>
      <w:tr>
        <w:trPr>
          <w:trHeight w:val="270"/>
        </w:trPr>
        <w:tc>
          <w:tcPr>
            <w:tcW w:w="8400" w:type="dxa"/>
            <w:vAlign w:val="bottom"/>
          </w:tcPr>
          <w:p>
            <w:pPr>
              <w:ind w:left="180"/>
              <w:spacing w:after="0"/>
              <w:rPr>
                <w:sz w:val="20"/>
                <w:szCs w:val="20"/>
                <w:color w:val="auto"/>
              </w:rPr>
            </w:pPr>
            <w:r>
              <w:rPr>
                <w:rFonts w:ascii="Arial" w:cs="Arial" w:eastAsia="Arial" w:hAnsi="Arial"/>
                <w:sz w:val="18"/>
                <w:szCs w:val="18"/>
                <w:color w:val="auto"/>
              </w:rPr>
              <w:t>PSU awards</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DSU awards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651</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Total unamortized stock-based compensation</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4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400" w:type="dxa"/>
            <w:vAlign w:val="bottom"/>
          </w:tcPr>
          <w:p>
            <w:pPr>
              <w:ind w:left="20"/>
              <w:spacing w:after="0"/>
              <w:rPr>
                <w:sz w:val="20"/>
                <w:szCs w:val="20"/>
                <w:color w:val="auto"/>
              </w:rPr>
            </w:pPr>
            <w:r>
              <w:rPr>
                <w:rFonts w:ascii="Arial" w:cs="Arial" w:eastAsia="Arial" w:hAnsi="Arial"/>
                <w:sz w:val="18"/>
                <w:szCs w:val="18"/>
                <w:color w:val="auto"/>
              </w:rPr>
              <w:t>Weighted average period over which expense is to be recognized on awards issued under Busey's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400" w:type="dxa"/>
            <w:vAlign w:val="bottom"/>
          </w:tcPr>
          <w:p>
            <w:pPr>
              <w:ind w:left="20"/>
              <w:spacing w:after="0"/>
              <w:rPr>
                <w:sz w:val="20"/>
                <w:szCs w:val="20"/>
                <w:color w:val="auto"/>
              </w:rPr>
            </w:pPr>
            <w:r>
              <w:rPr>
                <w:rFonts w:ascii="Arial" w:cs="Arial" w:eastAsia="Arial" w:hAnsi="Arial"/>
                <w:sz w:val="18"/>
                <w:szCs w:val="18"/>
                <w:color w:val="auto"/>
              </w:rPr>
              <w:t>2020 Equity Plan</w:t>
            </w:r>
          </w:p>
        </w:tc>
        <w:tc>
          <w:tcPr>
            <w:tcW w:w="260" w:type="dxa"/>
            <w:vAlign w:val="bottom"/>
          </w:tcPr>
          <w:p>
            <w:pPr>
              <w:spacing w:after="0"/>
              <w:rPr>
                <w:sz w:val="20"/>
                <w:szCs w:val="20"/>
                <w:color w:val="auto"/>
              </w:rPr>
            </w:pPr>
          </w:p>
        </w:tc>
        <w:tc>
          <w:tcPr>
            <w:tcW w:w="1200" w:type="dxa"/>
            <w:vAlign w:val="bottom"/>
            <w:gridSpan w:val="2"/>
          </w:tcPr>
          <w:p>
            <w:pPr>
              <w:ind w:left="360"/>
              <w:spacing w:after="0"/>
              <w:rPr>
                <w:sz w:val="20"/>
                <w:szCs w:val="20"/>
                <w:color w:val="auto"/>
              </w:rPr>
            </w:pPr>
            <w:r>
              <w:rPr>
                <w:rFonts w:ascii="Arial" w:cs="Arial" w:eastAsia="Arial" w:hAnsi="Arial"/>
                <w:sz w:val="18"/>
                <w:szCs w:val="18"/>
                <w:color w:val="auto"/>
              </w:rPr>
              <w:t>2.0 years</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color w:val="auto"/>
              </w:rPr>
              <w:t>Weighted average period over which expense is to be recognized on CrossFirst replacement awards</w:t>
            </w:r>
          </w:p>
        </w:tc>
        <w:tc>
          <w:tcPr>
            <w:tcW w:w="260" w:type="dxa"/>
            <w:vAlign w:val="bottom"/>
            <w:shd w:val="clear" w:color="auto" w:fill="E0E7ED"/>
          </w:tcPr>
          <w:p>
            <w:pPr>
              <w:spacing w:after="0"/>
              <w:rPr>
                <w:sz w:val="21"/>
                <w:szCs w:val="21"/>
                <w:color w:val="auto"/>
              </w:rPr>
            </w:pPr>
          </w:p>
        </w:tc>
        <w:tc>
          <w:tcPr>
            <w:tcW w:w="1200" w:type="dxa"/>
            <w:vAlign w:val="bottom"/>
            <w:gridSpan w:val="2"/>
            <w:shd w:val="clear" w:color="auto" w:fill="E0E7ED"/>
          </w:tcPr>
          <w:p>
            <w:pPr>
              <w:ind w:left="360"/>
              <w:spacing w:after="0"/>
              <w:rPr>
                <w:sz w:val="20"/>
                <w:szCs w:val="20"/>
                <w:color w:val="auto"/>
              </w:rPr>
            </w:pPr>
            <w:r>
              <w:rPr>
                <w:rFonts w:ascii="Arial" w:cs="Arial" w:eastAsia="Arial" w:hAnsi="Arial"/>
                <w:sz w:val="18"/>
                <w:szCs w:val="18"/>
                <w:color w:val="auto"/>
              </w:rPr>
              <w:t>1.5 years</w:t>
            </w: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10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80" w:type="dxa"/>
            <w:vAlign w:val="bottom"/>
            <w:shd w:val="clear" w:color="auto" w:fill="E0E7ED"/>
          </w:tcPr>
          <w:p>
            <w:pPr>
              <w:spacing w:after="0"/>
              <w:rPr>
                <w:sz w:val="2"/>
                <w:szCs w:val="2"/>
                <w:color w:val="auto"/>
              </w:rPr>
            </w:pPr>
          </w:p>
        </w:tc>
        <w:tc>
          <w:tcPr>
            <w:tcW w:w="120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72" w:lineRule="auto"/>
        <w:tabs>
          <w:tab w:leader="none" w:pos="525" w:val="left"/>
        </w:tabs>
        <w:numPr>
          <w:ilvl w:val="0"/>
          <w:numId w:val="29"/>
        </w:numPr>
        <w:rPr>
          <w:rFonts w:ascii="Arial" w:cs="Arial" w:eastAsia="Arial" w:hAnsi="Arial"/>
          <w:sz w:val="14"/>
          <w:szCs w:val="14"/>
          <w:color w:val="auto"/>
        </w:rPr>
      </w:pPr>
      <w:r>
        <w:rPr>
          <w:rFonts w:ascii="Arial" w:cs="Arial" w:eastAsia="Arial" w:hAnsi="Arial"/>
          <w:sz w:val="14"/>
          <w:szCs w:val="14"/>
          <w:color w:val="auto"/>
        </w:rPr>
        <w:t>Unamortized expense for PSU awards with a market-based total stockholder return performance goal represents amounts based on target shares at grant date. Unamortized expense for PSU awards with return on average tangible common equity and compounded annual revenue growth rate performance goals represents amounts based on target shares at grant date, adjusted for performance expectations as of the date indicated.</w:t>
      </w: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Credit Risk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contractual amount of Busey’s exposure to off-balance sheet risk relating to the Company’s commitments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Off-Balance Sheet Commitments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Commitments to extend credit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4,280,944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2,512,714</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Standby letters of credit</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125,255</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35,464</w:t>
            </w: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color w:val="auto"/>
              </w:rPr>
              <w:t>Total commitments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4,406,199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2,548,178</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is a party to legal actions which arise in the normal course of its business activities. Legal and administrative proceedings are subject to inherent uncertainties, and while unfavorable outcomes could occur, Busey does not believe at this time that any potential liabilities relating to pending or potential legal matters are likely to have a material impact on Busey's results of operations or financial position.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Tax Matter</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2021, Busey received an inquiry from the Illinois Secretary of State, pursuant to which the Illinois Secretary of State asked for additional information regarding certain of Busey’s franchise tax filings and the calculation of amounts due thereunder. The franchise tax is established by the Illinois Business Corporation Act (“BCA”) 805 ILCS 5/1 et seq., and is a tax imposed on foreign and domestic corporations for the privilege of conducting business in Illinois. Busey has been cooperating with the inquiry and has delivered additional BCA forms requested by the Illinois Secretary of State, with a full reservation of rights by Busey, including seeking judicial relief, if necessary, with respect to any potential dispute regarding Busey’s preparation of the BCA forms and the calculation of the franchise taxes due.</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March 20, 2025, the Illinois Secretary of State requested that Busey resubmit the requested forms using a proposed methodology for paid-in capital that Busey views as inconsistent with the Illinois Secretary of State’s past practice, and existing statutory and case law. Accordingly, on May 14, 2025, within the Illinois Secretary of State’s requested timeframe, Busey informed the Illinois Secretary of State that it would not resubmit the requested forms with the methodology that Busey disputes and requested that the parties instead continue good faith discussions. On July 2, 2025, Busey received a notice of hearing from the Illinois Secretary of State indicating that an administrative hearing has been scheduled to “ascertain” the required amount of franchise taxes, penalties, interest, fees, and charges purportedly due from Busey to the Illinois Secretary of State. In the notice, the Illinois Secretary of State requested a determination of an amount due that the Illinois Secretary of State preliminarily estimated to be in excess of $28 million, including in excess of $17.4 million in interest and in excess of $0.3 million in penalties. Busey disagrees with the Illinois Secretary of State’s preliminary estimate and believes that the Illinois Secretary of State’s request is contrary not only to the Illinois Secretary of State’s past practice, but also existing statutory and case law. Busey intends to vigorously defend itself against the Illinois Secretary of State’s notice, including through appropriate judicial relief, if necessary. On July 31, 2025, First Busey filed a special appearance with the Illinois Secretary of State’s Department of Administrative Hearings solely for the limited purpose of contesting the jurisdiction of the Illinois Secretary of State to initiate and conduct the administrative hearing.</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Where a loss is believed to be reasonably possible, but not probable, or the loss cannot be reasonably estimated, no accrual is required. Given the underlying disagreement between Busey and the Illinois Secretary of State on the proper methodology for calculating any franchise tax owed, the loss cannot be reasonably estimated. It is reasonably possible that this matter could require Busey to pay additional taxes, including potential penalties and interest, or make other expenditures or accrue liabilities in amounts that could not be reasonably estimated as of June 30, 2025. If the likelihood of potential liabilities elevates and Busey becomes able to reasonably estimate the loss, requiring an accrual, the potential future liabilities could be material in the period(s) in which they are recorded.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FINANCIAL INSTRUMENTS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utilizes interest rate swap agreements as part of its asset liability management strategy to help manage its interest rate risk position. Additionally, Busey enters into derivative financial instruments, including interest rate lock commitments issued to residential loan customers for loans that will be held for sale; forward sales commitments to sell residential mortgage loans to investors; and interest rate swaps and risk participation agreements with customers and other third parties. See “</w:t>
      </w:r>
      <w:r>
        <w:rPr>
          <w:rFonts w:ascii="Arial" w:cs="Arial" w:eastAsia="Arial" w:hAnsi="Arial"/>
          <w:sz w:val="18"/>
          <w:szCs w:val="18"/>
          <w:i w:val="1"/>
          <w:iCs w:val="1"/>
          <w:u w:val="single" w:color="auto"/>
          <w:color w:val="0000FF"/>
        </w:rPr>
        <w:t>Note 13: Fair Value Measurements</w:t>
      </w:r>
      <w:r>
        <w:rPr>
          <w:rFonts w:ascii="Arial" w:cs="Arial" w:eastAsia="Arial" w:hAnsi="Arial"/>
          <w:sz w:val="18"/>
          <w:szCs w:val="18"/>
          <w:color w:val="auto"/>
        </w:rPr>
        <w:t>” for further discussion of the fair value measurement of such derivatives.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 secure its obligations under derivative contracts, Busey pledged cash and held collateral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3"/>
        </w:trPr>
        <w:tc>
          <w:tcPr>
            <w:tcW w:w="84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Cash pledged to secure obligations under derivative contracts</w:t>
            </w:r>
          </w:p>
        </w:tc>
        <w:tc>
          <w:tcPr>
            <w:tcW w:w="26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24,810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21,900</w:t>
            </w:r>
          </w:p>
        </w:tc>
        <w:tc>
          <w:tcPr>
            <w:tcW w:w="0" w:type="dxa"/>
            <w:vAlign w:val="bottom"/>
          </w:tcPr>
          <w:p>
            <w:pPr>
              <w:spacing w:after="0"/>
              <w:rPr>
                <w:sz w:val="1"/>
                <w:szCs w:val="1"/>
                <w:color w:val="auto"/>
              </w:rPr>
            </w:pPr>
          </w:p>
        </w:tc>
      </w:tr>
      <w:tr>
        <w:trPr>
          <w:trHeight w:val="247"/>
        </w:trPr>
        <w:tc>
          <w:tcPr>
            <w:tcW w:w="8400" w:type="dxa"/>
            <w:vAlign w:val="bottom"/>
          </w:tcPr>
          <w:p>
            <w:pPr>
              <w:ind w:left="20"/>
              <w:spacing w:after="0"/>
              <w:rPr>
                <w:sz w:val="20"/>
                <w:szCs w:val="20"/>
                <w:color w:val="auto"/>
              </w:rPr>
            </w:pPr>
            <w:r>
              <w:rPr>
                <w:rFonts w:ascii="Arial" w:cs="Arial" w:eastAsia="Arial" w:hAnsi="Arial"/>
                <w:sz w:val="18"/>
                <w:szCs w:val="18"/>
                <w:color w:val="auto"/>
              </w:rPr>
              <w:t>Collateral held to secure obligations under derivative contracts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20,260</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Designated as Hedges</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Interest rate swaps with notional amounts totaling $500.0 million as of both June 30, 2025, and December 31, 2024, were designated as cash flow hedges. Busey entered into a $300.0 million receive-fixed, pay-floating interest rate swap to reduce Busey’s asset sensitivity (Prime Loan Swap). Duration was added to Busey’s loan portfolio by fixing a portion of floating prime-based loans. Interest rates had risen above their historical lows allowing Busey to lock in a portion of its loan portfolio to reduce asset sensitivity while creating a more stable margin in a volatile rate market. These hedges were determined to be highly effective during the period, and Busey expects its hedges to remain highly effective during the remaining terms of the swaps. Further, Busey entered into forward-starting SOFR-based receive-fixed pay-floating interest rate swaps totaling $200.0 million to reduce Busey’s asset sensitivity (SOFR Loan Swaps). These hedges were determined to be highly effective during the period, and Busey expects its hedges to remain highly effective during the remaining terms of the swaps. Changes in the fair value of these interest rate swaps were recorded net of tax in OCI.</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interest-rate swaps designated as cash flow hedges is presented below:</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5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300" w:type="dxa"/>
            <w:vAlign w:val="bottom"/>
          </w:tcPr>
          <w:p>
            <w:pPr>
              <w:spacing w:after="0"/>
              <w:rPr>
                <w:sz w:val="12"/>
                <w:szCs w:val="12"/>
                <w:color w:val="auto"/>
              </w:rPr>
            </w:pPr>
          </w:p>
        </w:tc>
        <w:tc>
          <w:tcPr>
            <w:tcW w:w="130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30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652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right"/>
              <w:ind w:right="51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65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Prime Loan Swap</w:t>
            </w:r>
          </w:p>
        </w:tc>
        <w:tc>
          <w:tcPr>
            <w:tcW w:w="15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22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20" w:type="dxa"/>
            <w:vAlign w:val="bottom"/>
            <w:tcBorders>
              <w:top w:val="single" w:sz="8" w:color="auto"/>
            </w:tcBorders>
            <w:shd w:val="clear" w:color="auto" w:fill="E0E7ED"/>
          </w:tcPr>
          <w:p>
            <w:pPr>
              <w:spacing w:after="0"/>
              <w:rPr>
                <w:sz w:val="21"/>
                <w:szCs w:val="21"/>
                <w:color w:val="auto"/>
              </w:rPr>
            </w:pPr>
          </w:p>
        </w:tc>
        <w:tc>
          <w:tcPr>
            <w:tcW w:w="130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Notional amount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300,000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Weighted average rate: receive-fixed</w:t>
            </w:r>
          </w:p>
        </w:tc>
        <w:tc>
          <w:tcPr>
            <w:tcW w:w="15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4.81 %</w:t>
            </w:r>
          </w:p>
        </w:tc>
        <w:tc>
          <w:tcPr>
            <w:tcW w:w="8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4.81 %</w:t>
            </w: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Weighted average variable Prime pay rates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7.50 %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7.62 %</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Weighted average maturity</w:t>
            </w:r>
          </w:p>
        </w:tc>
        <w:tc>
          <w:tcPr>
            <w:tcW w:w="15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gridSpan w:val="2"/>
            <w:shd w:val="clear" w:color="auto" w:fill="E0E7ED"/>
          </w:tcPr>
          <w:p>
            <w:pPr>
              <w:ind w:left="360"/>
              <w:spacing w:after="0"/>
              <w:rPr>
                <w:sz w:val="20"/>
                <w:szCs w:val="20"/>
                <w:color w:val="auto"/>
              </w:rPr>
            </w:pPr>
            <w:r>
              <w:rPr>
                <w:rFonts w:ascii="Arial" w:cs="Arial" w:eastAsia="Arial" w:hAnsi="Arial"/>
                <w:sz w:val="18"/>
                <w:szCs w:val="18"/>
                <w:color w:val="auto"/>
              </w:rPr>
              <w:t>3.60 years</w:t>
            </w: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ind w:left="440"/>
              <w:spacing w:after="0"/>
              <w:rPr>
                <w:sz w:val="20"/>
                <w:szCs w:val="20"/>
                <w:color w:val="auto"/>
              </w:rPr>
            </w:pPr>
            <w:r>
              <w:rPr>
                <w:rFonts w:ascii="Arial" w:cs="Arial" w:eastAsia="Arial" w:hAnsi="Arial"/>
                <w:sz w:val="18"/>
                <w:szCs w:val="18"/>
                <w:color w:val="auto"/>
                <w:w w:val="99"/>
              </w:rPr>
              <w:t>4.10 years</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SOFR Loan Swaps</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Notional amount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Weighted average rate: receive-fixed</w:t>
            </w:r>
          </w:p>
        </w:tc>
        <w:tc>
          <w:tcPr>
            <w:tcW w:w="15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3.78 %</w:t>
            </w:r>
          </w:p>
        </w:tc>
        <w:tc>
          <w:tcPr>
            <w:tcW w:w="8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3.78 %</w:t>
            </w: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Weighted average variable 1-month CME Term SOFR pay rates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4.32 %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Weighted average maturity</w:t>
            </w:r>
          </w:p>
        </w:tc>
        <w:tc>
          <w:tcPr>
            <w:tcW w:w="15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gridSpan w:val="2"/>
            <w:shd w:val="clear" w:color="auto" w:fill="E0E7ED"/>
          </w:tcPr>
          <w:p>
            <w:pPr>
              <w:ind w:left="360"/>
              <w:spacing w:after="0"/>
              <w:rPr>
                <w:sz w:val="20"/>
                <w:szCs w:val="20"/>
                <w:color w:val="auto"/>
              </w:rPr>
            </w:pPr>
            <w:r>
              <w:rPr>
                <w:rFonts w:ascii="Arial" w:cs="Arial" w:eastAsia="Arial" w:hAnsi="Arial"/>
                <w:sz w:val="18"/>
                <w:szCs w:val="18"/>
                <w:color w:val="auto"/>
              </w:rPr>
              <w:t>4.26 years</w:t>
            </w: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ind w:left="440"/>
              <w:spacing w:after="0"/>
              <w:rPr>
                <w:sz w:val="20"/>
                <w:szCs w:val="20"/>
                <w:color w:val="auto"/>
              </w:rPr>
            </w:pPr>
            <w:r>
              <w:rPr>
                <w:rFonts w:ascii="Arial" w:cs="Arial" w:eastAsia="Arial" w:hAnsi="Arial"/>
                <w:sz w:val="18"/>
                <w:szCs w:val="18"/>
                <w:color w:val="auto"/>
                <w:w w:val="99"/>
              </w:rPr>
              <w:t>4.76 years</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Gross aggregate fair value of the swaps</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Gross aggregate fair value of swap assets</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3,374</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5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Gross aggregate fair value of swap liabilities</w:t>
            </w:r>
          </w:p>
        </w:tc>
        <w:tc>
          <w:tcPr>
            <w:tcW w:w="160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17,281</w:t>
            </w:r>
          </w:p>
        </w:tc>
        <w:tc>
          <w:tcPr>
            <w:tcW w:w="8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5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Balances carried in AOCI</w:t>
            </w:r>
          </w:p>
        </w:tc>
        <w:tc>
          <w:tcPr>
            <w:tcW w:w="15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2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3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6520" w:type="dxa"/>
            <w:vAlign w:val="bottom"/>
          </w:tcPr>
          <w:p>
            <w:pPr>
              <w:ind w:left="180"/>
              <w:spacing w:after="0"/>
              <w:rPr>
                <w:sz w:val="20"/>
                <w:szCs w:val="20"/>
                <w:color w:val="auto"/>
              </w:rPr>
            </w:pPr>
            <w:r>
              <w:rPr>
                <w:rFonts w:ascii="Arial" w:cs="Arial" w:eastAsia="Arial" w:hAnsi="Arial"/>
                <w:sz w:val="18"/>
                <w:szCs w:val="18"/>
                <w:color w:val="auto"/>
              </w:rPr>
              <w:t>Unrealized gains (losses) on cash flow hedges, net of tax</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AOCI</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4"/>
              <w:spacing w:after="0"/>
              <w:rPr>
                <w:sz w:val="20"/>
                <w:szCs w:val="20"/>
                <w:color w:val="auto"/>
              </w:rPr>
            </w:pPr>
            <w:r>
              <w:rPr>
                <w:rFonts w:ascii="Arial" w:cs="Arial" w:eastAsia="Arial" w:hAnsi="Arial"/>
                <w:sz w:val="18"/>
                <w:szCs w:val="18"/>
                <w:color w:val="auto"/>
              </w:rPr>
              <w:t>(9,368)</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440"/>
              <w:spacing w:after="0"/>
              <w:rPr>
                <w:sz w:val="20"/>
                <w:szCs w:val="20"/>
                <w:color w:val="auto"/>
              </w:rPr>
            </w:pPr>
            <w:r>
              <w:rPr>
                <w:rFonts w:ascii="Arial" w:cs="Arial" w:eastAsia="Arial" w:hAnsi="Arial"/>
                <w:sz w:val="18"/>
                <w:szCs w:val="18"/>
                <w:color w:val="auto"/>
              </w:rPr>
              <w:t>(19,805)</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next 12 months, Busey expects to reclassify unrealized gains and losses from OCI to interest income as shown in the following table. Amounts actually recognized could differ from these expectations due to changes in interest rates, hedge de-designations, and the addition of other hedges subsequent to June 30, 2025.</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38"/>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5500" w:type="dxa"/>
            <w:vAlign w:val="bottom"/>
            <w:tcBorders>
              <w:bottom w:val="single" w:sz="8" w:color="E0E7ED"/>
            </w:tcBorders>
            <w:vMerge w:val="continue"/>
          </w:tcPr>
          <w:p>
            <w:pPr>
              <w:spacing w:after="0"/>
              <w:rPr>
                <w:sz w:val="15"/>
                <w:szCs w:val="15"/>
                <w:color w:val="auto"/>
              </w:rPr>
            </w:pPr>
          </w:p>
        </w:tc>
        <w:tc>
          <w:tcPr>
            <w:tcW w:w="380" w:type="dxa"/>
            <w:vAlign w:val="bottom"/>
            <w:tcBorders>
              <w:bottom w:val="single" w:sz="8" w:color="E0E7ED"/>
            </w:tcBorders>
          </w:tcPr>
          <w:p>
            <w:pPr>
              <w:spacing w:after="0"/>
              <w:rPr>
                <w:sz w:val="15"/>
                <w:szCs w:val="15"/>
                <w:color w:val="auto"/>
              </w:rPr>
            </w:pPr>
          </w:p>
        </w:tc>
        <w:tc>
          <w:tcPr>
            <w:tcW w:w="980" w:type="dxa"/>
            <w:vAlign w:val="bottom"/>
            <w:tcBorders>
              <w:bottom w:val="single" w:sz="8" w:color="E0E7ED"/>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E0E7ED"/>
            </w:tcBorders>
          </w:tcPr>
          <w:p>
            <w:pPr>
              <w:spacing w:after="0"/>
              <w:rPr>
                <w:sz w:val="15"/>
                <w:szCs w:val="15"/>
                <w:color w:val="auto"/>
              </w:rPr>
            </w:pPr>
          </w:p>
        </w:tc>
        <w:tc>
          <w:tcPr>
            <w:tcW w:w="1040" w:type="dxa"/>
            <w:vAlign w:val="bottom"/>
            <w:tcBorders>
              <w:bottom w:val="single" w:sz="8" w:color="E0E7ED"/>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80" w:type="dxa"/>
            <w:vAlign w:val="bottom"/>
            <w:tcBorders>
              <w:bottom w:val="single" w:sz="8" w:color="E0E7ED"/>
            </w:tcBorders>
          </w:tcPr>
          <w:p>
            <w:pPr>
              <w:spacing w:after="0"/>
              <w:rPr>
                <w:sz w:val="15"/>
                <w:szCs w:val="15"/>
                <w:color w:val="auto"/>
              </w:rPr>
            </w:pPr>
          </w:p>
        </w:tc>
        <w:tc>
          <w:tcPr>
            <w:tcW w:w="98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June 30, 2025</w:t>
            </w:r>
          </w:p>
        </w:tc>
        <w:tc>
          <w:tcPr>
            <w:tcW w:w="0" w:type="dxa"/>
            <w:vAlign w:val="bottom"/>
          </w:tcPr>
          <w:p>
            <w:pPr>
              <w:spacing w:after="0"/>
              <w:rPr>
                <w:sz w:val="1"/>
                <w:szCs w:val="1"/>
                <w:color w:val="auto"/>
              </w:rPr>
            </w:pPr>
          </w:p>
        </w:tc>
      </w:tr>
      <w:tr>
        <w:trPr>
          <w:trHeight w:val="288"/>
        </w:trPr>
        <w:tc>
          <w:tcPr>
            <w:tcW w:w="588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w w:val="99"/>
              </w:rPr>
              <w:t>Unrealized losses expected to be reclassified from OCI to interest income</w:t>
            </w:r>
          </w:p>
        </w:tc>
        <w:tc>
          <w:tcPr>
            <w:tcW w:w="980" w:type="dxa"/>
            <w:vAlign w:val="bottom"/>
            <w:tcBorders>
              <w:bottom w:val="single" w:sz="8" w:color="E0E7ED"/>
            </w:tcBorders>
            <w:shd w:val="clear" w:color="auto" w:fill="E0E7ED"/>
          </w:tcPr>
          <w:p>
            <w:pPr>
              <w:spacing w:after="0"/>
              <w:rPr>
                <w:sz w:val="24"/>
                <w:szCs w:val="24"/>
                <w:color w:val="auto"/>
              </w:rPr>
            </w:pP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E0E7ED"/>
            </w:tcBorders>
            <w:shd w:val="clear" w:color="auto" w:fill="E0E7ED"/>
          </w:tcPr>
          <w:p>
            <w:pPr>
              <w:spacing w:after="0"/>
              <w:rPr>
                <w:sz w:val="24"/>
                <w:szCs w:val="24"/>
                <w:color w:val="auto"/>
              </w:rPr>
            </w:pPr>
          </w:p>
        </w:tc>
        <w:tc>
          <w:tcPr>
            <w:tcW w:w="1040" w:type="dxa"/>
            <w:vAlign w:val="bottom"/>
            <w:tcBorders>
              <w:bottom w:val="single" w:sz="8" w:color="E0E7ED"/>
            </w:tcBorders>
            <w:shd w:val="clear" w:color="auto" w:fill="E0E7ED"/>
          </w:tcPr>
          <w:p>
            <w:pPr>
              <w:spacing w:after="0"/>
              <w:rPr>
                <w:sz w:val="24"/>
                <w:szCs w:val="24"/>
                <w:color w:val="auto"/>
              </w:rPr>
            </w:pPr>
          </w:p>
        </w:tc>
        <w:tc>
          <w:tcPr>
            <w:tcW w:w="100" w:type="dxa"/>
            <w:vAlign w:val="bottom"/>
            <w:tcBorders>
              <w:bottom w:val="single" w:sz="8" w:color="E0E7ED"/>
            </w:tcBorders>
            <w:shd w:val="clear" w:color="auto" w:fill="E0E7ED"/>
          </w:tcPr>
          <w:p>
            <w:pPr>
              <w:spacing w:after="0"/>
              <w:rPr>
                <w:sz w:val="24"/>
                <w:szCs w:val="24"/>
                <w:color w:val="auto"/>
              </w:rPr>
            </w:pPr>
          </w:p>
        </w:tc>
        <w:tc>
          <w:tcPr>
            <w:tcW w:w="380" w:type="dxa"/>
            <w:vAlign w:val="bottom"/>
            <w:tcBorders>
              <w:bottom w:val="single" w:sz="8" w:color="E0E7ED"/>
            </w:tcBorders>
            <w:shd w:val="clear" w:color="auto" w:fill="E0E7ED"/>
          </w:tcPr>
          <w:p>
            <w:pPr>
              <w:spacing w:after="0"/>
              <w:rPr>
                <w:sz w:val="24"/>
                <w:szCs w:val="24"/>
                <w:color w:val="auto"/>
              </w:rPr>
            </w:pPr>
          </w:p>
        </w:tc>
        <w:tc>
          <w:tcPr>
            <w:tcW w:w="980" w:type="dxa"/>
            <w:vAlign w:val="bottom"/>
            <w:tcBorders>
              <w:bottom w:val="single" w:sz="8" w:color="E0E7ED"/>
            </w:tcBorders>
            <w:shd w:val="clear" w:color="auto" w:fill="E0E7ED"/>
          </w:tcPr>
          <w:p>
            <w:pPr>
              <w:spacing w:after="0"/>
              <w:rPr>
                <w:sz w:val="24"/>
                <w:szCs w:val="24"/>
                <w:color w:val="auto"/>
              </w:rPr>
            </w:pP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gridSpan w:val="2"/>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8800" w:type="dxa"/>
            <w:vAlign w:val="bottom"/>
            <w:tcBorders>
              <w:top w:val="single" w:sz="8" w:color="E0E7ED"/>
              <w:bottom w:val="single" w:sz="8" w:color="E0E7ED"/>
            </w:tcBorders>
            <w:gridSpan w:val="8"/>
            <w:vMerge w:val="restart"/>
          </w:tcPr>
          <w:p>
            <w:pPr>
              <w:spacing w:after="0"/>
              <w:rPr>
                <w:sz w:val="20"/>
                <w:szCs w:val="20"/>
                <w:color w:val="auto"/>
              </w:rPr>
            </w:pPr>
            <w:r>
              <w:rPr>
                <w:rFonts w:ascii="Arial" w:cs="Arial" w:eastAsia="Arial" w:hAnsi="Arial"/>
                <w:sz w:val="18"/>
                <w:szCs w:val="18"/>
                <w:color w:val="auto"/>
              </w:rPr>
              <w:t>Interest income and interest expense recorded on these swap transactions is presented in the following table:</w:t>
            </w:r>
          </w:p>
        </w:tc>
        <w:tc>
          <w:tcPr>
            <w:tcW w:w="98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 w:type="dxa"/>
            <w:vAlign w:val="bottom"/>
            <w:tcBorders>
              <w:top w:val="single" w:sz="8" w:color="E0E7ED"/>
              <w:bottom w:val="single" w:sz="8" w:color="auto"/>
            </w:tcBorders>
          </w:tcPr>
          <w:p>
            <w:pPr>
              <w:spacing w:after="0" w:line="20" w:lineRule="exact"/>
              <w:rPr>
                <w:sz w:val="1"/>
                <w:szCs w:val="1"/>
                <w:color w:val="auto"/>
              </w:rPr>
            </w:pPr>
          </w:p>
        </w:tc>
        <w:tc>
          <w:tcPr>
            <w:tcW w:w="160" w:type="dxa"/>
            <w:vAlign w:val="bottom"/>
            <w:tcBorders>
              <w:top w:val="single" w:sz="8" w:color="E0E7ED"/>
              <w:bottom w:val="single" w:sz="8" w:color="auto"/>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8800" w:type="dxa"/>
            <w:vAlign w:val="bottom"/>
            <w:gridSpan w:val="8"/>
            <w:vMerge w:val="continue"/>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24"/>
                <w:szCs w:val="24"/>
                <w:color w:val="auto"/>
              </w:rPr>
            </w:pPr>
          </w:p>
        </w:tc>
        <w:tc>
          <w:tcPr>
            <w:tcW w:w="2440" w:type="dxa"/>
            <w:vAlign w:val="bottom"/>
            <w:gridSpan w:val="5"/>
          </w:tcPr>
          <w:p>
            <w:pPr>
              <w:jc w:val="right"/>
              <w:ind w:right="39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20" w:type="dxa"/>
            <w:vAlign w:val="bottom"/>
            <w:tcBorders>
              <w:top w:val="single" w:sz="8" w:color="auto"/>
              <w:bottom w:val="single" w:sz="8" w:color="E0E7ED"/>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on swap transactions</w:t>
            </w:r>
          </w:p>
        </w:tc>
        <w:tc>
          <w:tcPr>
            <w:tcW w:w="38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80" w:type="dxa"/>
            <w:vAlign w:val="bottom"/>
            <w:shd w:val="clear" w:color="auto" w:fill="E0E7ED"/>
          </w:tcPr>
          <w:p>
            <w:pPr>
              <w:spacing w:after="0"/>
              <w:rPr>
                <w:sz w:val="21"/>
                <w:szCs w:val="21"/>
                <w:color w:val="auto"/>
              </w:rPr>
            </w:pPr>
          </w:p>
        </w:tc>
        <w:tc>
          <w:tcPr>
            <w:tcW w:w="9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0" w:type="dxa"/>
            <w:vAlign w:val="bottom"/>
            <w:shd w:val="clear" w:color="auto" w:fill="E0E7ED"/>
          </w:tcPr>
          <w:p>
            <w:pPr>
              <w:spacing w:after="0"/>
              <w:rPr>
                <w:sz w:val="21"/>
                <w:szCs w:val="21"/>
                <w:color w:val="auto"/>
              </w:rPr>
            </w:pPr>
          </w:p>
        </w:tc>
        <w:tc>
          <w:tcPr>
            <w:tcW w:w="16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Increase (decrease) in interest income on swap transactions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(2,795)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(5,591)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(Increase) decrease in interest expense on swap transactions</w:t>
            </w:r>
          </w:p>
        </w:tc>
        <w:tc>
          <w:tcPr>
            <w:tcW w:w="38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gridSpan w:val="2"/>
            <w:shd w:val="clear" w:color="auto" w:fill="E0E7ED"/>
          </w:tcPr>
          <w:p>
            <w:pPr>
              <w:ind w:left="7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E0E7ED"/>
            </w:tcBorders>
            <w:shd w:val="clear" w:color="auto" w:fill="E0E7ED"/>
          </w:tcPr>
          <w:p>
            <w:pPr>
              <w:spacing w:after="0"/>
              <w:rPr>
                <w:sz w:val="23"/>
                <w:szCs w:val="23"/>
                <w:color w:val="auto"/>
              </w:rPr>
            </w:pPr>
          </w:p>
        </w:tc>
        <w:tc>
          <w:tcPr>
            <w:tcW w:w="38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gridSpan w:val="2"/>
            <w:shd w:val="clear" w:color="auto" w:fill="E0E7ED"/>
          </w:tcPr>
          <w:p>
            <w:pPr>
              <w:ind w:left="7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E0E7ED"/>
            </w:tcBorders>
            <w:shd w:val="clear" w:color="auto" w:fill="E0E7ED"/>
          </w:tcPr>
          <w:p>
            <w:pPr>
              <w:spacing w:after="0"/>
              <w:rPr>
                <w:sz w:val="23"/>
                <w:szCs w:val="23"/>
                <w:color w:val="auto"/>
              </w:rPr>
            </w:pP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04"/>
        </w:trPr>
        <w:tc>
          <w:tcPr>
            <w:tcW w:w="5500" w:type="dxa"/>
            <w:vAlign w:val="bottom"/>
          </w:tcPr>
          <w:p>
            <w:pPr>
              <w:ind w:left="20"/>
              <w:spacing w:after="0" w:line="204" w:lineRule="exact"/>
              <w:rPr>
                <w:sz w:val="20"/>
                <w:szCs w:val="20"/>
                <w:color w:val="auto"/>
              </w:rPr>
            </w:pPr>
            <w:r>
              <w:rPr>
                <w:rFonts w:ascii="Arial" w:cs="Arial" w:eastAsia="Arial" w:hAnsi="Arial"/>
                <w:sz w:val="18"/>
                <w:szCs w:val="18"/>
                <w:color w:val="auto"/>
              </w:rPr>
              <w:t>Net increase (decrease) in net interest income on swap</w:t>
            </w: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(2,265)</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7"/>
                <w:szCs w:val="17"/>
                <w:color w:val="auto"/>
              </w:rPr>
            </w:pPr>
          </w:p>
        </w:tc>
        <w:tc>
          <w:tcPr>
            <w:tcW w:w="380" w:type="dxa"/>
            <w:vAlign w:val="bottom"/>
            <w:tcBorders>
              <w:top w:val="single" w:sz="8" w:color="auto"/>
            </w:tcBorders>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(4,325)</w:t>
            </w:r>
          </w:p>
        </w:tc>
        <w:tc>
          <w:tcPr>
            <w:tcW w:w="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(4,624)</w:t>
            </w:r>
          </w:p>
        </w:tc>
        <w:tc>
          <w:tcPr>
            <w:tcW w:w="0" w:type="dxa"/>
            <w:vAlign w:val="bottom"/>
          </w:tcPr>
          <w:p>
            <w:pPr>
              <w:spacing w:after="0"/>
              <w:rPr>
                <w:sz w:val="1"/>
                <w:szCs w:val="1"/>
                <w:color w:val="auto"/>
              </w:rPr>
            </w:pPr>
          </w:p>
        </w:tc>
      </w:tr>
      <w:tr>
        <w:trPr>
          <w:trHeight w:val="240"/>
        </w:trPr>
        <w:tc>
          <w:tcPr>
            <w:tcW w:w="5500" w:type="dxa"/>
            <w:vAlign w:val="bottom"/>
          </w:tcPr>
          <w:p>
            <w:pPr>
              <w:ind w:left="20"/>
              <w:spacing w:after="0"/>
              <w:rPr>
                <w:sz w:val="20"/>
                <w:szCs w:val="20"/>
                <w:color w:val="auto"/>
              </w:rPr>
            </w:pPr>
            <w:r>
              <w:rPr>
                <w:rFonts w:ascii="Arial" w:cs="Arial" w:eastAsia="Arial" w:hAnsi="Arial"/>
                <w:sz w:val="18"/>
                <w:szCs w:val="18"/>
                <w:color w:val="auto"/>
              </w:rPr>
              <w:t>transactions</w:t>
            </w: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vMerge w:val="continue"/>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Net gains (losses) relating to cash flow derivative instruments that were recorded in OCI on the </w:t>
      </w:r>
      <w:r>
        <w:rPr>
          <w:rFonts w:ascii="Arial" w:cs="Arial" w:eastAsia="Arial" w:hAnsi="Arial"/>
          <w:sz w:val="18"/>
          <w:szCs w:val="18"/>
          <w:u w:val="single" w:color="auto"/>
          <w:color w:val="0000FF"/>
        </w:rPr>
        <w:t>Consolidated Statements of Income</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(Unaudited)</w:t>
      </w:r>
      <w:r>
        <w:rPr>
          <w:rFonts w:ascii="Arial" w:cs="Arial" w:eastAsia="Arial" w:hAnsi="Arial"/>
          <w:sz w:val="18"/>
          <w:szCs w:val="18"/>
          <w:color w:val="0000FF"/>
        </w:rPr>
        <w:t xml:space="preserve"> </w:t>
      </w:r>
      <w:r>
        <w:rPr>
          <w:rFonts w:ascii="Arial" w:cs="Arial" w:eastAsia="Arial" w:hAnsi="Arial"/>
          <w:sz w:val="18"/>
          <w:szCs w:val="18"/>
          <w:color w:val="000000"/>
        </w:rPr>
        <w:t>are presented in the table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4"/>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Net gain (loss) recognized in OCI, net of 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(7,228)</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(Gain) loss reclassified from OCI to interest income, net of tax</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1,998</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(Gain) loss reclassified from OCI to interest expense, net of tax</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3"/>
        </w:trPr>
        <w:tc>
          <w:tcPr>
            <w:tcW w:w="55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550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Net change in unrealized gains (losses) on cash flow hedges, net</w:t>
            </w:r>
          </w:p>
        </w:tc>
        <w:tc>
          <w:tcPr>
            <w:tcW w:w="260" w:type="dxa"/>
            <w:vAlign w:val="bottom"/>
            <w:vMerge w:val="restart"/>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4,291</w:t>
            </w:r>
          </w:p>
        </w:tc>
        <w:tc>
          <w:tcPr>
            <w:tcW w:w="100" w:type="dxa"/>
            <w:vAlign w:val="bottom"/>
            <w:shd w:val="clear" w:color="auto" w:fill="E0E7ED"/>
          </w:tcPr>
          <w:p>
            <w:pPr>
              <w:spacing w:after="0"/>
              <w:rPr>
                <w:sz w:val="17"/>
                <w:szCs w:val="17"/>
                <w:color w:val="auto"/>
              </w:rPr>
            </w:pPr>
          </w:p>
        </w:tc>
        <w:tc>
          <w:tcPr>
            <w:tcW w:w="320" w:type="dxa"/>
            <w:vAlign w:val="bottom"/>
            <w:vMerge w:val="restart"/>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E0E7ED"/>
          </w:tcPr>
          <w:p>
            <w:pPr>
              <w:spacing w:after="0"/>
              <w:rPr>
                <w:sz w:val="17"/>
                <w:szCs w:val="17"/>
                <w:color w:val="auto"/>
              </w:rPr>
            </w:pPr>
          </w:p>
        </w:tc>
        <w:tc>
          <w:tcPr>
            <w:tcW w:w="300" w:type="dxa"/>
            <w:vAlign w:val="bottom"/>
            <w:vMerge w:val="restart"/>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10,437</w:t>
            </w:r>
          </w:p>
        </w:tc>
        <w:tc>
          <w:tcPr>
            <w:tcW w:w="100" w:type="dxa"/>
            <w:vAlign w:val="bottom"/>
            <w:shd w:val="clear" w:color="auto" w:fill="E0E7ED"/>
          </w:tcPr>
          <w:p>
            <w:pPr>
              <w:spacing w:after="0"/>
              <w:rPr>
                <w:sz w:val="17"/>
                <w:szCs w:val="17"/>
                <w:color w:val="auto"/>
              </w:rPr>
            </w:pPr>
          </w:p>
        </w:tc>
        <w:tc>
          <w:tcPr>
            <w:tcW w:w="320" w:type="dxa"/>
            <w:vAlign w:val="bottom"/>
            <w:vMerge w:val="restart"/>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(3,922)</w:t>
            </w:r>
          </w:p>
        </w:tc>
        <w:tc>
          <w:tcPr>
            <w:tcW w:w="0" w:type="dxa"/>
            <w:vAlign w:val="bottom"/>
          </w:tcPr>
          <w:p>
            <w:pPr>
              <w:spacing w:after="0"/>
              <w:rPr>
                <w:sz w:val="1"/>
                <w:szCs w:val="1"/>
                <w:color w:val="auto"/>
              </w:rPr>
            </w:pPr>
          </w:p>
        </w:tc>
      </w:tr>
      <w:tr>
        <w:trPr>
          <w:trHeight w:val="255"/>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of tax</w:t>
            </w:r>
          </w:p>
        </w:tc>
        <w:tc>
          <w:tcPr>
            <w:tcW w:w="260" w:type="dxa"/>
            <w:vAlign w:val="bottom"/>
            <w:tcBorders>
              <w:bottom w:val="single" w:sz="8" w:color="auto"/>
            </w:tcBorders>
            <w:vMerge w:val="continue"/>
            <w:shd w:val="clear" w:color="auto" w:fill="E0E7ED"/>
          </w:tcPr>
          <w:p>
            <w:pPr>
              <w:spacing w:after="0"/>
              <w:rPr>
                <w:sz w:val="22"/>
                <w:szCs w:val="22"/>
                <w:color w:val="auto"/>
              </w:rPr>
            </w:pPr>
          </w:p>
        </w:tc>
        <w:tc>
          <w:tcPr>
            <w:tcW w:w="110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auto"/>
            </w:tcBorders>
            <w:vMerge w:val="continue"/>
            <w:shd w:val="clear" w:color="auto" w:fill="E0E7ED"/>
          </w:tcPr>
          <w:p>
            <w:pPr>
              <w:spacing w:after="0"/>
              <w:rPr>
                <w:sz w:val="22"/>
                <w:szCs w:val="22"/>
                <w:color w:val="auto"/>
              </w:rPr>
            </w:pPr>
          </w:p>
        </w:tc>
        <w:tc>
          <w:tcPr>
            <w:tcW w:w="104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auto"/>
            </w:tcBorders>
            <w:vMerge w:val="continue"/>
            <w:shd w:val="clear" w:color="auto" w:fill="E0E7ED"/>
          </w:tcPr>
          <w:p>
            <w:pPr>
              <w:spacing w:after="0"/>
              <w:rPr>
                <w:sz w:val="22"/>
                <w:szCs w:val="22"/>
                <w:color w:val="auto"/>
              </w:rPr>
            </w:pPr>
          </w:p>
        </w:tc>
        <w:tc>
          <w:tcPr>
            <w:tcW w:w="106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auto"/>
            </w:tcBorders>
            <w:vMerge w:val="continue"/>
            <w:shd w:val="clear" w:color="auto" w:fill="E0E7ED"/>
          </w:tcPr>
          <w:p>
            <w:pPr>
              <w:spacing w:after="0"/>
              <w:rPr>
                <w:sz w:val="22"/>
                <w:szCs w:val="22"/>
                <w:color w:val="auto"/>
              </w:rPr>
            </w:pPr>
          </w:p>
        </w:tc>
        <w:tc>
          <w:tcPr>
            <w:tcW w:w="1040" w:type="dxa"/>
            <w:vAlign w:val="bottom"/>
            <w:tcBorders>
              <w:bottom w:val="single" w:sz="8" w:color="auto"/>
            </w:tcBorders>
            <w:vMerge w:val="continue"/>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 Not Designated as Hedges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Swaps Not Designated as Hedges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Busey may offer derivative contracts to its customers in connection with their risk management needs. Busey manages the risk associated with these contracts by entering into equal and offsetting derivative agreements with third-party dealers. These contracts supported variable rate, commercial loan relationships totaling $924.7 million as of June 30, 2025, and $719.2 million as of December 31, 2024. These derivatives generally worked together as an economic interest rate hedge, but Busey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Amounts and fair values of derivative assets and derivative liabilities related to customer interest rate swaps recorded on the </w:t>
      </w:r>
      <w:r>
        <w:rPr>
          <w:rFonts w:ascii="Arial" w:cs="Arial" w:eastAsia="Arial" w:hAnsi="Arial"/>
          <w:sz w:val="18"/>
          <w:szCs w:val="18"/>
          <w:u w:val="single" w:color="auto"/>
          <w:color w:val="0000FF"/>
        </w:rPr>
        <w:t>Consolidated</w:t>
      </w:r>
      <w:r>
        <w:rPr>
          <w:rFonts w:ascii="Arial" w:cs="Arial" w:eastAsia="Arial" w:hAnsi="Arial"/>
          <w:sz w:val="18"/>
          <w:szCs w:val="18"/>
          <w:color w:val="auto"/>
        </w:rPr>
        <w:t xml:space="preserve"> </w:t>
      </w:r>
      <w:r>
        <w:rPr>
          <w:rFonts w:ascii="Arial" w:cs="Arial" w:eastAsia="Arial" w:hAnsi="Arial"/>
          <w:sz w:val="18"/>
          <w:szCs w:val="18"/>
          <w:u w:val="single" w:color="auto"/>
          <w:color w:val="0000FF"/>
        </w:rPr>
        <w:t>Balance Sheets (Unaudited)</w:t>
      </w:r>
      <w:r>
        <w:rPr>
          <w:rFonts w:ascii="Arial" w:cs="Arial" w:eastAsia="Arial" w:hAnsi="Arial"/>
          <w:sz w:val="18"/>
          <w:szCs w:val="18"/>
          <w:color w:val="0000FF"/>
        </w:rPr>
        <w:t xml:space="preserve"> </w:t>
      </w:r>
      <w:r>
        <w:rPr>
          <w:rFonts w:ascii="Arial" w:cs="Arial" w:eastAsia="Arial" w:hAnsi="Arial"/>
          <w:sz w:val="18"/>
          <w:szCs w:val="18"/>
          <w:color w:val="000000"/>
        </w:rPr>
        <w:t>are summarized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As of June 30, 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38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16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840" w:type="dxa"/>
            <w:vAlign w:val="bottom"/>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4"/>
        </w:trPr>
        <w:tc>
          <w:tcPr>
            <w:tcW w:w="384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Derivative assets not designated as</w:t>
            </w:r>
          </w:p>
        </w:tc>
        <w:tc>
          <w:tcPr>
            <w:tcW w:w="15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1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1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84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5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180"/>
              <w:spacing w:after="0"/>
              <w:rPr>
                <w:sz w:val="20"/>
                <w:szCs w:val="20"/>
                <w:color w:val="auto"/>
              </w:rPr>
            </w:pPr>
            <w:r>
              <w:rPr>
                <w:rFonts w:ascii="Arial" w:cs="Arial" w:eastAsia="Arial" w:hAnsi="Arial"/>
                <w:sz w:val="18"/>
                <w:szCs w:val="18"/>
                <w:color w:val="auto"/>
              </w:rPr>
              <w:t>Interest rate swaps: receive-fixed, pay-</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180"/>
              <w:spacing w:after="0"/>
              <w:rPr>
                <w:sz w:val="20"/>
                <w:szCs w:val="20"/>
                <w:color w:val="auto"/>
              </w:rPr>
            </w:pPr>
            <w:r>
              <w:rPr>
                <w:rFonts w:ascii="Arial" w:cs="Arial" w:eastAsia="Arial" w:hAnsi="Arial"/>
                <w:sz w:val="18"/>
                <w:szCs w:val="18"/>
                <w:color w:val="auto"/>
              </w:rPr>
              <w:t>floating</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428,446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156,539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
        </w:trPr>
        <w:tc>
          <w:tcPr>
            <w:tcW w:w="3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8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Interest rate swaps: receive-floating, pay-</w:t>
            </w:r>
          </w:p>
        </w:tc>
        <w:tc>
          <w:tcPr>
            <w:tcW w:w="15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8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fixed</w:t>
            </w:r>
          </w:p>
        </w:tc>
        <w:tc>
          <w:tcPr>
            <w:tcW w:w="16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496,218</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562,697</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04"/>
        </w:trPr>
        <w:tc>
          <w:tcPr>
            <w:tcW w:w="3840" w:type="dxa"/>
            <w:vAlign w:val="bottom"/>
          </w:tcPr>
          <w:p>
            <w:pPr>
              <w:ind w:left="20"/>
              <w:spacing w:after="0" w:line="204" w:lineRule="exact"/>
              <w:rPr>
                <w:sz w:val="20"/>
                <w:szCs w:val="20"/>
                <w:color w:val="auto"/>
              </w:rPr>
            </w:pPr>
            <w:r>
              <w:rPr>
                <w:rFonts w:ascii="Arial" w:cs="Arial" w:eastAsia="Arial" w:hAnsi="Arial"/>
                <w:sz w:val="18"/>
                <w:szCs w:val="18"/>
                <w:color w:val="auto"/>
              </w:rPr>
              <w:t>Derivative assets not designated as hedging</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924,664</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31,300</w:t>
            </w:r>
          </w:p>
        </w:tc>
        <w:tc>
          <w:tcPr>
            <w:tcW w:w="10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719,236</w:t>
            </w:r>
          </w:p>
        </w:tc>
        <w:tc>
          <w:tcPr>
            <w:tcW w:w="10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30,319</w:t>
            </w:r>
          </w:p>
        </w:tc>
        <w:tc>
          <w:tcPr>
            <w:tcW w:w="0" w:type="dxa"/>
            <w:vAlign w:val="bottom"/>
          </w:tcPr>
          <w:p>
            <w:pPr>
              <w:spacing w:after="0"/>
              <w:rPr>
                <w:sz w:val="1"/>
                <w:szCs w:val="1"/>
                <w:color w:val="auto"/>
              </w:rPr>
            </w:pPr>
          </w:p>
        </w:tc>
      </w:tr>
      <w:tr>
        <w:trPr>
          <w:trHeight w:val="240"/>
        </w:trPr>
        <w:tc>
          <w:tcPr>
            <w:tcW w:w="3840" w:type="dxa"/>
            <w:vAlign w:val="bottom"/>
          </w:tcPr>
          <w:p>
            <w:pPr>
              <w:ind w:left="20"/>
              <w:spacing w:after="0"/>
              <w:rPr>
                <w:sz w:val="20"/>
                <w:szCs w:val="20"/>
                <w:color w:val="auto"/>
              </w:rPr>
            </w:pPr>
            <w:r>
              <w:rPr>
                <w:rFonts w:ascii="Arial" w:cs="Arial" w:eastAsia="Arial" w:hAnsi="Arial"/>
                <w:sz w:val="18"/>
                <w:szCs w:val="18"/>
                <w:color w:val="auto"/>
              </w:rPr>
              <w:t>instruments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E0E7ED"/>
            </w:tcBorders>
          </w:tcPr>
          <w:p>
            <w:pPr>
              <w:spacing w:after="0" w:line="20" w:lineRule="exact"/>
              <w:rPr>
                <w:sz w:val="1"/>
                <w:szCs w:val="1"/>
                <w:color w:val="auto"/>
              </w:rPr>
            </w:pPr>
          </w:p>
        </w:tc>
        <w:tc>
          <w:tcPr>
            <w:tcW w:w="15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40" w:type="dxa"/>
            <w:vAlign w:val="bottom"/>
            <w:shd w:val="clear" w:color="auto" w:fill="E0E7ED"/>
          </w:tcPr>
          <w:p>
            <w:pPr>
              <w:spacing w:after="0"/>
              <w:rPr>
                <w:sz w:val="20"/>
                <w:szCs w:val="20"/>
                <w:color w:val="auto"/>
              </w:rPr>
            </w:pPr>
          </w:p>
        </w:tc>
        <w:tc>
          <w:tcPr>
            <w:tcW w:w="15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Derivative liabilities not designated as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3840" w:type="dxa"/>
            <w:vAlign w:val="bottom"/>
          </w:tcPr>
          <w:p>
            <w:pPr>
              <w:ind w:left="20"/>
              <w:spacing w:after="0"/>
              <w:rPr>
                <w:sz w:val="20"/>
                <w:szCs w:val="20"/>
                <w:color w:val="auto"/>
              </w:rPr>
            </w:pPr>
            <w:r>
              <w:rPr>
                <w:rFonts w:ascii="Arial" w:cs="Arial" w:eastAsia="Arial" w:hAnsi="Arial"/>
                <w:sz w:val="18"/>
                <w:szCs w:val="18"/>
                <w:b w:val="1"/>
                <w:bCs w:val="1"/>
                <w:color w:val="auto"/>
              </w:rPr>
              <w:t>hedging instruments</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38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Interest rate swaps: receive-fixed, pay-</w:t>
            </w:r>
          </w:p>
        </w:tc>
        <w:tc>
          <w:tcPr>
            <w:tcW w:w="15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38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floating</w:t>
            </w:r>
          </w:p>
        </w:tc>
        <w:tc>
          <w:tcPr>
            <w:tcW w:w="16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496,218</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21,635</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562,697</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28,854</w:t>
            </w:r>
          </w:p>
        </w:tc>
        <w:tc>
          <w:tcPr>
            <w:tcW w:w="0" w:type="dxa"/>
            <w:vAlign w:val="bottom"/>
          </w:tcPr>
          <w:p>
            <w:pPr>
              <w:spacing w:after="0"/>
              <w:rPr>
                <w:sz w:val="1"/>
                <w:szCs w:val="1"/>
                <w:color w:val="auto"/>
              </w:rPr>
            </w:pPr>
          </w:p>
        </w:tc>
      </w:tr>
      <w:tr>
        <w:trPr>
          <w:trHeight w:val="224"/>
        </w:trPr>
        <w:tc>
          <w:tcPr>
            <w:tcW w:w="3840" w:type="dxa"/>
            <w:vAlign w:val="bottom"/>
          </w:tcPr>
          <w:p>
            <w:pPr>
              <w:ind w:left="180"/>
              <w:spacing w:after="0"/>
              <w:rPr>
                <w:sz w:val="20"/>
                <w:szCs w:val="20"/>
                <w:color w:val="auto"/>
              </w:rPr>
            </w:pPr>
            <w:r>
              <w:rPr>
                <w:rFonts w:ascii="Arial" w:cs="Arial" w:eastAsia="Arial" w:hAnsi="Arial"/>
                <w:sz w:val="18"/>
                <w:szCs w:val="18"/>
                <w:color w:val="auto"/>
              </w:rPr>
              <w:t>Interest rate swaps: receive-floating, pay-</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840" w:type="dxa"/>
            <w:vAlign w:val="bottom"/>
          </w:tcPr>
          <w:p>
            <w:pPr>
              <w:ind w:left="180"/>
              <w:spacing w:after="0"/>
              <w:rPr>
                <w:sz w:val="20"/>
                <w:szCs w:val="20"/>
                <w:color w:val="auto"/>
              </w:rPr>
            </w:pPr>
            <w:r>
              <w:rPr>
                <w:rFonts w:ascii="Arial" w:cs="Arial" w:eastAsia="Arial" w:hAnsi="Arial"/>
                <w:sz w:val="18"/>
                <w:szCs w:val="18"/>
                <w:color w:val="auto"/>
              </w:rPr>
              <w:t>fixed</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428,446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156,539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
        </w:trPr>
        <w:tc>
          <w:tcPr>
            <w:tcW w:w="3840" w:type="dxa"/>
            <w:vAlign w:val="bottom"/>
            <w:tcBorders>
              <w:bottom w:val="single" w:sz="8" w:color="E0E7ED"/>
            </w:tcBorders>
          </w:tcPr>
          <w:p>
            <w:pPr>
              <w:spacing w:after="0"/>
              <w:rPr>
                <w:sz w:val="2"/>
                <w:szCs w:val="2"/>
                <w:color w:val="auto"/>
              </w:rPr>
            </w:pPr>
          </w:p>
        </w:tc>
        <w:tc>
          <w:tcPr>
            <w:tcW w:w="156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Derivative liabilities not designated as hedging</w:t>
            </w:r>
          </w:p>
        </w:tc>
        <w:tc>
          <w:tcPr>
            <w:tcW w:w="156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60" w:type="dxa"/>
            <w:vAlign w:val="bottom"/>
            <w:vMerge w:val="restart"/>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924,664</w:t>
            </w:r>
          </w:p>
        </w:tc>
        <w:tc>
          <w:tcPr>
            <w:tcW w:w="100" w:type="dxa"/>
            <w:vAlign w:val="bottom"/>
            <w:shd w:val="clear" w:color="auto" w:fill="E0E7ED"/>
          </w:tcPr>
          <w:p>
            <w:pPr>
              <w:spacing w:after="0"/>
              <w:rPr>
                <w:sz w:val="17"/>
                <w:szCs w:val="17"/>
                <w:color w:val="auto"/>
              </w:rPr>
            </w:pPr>
          </w:p>
        </w:tc>
        <w:tc>
          <w:tcPr>
            <w:tcW w:w="300" w:type="dxa"/>
            <w:vAlign w:val="bottom"/>
            <w:vMerge w:val="restart"/>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31,300</w:t>
            </w:r>
          </w:p>
        </w:tc>
        <w:tc>
          <w:tcPr>
            <w:tcW w:w="100" w:type="dxa"/>
            <w:vAlign w:val="bottom"/>
            <w:shd w:val="clear" w:color="auto" w:fill="E0E7ED"/>
          </w:tcPr>
          <w:p>
            <w:pPr>
              <w:spacing w:after="0"/>
              <w:rPr>
                <w:sz w:val="17"/>
                <w:szCs w:val="17"/>
                <w:color w:val="auto"/>
              </w:rPr>
            </w:pPr>
          </w:p>
        </w:tc>
        <w:tc>
          <w:tcPr>
            <w:tcW w:w="260" w:type="dxa"/>
            <w:vAlign w:val="bottom"/>
            <w:vMerge w:val="restart"/>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719,236</w:t>
            </w:r>
          </w:p>
        </w:tc>
        <w:tc>
          <w:tcPr>
            <w:tcW w:w="100" w:type="dxa"/>
            <w:vAlign w:val="bottom"/>
            <w:shd w:val="clear" w:color="auto" w:fill="E0E7ED"/>
          </w:tcPr>
          <w:p>
            <w:pPr>
              <w:spacing w:after="0"/>
              <w:rPr>
                <w:sz w:val="17"/>
                <w:szCs w:val="17"/>
                <w:color w:val="auto"/>
              </w:rPr>
            </w:pPr>
          </w:p>
        </w:tc>
        <w:tc>
          <w:tcPr>
            <w:tcW w:w="300" w:type="dxa"/>
            <w:vAlign w:val="bottom"/>
            <w:vMerge w:val="restart"/>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E0E7ED"/>
          </w:tcPr>
          <w:p>
            <w:pPr>
              <w:jc w:val="right"/>
              <w:spacing w:after="0"/>
              <w:rPr>
                <w:sz w:val="20"/>
                <w:szCs w:val="20"/>
                <w:color w:val="auto"/>
              </w:rPr>
            </w:pPr>
            <w:r>
              <w:rPr>
                <w:rFonts w:ascii="Arial" w:cs="Arial" w:eastAsia="Arial" w:hAnsi="Arial"/>
                <w:sz w:val="18"/>
                <w:szCs w:val="18"/>
                <w:color w:val="auto"/>
              </w:rPr>
              <w:t>30,319</w:t>
            </w:r>
          </w:p>
        </w:tc>
        <w:tc>
          <w:tcPr>
            <w:tcW w:w="0" w:type="dxa"/>
            <w:vAlign w:val="bottom"/>
          </w:tcPr>
          <w:p>
            <w:pPr>
              <w:spacing w:after="0"/>
              <w:rPr>
                <w:sz w:val="1"/>
                <w:szCs w:val="1"/>
                <w:color w:val="auto"/>
              </w:rPr>
            </w:pPr>
          </w:p>
        </w:tc>
      </w:tr>
      <w:tr>
        <w:trPr>
          <w:trHeight w:val="255"/>
        </w:trPr>
        <w:tc>
          <w:tcPr>
            <w:tcW w:w="38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instruments</w:t>
            </w:r>
          </w:p>
        </w:tc>
        <w:tc>
          <w:tcPr>
            <w:tcW w:w="15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auto"/>
            </w:tcBorders>
            <w:vMerge w:val="continue"/>
            <w:shd w:val="clear" w:color="auto" w:fill="E0E7ED"/>
          </w:tcPr>
          <w:p>
            <w:pPr>
              <w:spacing w:after="0"/>
              <w:rPr>
                <w:sz w:val="22"/>
                <w:szCs w:val="22"/>
                <w:color w:val="auto"/>
              </w:rPr>
            </w:pPr>
          </w:p>
        </w:tc>
        <w:tc>
          <w:tcPr>
            <w:tcW w:w="110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auto"/>
            </w:tcBorders>
            <w:vMerge w:val="continue"/>
            <w:shd w:val="clear" w:color="auto" w:fill="E0E7ED"/>
          </w:tcPr>
          <w:p>
            <w:pPr>
              <w:spacing w:after="0"/>
              <w:rPr>
                <w:sz w:val="22"/>
                <w:szCs w:val="22"/>
                <w:color w:val="auto"/>
              </w:rPr>
            </w:pPr>
          </w:p>
        </w:tc>
        <w:tc>
          <w:tcPr>
            <w:tcW w:w="106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auto"/>
            </w:tcBorders>
            <w:vMerge w:val="continue"/>
            <w:shd w:val="clear" w:color="auto" w:fill="E0E7ED"/>
          </w:tcPr>
          <w:p>
            <w:pPr>
              <w:spacing w:after="0"/>
              <w:rPr>
                <w:sz w:val="22"/>
                <w:szCs w:val="22"/>
                <w:color w:val="auto"/>
              </w:rPr>
            </w:pPr>
          </w:p>
        </w:tc>
        <w:tc>
          <w:tcPr>
            <w:tcW w:w="1100" w:type="dxa"/>
            <w:vAlign w:val="bottom"/>
            <w:tcBorders>
              <w:bottom w:val="single" w:sz="8" w:color="auto"/>
            </w:tcBorders>
            <w:vMerge w:val="continue"/>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auto"/>
            </w:tcBorders>
            <w:vMerge w:val="continue"/>
            <w:shd w:val="clear" w:color="auto" w:fill="E0E7ED"/>
          </w:tcPr>
          <w:p>
            <w:pPr>
              <w:spacing w:after="0"/>
              <w:rPr>
                <w:sz w:val="22"/>
                <w:szCs w:val="22"/>
                <w:color w:val="auto"/>
              </w:rPr>
            </w:pPr>
          </w:p>
        </w:tc>
        <w:tc>
          <w:tcPr>
            <w:tcW w:w="1060" w:type="dxa"/>
            <w:vAlign w:val="bottom"/>
            <w:tcBorders>
              <w:bottom w:val="single" w:sz="8" w:color="auto"/>
            </w:tcBorders>
            <w:vMerge w:val="continue"/>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E0E7ED"/>
            </w:tcBorders>
          </w:tcPr>
          <w:p>
            <w:pPr>
              <w:spacing w:after="0" w:line="20" w:lineRule="exact"/>
              <w:rPr>
                <w:sz w:val="1"/>
                <w:szCs w:val="1"/>
                <w:color w:val="auto"/>
              </w:rPr>
            </w:pPr>
          </w:p>
        </w:tc>
        <w:tc>
          <w:tcPr>
            <w:tcW w:w="15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Changes in fair value of these derivative assets and liabilities are included in the </w:t>
      </w:r>
      <w:r>
        <w:rPr>
          <w:rFonts w:ascii="Arial" w:cs="Arial" w:eastAsia="Arial" w:hAnsi="Arial"/>
          <w:sz w:val="18"/>
          <w:szCs w:val="18"/>
          <w:u w:val="single" w:color="auto"/>
          <w:color w:val="0000FF"/>
        </w:rPr>
        <w:t>Consolidated Statements of Income (Unaudited)</w:t>
      </w:r>
      <w:r>
        <w:rPr>
          <w:rFonts w:ascii="Arial" w:cs="Arial" w:eastAsia="Arial" w:hAnsi="Arial"/>
          <w:sz w:val="18"/>
          <w:szCs w:val="18"/>
          <w:color w:val="auto"/>
        </w:rPr>
        <w:t xml:space="preserve"> and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5"/>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9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60" w:type="dxa"/>
            <w:vAlign w:val="bottom"/>
            <w:gridSpan w:val="2"/>
          </w:tcPr>
          <w:p>
            <w:pPr>
              <w:ind w:left="440"/>
              <w:spacing w:after="0"/>
              <w:rPr>
                <w:sz w:val="20"/>
                <w:szCs w:val="20"/>
                <w:color w:val="auto"/>
              </w:rPr>
            </w:pPr>
            <w:r>
              <w:rPr>
                <w:rFonts w:ascii="Arial" w:cs="Arial" w:eastAsia="Arial" w:hAnsi="Arial"/>
                <w:sz w:val="14"/>
                <w:szCs w:val="14"/>
                <w:b w:val="1"/>
                <w:bCs w:val="1"/>
                <w:color w:val="auto"/>
              </w:rPr>
              <w:t>Location</w:t>
            </w:r>
          </w:p>
        </w:tc>
        <w:tc>
          <w:tcPr>
            <w:tcW w:w="2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r>
      <w:tr>
        <w:trPr>
          <w:trHeight w:val="250"/>
        </w:trPr>
        <w:tc>
          <w:tcPr>
            <w:tcW w:w="39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14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40" w:type="dxa"/>
            <w:vAlign w:val="bottom"/>
            <w:tcBorders>
              <w:top w:val="single" w:sz="8" w:color="auto"/>
            </w:tcBorders>
            <w:shd w:val="clear" w:color="auto" w:fill="E0E7ED"/>
          </w:tcPr>
          <w:p>
            <w:pPr>
              <w:spacing w:after="0"/>
              <w:rPr>
                <w:sz w:val="21"/>
                <w:szCs w:val="21"/>
                <w:color w:val="auto"/>
              </w:rPr>
            </w:pPr>
          </w:p>
        </w:tc>
      </w:tr>
      <w:tr>
        <w:trPr>
          <w:trHeight w:val="224"/>
        </w:trPr>
        <w:tc>
          <w:tcPr>
            <w:tcW w:w="3940" w:type="dxa"/>
            <w:vAlign w:val="bottom"/>
          </w:tcPr>
          <w:p>
            <w:pPr>
              <w:ind w:left="180"/>
              <w:spacing w:after="0"/>
              <w:rPr>
                <w:sz w:val="20"/>
                <w:szCs w:val="20"/>
                <w:color w:val="auto"/>
              </w:rPr>
            </w:pPr>
            <w:r>
              <w:rPr>
                <w:rFonts w:ascii="Arial" w:cs="Arial" w:eastAsia="Arial" w:hAnsi="Arial"/>
                <w:sz w:val="18"/>
                <w:szCs w:val="18"/>
                <w:color w:val="auto"/>
              </w:rPr>
              <w:t>Receive-fixed, pay-floating</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Noninterest</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9"/>
        </w:trPr>
        <w:tc>
          <w:tcPr>
            <w:tcW w:w="3940" w:type="dxa"/>
            <w:vAlign w:val="bottom"/>
          </w:tcPr>
          <w:p>
            <w:pPr>
              <w:spacing w:after="0"/>
              <w:rPr>
                <w:sz w:val="20"/>
                <w:szCs w:val="20"/>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6,174</w:t>
            </w:r>
          </w:p>
        </w:tc>
      </w:tr>
      <w:tr>
        <w:trPr>
          <w:trHeight w:val="23"/>
        </w:trPr>
        <w:tc>
          <w:tcPr>
            <w:tcW w:w="3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4"/>
        </w:trPr>
        <w:tc>
          <w:tcPr>
            <w:tcW w:w="39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Receive-floating, pay-fixed</w:t>
            </w:r>
          </w:p>
        </w:tc>
        <w:tc>
          <w:tcPr>
            <w:tcW w:w="15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Noninterest</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r>
      <w:tr>
        <w:trPr>
          <w:trHeight w:val="262"/>
        </w:trPr>
        <w:tc>
          <w:tcPr>
            <w:tcW w:w="3940" w:type="dxa"/>
            <w:vAlign w:val="bottom"/>
            <w:tcBorders>
              <w:bottom w:val="single" w:sz="8" w:color="E0E7ED"/>
            </w:tcBorders>
            <w:shd w:val="clear" w:color="auto" w:fill="E0E7ED"/>
          </w:tcPr>
          <w:p>
            <w:pPr>
              <w:spacing w:after="0"/>
              <w:rPr>
                <w:sz w:val="22"/>
                <w:szCs w:val="22"/>
                <w:color w:val="auto"/>
              </w:rPr>
            </w:pPr>
          </w:p>
        </w:tc>
        <w:tc>
          <w:tcPr>
            <w:tcW w:w="15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1,972</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(6,174)</w:t>
            </w:r>
          </w:p>
        </w:tc>
      </w:tr>
      <w:tr>
        <w:trPr>
          <w:trHeight w:val="263"/>
        </w:trPr>
        <w:tc>
          <w:tcPr>
            <w:tcW w:w="3940" w:type="dxa"/>
            <w:vAlign w:val="bottom"/>
          </w:tcPr>
          <w:p>
            <w:pPr>
              <w:ind w:left="20"/>
              <w:spacing w:after="0"/>
              <w:rPr>
                <w:sz w:val="20"/>
                <w:szCs w:val="20"/>
                <w:color w:val="auto"/>
              </w:rPr>
            </w:pPr>
            <w:r>
              <w:rPr>
                <w:rFonts w:ascii="Arial" w:cs="Arial" w:eastAsia="Arial" w:hAnsi="Arial"/>
                <w:sz w:val="18"/>
                <w:szCs w:val="18"/>
                <w:color w:val="auto"/>
              </w:rPr>
              <w:t>Net change in fair value of interest rate swaps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39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Participation Agreements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manage the credit risk exposure related to customer-facing swaps, Busey entered into risk participation agreements in conjunction with loan participation arrangements with other financial institutions. Under these risk participation agreements, Busey purchased credit risk participation, paying an up-front fee to a counterparty to accept a portion of its credit exposure, and will receive a payment from the counterparty if the swap customer defaults on its obligations. Busey also assumed additional risk participation agreements entered into by CrossFirst, in which CrossFirst purchased credit risk participation, and Busey will receive a payment from the counterparty if the swap customer defaults on its obligations.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CrossFirst acquisition, Busey assumed risk participation agreements entered into by CrossFirst, under which CrossFirst sold credit risk participation, receiving an up-front fee from a counterparty in exchange for accepting a portion of the counterparty’s credit exposure. Under these agreements, Busey will be required to make a payment to the counterparty if the swap customer defaults on its obligations.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Notional amounts of the risk participation agreements reflect the participating banks’ pro-rata shares of the derivative instruments, consistent with their shares of the related participated loans. The risk participation agreements mature between October 2025 and October 2029, and are summarized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Risk participation agreements purchased</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Number of risk participation agreements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Notional amount</w:t>
            </w:r>
          </w:p>
        </w:tc>
        <w:tc>
          <w:tcPr>
            <w:tcW w:w="26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59,045</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40,092</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Fair value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8400" w:type="dxa"/>
            <w:vAlign w:val="bottom"/>
          </w:tcPr>
          <w:p>
            <w:pPr>
              <w:ind w:left="20"/>
              <w:spacing w:after="0"/>
              <w:rPr>
                <w:sz w:val="20"/>
                <w:szCs w:val="20"/>
                <w:color w:val="auto"/>
              </w:rPr>
            </w:pPr>
            <w:r>
              <w:rPr>
                <w:rFonts w:ascii="Arial" w:cs="Arial" w:eastAsia="Arial" w:hAnsi="Arial"/>
                <w:sz w:val="18"/>
                <w:szCs w:val="18"/>
                <w:b w:val="1"/>
                <w:bCs w:val="1"/>
                <w:color w:val="auto"/>
              </w:rPr>
              <w:t>Risk participation agreements sold</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Number of risk participation agreements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Notional amount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109,540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84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Fair value</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84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10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80" w:type="dxa"/>
            <w:vAlign w:val="bottom"/>
            <w:shd w:val="clear" w:color="auto" w:fill="E0E7ED"/>
          </w:tcPr>
          <w:p>
            <w:pPr>
              <w:spacing w:after="0"/>
              <w:rPr>
                <w:sz w:val="2"/>
                <w:szCs w:val="2"/>
                <w:color w:val="auto"/>
              </w:rPr>
            </w:pPr>
          </w:p>
        </w:tc>
        <w:tc>
          <w:tcPr>
            <w:tcW w:w="120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Banking Derivatives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Lock Commitments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Interest rate lock commitments that meet the definition of derivative financial 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carried at their fair values in other assets or other liabilities on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with changes in the fair values of the corresponding derivative financial assets or liabilities recorded as either a charge or credit to current earnings during the period in which the changes occurred.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Sales Commitments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Busey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carried at their fair values in other assets or other liabilities on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000000"/>
        </w:rPr>
        <w:t>. While such forward sales commitments generally served as an economic hedge to mortgage</w:t>
      </w:r>
      <w:r>
        <w:rPr>
          <w:rFonts w:ascii="Arial" w:cs="Arial" w:eastAsia="Arial" w:hAnsi="Arial"/>
          <w:sz w:val="18"/>
          <w:szCs w:val="18"/>
          <w:color w:val="0000FF"/>
        </w:rPr>
        <w:t xml:space="preserve"> </w:t>
      </w:r>
      <w:r>
        <w:rPr>
          <w:rFonts w:ascii="Arial" w:cs="Arial" w:eastAsia="Arial" w:hAnsi="Arial"/>
          <w:sz w:val="18"/>
          <w:szCs w:val="18"/>
          <w:color w:val="000000"/>
        </w:rPr>
        <w:t>loans held for sale and interest rate lock commitments, Busey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Amounts and fair values of mortgage banking derivatives included on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are summarized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236"/>
              <w:spacing w:after="0"/>
              <w:rPr>
                <w:sz w:val="20"/>
                <w:szCs w:val="20"/>
                <w:color w:val="auto"/>
              </w:rPr>
            </w:pPr>
            <w:r>
              <w:rPr>
                <w:rFonts w:ascii="Arial" w:cs="Arial" w:eastAsia="Arial" w:hAnsi="Arial"/>
                <w:sz w:val="14"/>
                <w:szCs w:val="14"/>
                <w:b w:val="1"/>
                <w:bCs w:val="1"/>
                <w:color w:val="auto"/>
              </w:rPr>
              <w:t>As of June 30, 2025</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39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Notional</w:t>
            </w:r>
          </w:p>
        </w:tc>
        <w:tc>
          <w:tcPr>
            <w:tcW w:w="9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Notional</w:t>
            </w:r>
          </w:p>
        </w:tc>
        <w:tc>
          <w:tcPr>
            <w:tcW w:w="300" w:type="dxa"/>
            <w:vAlign w:val="bottom"/>
          </w:tcPr>
          <w:p>
            <w:pPr>
              <w:spacing w:after="0"/>
              <w:rPr>
                <w:sz w:val="12"/>
                <w:szCs w:val="12"/>
                <w:color w:val="auto"/>
              </w:rPr>
            </w:pPr>
          </w:p>
        </w:tc>
        <w:tc>
          <w:tcPr>
            <w:tcW w:w="1060" w:type="dxa"/>
            <w:vAlign w:val="bottom"/>
          </w:tcPr>
          <w:p>
            <w:pPr>
              <w:jc w:val="right"/>
              <w:ind w:right="455"/>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5"/>
        </w:trPr>
        <w:tc>
          <w:tcPr>
            <w:tcW w:w="396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Value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60" w:type="dxa"/>
            <w:vAlign w:val="bottom"/>
          </w:tcPr>
          <w:p>
            <w:pPr>
              <w:jc w:val="right"/>
              <w:ind w:right="41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39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Mortgage banking derivative assets</w:t>
            </w:r>
          </w:p>
        </w:tc>
        <w:tc>
          <w:tcPr>
            <w:tcW w:w="14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920" w:type="dxa"/>
            <w:vAlign w:val="bottom"/>
            <w:tcBorders>
              <w:top w:val="single" w:sz="8" w:color="auto"/>
            </w:tcBorders>
            <w:shd w:val="clear" w:color="auto" w:fill="E0E7ED"/>
          </w:tcPr>
          <w:p>
            <w:pPr>
              <w:spacing w:after="0"/>
              <w:rPr>
                <w:sz w:val="21"/>
                <w:szCs w:val="21"/>
                <w:color w:val="auto"/>
              </w:rPr>
            </w:pPr>
          </w:p>
        </w:tc>
        <w:tc>
          <w:tcPr>
            <w:tcW w:w="4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96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7,701</w:t>
            </w:r>
          </w:p>
        </w:tc>
        <w:tc>
          <w:tcPr>
            <w:tcW w:w="100" w:type="dxa"/>
            <w:vAlign w:val="bottom"/>
          </w:tcPr>
          <w:p>
            <w:pPr>
              <w:spacing w:after="0"/>
              <w:rPr>
                <w:sz w:val="21"/>
                <w:szCs w:val="21"/>
                <w:color w:val="auto"/>
              </w:rPr>
            </w:pP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2,430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Forward sales commitments</w:t>
            </w:r>
          </w:p>
        </w:tc>
        <w:tc>
          <w:tcPr>
            <w:tcW w:w="15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E0E7ED"/>
            </w:tcBorders>
            <w:shd w:val="clear" w:color="auto" w:fill="E0E7ED"/>
          </w:tcPr>
          <w:p>
            <w:pPr>
              <w:spacing w:after="0"/>
              <w:rPr>
                <w:sz w:val="23"/>
                <w:szCs w:val="23"/>
                <w:color w:val="auto"/>
              </w:rPr>
            </w:pPr>
          </w:p>
        </w:tc>
        <w:tc>
          <w:tcPr>
            <w:tcW w:w="92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63"/>
        </w:trPr>
        <w:tc>
          <w:tcPr>
            <w:tcW w:w="3960" w:type="dxa"/>
            <w:vAlign w:val="bottom"/>
          </w:tcPr>
          <w:p>
            <w:pPr>
              <w:ind w:left="20"/>
              <w:spacing w:after="0"/>
              <w:rPr>
                <w:sz w:val="20"/>
                <w:szCs w:val="20"/>
                <w:color w:val="auto"/>
              </w:rPr>
            </w:pPr>
            <w:r>
              <w:rPr>
                <w:rFonts w:ascii="Arial" w:cs="Arial" w:eastAsia="Arial" w:hAnsi="Arial"/>
                <w:sz w:val="18"/>
                <w:szCs w:val="18"/>
                <w:color w:val="auto"/>
              </w:rPr>
              <w:t>Mortgage banking derivative assets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9,512</w:t>
            </w:r>
          </w:p>
        </w:tc>
        <w:tc>
          <w:tcPr>
            <w:tcW w:w="10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96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60" w:type="dxa"/>
            <w:vAlign w:val="bottom"/>
            <w:shd w:val="clear" w:color="auto" w:fill="E0E7ED"/>
          </w:tcPr>
          <w:p>
            <w:pPr>
              <w:spacing w:after="0"/>
              <w:rPr>
                <w:sz w:val="20"/>
                <w:szCs w:val="20"/>
                <w:color w:val="auto"/>
              </w:rPr>
            </w:pPr>
          </w:p>
        </w:tc>
        <w:tc>
          <w:tcPr>
            <w:tcW w:w="14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920" w:type="dxa"/>
            <w:vAlign w:val="bottom"/>
            <w:shd w:val="clear" w:color="auto" w:fill="E0E7ED"/>
          </w:tcPr>
          <w:p>
            <w:pPr>
              <w:spacing w:after="0"/>
              <w:rPr>
                <w:sz w:val="20"/>
                <w:szCs w:val="20"/>
                <w:color w:val="auto"/>
              </w:rPr>
            </w:pPr>
          </w:p>
        </w:tc>
        <w:tc>
          <w:tcPr>
            <w:tcW w:w="4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3960" w:type="dxa"/>
            <w:vAlign w:val="bottom"/>
          </w:tcPr>
          <w:p>
            <w:pPr>
              <w:ind w:left="20"/>
              <w:spacing w:after="0"/>
              <w:rPr>
                <w:sz w:val="20"/>
                <w:szCs w:val="20"/>
                <w:color w:val="auto"/>
              </w:rPr>
            </w:pPr>
            <w:r>
              <w:rPr>
                <w:rFonts w:ascii="Arial" w:cs="Arial" w:eastAsia="Arial" w:hAnsi="Arial"/>
                <w:sz w:val="18"/>
                <w:szCs w:val="18"/>
                <w:b w:val="1"/>
                <w:bCs w:val="1"/>
                <w:color w:val="auto"/>
              </w:rPr>
              <w:t>Mortgage banking derivative liabilities</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9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Interest rate lock commitments</w:t>
            </w:r>
          </w:p>
        </w:tc>
        <w:tc>
          <w:tcPr>
            <w:tcW w:w="15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E0E7ED"/>
            </w:tcBorders>
            <w:shd w:val="clear" w:color="auto" w:fill="E0E7ED"/>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7"/>
        </w:trPr>
        <w:tc>
          <w:tcPr>
            <w:tcW w:w="3960" w:type="dxa"/>
            <w:vAlign w:val="bottom"/>
          </w:tcPr>
          <w:p>
            <w:pPr>
              <w:ind w:left="180"/>
              <w:spacing w:after="0"/>
              <w:rPr>
                <w:sz w:val="20"/>
                <w:szCs w:val="20"/>
                <w:color w:val="auto"/>
              </w:rPr>
            </w:pPr>
            <w:r>
              <w:rPr>
                <w:rFonts w:ascii="Arial" w:cs="Arial" w:eastAsia="Arial" w:hAnsi="Arial"/>
                <w:sz w:val="18"/>
                <w:szCs w:val="18"/>
                <w:color w:val="auto"/>
              </w:rPr>
              <w:t>Forward sales commitments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
        </w:trPr>
        <w:tc>
          <w:tcPr>
            <w:tcW w:w="396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9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Mortgage banking derivative liabilities</w:t>
            </w:r>
          </w:p>
        </w:tc>
        <w:tc>
          <w:tcPr>
            <w:tcW w:w="1460" w:type="dxa"/>
            <w:vAlign w:val="bottom"/>
            <w:tcBorders>
              <w:bottom w:val="single" w:sz="8" w:color="E0E7ED"/>
            </w:tcBorders>
            <w:shd w:val="clear" w:color="auto" w:fill="E0E7ED"/>
          </w:tcPr>
          <w:p>
            <w:pPr>
              <w:spacing w:after="0"/>
              <w:rPr>
                <w:sz w:val="24"/>
                <w:szCs w:val="24"/>
                <w:color w:val="auto"/>
              </w:rPr>
            </w:pP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15,065</w:t>
            </w:r>
          </w:p>
        </w:tc>
        <w:tc>
          <w:tcPr>
            <w:tcW w:w="100" w:type="dxa"/>
            <w:vAlign w:val="bottom"/>
            <w:tcBorders>
              <w:bottom w:val="single" w:sz="8" w:color="E0E7ED"/>
            </w:tcBorders>
            <w:shd w:val="clear" w:color="auto" w:fill="E0E7ED"/>
          </w:tcPr>
          <w:p>
            <w:pPr>
              <w:spacing w:after="0"/>
              <w:rPr>
                <w:sz w:val="24"/>
                <w:szCs w:val="24"/>
                <w:color w:val="auto"/>
              </w:rPr>
            </w:pPr>
          </w:p>
        </w:tc>
        <w:tc>
          <w:tcPr>
            <w:tcW w:w="920" w:type="dxa"/>
            <w:vAlign w:val="bottom"/>
            <w:tcBorders>
              <w:bottom w:val="single" w:sz="8" w:color="auto"/>
            </w:tcBorders>
            <w:shd w:val="clear" w:color="auto" w:fill="E0E7ED"/>
          </w:tcPr>
          <w:p>
            <w:pPr>
              <w:jc w:val="right"/>
              <w:ind w:right="71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2,391</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96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920" w:type="dxa"/>
            <w:vAlign w:val="bottom"/>
            <w:tcBorders>
              <w:top w:val="single" w:sz="8" w:color="E0E7ED"/>
              <w:bottom w:val="single" w:sz="8" w:color="auto"/>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Gains and losses relating to these derivative instruments are reported in noninterest income, and are summarized as follows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0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96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60" w:type="dxa"/>
            <w:vAlign w:val="bottom"/>
            <w:gridSpan w:val="2"/>
          </w:tcPr>
          <w:p>
            <w:pPr>
              <w:ind w:left="440"/>
              <w:spacing w:after="0"/>
              <w:rPr>
                <w:sz w:val="20"/>
                <w:szCs w:val="20"/>
                <w:color w:val="auto"/>
              </w:rPr>
            </w:pPr>
            <w:r>
              <w:rPr>
                <w:rFonts w:ascii="Arial" w:cs="Arial" w:eastAsia="Arial" w:hAnsi="Arial"/>
                <w:sz w:val="14"/>
                <w:szCs w:val="14"/>
                <w:b w:val="1"/>
                <w:bCs w:val="1"/>
                <w:color w:val="auto"/>
              </w:rPr>
              <w:t>Location</w:t>
            </w: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4"/>
        </w:trPr>
        <w:tc>
          <w:tcPr>
            <w:tcW w:w="396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Net gains (losses) on mortgage banking</w:t>
            </w:r>
          </w:p>
        </w:tc>
        <w:tc>
          <w:tcPr>
            <w:tcW w:w="148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260" w:type="dxa"/>
            <w:vAlign w:val="bottom"/>
            <w:tcBorders>
              <w:top w:val="single" w:sz="8" w:color="auto"/>
            </w:tcBorders>
            <w:shd w:val="clear" w:color="auto" w:fill="E0E7ED"/>
          </w:tcPr>
          <w:p>
            <w:pPr>
              <w:spacing w:after="0"/>
              <w:rPr>
                <w:sz w:val="17"/>
                <w:szCs w:val="17"/>
                <w:color w:val="auto"/>
              </w:rPr>
            </w:pPr>
          </w:p>
        </w:tc>
        <w:tc>
          <w:tcPr>
            <w:tcW w:w="112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80" w:type="dxa"/>
            <w:vAlign w:val="bottom"/>
            <w:tcBorders>
              <w:top w:val="single" w:sz="8" w:color="E0E7ED"/>
            </w:tcBorders>
            <w:shd w:val="clear" w:color="auto" w:fill="E0E7ED"/>
          </w:tcPr>
          <w:p>
            <w:pPr>
              <w:spacing w:after="0"/>
              <w:rPr>
                <w:sz w:val="17"/>
                <w:szCs w:val="17"/>
                <w:color w:val="auto"/>
              </w:rPr>
            </w:pPr>
          </w:p>
        </w:tc>
        <w:tc>
          <w:tcPr>
            <w:tcW w:w="320" w:type="dxa"/>
            <w:vAlign w:val="bottom"/>
            <w:tcBorders>
              <w:top w:val="single" w:sz="8" w:color="auto"/>
            </w:tcBorders>
            <w:shd w:val="clear" w:color="auto" w:fill="E0E7ED"/>
          </w:tcPr>
          <w:p>
            <w:pPr>
              <w:spacing w:after="0"/>
              <w:rPr>
                <w:sz w:val="17"/>
                <w:szCs w:val="17"/>
                <w:color w:val="auto"/>
              </w:rPr>
            </w:pPr>
          </w:p>
        </w:tc>
        <w:tc>
          <w:tcPr>
            <w:tcW w:w="104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9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derivatives</w:t>
            </w:r>
          </w:p>
        </w:tc>
        <w:tc>
          <w:tcPr>
            <w:tcW w:w="148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26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8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960" w:type="dxa"/>
            <w:vAlign w:val="bottom"/>
          </w:tcPr>
          <w:p>
            <w:pPr>
              <w:ind w:left="180"/>
              <w:spacing w:after="0"/>
              <w:rPr>
                <w:sz w:val="20"/>
                <w:szCs w:val="20"/>
                <w:color w:val="auto"/>
              </w:rPr>
            </w:pPr>
            <w:r>
              <w:rPr>
                <w:rFonts w:ascii="Arial" w:cs="Arial" w:eastAsia="Arial" w:hAnsi="Arial"/>
                <w:sz w:val="18"/>
                <w:szCs w:val="18"/>
                <w:color w:val="auto"/>
              </w:rPr>
              <w:t>Gains (losses) on interest rate lock</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60" w:type="dxa"/>
            <w:vAlign w:val="bottom"/>
          </w:tcPr>
          <w:p>
            <w:pPr>
              <w:ind w:left="180"/>
              <w:spacing w:after="0"/>
              <w:rPr>
                <w:sz w:val="20"/>
                <w:szCs w:val="20"/>
                <w:color w:val="auto"/>
              </w:rPr>
            </w:pPr>
            <w:r>
              <w:rPr>
                <w:rFonts w:ascii="Arial" w:cs="Arial" w:eastAsia="Arial" w:hAnsi="Arial"/>
                <w:sz w:val="18"/>
                <w:szCs w:val="18"/>
                <w:color w:val="auto"/>
              </w:rPr>
              <w:t>commitments</w:t>
            </w:r>
          </w:p>
        </w:tc>
        <w:tc>
          <w:tcPr>
            <w:tcW w:w="156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239</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481</w:t>
            </w:r>
          </w:p>
        </w:tc>
        <w:tc>
          <w:tcPr>
            <w:tcW w:w="8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3"/>
        </w:trPr>
        <w:tc>
          <w:tcPr>
            <w:tcW w:w="39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shd w:val="clear" w:color="auto" w:fill="E0E7ED"/>
          </w:tcPr>
          <w:p>
            <w:pPr>
              <w:ind w:left="180"/>
              <w:spacing w:after="0"/>
              <w:rPr>
                <w:sz w:val="20"/>
                <w:szCs w:val="20"/>
                <w:color w:val="auto"/>
              </w:rPr>
            </w:pPr>
            <w:r>
              <w:rPr>
                <w:rFonts w:ascii="Arial" w:cs="Arial" w:eastAsia="Arial" w:hAnsi="Arial"/>
                <w:sz w:val="18"/>
                <w:szCs w:val="18"/>
                <w:color w:val="auto"/>
              </w:rPr>
              <w:t>Gains (losses) on forward sales commitments</w:t>
            </w:r>
          </w:p>
        </w:tc>
        <w:tc>
          <w:tcPr>
            <w:tcW w:w="15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Mortgage</w:t>
            </w:r>
          </w:p>
        </w:tc>
        <w:tc>
          <w:tcPr>
            <w:tcW w:w="26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960" w:type="dxa"/>
            <w:vAlign w:val="bottom"/>
            <w:tcBorders>
              <w:bottom w:val="single" w:sz="8" w:color="E0E7ED"/>
            </w:tcBorders>
            <w:shd w:val="clear" w:color="auto" w:fill="E0E7ED"/>
          </w:tcPr>
          <w:p>
            <w:pPr>
              <w:spacing w:after="0"/>
              <w:rPr>
                <w:sz w:val="22"/>
                <w:szCs w:val="22"/>
                <w:color w:val="auto"/>
              </w:rPr>
            </w:pPr>
          </w:p>
        </w:tc>
        <w:tc>
          <w:tcPr>
            <w:tcW w:w="15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E0E7ED"/>
            </w:tcBorders>
            <w:shd w:val="clear" w:color="auto" w:fill="E0E7ED"/>
          </w:tcPr>
          <w:p>
            <w:pPr>
              <w:spacing w:after="0"/>
              <w:rPr>
                <w:sz w:val="22"/>
                <w:szCs w:val="22"/>
                <w:color w:val="auto"/>
              </w:rPr>
            </w:pPr>
          </w:p>
        </w:tc>
        <w:tc>
          <w:tcPr>
            <w:tcW w:w="30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4"/>
        </w:trPr>
        <w:tc>
          <w:tcPr>
            <w:tcW w:w="3960" w:type="dxa"/>
            <w:vAlign w:val="bottom"/>
          </w:tcPr>
          <w:p>
            <w:pPr>
              <w:ind w:left="20"/>
              <w:spacing w:after="0" w:line="204" w:lineRule="exact"/>
              <w:rPr>
                <w:sz w:val="20"/>
                <w:szCs w:val="20"/>
                <w:color w:val="auto"/>
              </w:rPr>
            </w:pPr>
            <w:r>
              <w:rPr>
                <w:rFonts w:ascii="Arial" w:cs="Arial" w:eastAsia="Arial" w:hAnsi="Arial"/>
                <w:sz w:val="18"/>
                <w:szCs w:val="18"/>
                <w:color w:val="auto"/>
              </w:rPr>
              <w:t>Net gains (losses) on mortgage banking</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40"/>
        </w:trPr>
        <w:tc>
          <w:tcPr>
            <w:tcW w:w="3960" w:type="dxa"/>
            <w:vAlign w:val="bottom"/>
          </w:tcPr>
          <w:p>
            <w:pPr>
              <w:ind w:left="20"/>
              <w:spacing w:after="0"/>
              <w:rPr>
                <w:sz w:val="20"/>
                <w:szCs w:val="20"/>
                <w:color w:val="auto"/>
              </w:rPr>
            </w:pPr>
            <w:r>
              <w:rPr>
                <w:rFonts w:ascii="Arial" w:cs="Arial" w:eastAsia="Arial" w:hAnsi="Arial"/>
                <w:sz w:val="18"/>
                <w:szCs w:val="18"/>
                <w:color w:val="auto"/>
              </w:rPr>
              <w:t>derivatives</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52" w:lineRule="exact"/>
        <w:rPr>
          <w:sz w:val="20"/>
          <w:szCs w:val="20"/>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Level 1 Inputs</w:t>
      </w:r>
      <w:r>
        <w:rPr>
          <w:rFonts w:ascii="Arial" w:cs="Arial" w:eastAsia="Arial" w:hAnsi="Arial"/>
          <w:sz w:val="18"/>
          <w:szCs w:val="18"/>
          <w:color w:val="auto"/>
        </w:rPr>
        <w:t>—Unadjusted quoted prices in active markets for identical assets or liabilities that the Company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 at the measurement date.</w:t>
      </w:r>
    </w:p>
    <w:p>
      <w:pPr>
        <w:spacing w:after="0" w:line="112"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Level 2 Inputs</w:t>
      </w:r>
      <w:r>
        <w:rPr>
          <w:rFonts w:ascii="Arial" w:cs="Arial" w:eastAsia="Arial" w:hAnsi="Arial"/>
          <w:sz w:val="18"/>
          <w:szCs w:val="18"/>
          <w:color w:val="auto"/>
        </w:rPr>
        <w:t>—Inputs other than quoted prices included 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volatility, prepayment speeds, credit risks, etc.) or inputs that are derived principally from or corroborated by market data by correlation or other means.</w:t>
      </w:r>
    </w:p>
    <w:p>
      <w:pPr>
        <w:spacing w:after="0" w:line="13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Level 3 Inputs</w:t>
      </w:r>
      <w:r>
        <w:rPr>
          <w:rFonts w:ascii="Arial" w:cs="Arial" w:eastAsia="Arial" w:hAnsi="Arial"/>
          <w:sz w:val="18"/>
          <w:szCs w:val="18"/>
          <w:color w:val="auto"/>
        </w:rPr>
        <w:t>—Unobservable inputs for estimating the fair values of assets or liabilities that reflect the Company’s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Busey’s assets and liabilities that are carried at fair value.</w:t>
      </w:r>
    </w:p>
    <w:p>
      <w:pPr>
        <w:spacing w:after="0" w:line="14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fair value estimates are based upon quoted market prices, when available. If such quoted market prices are not available, fair values are estimated utilizing independent valuation techniques that consider identical or similar securities for which significant assumptions are derived primarily from or corroborated by observable data. Valuation adjustments may be made to ensure that financial instruments are recorded at their estimated fair values. These adjustments may include amounts to reflect, among other things, counterparty credit quality and the company's creditworthiness as well as unobservable parameters. Any such valuation adjustments are applied consistently over time. While management believes Busey's valuation methodologies are appropriate and consistent with other market participants, the use of different methodologies or assumptions to estimate the fair value of certain financial instruments could result in a different estimate of fair value at the reporting date.</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3880"/>
        <w:spacing w:after="0" w:line="460" w:lineRule="auto"/>
        <w:rPr>
          <w:sz w:val="20"/>
          <w:szCs w:val="20"/>
          <w:color w:val="auto"/>
        </w:rPr>
      </w:pPr>
      <w:r>
        <w:rPr>
          <w:rFonts w:ascii="Arial" w:cs="Arial" w:eastAsia="Arial" w:hAnsi="Arial"/>
          <w:sz w:val="18"/>
          <w:szCs w:val="18"/>
          <w:b w:val="1"/>
          <w:bCs w:val="1"/>
          <w:i w:val="1"/>
          <w:iCs w:val="1"/>
          <w:color w:val="auto"/>
        </w:rPr>
        <w:t xml:space="preserve">Financial Assets and Financial Liabilities Measured at Fair Value on a Recurring Basis </w:t>
      </w:r>
      <w:r>
        <w:rPr>
          <w:rFonts w:ascii="Arial" w:cs="Arial" w:eastAsia="Arial" w:hAnsi="Arial"/>
          <w:sz w:val="18"/>
          <w:szCs w:val="18"/>
          <w:u w:val="single" w:color="auto"/>
          <w:color w:val="auto"/>
        </w:rPr>
        <w:t>Debt Securities Available for Sale</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Debt securities classified as available for sale are reported at fair value, which is estimated using Level 2 inputs. Busey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to prepare evaluations, with a focus on observable market data such as benchmark curves, benchmarking of like securities, sector groupings, and matrix pricing.</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Equity securities are reported at fair value, which is estimated using Level 1 or Level 2 inputs. Fair value measurements of mutual funds or stock in active markets are estimated using unadjusted quoted prices for identical assets at the measurement date and are classified as Level 1. Fair value measurements of stock that are not active use quoted prices for identical or similar assets in markets and are classified as Level 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Assets and Derivative Liabilities</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Busey’s derivative assets and derivative liabilities are reported at fair value, which is measured using Level 2 or Level 3 inputs. Fair values of derivative assets and liabilities are estimated based on prices that are obtained from a third-party which uses observable market inputs and, with the exception of risk participation agreements, are classified as Level 2. Due to the significance of unobservable inputs, derivative assets and liabilities related to risk participation agreements are classified as Level 3.</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financial assets and financial liabilities measured at estimated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right"/>
              <w:ind w:right="322"/>
              <w:spacing w:after="0"/>
              <w:rPr>
                <w:sz w:val="20"/>
                <w:szCs w:val="20"/>
                <w:color w:val="auto"/>
              </w:rPr>
            </w:pPr>
            <w:r>
              <w:rPr>
                <w:rFonts w:ascii="Arial" w:cs="Arial" w:eastAsia="Arial" w:hAnsi="Arial"/>
                <w:sz w:val="14"/>
                <w:szCs w:val="14"/>
                <w:b w:val="1"/>
                <w:bCs w:val="1"/>
                <w:color w:val="auto"/>
              </w:rPr>
              <w:t>As of June 30, 2025</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2</w:t>
            </w:r>
          </w:p>
        </w:tc>
        <w:tc>
          <w:tcPr>
            <w:tcW w:w="1020" w:type="dxa"/>
            <w:vAlign w:val="bottom"/>
          </w:tcPr>
          <w:p>
            <w:pPr>
              <w:jc w:val="center"/>
              <w:ind w:left="282"/>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Inputs</w:t>
            </w:r>
          </w:p>
        </w:tc>
        <w:tc>
          <w:tcPr>
            <w:tcW w:w="1020" w:type="dxa"/>
            <w:vAlign w:val="bottom"/>
          </w:tcPr>
          <w:p>
            <w:pPr>
              <w:jc w:val="center"/>
              <w:ind w:left="282"/>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54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available for sale:</w:t>
            </w:r>
          </w:p>
        </w:tc>
        <w:tc>
          <w:tcPr>
            <w:tcW w:w="280" w:type="dxa"/>
            <w:vAlign w:val="bottom"/>
            <w:tcBorders>
              <w:top w:val="single" w:sz="8" w:color="auto"/>
              <w:bottom w:val="single" w:sz="8" w:color="E0E7ED"/>
            </w:tcBorders>
            <w:shd w:val="clear" w:color="auto" w:fill="E0E7ED"/>
          </w:tcPr>
          <w:p>
            <w:pPr>
              <w:spacing w:after="0"/>
              <w:rPr>
                <w:sz w:val="20"/>
                <w:szCs w:val="20"/>
                <w:color w:val="auto"/>
              </w:rPr>
            </w:pPr>
          </w:p>
        </w:tc>
        <w:tc>
          <w:tcPr>
            <w:tcW w:w="1080" w:type="dxa"/>
            <w:vAlign w:val="bottom"/>
            <w:tcBorders>
              <w:top w:val="single" w:sz="8" w:color="auto"/>
              <w:bottom w:val="single" w:sz="8" w:color="E0E7ED"/>
            </w:tcBorders>
            <w:shd w:val="clear" w:color="auto" w:fill="E0E7ED"/>
          </w:tcPr>
          <w:p>
            <w:pPr>
              <w:spacing w:after="0"/>
              <w:rPr>
                <w:sz w:val="20"/>
                <w:szCs w:val="20"/>
                <w:color w:val="auto"/>
              </w:rPr>
            </w:pP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280" w:type="dxa"/>
            <w:vAlign w:val="bottom"/>
            <w:tcBorders>
              <w:top w:val="single" w:sz="8" w:color="auto"/>
              <w:bottom w:val="single" w:sz="8" w:color="E0E7ED"/>
            </w:tcBorders>
            <w:shd w:val="clear" w:color="auto" w:fill="E0E7ED"/>
          </w:tcPr>
          <w:p>
            <w:pPr>
              <w:spacing w:after="0"/>
              <w:rPr>
                <w:sz w:val="20"/>
                <w:szCs w:val="20"/>
                <w:color w:val="auto"/>
              </w:rPr>
            </w:pPr>
          </w:p>
        </w:tc>
        <w:tc>
          <w:tcPr>
            <w:tcW w:w="1100" w:type="dxa"/>
            <w:vAlign w:val="bottom"/>
            <w:tcBorders>
              <w:top w:val="single" w:sz="8" w:color="auto"/>
              <w:bottom w:val="single" w:sz="8" w:color="E0E7ED"/>
            </w:tcBorders>
            <w:shd w:val="clear" w:color="auto" w:fill="E0E7ED"/>
          </w:tcPr>
          <w:p>
            <w:pPr>
              <w:spacing w:after="0"/>
              <w:rPr>
                <w:sz w:val="20"/>
                <w:szCs w:val="20"/>
                <w:color w:val="auto"/>
              </w:rPr>
            </w:pP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1020" w:type="dxa"/>
            <w:vAlign w:val="bottom"/>
            <w:tcBorders>
              <w:top w:val="single" w:sz="8" w:color="auto"/>
              <w:bottom w:val="single" w:sz="8" w:color="E0E7ED"/>
            </w:tcBorders>
            <w:shd w:val="clear" w:color="auto" w:fill="E0E7ED"/>
          </w:tcPr>
          <w:p>
            <w:pPr>
              <w:spacing w:after="0"/>
              <w:rPr>
                <w:sz w:val="20"/>
                <w:szCs w:val="20"/>
                <w:color w:val="auto"/>
              </w:rPr>
            </w:pPr>
          </w:p>
        </w:tc>
        <w:tc>
          <w:tcPr>
            <w:tcW w:w="340" w:type="dxa"/>
            <w:vAlign w:val="bottom"/>
            <w:tcBorders>
              <w:top w:val="single" w:sz="8" w:color="auto"/>
              <w:bottom w:val="single" w:sz="8" w:color="E0E7ED"/>
            </w:tcBorders>
            <w:shd w:val="clear" w:color="auto" w:fill="E0E7ED"/>
          </w:tcPr>
          <w:p>
            <w:pPr>
              <w:spacing w:after="0"/>
              <w:rPr>
                <w:sz w:val="20"/>
                <w:szCs w:val="20"/>
                <w:color w:val="auto"/>
              </w:rPr>
            </w:pP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240" w:type="dxa"/>
            <w:vAlign w:val="bottom"/>
            <w:tcBorders>
              <w:top w:val="single" w:sz="8" w:color="auto"/>
              <w:bottom w:val="single" w:sz="8" w:color="E0E7ED"/>
            </w:tcBorders>
            <w:shd w:val="clear" w:color="auto" w:fill="E0E7ED"/>
          </w:tcPr>
          <w:p>
            <w:pPr>
              <w:spacing w:after="0"/>
              <w:rPr>
                <w:sz w:val="20"/>
                <w:szCs w:val="20"/>
                <w:color w:val="auto"/>
              </w:rPr>
            </w:pPr>
          </w:p>
        </w:tc>
        <w:tc>
          <w:tcPr>
            <w:tcW w:w="1140" w:type="dxa"/>
            <w:vAlign w:val="bottom"/>
            <w:tcBorders>
              <w:top w:val="single" w:sz="8" w:color="auto"/>
              <w:bottom w:val="single" w:sz="8" w:color="E0E7ED"/>
            </w:tcBorders>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115,557</w:t>
            </w:r>
          </w:p>
        </w:tc>
        <w:tc>
          <w:tcPr>
            <w:tcW w:w="80" w:type="dxa"/>
            <w:vAlign w:val="bottom"/>
          </w:tcPr>
          <w:p>
            <w:pPr>
              <w:spacing w:after="0"/>
              <w:rPr>
                <w:sz w:val="21"/>
                <w:szCs w:val="21"/>
                <w:color w:val="auto"/>
              </w:rPr>
            </w:pPr>
          </w:p>
        </w:tc>
        <w:tc>
          <w:tcPr>
            <w:tcW w:w="1020" w:type="dxa"/>
            <w:vAlign w:val="bottom"/>
          </w:tcPr>
          <w:p>
            <w:pPr>
              <w:jc w:val="right"/>
              <w:ind w:right="822"/>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115,557</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242,153</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242,153</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373,621</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373,621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138,026</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138,026</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1,289,129</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1,289,129</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59,302</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59,302</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15,994</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16,171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34,843</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34,877</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48,633</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48,712</w:t>
            </w:r>
          </w:p>
        </w:tc>
        <w:tc>
          <w:tcPr>
            <w:tcW w:w="0" w:type="dxa"/>
            <w:vAlign w:val="bottom"/>
          </w:tcPr>
          <w:p>
            <w:pPr>
              <w:spacing w:after="0"/>
              <w:rPr>
                <w:sz w:val="1"/>
                <w:szCs w:val="1"/>
                <w:color w:val="auto"/>
              </w:rPr>
            </w:pPr>
          </w:p>
        </w:tc>
      </w:tr>
      <w:tr>
        <w:trPr>
          <w:trHeight w:val="549"/>
        </w:trPr>
        <w:tc>
          <w:tcPr>
            <w:tcW w:w="54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142"/>
              <w:spacing w:after="0"/>
              <w:rPr>
                <w:sz w:val="20"/>
                <w:szCs w:val="20"/>
                <w:color w:val="auto"/>
              </w:rPr>
            </w:pPr>
            <w:r>
              <w:rPr>
                <w:rFonts w:ascii="Arial" w:cs="Arial" w:eastAsia="Arial" w:hAnsi="Arial"/>
                <w:sz w:val="14"/>
                <w:szCs w:val="14"/>
                <w:b w:val="1"/>
                <w:bCs w:val="1"/>
                <w:color w:val="auto"/>
              </w:rPr>
              <w:t>As of December 31, 2024</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2</w:t>
            </w:r>
          </w:p>
        </w:tc>
        <w:tc>
          <w:tcPr>
            <w:tcW w:w="1020" w:type="dxa"/>
            <w:vAlign w:val="bottom"/>
          </w:tcPr>
          <w:p>
            <w:pPr>
              <w:jc w:val="center"/>
              <w:ind w:left="282"/>
              <w:spacing w:after="0" w:line="142" w:lineRule="exact"/>
              <w:rPr>
                <w:sz w:val="20"/>
                <w:szCs w:val="20"/>
                <w:color w:val="auto"/>
              </w:rPr>
            </w:pPr>
            <w:r>
              <w:rPr>
                <w:rFonts w:ascii="Arial" w:cs="Arial" w:eastAsia="Arial" w:hAnsi="Arial"/>
                <w:sz w:val="14"/>
                <w:szCs w:val="14"/>
                <w:b w:val="1"/>
                <w:bCs w:val="1"/>
                <w:color w:val="auto"/>
              </w:rPr>
              <w:t>Level 3</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5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Inputs</w:t>
            </w:r>
          </w:p>
        </w:tc>
        <w:tc>
          <w:tcPr>
            <w:tcW w:w="28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Inputs</w:t>
            </w:r>
          </w:p>
        </w:tc>
        <w:tc>
          <w:tcPr>
            <w:tcW w:w="1020" w:type="dxa"/>
            <w:vAlign w:val="bottom"/>
          </w:tcPr>
          <w:p>
            <w:pPr>
              <w:jc w:val="center"/>
              <w:ind w:left="282"/>
              <w:spacing w:after="0"/>
              <w:rPr>
                <w:sz w:val="20"/>
                <w:szCs w:val="20"/>
                <w:color w:val="auto"/>
              </w:rPr>
            </w:pPr>
            <w:r>
              <w:rPr>
                <w:rFonts w:ascii="Arial" w:cs="Arial" w:eastAsia="Arial" w:hAnsi="Arial"/>
                <w:sz w:val="14"/>
                <w:szCs w:val="14"/>
                <w:b w:val="1"/>
                <w:bCs w:val="1"/>
                <w:color w:val="auto"/>
                <w:w w:val="99"/>
              </w:rPr>
              <w:t>Inputs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jc w:val="center"/>
              <w:ind w:right="13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30"/>
        </w:trPr>
        <w:tc>
          <w:tcPr>
            <w:tcW w:w="548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available for sale:</w:t>
            </w:r>
          </w:p>
        </w:tc>
        <w:tc>
          <w:tcPr>
            <w:tcW w:w="280" w:type="dxa"/>
            <w:vAlign w:val="bottom"/>
            <w:tcBorders>
              <w:top w:val="single" w:sz="8" w:color="auto"/>
              <w:bottom w:val="single" w:sz="8" w:color="E0E7ED"/>
            </w:tcBorders>
            <w:shd w:val="clear" w:color="auto" w:fill="E0E7ED"/>
          </w:tcPr>
          <w:p>
            <w:pPr>
              <w:spacing w:after="0"/>
              <w:rPr>
                <w:sz w:val="20"/>
                <w:szCs w:val="20"/>
                <w:color w:val="auto"/>
              </w:rPr>
            </w:pPr>
          </w:p>
        </w:tc>
        <w:tc>
          <w:tcPr>
            <w:tcW w:w="1080" w:type="dxa"/>
            <w:vAlign w:val="bottom"/>
            <w:tcBorders>
              <w:top w:val="single" w:sz="8" w:color="auto"/>
              <w:bottom w:val="single" w:sz="8" w:color="E0E7ED"/>
            </w:tcBorders>
            <w:shd w:val="clear" w:color="auto" w:fill="E0E7ED"/>
          </w:tcPr>
          <w:p>
            <w:pPr>
              <w:spacing w:after="0"/>
              <w:rPr>
                <w:sz w:val="20"/>
                <w:szCs w:val="20"/>
                <w:color w:val="auto"/>
              </w:rPr>
            </w:pP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280" w:type="dxa"/>
            <w:vAlign w:val="bottom"/>
            <w:tcBorders>
              <w:top w:val="single" w:sz="8" w:color="auto"/>
              <w:bottom w:val="single" w:sz="8" w:color="E0E7ED"/>
            </w:tcBorders>
            <w:shd w:val="clear" w:color="auto" w:fill="E0E7ED"/>
          </w:tcPr>
          <w:p>
            <w:pPr>
              <w:spacing w:after="0"/>
              <w:rPr>
                <w:sz w:val="20"/>
                <w:szCs w:val="20"/>
                <w:color w:val="auto"/>
              </w:rPr>
            </w:pPr>
          </w:p>
        </w:tc>
        <w:tc>
          <w:tcPr>
            <w:tcW w:w="1100" w:type="dxa"/>
            <w:vAlign w:val="bottom"/>
            <w:tcBorders>
              <w:top w:val="single" w:sz="8" w:color="auto"/>
              <w:bottom w:val="single" w:sz="8" w:color="E0E7ED"/>
            </w:tcBorders>
            <w:shd w:val="clear" w:color="auto" w:fill="E0E7ED"/>
          </w:tcPr>
          <w:p>
            <w:pPr>
              <w:spacing w:after="0"/>
              <w:rPr>
                <w:sz w:val="20"/>
                <w:szCs w:val="20"/>
                <w:color w:val="auto"/>
              </w:rPr>
            </w:pPr>
          </w:p>
        </w:tc>
        <w:tc>
          <w:tcPr>
            <w:tcW w:w="80" w:type="dxa"/>
            <w:vAlign w:val="bottom"/>
            <w:tcBorders>
              <w:top w:val="single" w:sz="8" w:color="E0E7ED"/>
              <w:bottom w:val="single" w:sz="8" w:color="E0E7ED"/>
            </w:tcBorders>
            <w:shd w:val="clear" w:color="auto" w:fill="E0E7ED"/>
          </w:tcPr>
          <w:p>
            <w:pPr>
              <w:spacing w:after="0"/>
              <w:rPr>
                <w:sz w:val="20"/>
                <w:szCs w:val="20"/>
                <w:color w:val="auto"/>
              </w:rPr>
            </w:pPr>
          </w:p>
        </w:tc>
        <w:tc>
          <w:tcPr>
            <w:tcW w:w="1020" w:type="dxa"/>
            <w:vAlign w:val="bottom"/>
            <w:tcBorders>
              <w:top w:val="single" w:sz="8" w:color="auto"/>
              <w:bottom w:val="single" w:sz="8" w:color="E0E7ED"/>
            </w:tcBorders>
            <w:shd w:val="clear" w:color="auto" w:fill="E0E7ED"/>
          </w:tcPr>
          <w:p>
            <w:pPr>
              <w:spacing w:after="0"/>
              <w:rPr>
                <w:sz w:val="20"/>
                <w:szCs w:val="20"/>
                <w:color w:val="auto"/>
              </w:rPr>
            </w:pPr>
          </w:p>
        </w:tc>
        <w:tc>
          <w:tcPr>
            <w:tcW w:w="340" w:type="dxa"/>
            <w:vAlign w:val="bottom"/>
            <w:tcBorders>
              <w:top w:val="single" w:sz="8" w:color="auto"/>
              <w:bottom w:val="single" w:sz="8" w:color="E0E7ED"/>
            </w:tcBorders>
            <w:shd w:val="clear" w:color="auto" w:fill="E0E7ED"/>
          </w:tcPr>
          <w:p>
            <w:pPr>
              <w:spacing w:after="0"/>
              <w:rPr>
                <w:sz w:val="20"/>
                <w:szCs w:val="20"/>
                <w:color w:val="auto"/>
              </w:rPr>
            </w:pPr>
          </w:p>
        </w:tc>
        <w:tc>
          <w:tcPr>
            <w:tcW w:w="100" w:type="dxa"/>
            <w:vAlign w:val="bottom"/>
            <w:tcBorders>
              <w:top w:val="single" w:sz="8" w:color="E0E7ED"/>
              <w:bottom w:val="single" w:sz="8" w:color="E0E7ED"/>
            </w:tcBorders>
            <w:shd w:val="clear" w:color="auto" w:fill="E0E7ED"/>
          </w:tcPr>
          <w:p>
            <w:pPr>
              <w:spacing w:after="0"/>
              <w:rPr>
                <w:sz w:val="20"/>
                <w:szCs w:val="20"/>
                <w:color w:val="auto"/>
              </w:rPr>
            </w:pPr>
          </w:p>
        </w:tc>
        <w:tc>
          <w:tcPr>
            <w:tcW w:w="240" w:type="dxa"/>
            <w:vAlign w:val="bottom"/>
            <w:tcBorders>
              <w:top w:val="single" w:sz="8" w:color="auto"/>
              <w:bottom w:val="single" w:sz="8" w:color="E0E7ED"/>
            </w:tcBorders>
            <w:shd w:val="clear" w:color="auto" w:fill="E0E7ED"/>
          </w:tcPr>
          <w:p>
            <w:pPr>
              <w:spacing w:after="0"/>
              <w:rPr>
                <w:sz w:val="20"/>
                <w:szCs w:val="20"/>
                <w:color w:val="auto"/>
              </w:rPr>
            </w:pPr>
          </w:p>
        </w:tc>
        <w:tc>
          <w:tcPr>
            <w:tcW w:w="1140" w:type="dxa"/>
            <w:vAlign w:val="bottom"/>
            <w:tcBorders>
              <w:top w:val="single" w:sz="8" w:color="auto"/>
              <w:bottom w:val="single" w:sz="8" w:color="E0E7ED"/>
            </w:tcBorders>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Obligations of U.S. government corporations and agencies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1,400</w:t>
            </w:r>
          </w:p>
        </w:tc>
        <w:tc>
          <w:tcPr>
            <w:tcW w:w="80" w:type="dxa"/>
            <w:vAlign w:val="bottom"/>
          </w:tcPr>
          <w:p>
            <w:pPr>
              <w:spacing w:after="0"/>
              <w:rPr>
                <w:sz w:val="21"/>
                <w:szCs w:val="21"/>
                <w:color w:val="auto"/>
              </w:rPr>
            </w:pPr>
          </w:p>
        </w:tc>
        <w:tc>
          <w:tcPr>
            <w:tcW w:w="1020" w:type="dxa"/>
            <w:vAlign w:val="bottom"/>
          </w:tcPr>
          <w:p>
            <w:pPr>
              <w:jc w:val="right"/>
              <w:ind w:right="822"/>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Obligations of states and political subdivisions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139,829</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139,829</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336,557</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336,557</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Commercial mortgage-backed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92,174</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92,174</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Residential mortgage-backed securities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1,087,210</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1,087,210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Corporate debt securities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153,051</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153,051</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10,295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15,862</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Derivative assets</w:t>
            </w:r>
          </w:p>
        </w:tc>
        <w:tc>
          <w:tcPr>
            <w:tcW w:w="2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30,368</w:t>
            </w:r>
          </w:p>
        </w:tc>
        <w:tc>
          <w:tcPr>
            <w:tcW w:w="8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30,373</w:t>
            </w:r>
          </w:p>
        </w:tc>
        <w:tc>
          <w:tcPr>
            <w:tcW w:w="0" w:type="dxa"/>
            <w:vAlign w:val="bottom"/>
          </w:tcPr>
          <w:p>
            <w:pPr>
              <w:spacing w:after="0"/>
              <w:rPr>
                <w:sz w:val="1"/>
                <w:szCs w:val="1"/>
                <w:color w:val="auto"/>
              </w:rPr>
            </w:pPr>
          </w:p>
        </w:tc>
      </w:tr>
      <w:tr>
        <w:trPr>
          <w:trHeight w:val="247"/>
        </w:trPr>
        <w:tc>
          <w:tcPr>
            <w:tcW w:w="54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58,099</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58,099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Activity for risk participation agreements, which are financial assets measured at estimated fair value on a recurring basis using Level 3, is summarized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38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5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Location</w:t>
            </w:r>
          </w:p>
        </w:tc>
        <w:tc>
          <w:tcPr>
            <w:tcW w:w="8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02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r>
      <w:tr>
        <w:trPr>
          <w:trHeight w:val="244"/>
        </w:trPr>
        <w:tc>
          <w:tcPr>
            <w:tcW w:w="38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Beginning Balance</w:t>
            </w:r>
          </w:p>
        </w:tc>
        <w:tc>
          <w:tcPr>
            <w:tcW w:w="1920" w:type="dxa"/>
            <w:vAlign w:val="bottom"/>
            <w:tcBorders>
              <w:bottom w:val="single" w:sz="8" w:color="E0E7ED"/>
            </w:tcBorders>
            <w:gridSpan w:val="3"/>
            <w:shd w:val="clear" w:color="auto" w:fill="E0E7ED"/>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ind w:right="816"/>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3860" w:type="dxa"/>
            <w:vAlign w:val="bottom"/>
          </w:tcPr>
          <w:p>
            <w:pPr>
              <w:ind w:left="180"/>
              <w:spacing w:after="0"/>
              <w:rPr>
                <w:sz w:val="20"/>
                <w:szCs w:val="20"/>
                <w:color w:val="auto"/>
              </w:rPr>
            </w:pPr>
            <w:r>
              <w:rPr>
                <w:rFonts w:ascii="Arial" w:cs="Arial" w:eastAsia="Arial" w:hAnsi="Arial"/>
                <w:sz w:val="18"/>
                <w:szCs w:val="18"/>
                <w:color w:val="auto"/>
              </w:rPr>
              <w:t>Gains (losses) recognized in earnings</w:t>
            </w: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Other expense</w:t>
            </w: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Purchases</w:t>
            </w:r>
          </w:p>
        </w:tc>
        <w:tc>
          <w:tcPr>
            <w:tcW w:w="158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w:t>
            </w:r>
          </w:p>
        </w:tc>
      </w:tr>
      <w:tr>
        <w:trPr>
          <w:trHeight w:val="247"/>
        </w:trPr>
        <w:tc>
          <w:tcPr>
            <w:tcW w:w="3860" w:type="dxa"/>
            <w:vAlign w:val="bottom"/>
          </w:tcPr>
          <w:p>
            <w:pPr>
              <w:ind w:left="180"/>
              <w:spacing w:after="0"/>
              <w:rPr>
                <w:sz w:val="20"/>
                <w:szCs w:val="20"/>
                <w:color w:val="auto"/>
              </w:rPr>
            </w:pPr>
            <w:r>
              <w:rPr>
                <w:rFonts w:ascii="Arial" w:cs="Arial" w:eastAsia="Arial" w:hAnsi="Arial"/>
                <w:sz w:val="18"/>
                <w:szCs w:val="18"/>
                <w:color w:val="auto"/>
              </w:rPr>
              <w:t>Sales</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38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8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Assumed in acquisition</w:t>
            </w:r>
          </w:p>
        </w:tc>
        <w:tc>
          <w:tcPr>
            <w:tcW w:w="1580" w:type="dxa"/>
            <w:vAlign w:val="bottom"/>
            <w:tcBorders>
              <w:bottom w:val="single" w:sz="8" w:color="E0E7ED"/>
            </w:tcBorders>
            <w:shd w:val="clear" w:color="auto" w:fill="E0E7ED"/>
          </w:tcPr>
          <w:p>
            <w:pPr>
              <w:spacing w:after="0"/>
              <w:rPr>
                <w:sz w:val="23"/>
                <w:szCs w:val="23"/>
                <w:color w:val="auto"/>
              </w:rPr>
            </w:pPr>
          </w:p>
        </w:tc>
        <w:tc>
          <w:tcPr>
            <w:tcW w:w="8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386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1660" w:type="dxa"/>
            <w:vAlign w:val="bottom"/>
            <w:gridSpan w:val="2"/>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38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62" w:lineRule="auto"/>
        <w:tabs>
          <w:tab w:leader="none" w:pos="525" w:val="left"/>
        </w:tabs>
        <w:numPr>
          <w:ilvl w:val="0"/>
          <w:numId w:val="31"/>
        </w:numPr>
        <w:rPr>
          <w:rFonts w:ascii="Arial" w:cs="Arial" w:eastAsia="Arial" w:hAnsi="Arial"/>
          <w:sz w:val="14"/>
          <w:szCs w:val="14"/>
          <w:color w:val="auto"/>
        </w:rPr>
      </w:pPr>
      <w:r>
        <w:rPr>
          <w:rFonts w:ascii="Arial" w:cs="Arial" w:eastAsia="Arial" w:hAnsi="Arial"/>
          <w:sz w:val="14"/>
          <w:szCs w:val="14"/>
          <w:color w:val="auto"/>
        </w:rPr>
        <w:t>Amounts reported for the six months ended June 30, 2025 include the following correction for first quarter activity, which Busey deems to be immaterial: in March 2025, CrossFirst Bank amended one risk participation agreement sold, resulting in $6.0 thousand in new sales which was previously reported as a reduction to the losses recognized in earnings.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financial assets and financial liabilities are measured at estimated fair value on a non-recurring basis; that is, the instruments are not measured at estimated fair value on an ongoing basis but are subject to fair value adjustments in certain circumstances (for example, when there is evidence of impairment).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 Evaluated Individually</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does not record portfolio loans at estimated fair value on a recurring basis. However, periodically, a loan is evaluated individually and is reported at the estimated fair value of the underlying collateral, less estimated costs to sell, if repayment is expected solely from the collateral. If the estimated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OREO and Other Repossessed Assets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Non-financial assets measured at fair value, upon initial recognition or subsequent impairment, include OREO and other repossessed assets. OREO properties and other repossessed assets are measured using a combination of observable inputs, including recent appraisals, and unobservable inputs. Due to the significance of unobservable inputs, the estimated fair values of all OREO and other repossessed assets have been classified as Level 3.</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Bank Property Held for Sale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Bank property held for sale represents certain banking center office buildings which Busey has closed and consolidated with other existing banking centers. Bank property held for sale is measured at the lower of amortized cost or estimated fair value less estimated costs to sell. Fair value estimates were based upon discounted appraisals or real estate listing prices. Due to the significance of unobservable inputs, estimated fair values of all bank property held for sale have been classified as Level 3. Bank property held for sale is included in premises and equipment, net on Busey’s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financial assets and financial liabilities measured at estimated fair value on a non-recurring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As of June 30, 2025</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center"/>
              <w:ind w:left="262"/>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64"/>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14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E0E7ED"/>
            </w:tcBorders>
            <w:vMerge w:val="continue"/>
          </w:tcPr>
          <w:p>
            <w:pPr>
              <w:spacing w:after="0"/>
              <w:rPr>
                <w:sz w:val="15"/>
                <w:szCs w:val="15"/>
                <w:color w:val="auto"/>
              </w:rPr>
            </w:pPr>
          </w:p>
        </w:tc>
        <w:tc>
          <w:tcPr>
            <w:tcW w:w="102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02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20" w:type="dxa"/>
            <w:vAlign w:val="bottom"/>
            <w:tcBorders>
              <w:bottom w:val="single" w:sz="8" w:color="E0E7ED"/>
            </w:tcBorders>
            <w:shd w:val="clear" w:color="auto" w:fill="E0E7ED"/>
          </w:tcPr>
          <w:p>
            <w:pPr>
              <w:jc w:val="right"/>
              <w:ind w:right="82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0E7ED"/>
            </w:tcBorders>
            <w:shd w:val="clear" w:color="auto" w:fill="E0E7ED"/>
          </w:tcPr>
          <w:p>
            <w:pPr>
              <w:jc w:val="right"/>
              <w:ind w:right="82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32,734</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32,734</w:t>
            </w:r>
          </w:p>
        </w:tc>
        <w:tc>
          <w:tcPr>
            <w:tcW w:w="0" w:type="dxa"/>
            <w:vAlign w:val="bottom"/>
          </w:tcPr>
          <w:p>
            <w:pPr>
              <w:spacing w:after="0"/>
              <w:rPr>
                <w:sz w:val="1"/>
                <w:szCs w:val="1"/>
                <w:color w:val="auto"/>
              </w:rPr>
            </w:pPr>
          </w:p>
        </w:tc>
      </w:tr>
      <w:tr>
        <w:trPr>
          <w:trHeight w:val="247"/>
        </w:trPr>
        <w:tc>
          <w:tcPr>
            <w:tcW w:w="5500" w:type="dxa"/>
            <w:vAlign w:val="bottom"/>
          </w:tcPr>
          <w:p>
            <w:pPr>
              <w:ind w:left="20"/>
              <w:spacing w:after="0"/>
              <w:rPr>
                <w:sz w:val="20"/>
                <w:szCs w:val="20"/>
                <w:color w:val="auto"/>
              </w:rPr>
            </w:pPr>
            <w:r>
              <w:rPr>
                <w:rFonts w:ascii="Arial" w:cs="Arial" w:eastAsia="Arial" w:hAnsi="Arial"/>
                <w:sz w:val="18"/>
                <w:szCs w:val="18"/>
                <w:color w:val="auto"/>
              </w:rPr>
              <w:t>OREO and other repossessed assets with subsequent impairment</w:t>
            </w:r>
          </w:p>
        </w:tc>
        <w:tc>
          <w:tcPr>
            <w:tcW w:w="102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0E7ED"/>
            </w:tcBorders>
            <w:shd w:val="clear" w:color="auto" w:fill="E0E7ED"/>
          </w:tcPr>
          <w:p>
            <w:pPr>
              <w:spacing w:after="0"/>
              <w:rPr>
                <w:sz w:val="21"/>
                <w:szCs w:val="21"/>
                <w:color w:val="auto"/>
              </w:rPr>
            </w:pP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2,653</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2,653</w:t>
            </w:r>
          </w:p>
        </w:tc>
        <w:tc>
          <w:tcPr>
            <w:tcW w:w="0" w:type="dxa"/>
            <w:vAlign w:val="bottom"/>
          </w:tcPr>
          <w:p>
            <w:pPr>
              <w:spacing w:after="0"/>
              <w:rPr>
                <w:sz w:val="1"/>
                <w:szCs w:val="1"/>
                <w:color w:val="auto"/>
              </w:rPr>
            </w:pPr>
          </w:p>
        </w:tc>
      </w:tr>
      <w:tr>
        <w:trPr>
          <w:trHeight w:val="527"/>
        </w:trPr>
        <w:tc>
          <w:tcPr>
            <w:tcW w:w="5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rPr>
              <w:t>As of December 31, 2024</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5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Pr>
          <w:p>
            <w:pPr>
              <w:jc w:val="center"/>
              <w:ind w:left="262"/>
              <w:spacing w:after="0" w:line="142" w:lineRule="exact"/>
              <w:rPr>
                <w:sz w:val="20"/>
                <w:szCs w:val="20"/>
                <w:color w:val="auto"/>
              </w:rPr>
            </w:pPr>
            <w:r>
              <w:rPr>
                <w:rFonts w:ascii="Arial" w:cs="Arial" w:eastAsia="Arial" w:hAnsi="Arial"/>
                <w:sz w:val="14"/>
                <w:szCs w:val="14"/>
                <w:b w:val="1"/>
                <w:bCs w:val="1"/>
                <w:color w:val="auto"/>
              </w:rPr>
              <w:t>Level 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left="264"/>
              <w:spacing w:after="0" w:line="142" w:lineRule="exact"/>
              <w:rPr>
                <w:sz w:val="20"/>
                <w:szCs w:val="20"/>
                <w:color w:val="auto"/>
              </w:rPr>
            </w:pPr>
            <w:r>
              <w:rPr>
                <w:rFonts w:ascii="Arial" w:cs="Arial" w:eastAsia="Arial" w:hAnsi="Arial"/>
                <w:sz w:val="14"/>
                <w:szCs w:val="14"/>
                <w:b w:val="1"/>
                <w:bCs w:val="1"/>
                <w:color w:val="auto"/>
              </w:rPr>
              <w:t>Level 2</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2"/>
                <w:szCs w:val="12"/>
                <w:color w:val="auto"/>
              </w:rPr>
            </w:pPr>
          </w:p>
        </w:tc>
        <w:tc>
          <w:tcPr>
            <w:tcW w:w="1140" w:type="dxa"/>
            <w:vAlign w:val="bottom"/>
          </w:tcPr>
          <w:p>
            <w:pPr>
              <w:jc w:val="center"/>
              <w:ind w:right="138"/>
              <w:spacing w:after="0" w:line="142"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5500" w:type="dxa"/>
            <w:vAlign w:val="bottom"/>
            <w:tcBorders>
              <w:bottom w:val="single" w:sz="8" w:color="E0E7ED"/>
            </w:tcBorders>
            <w:vMerge w:val="continue"/>
          </w:tcPr>
          <w:p>
            <w:pPr>
              <w:spacing w:after="0"/>
              <w:rPr>
                <w:sz w:val="15"/>
                <w:szCs w:val="15"/>
                <w:color w:val="auto"/>
              </w:rPr>
            </w:pPr>
          </w:p>
        </w:tc>
        <w:tc>
          <w:tcPr>
            <w:tcW w:w="1020" w:type="dxa"/>
            <w:vAlign w:val="bottom"/>
            <w:tcBorders>
              <w:bottom w:val="single" w:sz="8" w:color="auto"/>
            </w:tcBorders>
          </w:tcPr>
          <w:p>
            <w:pPr>
              <w:jc w:val="center"/>
              <w:ind w:left="262"/>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020" w:type="dxa"/>
            <w:vAlign w:val="bottom"/>
            <w:tcBorders>
              <w:bottom w:val="single" w:sz="8" w:color="auto"/>
            </w:tcBorders>
          </w:tcPr>
          <w:p>
            <w:pPr>
              <w:jc w:val="center"/>
              <w:ind w:left="264"/>
              <w:spacing w:after="0"/>
              <w:rPr>
                <w:sz w:val="20"/>
                <w:szCs w:val="20"/>
                <w:color w:val="auto"/>
              </w:rPr>
            </w:pPr>
            <w:r>
              <w:rPr>
                <w:rFonts w:ascii="Arial" w:cs="Arial" w:eastAsia="Arial" w:hAnsi="Arial"/>
                <w:sz w:val="14"/>
                <w:szCs w:val="14"/>
                <w:b w:val="1"/>
                <w:bCs w:val="1"/>
                <w:color w:val="auto"/>
              </w:rPr>
              <w:t>Inputs</w:t>
            </w: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98"/>
              <w:spacing w:after="0"/>
              <w:rPr>
                <w:sz w:val="20"/>
                <w:szCs w:val="20"/>
                <w:color w:val="auto"/>
              </w:rPr>
            </w:pPr>
            <w:r>
              <w:rPr>
                <w:rFonts w:ascii="Arial" w:cs="Arial" w:eastAsia="Arial" w:hAnsi="Arial"/>
                <w:sz w:val="14"/>
                <w:szCs w:val="14"/>
                <w:b w:val="1"/>
                <w:bCs w:val="1"/>
                <w:color w:val="auto"/>
              </w:rPr>
              <w:t>Inputs</w:t>
            </w:r>
          </w:p>
        </w:tc>
        <w:tc>
          <w:tcPr>
            <w:tcW w:w="1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020" w:type="dxa"/>
            <w:vAlign w:val="bottom"/>
            <w:tcBorders>
              <w:bottom w:val="single" w:sz="8" w:color="E0E7ED"/>
            </w:tcBorders>
            <w:shd w:val="clear" w:color="auto" w:fill="E0E7ED"/>
          </w:tcPr>
          <w:p>
            <w:pPr>
              <w:jc w:val="right"/>
              <w:ind w:right="822"/>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E0E7ED"/>
            </w:tcBorders>
            <w:shd w:val="clear" w:color="auto" w:fill="E0E7ED"/>
          </w:tcPr>
          <w:p>
            <w:pPr>
              <w:jc w:val="right"/>
              <w:ind w:right="82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E0E7ED"/>
            </w:tcBorders>
            <w:gridSpan w:val="2"/>
            <w:shd w:val="clear" w:color="auto" w:fill="E0E7ED"/>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47"/>
        </w:trPr>
        <w:tc>
          <w:tcPr>
            <w:tcW w:w="5500" w:type="dxa"/>
            <w:vAlign w:val="bottom"/>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02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21"/>
                <w:szCs w:val="21"/>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2,841</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quantitative information about assets measured at estimated fair value on a non-recurring basis using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Level 3 inputs: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gridSpan w:val="4"/>
          </w:tcPr>
          <w:p>
            <w:pPr>
              <w:jc w:val="center"/>
              <w:ind w:left="618"/>
              <w:spacing w:after="0"/>
              <w:rPr>
                <w:sz w:val="20"/>
                <w:szCs w:val="20"/>
                <w:color w:val="auto"/>
              </w:rPr>
            </w:pPr>
            <w:r>
              <w:rPr>
                <w:rFonts w:ascii="Arial" w:cs="Arial" w:eastAsia="Arial" w:hAnsi="Arial"/>
                <w:sz w:val="14"/>
                <w:szCs w:val="14"/>
                <w:b w:val="1"/>
                <w:bCs w:val="1"/>
                <w:color w:val="auto"/>
              </w:rPr>
              <w:t>As of June 30, 2025</w:t>
            </w:r>
          </w:p>
        </w:tc>
        <w:tc>
          <w:tcPr>
            <w:tcW w:w="1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2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Valuation</w:t>
            </w:r>
          </w:p>
        </w:tc>
        <w:tc>
          <w:tcPr>
            <w:tcW w:w="1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Unobservable</w:t>
            </w:r>
          </w:p>
        </w:tc>
        <w:tc>
          <w:tcPr>
            <w:tcW w:w="1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76"/>
        </w:trPr>
        <w:tc>
          <w:tcPr>
            <w:tcW w:w="3860" w:type="dxa"/>
            <w:vAlign w:val="bottom"/>
            <w:tcBorders>
              <w:bottom w:val="single" w:sz="8" w:color="E0E7ED"/>
            </w:tcBorders>
            <w:gridSpan w:val="2"/>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Techniques</w:t>
            </w:r>
          </w:p>
        </w:tc>
        <w:tc>
          <w:tcPr>
            <w:tcW w:w="8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80" w:type="dxa"/>
            <w:vAlign w:val="bottom"/>
            <w:tcBorders>
              <w:bottom w:val="single" w:sz="8" w:color="E0E7ED"/>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04"/>
        </w:trPr>
        <w:tc>
          <w:tcPr>
            <w:tcW w:w="3860" w:type="dxa"/>
            <w:vAlign w:val="bottom"/>
            <w:gridSpan w:val="2"/>
            <w:shd w:val="clear" w:color="auto" w:fill="E0E7ED"/>
          </w:tcPr>
          <w:p>
            <w:pPr>
              <w:ind w:left="20"/>
              <w:spacing w:after="0" w:line="204" w:lineRule="exact"/>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E0E7ED"/>
          </w:tcPr>
          <w:p>
            <w:pPr>
              <w:jc w:val="right"/>
              <w:spacing w:after="0" w:line="204"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E0E7ED"/>
          </w:tcPr>
          <w:p>
            <w:pPr>
              <w:jc w:val="right"/>
              <w:spacing w:after="0" w:line="204" w:lineRule="exact"/>
              <w:rPr>
                <w:sz w:val="20"/>
                <w:szCs w:val="20"/>
                <w:color w:val="auto"/>
              </w:rPr>
            </w:pPr>
            <w:r>
              <w:rPr>
                <w:rFonts w:ascii="Arial" w:cs="Arial" w:eastAsia="Arial" w:hAnsi="Arial"/>
                <w:sz w:val="18"/>
                <w:szCs w:val="18"/>
                <w:color w:val="auto"/>
              </w:rPr>
              <w:t>32,734</w:t>
            </w:r>
          </w:p>
        </w:tc>
        <w:tc>
          <w:tcPr>
            <w:tcW w:w="100" w:type="dxa"/>
            <w:vAlign w:val="bottom"/>
            <w:shd w:val="clear" w:color="auto" w:fill="E0E7ED"/>
          </w:tcPr>
          <w:p>
            <w:pPr>
              <w:spacing w:after="0"/>
              <w:rPr>
                <w:sz w:val="17"/>
                <w:szCs w:val="17"/>
                <w:color w:val="auto"/>
              </w:rPr>
            </w:pPr>
          </w:p>
        </w:tc>
        <w:tc>
          <w:tcPr>
            <w:tcW w:w="2620" w:type="dxa"/>
            <w:vAlign w:val="bottom"/>
            <w:gridSpan w:val="2"/>
            <w:shd w:val="clear" w:color="auto" w:fill="E0E7ED"/>
          </w:tcPr>
          <w:p>
            <w:pPr>
              <w:jc w:val="center"/>
              <w:ind w:right="100"/>
              <w:spacing w:after="0" w:line="204" w:lineRule="exact"/>
              <w:rPr>
                <w:sz w:val="20"/>
                <w:szCs w:val="20"/>
                <w:color w:val="auto"/>
              </w:rPr>
            </w:pPr>
            <w:r>
              <w:rPr>
                <w:rFonts w:ascii="Arial" w:cs="Arial" w:eastAsia="Arial" w:hAnsi="Arial"/>
                <w:sz w:val="18"/>
                <w:szCs w:val="18"/>
                <w:color w:val="auto"/>
                <w:w w:val="99"/>
              </w:rPr>
              <w:t>Appraisal of collateral</w:t>
            </w:r>
          </w:p>
        </w:tc>
        <w:tc>
          <w:tcPr>
            <w:tcW w:w="1580" w:type="dxa"/>
            <w:vAlign w:val="bottom"/>
            <w:gridSpan w:val="2"/>
            <w:shd w:val="clear" w:color="auto" w:fill="E0E7ED"/>
          </w:tcPr>
          <w:p>
            <w:pPr>
              <w:jc w:val="center"/>
              <w:ind w:right="80"/>
              <w:spacing w:after="0" w:line="204" w:lineRule="exact"/>
              <w:rPr>
                <w:sz w:val="20"/>
                <w:szCs w:val="20"/>
                <w:color w:val="auto"/>
              </w:rPr>
            </w:pPr>
            <w:r>
              <w:rPr>
                <w:rFonts w:ascii="Arial" w:cs="Arial" w:eastAsia="Arial" w:hAnsi="Arial"/>
                <w:sz w:val="18"/>
                <w:szCs w:val="18"/>
                <w:color w:val="auto"/>
                <w:w w:val="98"/>
              </w:rPr>
              <w:t>Appraisal</w:t>
            </w:r>
          </w:p>
        </w:tc>
        <w:tc>
          <w:tcPr>
            <w:tcW w:w="1940" w:type="dxa"/>
            <w:vAlign w:val="bottom"/>
            <w:shd w:val="clear" w:color="auto" w:fill="E0E7ED"/>
          </w:tcPr>
          <w:p>
            <w:pPr>
              <w:jc w:val="center"/>
              <w:spacing w:after="0" w:line="204" w:lineRule="exact"/>
              <w:rPr>
                <w:sz w:val="20"/>
                <w:szCs w:val="20"/>
                <w:color w:val="auto"/>
              </w:rPr>
            </w:pPr>
            <w:r>
              <w:rPr>
                <w:rFonts w:ascii="Arial" w:cs="Arial" w:eastAsia="Arial" w:hAnsi="Arial"/>
                <w:sz w:val="18"/>
                <w:szCs w:val="18"/>
                <w:color w:val="auto"/>
              </w:rPr>
              <w:t>-1.6% to -100.0%</w:t>
            </w:r>
          </w:p>
        </w:tc>
        <w:tc>
          <w:tcPr>
            <w:tcW w:w="0" w:type="dxa"/>
            <w:vAlign w:val="bottom"/>
          </w:tcPr>
          <w:p>
            <w:pPr>
              <w:spacing w:after="0"/>
              <w:rPr>
                <w:sz w:val="1"/>
                <w:szCs w:val="1"/>
                <w:color w:val="auto"/>
              </w:rPr>
            </w:pPr>
          </w:p>
        </w:tc>
      </w:tr>
      <w:tr>
        <w:trPr>
          <w:trHeight w:val="255"/>
        </w:trPr>
        <w:tc>
          <w:tcPr>
            <w:tcW w:w="38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E0E7ED"/>
            </w:tcBorders>
            <w:shd w:val="clear" w:color="auto" w:fill="E0E7ED"/>
          </w:tcPr>
          <w:p>
            <w:pPr>
              <w:spacing w:after="0"/>
              <w:rPr>
                <w:sz w:val="22"/>
                <w:szCs w:val="22"/>
                <w:color w:val="auto"/>
              </w:rPr>
            </w:pPr>
          </w:p>
        </w:tc>
        <w:tc>
          <w:tcPr>
            <w:tcW w:w="9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540" w:type="dxa"/>
            <w:vAlign w:val="bottom"/>
            <w:tcBorders>
              <w:bottom w:val="single" w:sz="8" w:color="E0E7ED"/>
            </w:tcBorders>
            <w:shd w:val="clear" w:color="auto" w:fill="E0E7ED"/>
          </w:tcPr>
          <w:p>
            <w:pPr>
              <w:spacing w:after="0"/>
              <w:rPr>
                <w:sz w:val="22"/>
                <w:szCs w:val="22"/>
                <w:color w:val="auto"/>
              </w:rPr>
            </w:pPr>
          </w:p>
        </w:tc>
        <w:tc>
          <w:tcPr>
            <w:tcW w:w="80" w:type="dxa"/>
            <w:vAlign w:val="bottom"/>
            <w:tcBorders>
              <w:bottom w:val="single" w:sz="8" w:color="E0E7ED"/>
            </w:tcBorders>
            <w:shd w:val="clear" w:color="auto" w:fill="E0E7ED"/>
          </w:tcPr>
          <w:p>
            <w:pPr>
              <w:spacing w:after="0"/>
              <w:rPr>
                <w:sz w:val="22"/>
                <w:szCs w:val="22"/>
                <w:color w:val="auto"/>
              </w:rPr>
            </w:pPr>
          </w:p>
        </w:tc>
        <w:tc>
          <w:tcPr>
            <w:tcW w:w="1580" w:type="dxa"/>
            <w:vAlign w:val="bottom"/>
            <w:tcBorders>
              <w:bottom w:val="single" w:sz="8" w:color="E0E7ED"/>
            </w:tcBorders>
            <w:gridSpan w:val="2"/>
            <w:shd w:val="clear" w:color="auto" w:fill="E0E7ED"/>
          </w:tcPr>
          <w:p>
            <w:pPr>
              <w:jc w:val="center"/>
              <w:ind w:right="80"/>
              <w:spacing w:after="0"/>
              <w:rPr>
                <w:sz w:val="20"/>
                <w:szCs w:val="20"/>
                <w:color w:val="auto"/>
              </w:rPr>
            </w:pPr>
            <w:r>
              <w:rPr>
                <w:rFonts w:ascii="Arial" w:cs="Arial" w:eastAsia="Arial" w:hAnsi="Arial"/>
                <w:sz w:val="18"/>
                <w:szCs w:val="18"/>
                <w:color w:val="auto"/>
              </w:rPr>
              <w:t>adjustments</w:t>
            </w:r>
          </w:p>
        </w:tc>
        <w:tc>
          <w:tcPr>
            <w:tcW w:w="1940" w:type="dxa"/>
            <w:vAlign w:val="bottom"/>
            <w:tcBorders>
              <w:bottom w:val="single" w:sz="8" w:color="E0E7ED"/>
            </w:tcBorders>
            <w:shd w:val="clear" w:color="auto" w:fill="E0E7ED"/>
          </w:tcPr>
          <w:p>
            <w:pPr>
              <w:jc w:val="center"/>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OREO and other repossessed assets with</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3,431</w:t>
            </w:r>
          </w:p>
        </w:tc>
        <w:tc>
          <w:tcPr>
            <w:tcW w:w="100" w:type="dxa"/>
            <w:vAlign w:val="bottom"/>
          </w:tcPr>
          <w:p>
            <w:pPr>
              <w:spacing w:after="0"/>
              <w:rPr>
                <w:sz w:val="19"/>
                <w:szCs w:val="19"/>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Appraisal of collateral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rPr>
              <w:t>-7.4% to -24.1%</w:t>
            </w:r>
          </w:p>
        </w:tc>
        <w:tc>
          <w:tcPr>
            <w:tcW w:w="0" w:type="dxa"/>
            <w:vAlign w:val="bottom"/>
          </w:tcPr>
          <w:p>
            <w:pPr>
              <w:spacing w:after="0"/>
              <w:rPr>
                <w:sz w:val="1"/>
                <w:szCs w:val="1"/>
                <w:color w:val="auto"/>
              </w:rPr>
            </w:pPr>
          </w:p>
        </w:tc>
      </w:tr>
      <w:tr>
        <w:trPr>
          <w:trHeight w:val="23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subsequent impairment</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w w:val="98"/>
              </w:rPr>
              <w:t>(-7.7)%</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8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shd w:val="clear" w:color="auto" w:fill="E0E7ED"/>
          </w:tcPr>
          <w:p>
            <w:pPr>
              <w:spacing w:after="0"/>
              <w:rPr>
                <w:sz w:val="19"/>
                <w:szCs w:val="19"/>
                <w:color w:val="auto"/>
              </w:rPr>
            </w:pPr>
          </w:p>
        </w:tc>
        <w:tc>
          <w:tcPr>
            <w:tcW w:w="9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2,653</w:t>
            </w:r>
          </w:p>
        </w:tc>
        <w:tc>
          <w:tcPr>
            <w:tcW w:w="100" w:type="dxa"/>
            <w:vAlign w:val="bottom"/>
            <w:shd w:val="clear" w:color="auto" w:fill="E0E7ED"/>
          </w:tcPr>
          <w:p>
            <w:pPr>
              <w:spacing w:after="0"/>
              <w:rPr>
                <w:sz w:val="19"/>
                <w:szCs w:val="19"/>
                <w:color w:val="auto"/>
              </w:rPr>
            </w:pPr>
          </w:p>
        </w:tc>
        <w:tc>
          <w:tcPr>
            <w:tcW w:w="2620" w:type="dxa"/>
            <w:vAlign w:val="bottom"/>
            <w:gridSpan w:val="2"/>
            <w:shd w:val="clear" w:color="auto" w:fill="E0E7ED"/>
          </w:tcPr>
          <w:p>
            <w:pPr>
              <w:jc w:val="center"/>
              <w:ind w:right="100"/>
              <w:spacing w:after="0"/>
              <w:rPr>
                <w:sz w:val="20"/>
                <w:szCs w:val="20"/>
                <w:color w:val="auto"/>
              </w:rPr>
            </w:pPr>
            <w:r>
              <w:rPr>
                <w:rFonts w:ascii="Arial" w:cs="Arial" w:eastAsia="Arial" w:hAnsi="Arial"/>
                <w:sz w:val="18"/>
                <w:szCs w:val="18"/>
                <w:color w:val="auto"/>
                <w:w w:val="99"/>
              </w:rPr>
              <w:t>Appraisal of collateral or real</w:t>
            </w:r>
          </w:p>
        </w:tc>
        <w:tc>
          <w:tcPr>
            <w:tcW w:w="1580" w:type="dxa"/>
            <w:vAlign w:val="bottom"/>
            <w:gridSpan w:val="2"/>
            <w:shd w:val="clear" w:color="auto" w:fill="E0E7ED"/>
          </w:tcPr>
          <w:p>
            <w:pPr>
              <w:jc w:val="center"/>
              <w:ind w:right="80"/>
              <w:spacing w:after="0"/>
              <w:rPr>
                <w:sz w:val="20"/>
                <w:szCs w:val="20"/>
                <w:color w:val="auto"/>
              </w:rPr>
            </w:pPr>
            <w:r>
              <w:rPr>
                <w:rFonts w:ascii="Arial" w:cs="Arial" w:eastAsia="Arial" w:hAnsi="Arial"/>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Arial" w:cs="Arial" w:eastAsia="Arial" w:hAnsi="Arial"/>
                <w:sz w:val="18"/>
                <w:szCs w:val="18"/>
                <w:color w:val="auto"/>
              </w:rPr>
              <w:t>-9.0% to -86.8%</w:t>
            </w:r>
          </w:p>
        </w:tc>
        <w:tc>
          <w:tcPr>
            <w:tcW w:w="0" w:type="dxa"/>
            <w:vAlign w:val="bottom"/>
          </w:tcPr>
          <w:p>
            <w:pPr>
              <w:spacing w:after="0"/>
              <w:rPr>
                <w:sz w:val="1"/>
                <w:szCs w:val="1"/>
                <w:color w:val="auto"/>
              </w:rPr>
            </w:pPr>
          </w:p>
        </w:tc>
      </w:tr>
      <w:tr>
        <w:trPr>
          <w:trHeight w:val="242"/>
        </w:trPr>
        <w:tc>
          <w:tcPr>
            <w:tcW w:w="37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9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620" w:type="dxa"/>
            <w:vAlign w:val="bottom"/>
            <w:tcBorders>
              <w:bottom w:val="single" w:sz="8" w:color="E0E7ED"/>
            </w:tcBorders>
            <w:gridSpan w:val="2"/>
            <w:shd w:val="clear" w:color="auto" w:fill="E0E7ED"/>
          </w:tcPr>
          <w:p>
            <w:pPr>
              <w:jc w:val="center"/>
              <w:ind w:right="100"/>
              <w:spacing w:after="0"/>
              <w:rPr>
                <w:sz w:val="20"/>
                <w:szCs w:val="20"/>
                <w:color w:val="auto"/>
              </w:rPr>
            </w:pPr>
            <w:r>
              <w:rPr>
                <w:rFonts w:ascii="Arial" w:cs="Arial" w:eastAsia="Arial" w:hAnsi="Arial"/>
                <w:sz w:val="18"/>
                <w:szCs w:val="18"/>
                <w:color w:val="auto"/>
                <w:w w:val="99"/>
              </w:rPr>
              <w:t>estate listing price</w:t>
            </w:r>
          </w:p>
        </w:tc>
        <w:tc>
          <w:tcPr>
            <w:tcW w:w="1580" w:type="dxa"/>
            <w:vAlign w:val="bottom"/>
            <w:tcBorders>
              <w:bottom w:val="single" w:sz="8" w:color="E0E7ED"/>
            </w:tcBorders>
            <w:gridSpan w:val="2"/>
            <w:shd w:val="clear" w:color="auto" w:fill="E0E7ED"/>
          </w:tcPr>
          <w:p>
            <w:pPr>
              <w:jc w:val="center"/>
              <w:ind w:right="80"/>
              <w:spacing w:after="0"/>
              <w:rPr>
                <w:sz w:val="20"/>
                <w:szCs w:val="20"/>
                <w:color w:val="auto"/>
              </w:rPr>
            </w:pPr>
            <w:r>
              <w:rPr>
                <w:rFonts w:ascii="Arial" w:cs="Arial" w:eastAsia="Arial" w:hAnsi="Arial"/>
                <w:sz w:val="18"/>
                <w:szCs w:val="18"/>
                <w:color w:val="auto"/>
              </w:rPr>
              <w:t>adjustments</w:t>
            </w:r>
          </w:p>
        </w:tc>
        <w:tc>
          <w:tcPr>
            <w:tcW w:w="1940" w:type="dxa"/>
            <w:vAlign w:val="bottom"/>
            <w:tcBorders>
              <w:bottom w:val="single" w:sz="8" w:color="E0E7ED"/>
            </w:tcBorders>
            <w:shd w:val="clear" w:color="auto" w:fill="E0E7ED"/>
          </w:tcPr>
          <w:p>
            <w:pPr>
              <w:jc w:val="center"/>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513"/>
        </w:trPr>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4"/>
          </w:tcPr>
          <w:p>
            <w:pPr>
              <w:jc w:val="center"/>
              <w:ind w:left="618"/>
              <w:spacing w:after="0"/>
              <w:rPr>
                <w:sz w:val="20"/>
                <w:szCs w:val="20"/>
                <w:color w:val="auto"/>
              </w:rPr>
            </w:pPr>
            <w:r>
              <w:rPr>
                <w:rFonts w:ascii="Arial" w:cs="Arial" w:eastAsia="Arial" w:hAnsi="Arial"/>
                <w:sz w:val="14"/>
                <w:szCs w:val="14"/>
                <w:b w:val="1"/>
                <w:bCs w:val="1"/>
                <w:color w:val="auto"/>
              </w:rPr>
              <w:t>As of December 31, 2024</w:t>
            </w:r>
          </w:p>
        </w:tc>
        <w:tc>
          <w:tcPr>
            <w:tcW w:w="1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262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Valuation</w:t>
            </w:r>
          </w:p>
        </w:tc>
        <w:tc>
          <w:tcPr>
            <w:tcW w:w="15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rPr>
              <w:t>Unobservable</w:t>
            </w:r>
          </w:p>
        </w:tc>
        <w:tc>
          <w:tcPr>
            <w:tcW w:w="1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176"/>
        </w:trPr>
        <w:tc>
          <w:tcPr>
            <w:tcW w:w="37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Techniques</w:t>
            </w:r>
          </w:p>
        </w:tc>
        <w:tc>
          <w:tcPr>
            <w:tcW w:w="8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Input</w:t>
            </w:r>
          </w:p>
        </w:tc>
        <w:tc>
          <w:tcPr>
            <w:tcW w:w="80" w:type="dxa"/>
            <w:vAlign w:val="bottom"/>
            <w:tcBorders>
              <w:bottom w:val="single" w:sz="8" w:color="E0E7ED"/>
            </w:tcBorders>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18"/>
        </w:trPr>
        <w:tc>
          <w:tcPr>
            <w:tcW w:w="38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Loans evaluated individually, net of related</w:t>
            </w: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616</w:t>
            </w:r>
          </w:p>
        </w:tc>
        <w:tc>
          <w:tcPr>
            <w:tcW w:w="100" w:type="dxa"/>
            <w:vAlign w:val="bottom"/>
            <w:shd w:val="clear" w:color="auto" w:fill="E0E7ED"/>
          </w:tcPr>
          <w:p>
            <w:pPr>
              <w:spacing w:after="0"/>
              <w:rPr>
                <w:sz w:val="18"/>
                <w:szCs w:val="18"/>
                <w:color w:val="auto"/>
              </w:rPr>
            </w:pPr>
          </w:p>
        </w:tc>
        <w:tc>
          <w:tcPr>
            <w:tcW w:w="2620" w:type="dxa"/>
            <w:vAlign w:val="bottom"/>
            <w:gridSpan w:val="2"/>
            <w:shd w:val="clear" w:color="auto" w:fill="E0E7ED"/>
          </w:tcPr>
          <w:p>
            <w:pPr>
              <w:jc w:val="center"/>
              <w:ind w:right="100"/>
              <w:spacing w:after="0"/>
              <w:rPr>
                <w:sz w:val="20"/>
                <w:szCs w:val="20"/>
                <w:color w:val="auto"/>
              </w:rPr>
            </w:pPr>
            <w:r>
              <w:rPr>
                <w:rFonts w:ascii="Arial" w:cs="Arial" w:eastAsia="Arial" w:hAnsi="Arial"/>
                <w:sz w:val="18"/>
                <w:szCs w:val="18"/>
                <w:color w:val="auto"/>
                <w:w w:val="99"/>
              </w:rPr>
              <w:t>Appraisal of collateral</w:t>
            </w:r>
          </w:p>
        </w:tc>
        <w:tc>
          <w:tcPr>
            <w:tcW w:w="1580" w:type="dxa"/>
            <w:vAlign w:val="bottom"/>
            <w:gridSpan w:val="2"/>
            <w:shd w:val="clear" w:color="auto" w:fill="E0E7ED"/>
          </w:tcPr>
          <w:p>
            <w:pPr>
              <w:jc w:val="center"/>
              <w:ind w:right="80"/>
              <w:spacing w:after="0"/>
              <w:rPr>
                <w:sz w:val="20"/>
                <w:szCs w:val="20"/>
                <w:color w:val="auto"/>
              </w:rPr>
            </w:pPr>
            <w:r>
              <w:rPr>
                <w:rFonts w:ascii="Arial" w:cs="Arial" w:eastAsia="Arial" w:hAnsi="Arial"/>
                <w:sz w:val="18"/>
                <w:szCs w:val="18"/>
                <w:color w:val="auto"/>
                <w:w w:val="98"/>
              </w:rPr>
              <w:t>Appraisal</w:t>
            </w:r>
          </w:p>
        </w:tc>
        <w:tc>
          <w:tcPr>
            <w:tcW w:w="1940" w:type="dxa"/>
            <w:vAlign w:val="bottom"/>
            <w:shd w:val="clear" w:color="auto" w:fill="E0E7ED"/>
          </w:tcPr>
          <w:p>
            <w:pPr>
              <w:jc w:val="center"/>
              <w:spacing w:after="0"/>
              <w:rPr>
                <w:sz w:val="20"/>
                <w:szCs w:val="20"/>
                <w:color w:val="auto"/>
              </w:rPr>
            </w:pPr>
            <w:r>
              <w:rPr>
                <w:rFonts w:ascii="Arial" w:cs="Arial" w:eastAsia="Arial" w:hAnsi="Arial"/>
                <w:sz w:val="18"/>
                <w:szCs w:val="18"/>
                <w:color w:val="auto"/>
              </w:rPr>
              <w:t>-25.0% to -100.0%</w:t>
            </w:r>
          </w:p>
        </w:tc>
        <w:tc>
          <w:tcPr>
            <w:tcW w:w="0" w:type="dxa"/>
            <w:vAlign w:val="bottom"/>
          </w:tcPr>
          <w:p>
            <w:pPr>
              <w:spacing w:after="0"/>
              <w:rPr>
                <w:sz w:val="1"/>
                <w:szCs w:val="1"/>
                <w:color w:val="auto"/>
              </w:rPr>
            </w:pPr>
          </w:p>
        </w:tc>
      </w:tr>
      <w:tr>
        <w:trPr>
          <w:trHeight w:val="242"/>
        </w:trPr>
        <w:tc>
          <w:tcPr>
            <w:tcW w:w="38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allowance</w:t>
            </w:r>
          </w:p>
        </w:tc>
        <w:tc>
          <w:tcPr>
            <w:tcW w:w="180" w:type="dxa"/>
            <w:vAlign w:val="bottom"/>
            <w:tcBorders>
              <w:bottom w:val="single" w:sz="8" w:color="E0E7ED"/>
            </w:tcBorders>
            <w:shd w:val="clear" w:color="auto" w:fill="E0E7ED"/>
          </w:tcPr>
          <w:p>
            <w:pPr>
              <w:spacing w:after="0"/>
              <w:rPr>
                <w:sz w:val="21"/>
                <w:szCs w:val="21"/>
                <w:color w:val="auto"/>
              </w:rPr>
            </w:pPr>
          </w:p>
        </w:tc>
        <w:tc>
          <w:tcPr>
            <w:tcW w:w="9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54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580" w:type="dxa"/>
            <w:vAlign w:val="bottom"/>
            <w:tcBorders>
              <w:bottom w:val="single" w:sz="8" w:color="E0E7ED"/>
            </w:tcBorders>
            <w:gridSpan w:val="2"/>
            <w:shd w:val="clear" w:color="auto" w:fill="E0E7ED"/>
          </w:tcPr>
          <w:p>
            <w:pPr>
              <w:jc w:val="center"/>
              <w:ind w:right="80"/>
              <w:spacing w:after="0"/>
              <w:rPr>
                <w:sz w:val="20"/>
                <w:szCs w:val="20"/>
                <w:color w:val="auto"/>
              </w:rPr>
            </w:pPr>
            <w:r>
              <w:rPr>
                <w:rFonts w:ascii="Arial" w:cs="Arial" w:eastAsia="Arial" w:hAnsi="Arial"/>
                <w:sz w:val="18"/>
                <w:szCs w:val="18"/>
                <w:color w:val="auto"/>
              </w:rPr>
              <w:t>adjustments</w:t>
            </w:r>
          </w:p>
        </w:tc>
        <w:tc>
          <w:tcPr>
            <w:tcW w:w="1940" w:type="dxa"/>
            <w:vAlign w:val="bottom"/>
            <w:tcBorders>
              <w:bottom w:val="single" w:sz="8" w:color="E0E7ED"/>
            </w:tcBorders>
            <w:shd w:val="clear" w:color="auto" w:fill="E0E7ED"/>
          </w:tcPr>
          <w:p>
            <w:pPr>
              <w:jc w:val="center"/>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24"/>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Appraisal of collateral or real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Appraisal</w:t>
            </w:r>
          </w:p>
        </w:tc>
        <w:tc>
          <w:tcPr>
            <w:tcW w:w="1940" w:type="dxa"/>
            <w:vAlign w:val="bottom"/>
          </w:tcPr>
          <w:p>
            <w:pPr>
              <w:jc w:val="center"/>
              <w:spacing w:after="0"/>
              <w:rPr>
                <w:sz w:val="20"/>
                <w:szCs w:val="20"/>
                <w:color w:val="auto"/>
              </w:rPr>
            </w:pPr>
            <w:r>
              <w:rPr>
                <w:rFonts w:ascii="Arial" w:cs="Arial" w:eastAsia="Arial" w:hAnsi="Arial"/>
                <w:sz w:val="18"/>
                <w:szCs w:val="18"/>
                <w:color w:val="auto"/>
              </w:rPr>
              <w:t>-9.0% to -76.7%</w:t>
            </w:r>
          </w:p>
        </w:tc>
        <w:tc>
          <w:tcPr>
            <w:tcW w:w="0" w:type="dxa"/>
            <w:vAlign w:val="bottom"/>
          </w:tcPr>
          <w:p>
            <w:pPr>
              <w:spacing w:after="0"/>
              <w:rPr>
                <w:sz w:val="1"/>
                <w:szCs w:val="1"/>
                <w:color w:val="auto"/>
              </w:rPr>
            </w:pPr>
          </w:p>
        </w:tc>
      </w:tr>
      <w:tr>
        <w:trPr>
          <w:trHeight w:val="239"/>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estate listing price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color w:val="auto"/>
              </w:rPr>
              <w:t>adjustments</w:t>
            </w:r>
          </w:p>
        </w:tc>
        <w:tc>
          <w:tcPr>
            <w:tcW w:w="1940" w:type="dxa"/>
            <w:vAlign w:val="bottom"/>
          </w:tcPr>
          <w:p>
            <w:pPr>
              <w:jc w:val="center"/>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Financial Liabilities That Are Not Carried at Fair Value</w:t>
      </w:r>
    </w:p>
    <w:p>
      <w:pPr>
        <w:spacing w:after="0" w:line="1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Fair values of financial instruments that are not carried at fair value on Busey’s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were estimated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As of June 30, 2025</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As of December 31, 2024</w:t>
            </w:r>
          </w:p>
        </w:tc>
        <w:tc>
          <w:tcPr>
            <w:tcW w:w="0" w:type="dxa"/>
            <w:vAlign w:val="bottom"/>
          </w:tcPr>
          <w:p>
            <w:pPr>
              <w:spacing w:after="0"/>
              <w:rPr>
                <w:sz w:val="1"/>
                <w:szCs w:val="1"/>
                <w:color w:val="auto"/>
              </w:rPr>
            </w:pPr>
          </w:p>
        </w:tc>
      </w:tr>
      <w:tr>
        <w:trPr>
          <w:trHeight w:val="142"/>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2"/>
                <w:szCs w:val="12"/>
                <w:color w:val="auto"/>
              </w:rPr>
            </w:pPr>
          </w:p>
        </w:tc>
        <w:tc>
          <w:tcPr>
            <w:tcW w:w="1220" w:type="dxa"/>
            <w:vAlign w:val="bottom"/>
            <w:gridSpan w:val="2"/>
          </w:tcPr>
          <w:p>
            <w:pPr>
              <w:jc w:val="center"/>
              <w:ind w:right="360"/>
              <w:spacing w:after="0" w:line="142" w:lineRule="exact"/>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42"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2"/>
                <w:szCs w:val="12"/>
                <w:color w:val="auto"/>
              </w:rPr>
            </w:pPr>
          </w:p>
        </w:tc>
        <w:tc>
          <w:tcPr>
            <w:tcW w:w="1060" w:type="dxa"/>
            <w:vAlign w:val="bottom"/>
          </w:tcPr>
          <w:p>
            <w:pPr>
              <w:jc w:val="right"/>
              <w:ind w:right="472"/>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5"/>
                <w:szCs w:val="15"/>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Financial assets</w:t>
            </w:r>
          </w:p>
        </w:tc>
        <w:tc>
          <w:tcPr>
            <w:tcW w:w="24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4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40" w:type="dxa"/>
            <w:vAlign w:val="bottom"/>
            <w:tcBorders>
              <w:top w:val="single" w:sz="8" w:color="auto"/>
            </w:tcBorders>
            <w:shd w:val="clear" w:color="auto" w:fill="E0E7ED"/>
          </w:tcPr>
          <w:p>
            <w:pPr>
              <w:spacing w:after="0"/>
              <w:rPr>
                <w:sz w:val="21"/>
                <w:szCs w:val="21"/>
                <w:color w:val="auto"/>
              </w:rPr>
            </w:pPr>
          </w:p>
        </w:tc>
        <w:tc>
          <w:tcPr>
            <w:tcW w:w="11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Level 1 inputs: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752,352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752,352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697,659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697,659</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Level 2 inputs: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Debt securities held to maturity</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802,965</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670,532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826,630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675,053</w:t>
            </w: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Loans held for sale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3,726</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Restricted bank stock</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77,112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77,112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49,930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49,930</w:t>
            </w: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Accrued interest receivable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45,141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45,141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Level 3 inputs:</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Portfolio loans, net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13,625,285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13,687,223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7,613,683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7,426,158</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Mortgage servicing rights</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5,455</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5,627</w:t>
            </w: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Other servicing rights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2,472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1,591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Level 2 inputs:</w:t>
            </w: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60" w:type="dxa"/>
            <w:vAlign w:val="bottom"/>
            <w:tcBorders>
              <w:bottom w:val="single" w:sz="8" w:color="E0E7ED"/>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Time deposits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2,632,456</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2,623,126</w:t>
            </w:r>
          </w:p>
        </w:tc>
        <w:tc>
          <w:tcPr>
            <w:tcW w:w="1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1,490,635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1,481,591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Securities sold under agreements to repurchase</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158,030</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158,030</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155,610</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155,610</w:t>
            </w: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86,557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86,425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Junior subordinated debt owed to unconsolidated trusts</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77,187</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71,089</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74,815</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67,314</w:t>
            </w: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Accrued interest payable</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21,129</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Level 3 inputs:</w:t>
            </w: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480" w:type="dxa"/>
            <w:vAlign w:val="bottom"/>
          </w:tcPr>
          <w:p>
            <w:pPr>
              <w:ind w:left="360"/>
              <w:spacing w:after="0"/>
              <w:rPr>
                <w:sz w:val="20"/>
                <w:szCs w:val="20"/>
                <w:color w:val="auto"/>
              </w:rPr>
            </w:pPr>
            <w:r>
              <w:rPr>
                <w:rFonts w:ascii="Arial" w:cs="Arial" w:eastAsia="Arial" w:hAnsi="Arial"/>
                <w:sz w:val="18"/>
                <w:szCs w:val="18"/>
                <w:color w:val="auto"/>
              </w:rPr>
              <w:t>Subordinated notes, net of unamortized issuance costs</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96,480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227,723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219,043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COMMON SHARE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Basic earnings per common share is computed by dividing net income available to common stockholders by the weighted average number of common shares outstanding, which include DSUs that are vested but not delivered. Net income available to common stockholders is net income less dividends that have been declared on Busey’s preferred stock (all of which is non-cumulative). Diluted earnings per common share is computed using the treasury stock method and reflects the potential dilution that could occur if Busey’s outstanding stock options and SSARs were exercised, stock units were vested, and ESPP shares were issued.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have been computed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5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4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r>
      <w:tr>
        <w:trPr>
          <w:trHeight w:val="244"/>
        </w:trPr>
        <w:tc>
          <w:tcPr>
            <w:tcW w:w="5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47,404</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53,582</w:t>
            </w:r>
          </w:p>
        </w:tc>
      </w:tr>
      <w:tr>
        <w:trPr>
          <w:trHeight w:val="247"/>
        </w:trPr>
        <w:tc>
          <w:tcPr>
            <w:tcW w:w="5460" w:type="dxa"/>
            <w:vAlign w:val="bottom"/>
          </w:tcPr>
          <w:p>
            <w:pPr>
              <w:ind w:left="20"/>
              <w:spacing w:after="0"/>
              <w:rPr>
                <w:sz w:val="20"/>
                <w:szCs w:val="20"/>
                <w:color w:val="auto"/>
              </w:rPr>
            </w:pPr>
            <w:r>
              <w:rPr>
                <w:rFonts w:ascii="Arial" w:cs="Arial" w:eastAsia="Arial" w:hAnsi="Arial"/>
                <w:sz w:val="18"/>
                <w:szCs w:val="18"/>
                <w:color w:val="auto"/>
              </w:rPr>
              <w:t>Dividends on preferred stock</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4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88"/>
        </w:trPr>
        <w:tc>
          <w:tcPr>
            <w:tcW w:w="5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47,249</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Borders>
              <w:bottom w:val="single" w:sz="8" w:color="E0E7ED"/>
            </w:tcBorders>
            <w:shd w:val="clear" w:color="auto" w:fill="E0E7ED"/>
          </w:tcPr>
          <w:p>
            <w:pPr>
              <w:spacing w:after="0"/>
              <w:rPr>
                <w:sz w:val="24"/>
                <w:szCs w:val="24"/>
                <w:color w:val="auto"/>
              </w:rPr>
            </w:pPr>
          </w:p>
        </w:tc>
        <w:tc>
          <w:tcPr>
            <w:tcW w:w="28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17,259</w:t>
            </w:r>
          </w:p>
        </w:tc>
        <w:tc>
          <w:tcPr>
            <w:tcW w:w="100" w:type="dxa"/>
            <w:vAlign w:val="bottom"/>
            <w:tcBorders>
              <w:bottom w:val="single" w:sz="8" w:color="E0E7ED"/>
            </w:tcBorders>
            <w:shd w:val="clear" w:color="auto" w:fill="E0E7ED"/>
          </w:tcPr>
          <w:p>
            <w:pPr>
              <w:spacing w:after="0"/>
              <w:rPr>
                <w:sz w:val="24"/>
                <w:szCs w:val="24"/>
                <w:color w:val="auto"/>
              </w:rPr>
            </w:pPr>
          </w:p>
        </w:tc>
        <w:tc>
          <w:tcPr>
            <w:tcW w:w="300" w:type="dxa"/>
            <w:vAlign w:val="bottom"/>
            <w:tcBorders>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53,582</w:t>
            </w:r>
          </w:p>
        </w:tc>
      </w:tr>
      <w:tr>
        <w:trPr>
          <w:trHeight w:val="20"/>
        </w:trPr>
        <w:tc>
          <w:tcPr>
            <w:tcW w:w="546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8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5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50"/>
        </w:trPr>
        <w:tc>
          <w:tcPr>
            <w:tcW w:w="54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Weighted average number of common shares outstanding, basic</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89,645,040</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56,919,025</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79,139,706</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56,167,807</w:t>
            </w:r>
          </w:p>
        </w:tc>
      </w:tr>
      <w:tr>
        <w:trPr>
          <w:trHeight w:val="247"/>
        </w:trPr>
        <w:tc>
          <w:tcPr>
            <w:tcW w:w="5460" w:type="dxa"/>
            <w:vAlign w:val="bottom"/>
          </w:tcPr>
          <w:p>
            <w:pPr>
              <w:ind w:left="20"/>
              <w:spacing w:after="0"/>
              <w:rPr>
                <w:sz w:val="20"/>
                <w:szCs w:val="20"/>
                <w:color w:val="auto"/>
              </w:rPr>
            </w:pPr>
            <w:r>
              <w:rPr>
                <w:rFonts w:ascii="Arial" w:cs="Arial" w:eastAsia="Arial" w:hAnsi="Arial"/>
                <w:sz w:val="18"/>
                <w:szCs w:val="18"/>
                <w:color w:val="auto"/>
              </w:rPr>
              <w:t>Dilutive effect of common stock equivalents: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SSARs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278,568</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185,138</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RSU awards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896,697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817,859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666,302</w:t>
            </w:r>
          </w:p>
        </w:tc>
      </w:tr>
      <w:tr>
        <w:trPr>
          <w:trHeight w:val="2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PSU awards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47,360</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245,599</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81,970</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269,494</w:t>
            </w:r>
          </w:p>
        </w:tc>
      </w:tr>
      <w:tr>
        <w:trPr>
          <w:trHeight w:val="247"/>
        </w:trPr>
        <w:tc>
          <w:tcPr>
            <w:tcW w:w="5460" w:type="dxa"/>
            <w:vAlign w:val="bottom"/>
          </w:tcPr>
          <w:p>
            <w:pPr>
              <w:ind w:left="180"/>
              <w:spacing w:after="0"/>
              <w:rPr>
                <w:sz w:val="20"/>
                <w:szCs w:val="20"/>
                <w:color w:val="auto"/>
              </w:rPr>
            </w:pPr>
            <w:r>
              <w:rPr>
                <w:rFonts w:ascii="Arial" w:cs="Arial" w:eastAsia="Arial" w:hAnsi="Arial"/>
                <w:sz w:val="18"/>
                <w:szCs w:val="18"/>
                <w:color w:val="auto"/>
              </w:rPr>
              <w:t>DSU awards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14,882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19,202</w:t>
            </w:r>
          </w:p>
        </w:tc>
      </w:tr>
      <w:tr>
        <w:trPr>
          <w:trHeight w:val="2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4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ESPP</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11,337</w:t>
            </w:r>
          </w:p>
        </w:tc>
        <w:tc>
          <w:tcPr>
            <w:tcW w:w="100" w:type="dxa"/>
            <w:vAlign w:val="bottom"/>
            <w:tcBorders>
              <w:bottom w:val="single" w:sz="8" w:color="E0E7ED"/>
            </w:tcBorders>
            <w:shd w:val="clear" w:color="auto" w:fill="E0E7ED"/>
          </w:tcPr>
          <w:p>
            <w:pPr>
              <w:spacing w:after="0"/>
              <w:rPr>
                <w:sz w:val="23"/>
                <w:szCs w:val="23"/>
                <w:color w:val="auto"/>
              </w:rPr>
            </w:pPr>
          </w:p>
        </w:tc>
        <w:tc>
          <w:tcPr>
            <w:tcW w:w="28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E0E7ED"/>
            </w:tcBorders>
            <w:shd w:val="clear" w:color="auto" w:fill="E0E7ED"/>
          </w:tcPr>
          <w:p>
            <w:pPr>
              <w:spacing w:after="0"/>
              <w:rPr>
                <w:sz w:val="23"/>
                <w:szCs w:val="23"/>
                <w:color w:val="auto"/>
              </w:rPr>
            </w:pPr>
          </w:p>
        </w:tc>
        <w:tc>
          <w:tcPr>
            <w:tcW w:w="28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12,022</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7,060</w:t>
            </w:r>
          </w:p>
        </w:tc>
      </w:tr>
      <w:tr>
        <w:trPr>
          <w:trHeight w:val="263"/>
        </w:trPr>
        <w:tc>
          <w:tcPr>
            <w:tcW w:w="5460" w:type="dxa"/>
            <w:vAlign w:val="bottom"/>
          </w:tcPr>
          <w:p>
            <w:pPr>
              <w:ind w:left="20"/>
              <w:spacing w:after="0"/>
              <w:rPr>
                <w:sz w:val="20"/>
                <w:szCs w:val="20"/>
                <w:color w:val="auto"/>
              </w:rPr>
            </w:pPr>
            <w:r>
              <w:rPr>
                <w:rFonts w:ascii="Arial" w:cs="Arial" w:eastAsia="Arial" w:hAnsi="Arial"/>
                <w:sz w:val="18"/>
                <w:szCs w:val="18"/>
                <w:color w:val="auto"/>
              </w:rPr>
              <w:t>Weighted average number of common shares outstanding, diluted</w:t>
            </w: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90,883,711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57,853,231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80,251,577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57,129,865</w:t>
            </w:r>
          </w:p>
        </w:tc>
      </w:tr>
      <w:tr>
        <w:trPr>
          <w:trHeight w:val="20"/>
        </w:trPr>
        <w:tc>
          <w:tcPr>
            <w:tcW w:w="546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546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0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r>
      <w:tr>
        <w:trPr>
          <w:trHeight w:val="247"/>
        </w:trPr>
        <w:tc>
          <w:tcPr>
            <w:tcW w:w="5460" w:type="dxa"/>
            <w:vAlign w:val="bottom"/>
          </w:tcPr>
          <w:p>
            <w:pPr>
              <w:ind w:left="2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0.95</w:t>
            </w:r>
          </w:p>
        </w:tc>
      </w:tr>
      <w:tr>
        <w:trPr>
          <w:trHeight w:val="2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7"/>
        </w:trPr>
        <w:tc>
          <w:tcPr>
            <w:tcW w:w="5460" w:type="dxa"/>
            <w:vAlign w:val="bottom"/>
            <w:shd w:val="clear" w:color="auto" w:fill="E0E7ED"/>
          </w:tcPr>
          <w:p>
            <w:pPr>
              <w:ind w:left="2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0.94</w:t>
            </w:r>
          </w:p>
        </w:tc>
      </w:tr>
      <w:tr>
        <w:trPr>
          <w:trHeight w:val="23"/>
        </w:trPr>
        <w:tc>
          <w:tcPr>
            <w:tcW w:w="546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10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80" w:type="dxa"/>
            <w:vAlign w:val="bottom"/>
            <w:shd w:val="clear" w:color="auto" w:fill="E0E7ED"/>
          </w:tcPr>
          <w:p>
            <w:pPr>
              <w:spacing w:after="0"/>
              <w:rPr>
                <w:sz w:val="2"/>
                <w:szCs w:val="2"/>
                <w:color w:val="auto"/>
              </w:rPr>
            </w:pPr>
          </w:p>
        </w:tc>
        <w:tc>
          <w:tcPr>
            <w:tcW w:w="110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8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0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Shares that were excluded from the computation of diluted earnings per common share because their effect would have been anti-dilutive are summarized in the table below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9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Three Months Ended June 30,</w:t>
            </w:r>
          </w:p>
        </w:tc>
        <w:tc>
          <w:tcPr>
            <w:tcW w:w="2820" w:type="dxa"/>
            <w:vAlign w:val="bottom"/>
            <w:gridSpan w:val="3"/>
          </w:tcPr>
          <w:p>
            <w:pPr>
              <w:jc w:val="right"/>
              <w:ind w:right="394"/>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Anti-dilutive common stock equivalents</w:t>
            </w:r>
          </w:p>
        </w:tc>
        <w:tc>
          <w:tcPr>
            <w:tcW w:w="13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36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Options</w:t>
            </w:r>
          </w:p>
        </w:tc>
        <w:tc>
          <w:tcPr>
            <w:tcW w:w="1360" w:type="dxa"/>
            <w:vAlign w:val="bottom"/>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17,966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15,106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19,176</w:t>
            </w:r>
          </w:p>
        </w:tc>
      </w:tr>
      <w:tr>
        <w:trPr>
          <w:trHeight w:val="23"/>
        </w:trPr>
        <w:tc>
          <w:tcPr>
            <w:tcW w:w="5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RSU awards</w:t>
            </w:r>
          </w:p>
        </w:tc>
        <w:tc>
          <w:tcPr>
            <w:tcW w:w="14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12,864</w:t>
            </w: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6,432</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PSU awards</w:t>
            </w:r>
          </w:p>
        </w:tc>
        <w:tc>
          <w:tcPr>
            <w:tcW w:w="1360" w:type="dxa"/>
            <w:vAlign w:val="bottom"/>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93,266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208,043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100,969</w:t>
            </w:r>
          </w:p>
        </w:tc>
      </w:tr>
      <w:tr>
        <w:trPr>
          <w:trHeight w:val="23"/>
        </w:trPr>
        <w:tc>
          <w:tcPr>
            <w:tcW w:w="55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55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anti-dilutive common stock equivalents</w:t>
            </w: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28,561</w:t>
            </w:r>
          </w:p>
        </w:tc>
        <w:tc>
          <w:tcPr>
            <w:tcW w:w="100" w:type="dxa"/>
            <w:vAlign w:val="bottom"/>
            <w:tcBorders>
              <w:bottom w:val="single" w:sz="8" w:color="E0E7ED"/>
            </w:tcBorders>
            <w:shd w:val="clear" w:color="auto" w:fill="E0E7ED"/>
          </w:tcPr>
          <w:p>
            <w:pPr>
              <w:spacing w:after="0"/>
              <w:rPr>
                <w:sz w:val="24"/>
                <w:szCs w:val="24"/>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124,096</w:t>
            </w:r>
          </w:p>
        </w:tc>
        <w:tc>
          <w:tcPr>
            <w:tcW w:w="100" w:type="dxa"/>
            <w:vAlign w:val="bottom"/>
            <w:tcBorders>
              <w:bottom w:val="single" w:sz="8" w:color="E0E7ED"/>
            </w:tcBorders>
            <w:shd w:val="clear" w:color="auto" w:fill="E0E7ED"/>
          </w:tcPr>
          <w:p>
            <w:pPr>
              <w:spacing w:after="0"/>
              <w:rPr>
                <w:sz w:val="24"/>
                <w:szCs w:val="24"/>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223,149</w:t>
            </w:r>
          </w:p>
        </w:tc>
        <w:tc>
          <w:tcPr>
            <w:tcW w:w="100" w:type="dxa"/>
            <w:vAlign w:val="bottom"/>
            <w:tcBorders>
              <w:bottom w:val="single" w:sz="8" w:color="E0E7ED"/>
            </w:tcBorders>
            <w:shd w:val="clear" w:color="auto" w:fill="E0E7ED"/>
          </w:tcPr>
          <w:p>
            <w:pPr>
              <w:spacing w:after="0"/>
              <w:rPr>
                <w:sz w:val="24"/>
                <w:szCs w:val="24"/>
                <w:color w:val="auto"/>
              </w:rPr>
            </w:pPr>
          </w:p>
        </w:tc>
        <w:tc>
          <w:tcPr>
            <w:tcW w:w="13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126,577</w:t>
            </w: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changes in AOCI by component, net of tax,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2025</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Unrecognized</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Unrealized Gains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(Losses) on Debt</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Gains (Losses) on</w:t>
            </w:r>
          </w:p>
        </w:tc>
        <w:tc>
          <w:tcPr>
            <w:tcW w:w="1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Debt Securities</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320" w:type="dxa"/>
            <w:vAlign w:val="bottom"/>
          </w:tcPr>
          <w:p>
            <w:pPr>
              <w:spacing w:after="0"/>
              <w:rPr>
                <w:sz w:val="11"/>
                <w:szCs w:val="11"/>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Held to Maturity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March 31, 2025</w:t>
            </w:r>
          </w:p>
        </w:tc>
        <w:tc>
          <w:tcPr>
            <w:tcW w:w="220" w:type="dxa"/>
            <w:vAlign w:val="bottom"/>
            <w:tcBorders>
              <w:top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(137,725)</w:t>
            </w:r>
          </w:p>
        </w:tc>
        <w:tc>
          <w:tcPr>
            <w:tcW w:w="100" w:type="dxa"/>
            <w:vAlign w:val="bottom"/>
            <w:tcBorders>
              <w:top w:val="single" w:sz="8" w:color="E0E7ED"/>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(21,426)</w:t>
            </w: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(13,659)</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(172,810)</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Unrealized holding gains (losses),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14,586</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Amounts reclassified from AOCI, net</w:t>
            </w: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24"/>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unrecognized losses on securities transferred to</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180"/>
              <w:spacing w:after="0"/>
              <w:rPr>
                <w:sz w:val="20"/>
                <w:szCs w:val="20"/>
                <w:color w:val="auto"/>
              </w:rPr>
            </w:pPr>
            <w:r>
              <w:rPr>
                <w:rFonts w:ascii="Arial" w:cs="Arial" w:eastAsia="Arial" w:hAnsi="Arial"/>
                <w:sz w:val="18"/>
                <w:szCs w:val="18"/>
                <w:color w:val="auto"/>
              </w:rPr>
              <w:t>held to maturity</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3"/>
        </w:trPr>
        <w:tc>
          <w:tcPr>
            <w:tcW w:w="54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June 30, 2025</w:t>
            </w:r>
          </w:p>
        </w:tc>
        <w:tc>
          <w:tcPr>
            <w:tcW w:w="220" w:type="dxa"/>
            <w:vAlign w:val="bottom"/>
            <w:tcBorders>
              <w:bottom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(125,745)</w:t>
            </w:r>
          </w:p>
        </w:tc>
        <w:tc>
          <w:tcPr>
            <w:tcW w:w="100" w:type="dxa"/>
            <w:vAlign w:val="bottom"/>
            <w:tcBorders>
              <w:bottom w:val="single" w:sz="8" w:color="E0E7ED"/>
            </w:tcBorders>
            <w:shd w:val="clear" w:color="auto" w:fill="E0E7ED"/>
          </w:tcPr>
          <w:p>
            <w:pPr>
              <w:spacing w:after="0"/>
              <w:rPr>
                <w:sz w:val="24"/>
                <w:szCs w:val="24"/>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(20,198)</w:t>
            </w: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(155,311)</w:t>
            </w:r>
          </w:p>
        </w:tc>
        <w:tc>
          <w:tcPr>
            <w:tcW w:w="0" w:type="dxa"/>
            <w:vAlign w:val="bottom"/>
          </w:tcPr>
          <w:p>
            <w:pPr>
              <w:spacing w:after="0"/>
              <w:rPr>
                <w:sz w:val="1"/>
                <w:szCs w:val="1"/>
                <w:color w:val="auto"/>
              </w:rPr>
            </w:pPr>
          </w:p>
        </w:tc>
      </w:tr>
      <w:tr>
        <w:trPr>
          <w:trHeight w:val="20"/>
        </w:trPr>
        <w:tc>
          <w:tcPr>
            <w:tcW w:w="5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rPr>
              <w:t>Three Months Ended June 30, 2024</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Unrecognized</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Unrealized Gains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(Losses) on Debt</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Gains (Losses) on</w:t>
            </w:r>
          </w:p>
        </w:tc>
        <w:tc>
          <w:tcPr>
            <w:tcW w:w="1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Debt Securities</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320" w:type="dxa"/>
            <w:vAlign w:val="bottom"/>
          </w:tcPr>
          <w:p>
            <w:pPr>
              <w:spacing w:after="0"/>
              <w:rPr>
                <w:sz w:val="11"/>
                <w:szCs w:val="11"/>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80" w:type="dxa"/>
            <w:vAlign w:val="bottom"/>
            <w:vMerge w:val="continue"/>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Held to Maturity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March 31, 2024</w:t>
            </w:r>
          </w:p>
        </w:tc>
        <w:tc>
          <w:tcPr>
            <w:tcW w:w="220" w:type="dxa"/>
            <w:vAlign w:val="bottom"/>
            <w:tcBorders>
              <w:top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(177,454)</w:t>
            </w:r>
          </w:p>
        </w:tc>
        <w:tc>
          <w:tcPr>
            <w:tcW w:w="100" w:type="dxa"/>
            <w:vAlign w:val="bottom"/>
            <w:tcBorders>
              <w:top w:val="single" w:sz="8" w:color="E0E7ED"/>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(24,464)</w:t>
            </w: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(20,272)</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(222,190)</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Unrealized holding gains (losses),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Amounts reclassified from AOCI, net</w:t>
            </w: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4"/>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unrecognized losses on securities transferred to</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180"/>
              <w:spacing w:after="0"/>
              <w:rPr>
                <w:sz w:val="20"/>
                <w:szCs w:val="20"/>
                <w:color w:val="auto"/>
              </w:rPr>
            </w:pPr>
            <w:r>
              <w:rPr>
                <w:rFonts w:ascii="Arial" w:cs="Arial" w:eastAsia="Arial" w:hAnsi="Arial"/>
                <w:sz w:val="18"/>
                <w:szCs w:val="18"/>
                <w:color w:val="auto"/>
              </w:rPr>
              <w:t>held to maturity</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
        </w:trPr>
        <w:tc>
          <w:tcPr>
            <w:tcW w:w="54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June 30, 2024</w:t>
            </w:r>
          </w:p>
        </w:tc>
        <w:tc>
          <w:tcPr>
            <w:tcW w:w="220" w:type="dxa"/>
            <w:vAlign w:val="bottom"/>
            <w:tcBorders>
              <w:bottom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(176,246)</w:t>
            </w:r>
          </w:p>
        </w:tc>
        <w:tc>
          <w:tcPr>
            <w:tcW w:w="100" w:type="dxa"/>
            <w:vAlign w:val="bottom"/>
            <w:tcBorders>
              <w:bottom w:val="single" w:sz="8" w:color="E0E7ED"/>
            </w:tcBorders>
            <w:shd w:val="clear" w:color="auto" w:fill="E0E7ED"/>
          </w:tcPr>
          <w:p>
            <w:pPr>
              <w:spacing w:after="0"/>
              <w:rPr>
                <w:sz w:val="24"/>
                <w:szCs w:val="24"/>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(23,464)</w:t>
            </w: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(20,616)</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(220,326)</w:t>
            </w:r>
          </w:p>
        </w:tc>
        <w:tc>
          <w:tcPr>
            <w:tcW w:w="0" w:type="dxa"/>
            <w:vAlign w:val="bottom"/>
          </w:tcPr>
          <w:p>
            <w:pPr>
              <w:spacing w:after="0"/>
              <w:rPr>
                <w:sz w:val="1"/>
                <w:szCs w:val="1"/>
                <w:color w:val="auto"/>
              </w:rPr>
            </w:pPr>
          </w:p>
        </w:tc>
      </w:tr>
      <w:tr>
        <w:trPr>
          <w:trHeight w:val="20"/>
        </w:trPr>
        <w:tc>
          <w:tcPr>
            <w:tcW w:w="5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2025</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Unrecognized</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Unrealized Gains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(Losses) on Debt</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Gains (Losses) on</w:t>
            </w:r>
          </w:p>
        </w:tc>
        <w:tc>
          <w:tcPr>
            <w:tcW w:w="1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Debt Securities</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320" w:type="dxa"/>
            <w:vAlign w:val="bottom"/>
          </w:tcPr>
          <w:p>
            <w:pPr>
              <w:spacing w:after="0"/>
              <w:rPr>
                <w:sz w:val="11"/>
                <w:szCs w:val="11"/>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Held to Maturity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December 31, 2024</w:t>
            </w:r>
          </w:p>
        </w:tc>
        <w:tc>
          <w:tcPr>
            <w:tcW w:w="220" w:type="dxa"/>
            <w:vAlign w:val="bottom"/>
            <w:tcBorders>
              <w:top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(165,680)</w:t>
            </w:r>
          </w:p>
        </w:tc>
        <w:tc>
          <w:tcPr>
            <w:tcW w:w="100" w:type="dxa"/>
            <w:vAlign w:val="bottom"/>
            <w:tcBorders>
              <w:top w:val="single" w:sz="8" w:color="E0E7ED"/>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(21,554)</w:t>
            </w: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(19,805)</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(207,039)</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Unrealized holding gains (losses),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28,569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35,808</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Amounts reclassified from AOCI, net</w:t>
            </w: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3,198</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24"/>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unrecognized losses on securities transferred to</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180"/>
              <w:spacing w:after="0"/>
              <w:rPr>
                <w:sz w:val="20"/>
                <w:szCs w:val="20"/>
                <w:color w:val="auto"/>
              </w:rPr>
            </w:pPr>
            <w:r>
              <w:rPr>
                <w:rFonts w:ascii="Arial" w:cs="Arial" w:eastAsia="Arial" w:hAnsi="Arial"/>
                <w:sz w:val="18"/>
                <w:szCs w:val="18"/>
                <w:color w:val="auto"/>
              </w:rPr>
              <w:t>held to maturity</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23"/>
        </w:trPr>
        <w:tc>
          <w:tcPr>
            <w:tcW w:w="54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June 30, 2025</w:t>
            </w:r>
          </w:p>
        </w:tc>
        <w:tc>
          <w:tcPr>
            <w:tcW w:w="220" w:type="dxa"/>
            <w:vAlign w:val="bottom"/>
            <w:tcBorders>
              <w:bottom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(125,745)</w:t>
            </w:r>
          </w:p>
        </w:tc>
        <w:tc>
          <w:tcPr>
            <w:tcW w:w="100" w:type="dxa"/>
            <w:vAlign w:val="bottom"/>
            <w:tcBorders>
              <w:bottom w:val="single" w:sz="8" w:color="E0E7ED"/>
            </w:tcBorders>
            <w:shd w:val="clear" w:color="auto" w:fill="E0E7ED"/>
          </w:tcPr>
          <w:p>
            <w:pPr>
              <w:spacing w:after="0"/>
              <w:rPr>
                <w:sz w:val="24"/>
                <w:szCs w:val="24"/>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(20,198)</w:t>
            </w: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(9,368)</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(155,311)</w:t>
            </w:r>
          </w:p>
        </w:tc>
        <w:tc>
          <w:tcPr>
            <w:tcW w:w="0" w:type="dxa"/>
            <w:vAlign w:val="bottom"/>
          </w:tcPr>
          <w:p>
            <w:pPr>
              <w:spacing w:after="0"/>
              <w:rPr>
                <w:sz w:val="1"/>
                <w:szCs w:val="1"/>
                <w:color w:val="auto"/>
              </w:rPr>
            </w:pPr>
          </w:p>
        </w:tc>
      </w:tr>
      <w:tr>
        <w:trPr>
          <w:trHeight w:val="20"/>
        </w:trPr>
        <w:tc>
          <w:tcPr>
            <w:tcW w:w="5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360" w:type="dxa"/>
            <w:vAlign w:val="bottom"/>
            <w:tcBorders>
              <w:top w:val="single" w:sz="8" w:color="E0E7ED"/>
              <w:bottom w:val="single" w:sz="8" w:color="auto"/>
            </w:tcBorders>
            <w:gridSpan w:val="2"/>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5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2024</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Unrealized Gains</w:t>
            </w: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rPr>
              <w:t>Unrecognized</w:t>
            </w:r>
          </w:p>
        </w:tc>
        <w:tc>
          <w:tcPr>
            <w:tcW w:w="14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Unrealized Gains</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(Losses) on Debt</w:t>
            </w:r>
          </w:p>
        </w:tc>
        <w:tc>
          <w:tcPr>
            <w:tcW w:w="14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Gains (Losses) on</w:t>
            </w:r>
          </w:p>
        </w:tc>
        <w:tc>
          <w:tcPr>
            <w:tcW w:w="14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4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1"/>
                <w:szCs w:val="11"/>
                <w:color w:val="auto"/>
              </w:rPr>
            </w:pPr>
          </w:p>
        </w:tc>
        <w:tc>
          <w:tcPr>
            <w:tcW w:w="13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Debt Securities</w:t>
            </w:r>
          </w:p>
        </w:tc>
        <w:tc>
          <w:tcPr>
            <w:tcW w:w="14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rPr>
              <w:t>(Losses) on Cash</w:t>
            </w:r>
          </w:p>
        </w:tc>
        <w:tc>
          <w:tcPr>
            <w:tcW w:w="320" w:type="dxa"/>
            <w:vAlign w:val="bottom"/>
          </w:tcPr>
          <w:p>
            <w:pPr>
              <w:spacing w:after="0"/>
              <w:rPr>
                <w:sz w:val="11"/>
                <w:szCs w:val="11"/>
                <w:color w:val="auto"/>
              </w:rPr>
            </w:pPr>
          </w:p>
        </w:tc>
        <w:tc>
          <w:tcPr>
            <w:tcW w:w="106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80" w:type="dxa"/>
            <w:vAlign w:val="bottom"/>
            <w:vMerge w:val="continue"/>
          </w:tcPr>
          <w:p>
            <w:pPr>
              <w:spacing w:after="0"/>
              <w:rPr>
                <w:sz w:val="15"/>
                <w:szCs w:val="15"/>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Available For Sale</w:t>
            </w:r>
          </w:p>
        </w:tc>
        <w:tc>
          <w:tcPr>
            <w:tcW w:w="12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Held to Maturity</w:t>
            </w:r>
          </w:p>
        </w:tc>
        <w:tc>
          <w:tcPr>
            <w:tcW w:w="18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Flow Hedges</w:t>
            </w: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48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December 31, 2023</w:t>
            </w:r>
          </w:p>
        </w:tc>
        <w:tc>
          <w:tcPr>
            <w:tcW w:w="220" w:type="dxa"/>
            <w:vAlign w:val="bottom"/>
            <w:tcBorders>
              <w:top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(176,636)</w:t>
            </w:r>
          </w:p>
        </w:tc>
        <w:tc>
          <w:tcPr>
            <w:tcW w:w="100" w:type="dxa"/>
            <w:vAlign w:val="bottom"/>
            <w:tcBorders>
              <w:top w:val="single" w:sz="8" w:color="E0E7ED"/>
            </w:tcBorders>
            <w:shd w:val="clear" w:color="auto" w:fill="E0E7ED"/>
          </w:tcPr>
          <w:p>
            <w:pPr>
              <w:spacing w:after="0"/>
              <w:rPr>
                <w:sz w:val="22"/>
                <w:szCs w:val="22"/>
                <w:color w:val="auto"/>
              </w:rPr>
            </w:pPr>
          </w:p>
        </w:tc>
        <w:tc>
          <w:tcPr>
            <w:tcW w:w="12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(25,473)</w:t>
            </w:r>
          </w:p>
        </w:tc>
        <w:tc>
          <w:tcPr>
            <w:tcW w:w="80" w:type="dxa"/>
            <w:vAlign w:val="bottom"/>
            <w:tcBorders>
              <w:top w:val="single" w:sz="8" w:color="E0E7ED"/>
            </w:tcBorders>
            <w:shd w:val="clear" w:color="auto" w:fill="E0E7ED"/>
          </w:tcPr>
          <w:p>
            <w:pPr>
              <w:spacing w:after="0"/>
              <w:rPr>
                <w:sz w:val="22"/>
                <w:szCs w:val="22"/>
                <w:color w:val="auto"/>
              </w:rPr>
            </w:pPr>
          </w:p>
        </w:tc>
        <w:tc>
          <w:tcPr>
            <w:tcW w:w="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top w:val="single" w:sz="8" w:color="E0E7ED"/>
            </w:tcBorders>
            <w:shd w:val="clear" w:color="auto" w:fill="E0E7ED"/>
          </w:tcPr>
          <w:p>
            <w:pPr>
              <w:spacing w:after="0"/>
              <w:rPr>
                <w:sz w:val="22"/>
                <w:szCs w:val="22"/>
                <w:color w:val="auto"/>
              </w:rPr>
            </w:pPr>
          </w:p>
        </w:tc>
        <w:tc>
          <w:tcPr>
            <w:tcW w:w="320" w:type="dxa"/>
            <w:vAlign w:val="bottom"/>
            <w:tcBorders>
              <w:top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(218,803)</w:t>
            </w:r>
          </w:p>
        </w:tc>
        <w:tc>
          <w:tcPr>
            <w:tcW w:w="0" w:type="dxa"/>
            <w:vAlign w:val="bottom"/>
          </w:tcPr>
          <w:p>
            <w:pPr>
              <w:spacing w:after="0"/>
              <w:rPr>
                <w:sz w:val="1"/>
                <w:szCs w:val="1"/>
                <w:color w:val="auto"/>
              </w:rPr>
            </w:pPr>
          </w:p>
        </w:tc>
      </w:tr>
      <w:tr>
        <w:trPr>
          <w:trHeight w:val="247"/>
        </w:trPr>
        <w:tc>
          <w:tcPr>
            <w:tcW w:w="5480" w:type="dxa"/>
            <w:vAlign w:val="bottom"/>
          </w:tcPr>
          <w:p>
            <w:pPr>
              <w:ind w:left="180"/>
              <w:spacing w:after="0"/>
              <w:rPr>
                <w:sz w:val="20"/>
                <w:szCs w:val="20"/>
                <w:color w:val="auto"/>
              </w:rPr>
            </w:pPr>
            <w:r>
              <w:rPr>
                <w:rFonts w:ascii="Arial" w:cs="Arial" w:eastAsia="Arial" w:hAnsi="Arial"/>
                <w:sz w:val="18"/>
                <w:szCs w:val="18"/>
                <w:color w:val="auto"/>
              </w:rPr>
              <w:t>Unrealized holding gains (losses), net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(11,704)</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Amounts reclassified from AOCI, net</w:t>
            </w:r>
          </w:p>
        </w:tc>
        <w:tc>
          <w:tcPr>
            <w:tcW w:w="22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4,866</w:t>
            </w:r>
          </w:p>
        </w:tc>
        <w:tc>
          <w:tcPr>
            <w:tcW w:w="100" w:type="dxa"/>
            <w:vAlign w:val="bottom"/>
            <w:tcBorders>
              <w:bottom w:val="single" w:sz="8" w:color="E0E7ED"/>
            </w:tcBorders>
            <w:shd w:val="clear" w:color="auto" w:fill="E0E7ED"/>
          </w:tcPr>
          <w:p>
            <w:pPr>
              <w:spacing w:after="0"/>
              <w:rPr>
                <w:sz w:val="21"/>
                <w:szCs w:val="21"/>
                <w:color w:val="auto"/>
              </w:rPr>
            </w:pPr>
          </w:p>
        </w:tc>
        <w:tc>
          <w:tcPr>
            <w:tcW w:w="120" w:type="dxa"/>
            <w:vAlign w:val="bottom"/>
            <w:tcBorders>
              <w:bottom w:val="single" w:sz="8" w:color="E0E7ED"/>
            </w:tcBorders>
            <w:shd w:val="clear" w:color="auto" w:fill="E0E7ED"/>
          </w:tcPr>
          <w:p>
            <w:pPr>
              <w:spacing w:after="0"/>
              <w:rPr>
                <w:sz w:val="21"/>
                <w:szCs w:val="21"/>
                <w:color w:val="auto"/>
              </w:rPr>
            </w:pPr>
          </w:p>
        </w:tc>
        <w:tc>
          <w:tcPr>
            <w:tcW w:w="13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8,172</w:t>
            </w:r>
          </w:p>
        </w:tc>
        <w:tc>
          <w:tcPr>
            <w:tcW w:w="0" w:type="dxa"/>
            <w:vAlign w:val="bottom"/>
          </w:tcPr>
          <w:p>
            <w:pPr>
              <w:spacing w:after="0"/>
              <w:rPr>
                <w:sz w:val="1"/>
                <w:szCs w:val="1"/>
                <w:color w:val="auto"/>
              </w:rPr>
            </w:pPr>
          </w:p>
        </w:tc>
      </w:tr>
      <w:tr>
        <w:trPr>
          <w:trHeight w:val="224"/>
        </w:trPr>
        <w:tc>
          <w:tcPr>
            <w:tcW w:w="5480" w:type="dxa"/>
            <w:vAlign w:val="bottom"/>
          </w:tcPr>
          <w:p>
            <w:pPr>
              <w:ind w:left="180"/>
              <w:spacing w:after="0"/>
              <w:rPr>
                <w:sz w:val="20"/>
                <w:szCs w:val="20"/>
                <w:color w:val="auto"/>
              </w:rPr>
            </w:pPr>
            <w:r>
              <w:rPr>
                <w:rFonts w:ascii="Arial" w:cs="Arial" w:eastAsia="Arial" w:hAnsi="Arial"/>
                <w:sz w:val="18"/>
                <w:szCs w:val="18"/>
                <w:color w:val="auto"/>
              </w:rPr>
              <w:t>Amortization of unrecognized losses on securities transferred to</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180"/>
              <w:spacing w:after="0"/>
              <w:rPr>
                <w:sz w:val="20"/>
                <w:szCs w:val="20"/>
                <w:color w:val="auto"/>
              </w:rPr>
            </w:pPr>
            <w:r>
              <w:rPr>
                <w:rFonts w:ascii="Arial" w:cs="Arial" w:eastAsia="Arial" w:hAnsi="Arial"/>
                <w:sz w:val="18"/>
                <w:szCs w:val="18"/>
                <w:color w:val="auto"/>
              </w:rPr>
              <w:t>held to maturity</w:t>
            </w:r>
          </w:p>
        </w:tc>
        <w:tc>
          <w:tcPr>
            <w:tcW w:w="2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3"/>
        </w:trPr>
        <w:tc>
          <w:tcPr>
            <w:tcW w:w="54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4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Balance, June 30, 2024</w:t>
            </w:r>
          </w:p>
        </w:tc>
        <w:tc>
          <w:tcPr>
            <w:tcW w:w="220" w:type="dxa"/>
            <w:vAlign w:val="bottom"/>
            <w:tcBorders>
              <w:bottom w:val="single" w:sz="8" w:color="auto"/>
            </w:tcBorders>
            <w:shd w:val="clear" w:color="auto" w:fill="E0E7ED"/>
          </w:tcPr>
          <w:p>
            <w:pPr>
              <w:jc w:val="right"/>
              <w:ind w:right="21"/>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(176,246)</w:t>
            </w:r>
          </w:p>
        </w:tc>
        <w:tc>
          <w:tcPr>
            <w:tcW w:w="100" w:type="dxa"/>
            <w:vAlign w:val="bottom"/>
            <w:tcBorders>
              <w:bottom w:val="single" w:sz="8" w:color="E0E7ED"/>
            </w:tcBorders>
            <w:shd w:val="clear" w:color="auto" w:fill="E0E7ED"/>
          </w:tcPr>
          <w:p>
            <w:pPr>
              <w:spacing w:after="0"/>
              <w:rPr>
                <w:sz w:val="24"/>
                <w:szCs w:val="24"/>
                <w:color w:val="auto"/>
              </w:rPr>
            </w:pPr>
          </w:p>
        </w:tc>
        <w:tc>
          <w:tcPr>
            <w:tcW w:w="1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(23,464)</w:t>
            </w:r>
          </w:p>
        </w:tc>
        <w:tc>
          <w:tcPr>
            <w:tcW w:w="80" w:type="dxa"/>
            <w:vAlign w:val="bottom"/>
            <w:tcBorders>
              <w:bottom w:val="single" w:sz="8" w:color="E0E7ED"/>
            </w:tcBorders>
            <w:shd w:val="clear" w:color="auto" w:fill="E0E7ED"/>
          </w:tcPr>
          <w:p>
            <w:pPr>
              <w:spacing w:after="0"/>
              <w:rPr>
                <w:sz w:val="24"/>
                <w:szCs w:val="24"/>
                <w:color w:val="auto"/>
              </w:rPr>
            </w:pPr>
          </w:p>
        </w:tc>
        <w:tc>
          <w:tcPr>
            <w:tcW w:w="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(20,616)</w:t>
            </w:r>
          </w:p>
        </w:tc>
        <w:tc>
          <w:tcPr>
            <w:tcW w:w="100" w:type="dxa"/>
            <w:vAlign w:val="bottom"/>
            <w:tcBorders>
              <w:bottom w:val="single" w:sz="8" w:color="E0E7ED"/>
            </w:tcBorders>
            <w:shd w:val="clear" w:color="auto" w:fill="E0E7ED"/>
          </w:tcPr>
          <w:p>
            <w:pPr>
              <w:spacing w:after="0"/>
              <w:rPr>
                <w:sz w:val="24"/>
                <w:szCs w:val="24"/>
                <w:color w:val="auto"/>
              </w:rPr>
            </w:pP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(220,326)</w:t>
            </w:r>
          </w:p>
        </w:tc>
        <w:tc>
          <w:tcPr>
            <w:tcW w:w="0" w:type="dxa"/>
            <w:vAlign w:val="bottom"/>
          </w:tcPr>
          <w:p>
            <w:pPr>
              <w:spacing w:after="0"/>
              <w:rPr>
                <w:sz w:val="1"/>
                <w:szCs w:val="1"/>
                <w:color w:val="auto"/>
              </w:rPr>
            </w:pPr>
          </w:p>
        </w:tc>
      </w:tr>
      <w:tr>
        <w:trPr>
          <w:trHeight w:val="20"/>
        </w:trPr>
        <w:tc>
          <w:tcPr>
            <w:tcW w:w="548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 w:type="dxa"/>
            <w:vAlign w:val="bottom"/>
            <w:tcBorders>
              <w:top w:val="single" w:sz="8" w:color="E0E7ED"/>
              <w:bottom w:val="single" w:sz="8" w:color="auto"/>
            </w:tcBorders>
          </w:tcPr>
          <w:p>
            <w:pPr>
              <w:spacing w:after="0" w:line="20" w:lineRule="exact"/>
              <w:rPr>
                <w:sz w:val="1"/>
                <w:szCs w:val="1"/>
                <w:color w:val="auto"/>
              </w:rPr>
            </w:pPr>
          </w:p>
        </w:tc>
        <w:tc>
          <w:tcPr>
            <w:tcW w:w="126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OPERATING SEGMENTS AND RELATED INFORMATION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Busey’s reportable segments are determined by its chief executive officer, who is the designated chief operating decision maker. Busey is organized into three reportable operating segments: Banking, Wealth Management, and FirsTech. These operating segments are strategic business units that are separately managed, as they offer different products and services and have different marketing strategies.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Banking operating segment provides a full range of banking services to individual and corporate customers through First Busey Corporation’s wholly-owned bank subsidiary, Busey Bank.</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Bank has 78 banking centers located throughout Illinois; the St. Louis, Missouri MSA; southwest Florida; Indianapolis, Indiana; the Dallas-Fort MSA; the Kansas City MSA; Wichita Kansas; Oklahoma City and Tulsa Oklahoma; Phoenix and Tucson, Arizona; Denver and Colorado Springs, Colorado; and Clayton, New Mexico.</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Banking services offered to individual customers include customary types of demand and savings deposits, money transfers, safe deposit services, individual retirement accounts and other fiduciary services, automated teller machines, and technology-based networks, as well as a variety of loan products including residential real estate, home equity lines of credit, and consumer loans. Banking services offered to corporate customers include commercial, CRE, real estate construction, and agricultural loans, as well as commercial depository services such as cash management.</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Wealth Management</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Wealth Management operating segment provides a full range of asset management, investment, brokerage, fiduciary, philanthropic advisory, tax preparation, and farm management services to individuals, businesses, and foundations. Services are provided through Busey Capital Management, Inc., a wholly-owned subsidiary of Busey Bank, and Busey Wealth Management, a division of Busey Bank.</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Wealth management services tailored to individuals include trust and estate advisory services and financial planning. Business services include business succession planning and employee retirement plan services. Services for foundations include investment strategy consulting and fiduciary services.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FirsTech</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FirsTech operating segment provides comprehensive and innovative payment technology solutions through Busey Bank’s wholly-owned subsidiary, FirsTech. FirsTech's multi-channel payment platform allows businesses to collect payments from their customers in a variety of ways to enable fast, frictionless payments. Payment method vehicles include, but are not limited to, text-based mobile bill pay; interactive voice response; electronic payment concentration delivered to Automated Clearing House networks, money management, and credit card networks; walk-in payment processing for customers at retail pay agents; customer service payments made over a telephone; direct debit services; merchant services referral solutions serving partner Financial Institutions and their business customers; and lockbox remittance processing for customers to make payments by mail. FirsTech also provides additional tools to help clients with billing, reconciliation, bill reminders, and treasury services.</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FirsTech's client base represents a diverse set of industries, with a higher concentration in highly regulated industries, such as financial institutions, utility, insurance, and telecommunications industries.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Financial Information</w:t>
      </w:r>
    </w:p>
    <w:p>
      <w:pPr>
        <w:spacing w:after="0" w:line="183" w:lineRule="exact"/>
        <w:rPr>
          <w:sz w:val="20"/>
          <w:szCs w:val="20"/>
          <w:color w:val="auto"/>
        </w:rPr>
      </w:pPr>
    </w:p>
    <w:p>
      <w:pPr>
        <w:jc w:val="both"/>
        <w:spacing w:after="0" w:line="262" w:lineRule="auto"/>
        <w:rPr>
          <w:rFonts w:ascii="Arial" w:cs="Arial" w:eastAsia="Arial" w:hAnsi="Arial"/>
          <w:sz w:val="18"/>
          <w:szCs w:val="18"/>
          <w:color w:val="auto"/>
        </w:rPr>
      </w:pPr>
      <w:r>
        <w:rPr>
          <w:rFonts w:ascii="Arial" w:cs="Arial" w:eastAsia="Arial" w:hAnsi="Arial"/>
          <w:sz w:val="18"/>
          <w:szCs w:val="18"/>
          <w:color w:val="auto"/>
        </w:rPr>
        <w:t>The segment financial information provided below has been derived from information used by management to monitor and manage Busey’s financial performance. The accounting policies of Busey’s operating segments are the same as those described in the summary of significant accounting policies in “</w:t>
      </w:r>
      <w:hyperlink r:id="rId92">
        <w:r>
          <w:rPr>
            <w:rFonts w:ascii="Arial" w:cs="Arial" w:eastAsia="Arial" w:hAnsi="Arial"/>
            <w:sz w:val="18"/>
            <w:szCs w:val="18"/>
            <w:i w:val="1"/>
            <w:iCs w:val="1"/>
            <w:u w:val="single" w:color="auto"/>
            <w:color w:val="0000FF"/>
          </w:rPr>
          <w:t>Note 1. Significant Accounting Policies</w:t>
        </w:r>
      </w:hyperlink>
      <w:r>
        <w:rPr>
          <w:rFonts w:ascii="Arial" w:cs="Arial" w:eastAsia="Arial" w:hAnsi="Arial"/>
          <w:sz w:val="18"/>
          <w:szCs w:val="18"/>
          <w:color w:val="auto"/>
        </w:rPr>
        <w:t xml:space="preserve">” of </w:t>
      </w:r>
      <w:hyperlink r:id="rId93">
        <w:r>
          <w:rPr>
            <w:rFonts w:ascii="Arial" w:cs="Arial" w:eastAsia="Arial" w:hAnsi="Arial"/>
            <w:sz w:val="18"/>
            <w:szCs w:val="18"/>
            <w:u w:val="single" w:color="auto"/>
            <w:color w:val="0000FF"/>
          </w:rPr>
          <w:t>Busey’s 2024 Annual Report</w:t>
        </w:r>
      </w:hyperlink>
      <w:r>
        <w:rPr>
          <w:rFonts w:ascii="Arial" w:cs="Arial" w:eastAsia="Arial" w:hAnsi="Arial"/>
          <w:sz w:val="18"/>
          <w:szCs w:val="18"/>
          <w:color w:val="auto"/>
        </w:rPr>
        <w:t>. Busey accounts for intersegment revenue and transfers at current market prices.</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Goodwill and total assets are summarized below by operating segment. The “other” category included in the tables below consists of the parent company and the elimination of intercompany transactions: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As of June 30, 2025</w:t>
            </w: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Banking</w:t>
            </w:r>
          </w:p>
        </w:tc>
        <w:tc>
          <w:tcPr>
            <w:tcW w:w="100" w:type="dxa"/>
            <w:vAlign w:val="bottom"/>
            <w:gridSpan w:val="2"/>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39"/>
              <w:spacing w:after="0" w:line="142" w:lineRule="exact"/>
              <w:rPr>
                <w:sz w:val="20"/>
                <w:szCs w:val="20"/>
                <w:color w:val="auto"/>
              </w:rPr>
            </w:pPr>
            <w:r>
              <w:rPr>
                <w:rFonts w:ascii="Arial" w:cs="Arial" w:eastAsia="Arial" w:hAnsi="Arial"/>
                <w:sz w:val="14"/>
                <w:szCs w:val="14"/>
                <w:b w:val="1"/>
                <w:bCs w:val="1"/>
                <w:color w:val="auto"/>
              </w:rPr>
              <w:t>Wealth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center"/>
              <w:ind w:right="176"/>
              <w:spacing w:after="0"/>
              <w:rPr>
                <w:sz w:val="20"/>
                <w:szCs w:val="20"/>
                <w:color w:val="auto"/>
              </w:rPr>
            </w:pPr>
            <w:r>
              <w:rPr>
                <w:rFonts w:ascii="Arial" w:cs="Arial" w:eastAsia="Arial" w:hAnsi="Arial"/>
                <w:sz w:val="14"/>
                <w:szCs w:val="14"/>
                <w:b w:val="1"/>
                <w:bCs w:val="1"/>
                <w:color w:val="auto"/>
              </w:rPr>
              <w:t>FirsTech</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40" w:type="dxa"/>
            <w:vAlign w:val="bottom"/>
            <w:tcBorders>
              <w:bottom w:val="single" w:sz="8" w:color="E0E7ED"/>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Management</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E0E7ED"/>
            </w:tcBorders>
            <w:gridSpan w:val="2"/>
            <w:shd w:val="clear" w:color="auto" w:fill="E0E7ED"/>
          </w:tcPr>
          <w:p>
            <w:pPr>
              <w:jc w:val="right"/>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358,694</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gridSpan w:val="2"/>
            <w:shd w:val="clear" w:color="auto" w:fill="E0E7ED"/>
          </w:tcPr>
          <w:p>
            <w:pPr>
              <w:jc w:val="right"/>
              <w:ind w:right="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14,108</w:t>
            </w:r>
          </w:p>
        </w:tc>
        <w:tc>
          <w:tcPr>
            <w:tcW w:w="420" w:type="dxa"/>
            <w:vAlign w:val="bottom"/>
            <w:tcBorders>
              <w:bottom w:val="single" w:sz="8" w:color="E0E7ED"/>
            </w:tcBorders>
            <w:gridSpan w:val="5"/>
            <w:shd w:val="clear" w:color="auto" w:fill="E0E7ED"/>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gridSpan w:val="2"/>
            <w:shd w:val="clear" w:color="auto" w:fill="E0E7ED"/>
          </w:tcPr>
          <w:p>
            <w:pPr>
              <w:jc w:val="right"/>
              <w:ind w:right="20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381,794</w:t>
            </w:r>
          </w:p>
        </w:tc>
        <w:tc>
          <w:tcPr>
            <w:tcW w:w="0" w:type="dxa"/>
            <w:vAlign w:val="bottom"/>
          </w:tcPr>
          <w:p>
            <w:pPr>
              <w:spacing w:after="0"/>
              <w:rPr>
                <w:sz w:val="1"/>
                <w:szCs w:val="1"/>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18,708,690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137,756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18,918,740</w:t>
            </w:r>
          </w:p>
        </w:tc>
        <w:tc>
          <w:tcPr>
            <w:tcW w:w="0" w:type="dxa"/>
            <w:vAlign w:val="bottom"/>
          </w:tcPr>
          <w:p>
            <w:pPr>
              <w:spacing w:after="0"/>
              <w:rPr>
                <w:sz w:val="1"/>
                <w:szCs w:val="1"/>
                <w:color w:val="auto"/>
              </w:rPr>
            </w:pPr>
          </w:p>
        </w:tc>
      </w:tr>
      <w:tr>
        <w:trPr>
          <w:trHeight w:val="509"/>
        </w:trPr>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9"/>
          </w:tcPr>
          <w:p>
            <w:pPr>
              <w:jc w:val="center"/>
              <w:ind w:right="220"/>
              <w:spacing w:after="0"/>
              <w:rPr>
                <w:sz w:val="20"/>
                <w:szCs w:val="20"/>
                <w:color w:val="auto"/>
              </w:rPr>
            </w:pPr>
            <w:r>
              <w:rPr>
                <w:rFonts w:ascii="Arial" w:cs="Arial" w:eastAsia="Arial" w:hAnsi="Arial"/>
                <w:sz w:val="14"/>
                <w:szCs w:val="14"/>
                <w:b w:val="1"/>
                <w:bCs w:val="1"/>
                <w:color w:val="auto"/>
              </w:rPr>
              <w:t>As of 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Banking</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Wealth</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vMerge w:val="restart"/>
          </w:tcPr>
          <w:p>
            <w:pPr>
              <w:jc w:val="center"/>
              <w:ind w:right="156"/>
              <w:spacing w:after="0"/>
              <w:rPr>
                <w:sz w:val="20"/>
                <w:szCs w:val="20"/>
                <w:color w:val="auto"/>
              </w:rPr>
            </w:pPr>
            <w:r>
              <w:rPr>
                <w:rFonts w:ascii="Arial" w:cs="Arial" w:eastAsia="Arial" w:hAnsi="Arial"/>
                <w:sz w:val="14"/>
                <w:szCs w:val="14"/>
                <w:b w:val="1"/>
                <w:bCs w:val="1"/>
                <w:color w:val="auto"/>
                <w:w w:val="99"/>
              </w:rPr>
              <w:t>FirsTech</w:t>
            </w:r>
          </w:p>
        </w:tc>
        <w:tc>
          <w:tcPr>
            <w:tcW w:w="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40" w:type="dxa"/>
            <w:vAlign w:val="bottom"/>
            <w:tcBorders>
              <w:bottom w:val="single" w:sz="8" w:color="E0E7ED"/>
            </w:tcBorders>
            <w:vMerge w:val="continue"/>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Management</w:t>
            </w: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vMerge w:val="continue"/>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310,595</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gridSpan w:val="2"/>
            <w:shd w:val="clear" w:color="auto" w:fill="E0E7ED"/>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14,108</w:t>
            </w:r>
          </w:p>
        </w:tc>
        <w:tc>
          <w:tcPr>
            <w:tcW w:w="420" w:type="dxa"/>
            <w:vAlign w:val="bottom"/>
            <w:tcBorders>
              <w:bottom w:val="single" w:sz="8" w:color="E0E7ED"/>
            </w:tcBorders>
            <w:gridSpan w:val="5"/>
            <w:shd w:val="clear" w:color="auto" w:fill="E0E7ED"/>
          </w:tcPr>
          <w:p>
            <w:pPr>
              <w:jc w:val="right"/>
              <w:ind w:right="4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8,992</w:t>
            </w:r>
          </w:p>
        </w:tc>
        <w:tc>
          <w:tcPr>
            <w:tcW w:w="8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333,695</w:t>
            </w:r>
          </w:p>
        </w:tc>
        <w:tc>
          <w:tcPr>
            <w:tcW w:w="0" w:type="dxa"/>
            <w:vAlign w:val="bottom"/>
          </w:tcPr>
          <w:p>
            <w:pPr>
              <w:spacing w:after="0"/>
              <w:rPr>
                <w:sz w:val="1"/>
                <w:szCs w:val="1"/>
                <w:color w:val="auto"/>
              </w:rPr>
            </w:pPr>
          </w:p>
        </w:tc>
      </w:tr>
      <w:tr>
        <w:trPr>
          <w:trHeight w:val="247"/>
        </w:trPr>
        <w:tc>
          <w:tcPr>
            <w:tcW w:w="40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11,856,651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126,180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57,737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12,046,722</w:t>
            </w:r>
          </w:p>
        </w:tc>
        <w:tc>
          <w:tcPr>
            <w:tcW w:w="0" w:type="dxa"/>
            <w:vAlign w:val="bottom"/>
          </w:tcPr>
          <w:p>
            <w:pPr>
              <w:spacing w:after="0"/>
              <w:rPr>
                <w:sz w:val="1"/>
                <w:szCs w:val="1"/>
                <w:color w:val="auto"/>
              </w:rPr>
            </w:pPr>
          </w:p>
        </w:tc>
      </w:tr>
    </w:tbl>
    <w:p>
      <w:pPr>
        <w:spacing w:after="0" w:line="31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Financial results by operating segment, including significant expense categories provided to the chief operating decision maker, are summarized below:</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2025</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Banking</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Wealth</w:t>
            </w:r>
          </w:p>
        </w:tc>
        <w:tc>
          <w:tcPr>
            <w:tcW w:w="240" w:type="dxa"/>
            <w:vAlign w:val="bottom"/>
          </w:tcPr>
          <w:p>
            <w:pPr>
              <w:spacing w:after="0"/>
              <w:rPr>
                <w:sz w:val="12"/>
                <w:szCs w:val="12"/>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FirsTech</w:t>
            </w:r>
          </w:p>
        </w:tc>
        <w:tc>
          <w:tcPr>
            <w:tcW w:w="10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Management</w:t>
            </w:r>
          </w:p>
        </w:tc>
        <w:tc>
          <w:tcPr>
            <w:tcW w:w="10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247,444</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0E7ED"/>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247,446</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income</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90,247</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3"/>
                <w:szCs w:val="23"/>
                <w:color w:val="auto"/>
              </w:rPr>
            </w:pP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4,016</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94,263</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156,331</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E0E7ED"/>
          </w:tcPr>
          <w:p>
            <w:pPr>
              <w:spacing w:after="0"/>
              <w:rPr>
                <w:sz w:val="22"/>
                <w:szCs w:val="22"/>
                <w:color w:val="auto"/>
              </w:rPr>
            </w:pPr>
          </w:p>
        </w:tc>
        <w:tc>
          <w:tcPr>
            <w:tcW w:w="460" w:type="dxa"/>
            <w:vAlign w:val="bottom"/>
            <w:shd w:val="clear" w:color="auto" w:fill="E0E7ED"/>
          </w:tcPr>
          <w:p>
            <w:pPr>
              <w:spacing w:after="0"/>
              <w:rPr>
                <w:sz w:val="22"/>
                <w:szCs w:val="22"/>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(3,165)</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153,183</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Net interest income after provision for credit</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60" w:type="dxa"/>
            <w:vAlign w:val="bottom"/>
            <w:shd w:val="clear" w:color="auto" w:fill="E0E7ED"/>
          </w:tcPr>
          <w:p>
            <w:pPr>
              <w:spacing w:after="0"/>
              <w:rPr>
                <w:sz w:val="17"/>
                <w:szCs w:val="17"/>
                <w:color w:val="auto"/>
              </w:rPr>
            </w:pPr>
          </w:p>
        </w:tc>
        <w:tc>
          <w:tcPr>
            <w:tcW w:w="9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losses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150,631</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E0E7ED"/>
            </w:tcBorders>
            <w:shd w:val="clear" w:color="auto" w:fill="E0E7ED"/>
          </w:tcPr>
          <w:p>
            <w:pPr>
              <w:spacing w:after="0"/>
              <w:rPr>
                <w:sz w:val="22"/>
                <w:szCs w:val="22"/>
                <w:color w:val="auto"/>
              </w:rPr>
            </w:pPr>
          </w:p>
        </w:tc>
        <w:tc>
          <w:tcPr>
            <w:tcW w:w="460" w:type="dxa"/>
            <w:vAlign w:val="bottom"/>
            <w:tcBorders>
              <w:bottom w:val="single" w:sz="8" w:color="E0E7ED"/>
            </w:tcBorders>
            <w:shd w:val="clear" w:color="auto" w:fill="E0E7ED"/>
          </w:tcPr>
          <w:p>
            <w:pPr>
              <w:spacing w:after="0"/>
              <w:rPr>
                <w:sz w:val="22"/>
                <w:szCs w:val="22"/>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(3,165)</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147,483</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Wealth management fees</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16,777</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Payment technology solutions</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4,956</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4,981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All other noninterest income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5,556</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0E7ED"/>
            </w:tcBorders>
            <w:shd w:val="clear" w:color="auto" w:fill="E0E7ED"/>
          </w:tcPr>
          <w:p>
            <w:pPr>
              <w:spacing w:after="0"/>
              <w:rPr>
                <w:sz w:val="21"/>
                <w:szCs w:val="21"/>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5,991</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11,756</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Intersegment noninterest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17,246</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16,986</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5,385</w:t>
            </w:r>
          </w:p>
        </w:tc>
        <w:tc>
          <w:tcPr>
            <w:tcW w:w="100" w:type="dxa"/>
            <w:vAlign w:val="bottom"/>
            <w:tcBorders>
              <w:bottom w:val="single" w:sz="8" w:color="E0E7ED"/>
            </w:tcBorders>
            <w:shd w:val="clear" w:color="auto" w:fill="E0E7ED"/>
          </w:tcPr>
          <w:p>
            <w:pPr>
              <w:spacing w:after="0"/>
              <w:rPr>
                <w:sz w:val="22"/>
                <w:szCs w:val="22"/>
                <w:color w:val="auto"/>
              </w:rPr>
            </w:pPr>
          </w:p>
        </w:tc>
        <w:tc>
          <w:tcPr>
            <w:tcW w:w="460" w:type="dxa"/>
            <w:vAlign w:val="bottom"/>
            <w:tcBorders>
              <w:bottom w:val="single" w:sz="8" w:color="E0E7ED"/>
            </w:tcBorders>
            <w:shd w:val="clear" w:color="auto" w:fill="E0E7ED"/>
          </w:tcPr>
          <w:p>
            <w:pPr>
              <w:spacing w:after="0"/>
              <w:rPr>
                <w:sz w:val="22"/>
                <w:szCs w:val="22"/>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5,246</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44,863</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173,577</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16,986</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5,402</w:t>
            </w: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2,081</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198,046</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78,360</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12,381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922</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14,021</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4,592</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Interchange expense</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1,297</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All other noninterest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29,563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Intersegment noninterest expense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5,156</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E0E7ED"/>
            </w:tcBorders>
            <w:shd w:val="clear" w:color="auto" w:fill="E0E7ED"/>
          </w:tcPr>
          <w:p>
            <w:pPr>
              <w:spacing w:after="0"/>
              <w:rPr>
                <w:sz w:val="23"/>
                <w:szCs w:val="23"/>
                <w:color w:val="auto"/>
              </w:rPr>
            </w:pPr>
          </w:p>
        </w:tc>
        <w:tc>
          <w:tcPr>
            <w:tcW w:w="460" w:type="dxa"/>
            <w:vAlign w:val="bottom"/>
            <w:tcBorders>
              <w:bottom w:val="single" w:sz="8" w:color="E0E7ED"/>
            </w:tcBorders>
            <w:shd w:val="clear" w:color="auto" w:fill="E0E7ED"/>
          </w:tcPr>
          <w:p>
            <w:pPr>
              <w:spacing w:after="0"/>
              <w:rPr>
                <w:sz w:val="23"/>
                <w:szCs w:val="23"/>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(6,294)</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06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105,310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7,051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127,833</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60" w:type="dxa"/>
            <w:vAlign w:val="bottom"/>
            <w:shd w:val="clear" w:color="auto" w:fill="E0E7ED"/>
          </w:tcPr>
          <w:p>
            <w:pPr>
              <w:spacing w:after="0"/>
              <w:rPr>
                <w:sz w:val="20"/>
                <w:szCs w:val="20"/>
                <w:color w:val="auto"/>
              </w:rPr>
            </w:pPr>
          </w:p>
        </w:tc>
        <w:tc>
          <w:tcPr>
            <w:tcW w:w="9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0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64,513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16,729</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E0E7ED"/>
            </w:tcBorders>
            <w:shd w:val="clear" w:color="auto" w:fill="E0E7ED"/>
          </w:tcPr>
          <w:p>
            <w:pPr>
              <w:spacing w:after="0"/>
              <w:rPr>
                <w:sz w:val="23"/>
                <w:szCs w:val="23"/>
                <w:color w:val="auto"/>
              </w:rPr>
            </w:pPr>
          </w:p>
        </w:tc>
        <w:tc>
          <w:tcPr>
            <w:tcW w:w="460" w:type="dxa"/>
            <w:vAlign w:val="bottom"/>
            <w:tcBorders>
              <w:bottom w:val="single" w:sz="8" w:color="E0E7ED"/>
            </w:tcBorders>
            <w:shd w:val="clear" w:color="auto" w:fill="E0E7ED"/>
          </w:tcPr>
          <w:p>
            <w:pPr>
              <w:spacing w:after="0"/>
              <w:rPr>
                <w:sz w:val="23"/>
                <w:szCs w:val="23"/>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17,109</w:t>
            </w:r>
          </w:p>
        </w:tc>
        <w:tc>
          <w:tcPr>
            <w:tcW w:w="0" w:type="dxa"/>
            <w:vAlign w:val="bottom"/>
          </w:tcPr>
          <w:p>
            <w:pPr>
              <w:spacing w:after="0"/>
              <w:rPr>
                <w:sz w:val="1"/>
                <w:szCs w:val="1"/>
                <w:color w:val="auto"/>
              </w:rPr>
            </w:pPr>
          </w:p>
        </w:tc>
      </w:tr>
      <w:tr>
        <w:trPr>
          <w:trHeight w:val="264"/>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45,838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June 30, 2024</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Banking</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Wealth</w:t>
            </w:r>
          </w:p>
        </w:tc>
        <w:tc>
          <w:tcPr>
            <w:tcW w:w="240" w:type="dxa"/>
            <w:vAlign w:val="bottom"/>
          </w:tcPr>
          <w:p>
            <w:pPr>
              <w:spacing w:after="0"/>
              <w:rPr>
                <w:sz w:val="12"/>
                <w:szCs w:val="12"/>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FirsTech</w:t>
            </w:r>
          </w:p>
        </w:tc>
        <w:tc>
          <w:tcPr>
            <w:tcW w:w="10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Management</w:t>
            </w:r>
          </w:p>
        </w:tc>
        <w:tc>
          <w:tcPr>
            <w:tcW w:w="10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131,928</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0E7ED"/>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131,939</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45,126</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3"/>
                <w:szCs w:val="23"/>
                <w:color w:val="auto"/>
              </w:rPr>
            </w:pP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4,281</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49,407</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86,341</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E0E7ED"/>
          </w:tcPr>
          <w:p>
            <w:pPr>
              <w:spacing w:after="0"/>
              <w:rPr>
                <w:sz w:val="22"/>
                <w:szCs w:val="22"/>
                <w:color w:val="auto"/>
              </w:rPr>
            </w:pPr>
          </w:p>
        </w:tc>
        <w:tc>
          <w:tcPr>
            <w:tcW w:w="460" w:type="dxa"/>
            <w:vAlign w:val="bottom"/>
            <w:shd w:val="clear" w:color="auto" w:fill="E0E7ED"/>
          </w:tcPr>
          <w:p>
            <w:pPr>
              <w:spacing w:after="0"/>
              <w:rPr>
                <w:sz w:val="22"/>
                <w:szCs w:val="22"/>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(3,821)</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82,532</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Net interest income after provision for credit</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60" w:type="dxa"/>
            <w:vAlign w:val="bottom"/>
            <w:shd w:val="clear" w:color="auto" w:fill="E0E7ED"/>
          </w:tcPr>
          <w:p>
            <w:pPr>
              <w:spacing w:after="0"/>
              <w:rPr>
                <w:sz w:val="17"/>
                <w:szCs w:val="17"/>
                <w:color w:val="auto"/>
              </w:rPr>
            </w:pPr>
          </w:p>
        </w:tc>
        <w:tc>
          <w:tcPr>
            <w:tcW w:w="9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losses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84,433</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E0E7ED"/>
            </w:tcBorders>
            <w:shd w:val="clear" w:color="auto" w:fill="E0E7ED"/>
          </w:tcPr>
          <w:p>
            <w:pPr>
              <w:spacing w:after="0"/>
              <w:rPr>
                <w:sz w:val="22"/>
                <w:szCs w:val="22"/>
                <w:color w:val="auto"/>
              </w:rPr>
            </w:pPr>
          </w:p>
        </w:tc>
        <w:tc>
          <w:tcPr>
            <w:tcW w:w="460" w:type="dxa"/>
            <w:vAlign w:val="bottom"/>
            <w:tcBorders>
              <w:bottom w:val="single" w:sz="8" w:color="E0E7ED"/>
            </w:tcBorders>
            <w:shd w:val="clear" w:color="auto" w:fill="E0E7ED"/>
          </w:tcPr>
          <w:p>
            <w:pPr>
              <w:spacing w:after="0"/>
              <w:rPr>
                <w:sz w:val="22"/>
                <w:szCs w:val="22"/>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(3,821)</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80,624</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Wealth management fees</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15,917</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Payment technology solutions</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All other noninterest income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E0E7ED"/>
            </w:tcBorders>
            <w:shd w:val="clear" w:color="auto" w:fill="E0E7ED"/>
          </w:tcPr>
          <w:p>
            <w:pPr>
              <w:spacing w:after="0"/>
              <w:rPr>
                <w:sz w:val="21"/>
                <w:szCs w:val="21"/>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3,975</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Intersegment noninterest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12,335</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6,179</w:t>
            </w:r>
          </w:p>
        </w:tc>
        <w:tc>
          <w:tcPr>
            <w:tcW w:w="100" w:type="dxa"/>
            <w:vAlign w:val="bottom"/>
            <w:tcBorders>
              <w:bottom w:val="single" w:sz="8" w:color="E0E7ED"/>
            </w:tcBorders>
            <w:shd w:val="clear" w:color="auto" w:fill="E0E7ED"/>
          </w:tcPr>
          <w:p>
            <w:pPr>
              <w:spacing w:after="0"/>
              <w:rPr>
                <w:sz w:val="22"/>
                <w:szCs w:val="22"/>
                <w:color w:val="auto"/>
              </w:rPr>
            </w:pPr>
          </w:p>
        </w:tc>
        <w:tc>
          <w:tcPr>
            <w:tcW w:w="460" w:type="dxa"/>
            <w:vAlign w:val="bottom"/>
            <w:tcBorders>
              <w:bottom w:val="single" w:sz="8" w:color="E0E7ED"/>
            </w:tcBorders>
            <w:shd w:val="clear" w:color="auto" w:fill="E0E7ED"/>
          </w:tcPr>
          <w:p>
            <w:pPr>
              <w:spacing w:after="0"/>
              <w:rPr>
                <w:sz w:val="22"/>
                <w:szCs w:val="22"/>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33,703</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98,676</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16,108</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6,191</w:t>
            </w: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116,235</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60" w:type="dxa"/>
            <w:vAlign w:val="bottom"/>
            <w:shd w:val="clear" w:color="auto" w:fill="E0E7ED"/>
          </w:tcPr>
          <w:p>
            <w:pPr>
              <w:spacing w:after="0"/>
              <w:rPr>
                <w:sz w:val="23"/>
                <w:szCs w:val="23"/>
                <w:color w:val="auto"/>
              </w:rPr>
            </w:pPr>
          </w:p>
        </w:tc>
        <w:tc>
          <w:tcPr>
            <w:tcW w:w="9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43,478</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5,411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7,100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Interchange expense</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1,733</w:t>
            </w:r>
          </w:p>
        </w:tc>
        <w:tc>
          <w:tcPr>
            <w:tcW w:w="100" w:type="dxa"/>
            <w:vAlign w:val="bottom"/>
            <w:tcBorders>
              <w:bottom w:val="single" w:sz="8" w:color="E0E7ED"/>
            </w:tcBorders>
            <w:shd w:val="clear" w:color="auto" w:fill="E0E7ED"/>
          </w:tcPr>
          <w:p>
            <w:pPr>
              <w:spacing w:after="0"/>
              <w:rPr>
                <w:sz w:val="21"/>
                <w:szCs w:val="21"/>
                <w:color w:val="auto"/>
              </w:rPr>
            </w:pPr>
          </w:p>
        </w:tc>
        <w:tc>
          <w:tcPr>
            <w:tcW w:w="46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All other noninterest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20,966</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Intersegment noninterest expense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E0E7ED"/>
            </w:tcBorders>
            <w:shd w:val="clear" w:color="auto" w:fill="E0E7ED"/>
          </w:tcPr>
          <w:p>
            <w:pPr>
              <w:spacing w:after="0"/>
              <w:rPr>
                <w:sz w:val="23"/>
                <w:szCs w:val="23"/>
                <w:color w:val="auto"/>
              </w:rPr>
            </w:pPr>
          </w:p>
        </w:tc>
        <w:tc>
          <w:tcPr>
            <w:tcW w:w="460" w:type="dxa"/>
            <w:vAlign w:val="bottom"/>
            <w:tcBorders>
              <w:bottom w:val="single" w:sz="8" w:color="E0E7ED"/>
            </w:tcBorders>
            <w:shd w:val="clear" w:color="auto" w:fill="E0E7ED"/>
          </w:tcPr>
          <w:p>
            <w:pPr>
              <w:spacing w:after="0"/>
              <w:rPr>
                <w:sz w:val="23"/>
                <w:szCs w:val="23"/>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06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6,153</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75,906</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8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460" w:type="dxa"/>
            <w:vAlign w:val="bottom"/>
            <w:shd w:val="clear" w:color="auto" w:fill="E0E7ED"/>
          </w:tcPr>
          <w:p>
            <w:pPr>
              <w:spacing w:after="0"/>
              <w:rPr>
                <w:sz w:val="20"/>
                <w:szCs w:val="20"/>
                <w:color w:val="auto"/>
              </w:rPr>
            </w:pPr>
          </w:p>
        </w:tc>
        <w:tc>
          <w:tcPr>
            <w:tcW w:w="9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04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38,421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11,105</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E0E7ED"/>
            </w:tcBorders>
            <w:shd w:val="clear" w:color="auto" w:fill="E0E7ED"/>
          </w:tcPr>
          <w:p>
            <w:pPr>
              <w:spacing w:after="0"/>
              <w:rPr>
                <w:sz w:val="23"/>
                <w:szCs w:val="23"/>
                <w:color w:val="auto"/>
              </w:rPr>
            </w:pPr>
          </w:p>
        </w:tc>
        <w:tc>
          <w:tcPr>
            <w:tcW w:w="460" w:type="dxa"/>
            <w:vAlign w:val="bottom"/>
            <w:tcBorders>
              <w:bottom w:val="single" w:sz="8" w:color="E0E7ED"/>
            </w:tcBorders>
            <w:shd w:val="clear" w:color="auto" w:fill="E0E7ED"/>
          </w:tcPr>
          <w:p>
            <w:pPr>
              <w:spacing w:after="0"/>
              <w:rPr>
                <w:sz w:val="23"/>
                <w:szCs w:val="23"/>
                <w:color w:val="auto"/>
              </w:rPr>
            </w:pPr>
          </w:p>
        </w:tc>
        <w:tc>
          <w:tcPr>
            <w:tcW w:w="9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11,064</w:t>
            </w:r>
          </w:p>
        </w:tc>
        <w:tc>
          <w:tcPr>
            <w:tcW w:w="0" w:type="dxa"/>
            <w:vAlign w:val="bottom"/>
          </w:tcPr>
          <w:p>
            <w:pPr>
              <w:spacing w:after="0"/>
              <w:rPr>
                <w:sz w:val="1"/>
                <w:szCs w:val="1"/>
                <w:color w:val="auto"/>
              </w:rPr>
            </w:pPr>
          </w:p>
        </w:tc>
      </w:tr>
      <w:tr>
        <w:trPr>
          <w:trHeight w:val="264"/>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2025</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Banking</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Wealth</w:t>
            </w:r>
          </w:p>
        </w:tc>
        <w:tc>
          <w:tcPr>
            <w:tcW w:w="240" w:type="dxa"/>
            <w:vAlign w:val="bottom"/>
          </w:tcPr>
          <w:p>
            <w:pPr>
              <w:spacing w:after="0"/>
              <w:rPr>
                <w:sz w:val="12"/>
                <w:szCs w:val="12"/>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FirsTech</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Management</w:t>
            </w:r>
          </w:p>
        </w:tc>
        <w:tc>
          <w:tcPr>
            <w:tcW w:w="10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414,256</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414,261</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income</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148,764</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3"/>
                <w:szCs w:val="23"/>
                <w:color w:val="auto"/>
              </w:rPr>
            </w:pP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8,583</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157,347</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264,135</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(7,251)</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256,914</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51,293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51,293</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Net interest income after provision for credit</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losses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212,842</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(7,251)</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205,621</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Wealth management fees</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34,141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Payment technology solutions</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10,029</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10,029</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7,998</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8,589</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8,589</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All other noninterest income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(3,823)</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2,283</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Intersegment noninterest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16,478</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34,552</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10,801</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4,255</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280,613</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34,552</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(2,996)</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323,000</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22,481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145,923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20,330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1,215</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1,859</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23,596</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Interchange expense</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All other noninterest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45,987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60,029</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Intersegment noninterest expense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shd w:val="clear" w:color="auto" w:fill="E0E7ED"/>
          </w:tcPr>
          <w:p>
            <w:pPr>
              <w:spacing w:after="0"/>
              <w:rPr>
                <w:sz w:val="23"/>
                <w:szCs w:val="23"/>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(12,108)</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06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18,707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21,945</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239,863</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(24,941)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31,844</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15,859</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3,803</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shd w:val="clear" w:color="auto" w:fill="E0E7ED"/>
          </w:tcPr>
          <w:p>
            <w:pPr>
              <w:spacing w:after="0"/>
              <w:rPr>
                <w:sz w:val="23"/>
                <w:szCs w:val="23"/>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(4,951)</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14,430</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Six Months Ended June 30, 2024</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1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Banking</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60"/>
              <w:spacing w:after="0" w:line="142" w:lineRule="exact"/>
              <w:rPr>
                <w:sz w:val="20"/>
                <w:szCs w:val="20"/>
                <w:color w:val="auto"/>
              </w:rPr>
            </w:pPr>
            <w:r>
              <w:rPr>
                <w:rFonts w:ascii="Arial" w:cs="Arial" w:eastAsia="Arial" w:hAnsi="Arial"/>
                <w:sz w:val="14"/>
                <w:szCs w:val="14"/>
                <w:b w:val="1"/>
                <w:bCs w:val="1"/>
                <w:color w:val="auto"/>
              </w:rPr>
              <w:t>Wealth</w:t>
            </w:r>
          </w:p>
        </w:tc>
        <w:tc>
          <w:tcPr>
            <w:tcW w:w="240" w:type="dxa"/>
            <w:vAlign w:val="bottom"/>
          </w:tcPr>
          <w:p>
            <w:pPr>
              <w:spacing w:after="0"/>
              <w:rPr>
                <w:sz w:val="12"/>
                <w:szCs w:val="12"/>
                <w:color w:val="auto"/>
              </w:rPr>
            </w:pPr>
          </w:p>
        </w:tc>
        <w:tc>
          <w:tcPr>
            <w:tcW w:w="110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FirsTech</w:t>
            </w:r>
          </w:p>
        </w:tc>
        <w:tc>
          <w:tcPr>
            <w:tcW w:w="100" w:type="dxa"/>
            <w:vAlign w:val="bottom"/>
            <w:vMerge w:val="restart"/>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Other</w:t>
            </w:r>
          </w:p>
        </w:tc>
        <w:tc>
          <w:tcPr>
            <w:tcW w:w="10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40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Management</w:t>
            </w:r>
          </w:p>
        </w:tc>
        <w:tc>
          <w:tcPr>
            <w:tcW w:w="100" w:type="dxa"/>
            <w:vAlign w:val="bottom"/>
            <w:tcBorders>
              <w:bottom w:val="single" w:sz="8" w:color="E0E7ED"/>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income</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257,738</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257,759</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90,449</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3"/>
                <w:szCs w:val="23"/>
                <w:color w:val="auto"/>
              </w:rPr>
            </w:pPr>
          </w:p>
        </w:tc>
        <w:tc>
          <w:tcPr>
            <w:tcW w:w="120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8,924</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99,373</w:t>
            </w: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Intersegment 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165,961</w:t>
            </w: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280" w:type="dxa"/>
            <w:vAlign w:val="bottom"/>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0E7ED"/>
          </w:tcPr>
          <w:p>
            <w:pPr>
              <w:spacing w:after="0"/>
              <w:rPr>
                <w:sz w:val="22"/>
                <w:szCs w:val="22"/>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(7,600)</w:t>
            </w: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158,386</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06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color w:val="auto"/>
              </w:rPr>
              <w:t>Net interest income after provision for credit</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9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losses</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159,693</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(7,600)</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152,118</w:t>
            </w:r>
          </w:p>
        </w:tc>
        <w:tc>
          <w:tcPr>
            <w:tcW w:w="0" w:type="dxa"/>
            <w:vAlign w:val="bottom"/>
          </w:tcPr>
          <w:p>
            <w:pPr>
              <w:spacing w:after="0"/>
              <w:rPr>
                <w:sz w:val="1"/>
                <w:szCs w:val="1"/>
                <w:color w:val="auto"/>
              </w:rPr>
            </w:pPr>
          </w:p>
        </w:tc>
      </w:tr>
      <w:tr>
        <w:trPr>
          <w:trHeight w:val="237"/>
        </w:trPr>
        <w:tc>
          <w:tcPr>
            <w:tcW w:w="40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Wealth management fees</w:t>
            </w:r>
          </w:p>
        </w:tc>
        <w:tc>
          <w:tcPr>
            <w:tcW w:w="2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31,466</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Payment technology solutions</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11,624</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All other noninterest income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10,421</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Intersegment noninterest income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Noninterest income</w:t>
            </w:r>
          </w:p>
        </w:tc>
        <w:tc>
          <w:tcPr>
            <w:tcW w:w="26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25,720</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31,820</w:t>
            </w:r>
          </w:p>
        </w:tc>
        <w:tc>
          <w:tcPr>
            <w:tcW w:w="1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E0E7ED"/>
            </w:tcBorders>
            <w:shd w:val="clear" w:color="auto" w:fill="E0E7ED"/>
          </w:tcPr>
          <w:p>
            <w:pPr>
              <w:spacing w:after="0"/>
              <w:rPr>
                <w:sz w:val="22"/>
                <w:szCs w:val="22"/>
                <w:color w:val="auto"/>
              </w:rPr>
            </w:pPr>
          </w:p>
        </w:tc>
        <w:tc>
          <w:tcPr>
            <w:tcW w:w="420" w:type="dxa"/>
            <w:vAlign w:val="bottom"/>
            <w:tcBorders>
              <w:bottom w:val="single" w:sz="8" w:color="E0E7ED"/>
            </w:tcBorders>
            <w:shd w:val="clear" w:color="auto" w:fill="E0E7ED"/>
          </w:tcPr>
          <w:p>
            <w:pPr>
              <w:spacing w:after="0"/>
              <w:rPr>
                <w:sz w:val="22"/>
                <w:szCs w:val="22"/>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50"/>
        </w:trPr>
        <w:tc>
          <w:tcPr>
            <w:tcW w:w="406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191,681</w:t>
            </w: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31,820</w:t>
            </w: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12,175</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(8,674)</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227,002</w:t>
            </w:r>
          </w:p>
        </w:tc>
        <w:tc>
          <w:tcPr>
            <w:tcW w:w="0" w:type="dxa"/>
            <w:vAlign w:val="bottom"/>
          </w:tcPr>
          <w:p>
            <w:pPr>
              <w:spacing w:after="0"/>
              <w:rPr>
                <w:sz w:val="1"/>
                <w:szCs w:val="1"/>
                <w:color w:val="auto"/>
              </w:rPr>
            </w:pPr>
          </w:p>
        </w:tc>
      </w:tr>
      <w:tr>
        <w:trPr>
          <w:trHeight w:val="270"/>
        </w:trPr>
        <w:tc>
          <w:tcPr>
            <w:tcW w:w="4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9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57,743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13,225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85,568</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10,444</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13,650</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Interchange expense</w:t>
            </w:r>
          </w:p>
        </w:tc>
        <w:tc>
          <w:tcPr>
            <w:tcW w:w="2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3,344</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gridSpan w:val="2"/>
            <w:shd w:val="clear" w:color="auto" w:fill="E0E7ED"/>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47"/>
        </w:trPr>
        <w:tc>
          <w:tcPr>
            <w:tcW w:w="4060" w:type="dxa"/>
            <w:vAlign w:val="bottom"/>
          </w:tcPr>
          <w:p>
            <w:pPr>
              <w:ind w:left="180"/>
              <w:spacing w:after="0"/>
              <w:rPr>
                <w:sz w:val="20"/>
                <w:szCs w:val="20"/>
                <w:color w:val="auto"/>
              </w:rPr>
            </w:pPr>
            <w:r>
              <w:rPr>
                <w:rFonts w:ascii="Arial" w:cs="Arial" w:eastAsia="Arial" w:hAnsi="Arial"/>
                <w:sz w:val="18"/>
                <w:szCs w:val="18"/>
                <w:color w:val="auto"/>
              </w:rPr>
              <w:t>All other noninterest expense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33,681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39,753</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Intersegment noninterest expense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5,726</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shd w:val="clear" w:color="auto" w:fill="E0E7ED"/>
          </w:tcPr>
          <w:p>
            <w:pPr>
              <w:spacing w:after="0"/>
              <w:rPr>
                <w:sz w:val="23"/>
                <w:szCs w:val="23"/>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(7,994)</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0"/>
        </w:trPr>
        <w:tc>
          <w:tcPr>
            <w:tcW w:w="4060" w:type="dxa"/>
            <w:vAlign w:val="bottom"/>
          </w:tcPr>
          <w:p>
            <w:pPr>
              <w:ind w:left="20"/>
              <w:spacing w:after="0"/>
              <w:rPr>
                <w:sz w:val="20"/>
                <w:szCs w:val="20"/>
                <w:color w:val="auto"/>
              </w:rPr>
            </w:pPr>
            <w:r>
              <w:rPr>
                <w:rFonts w:ascii="Arial" w:cs="Arial" w:eastAsia="Arial" w:hAnsi="Arial"/>
                <w:sz w:val="18"/>
                <w:szCs w:val="18"/>
                <w:color w:val="auto"/>
              </w:rPr>
              <w:t>Noninterest expense</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112,031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12,019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147,353</w:t>
            </w:r>
          </w:p>
        </w:tc>
        <w:tc>
          <w:tcPr>
            <w:tcW w:w="0" w:type="dxa"/>
            <w:vAlign w:val="bottom"/>
          </w:tcPr>
          <w:p>
            <w:pPr>
              <w:spacing w:after="0"/>
              <w:rPr>
                <w:sz w:val="1"/>
                <w:szCs w:val="1"/>
                <w:color w:val="auto"/>
              </w:rPr>
            </w:pPr>
          </w:p>
        </w:tc>
      </w:tr>
      <w:tr>
        <w:trPr>
          <w:trHeight w:val="23"/>
        </w:trPr>
        <w:tc>
          <w:tcPr>
            <w:tcW w:w="40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6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420" w:type="dxa"/>
            <w:vAlign w:val="bottom"/>
            <w:shd w:val="clear" w:color="auto" w:fill="E0E7ED"/>
          </w:tcPr>
          <w:p>
            <w:pPr>
              <w:spacing w:after="0"/>
              <w:rPr>
                <w:sz w:val="21"/>
                <w:szCs w:val="21"/>
                <w:color w:val="auto"/>
              </w:rPr>
            </w:pPr>
          </w:p>
        </w:tc>
        <w:tc>
          <w:tcPr>
            <w:tcW w:w="9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40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73,382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73,381</w:t>
            </w: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taxes</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20,193</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3,334</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E0E7ED"/>
            </w:tcBorders>
            <w:shd w:val="clear" w:color="auto" w:fill="E0E7ED"/>
          </w:tcPr>
          <w:p>
            <w:pPr>
              <w:spacing w:after="0"/>
              <w:rPr>
                <w:sz w:val="23"/>
                <w:szCs w:val="23"/>
                <w:color w:val="auto"/>
              </w:rPr>
            </w:pPr>
          </w:p>
        </w:tc>
        <w:tc>
          <w:tcPr>
            <w:tcW w:w="420" w:type="dxa"/>
            <w:vAlign w:val="bottom"/>
            <w:tcBorders>
              <w:bottom w:val="single" w:sz="8" w:color="E0E7ED"/>
            </w:tcBorders>
            <w:shd w:val="clear" w:color="auto" w:fill="E0E7ED"/>
          </w:tcPr>
          <w:p>
            <w:pPr>
              <w:spacing w:after="0"/>
              <w:rPr>
                <w:sz w:val="23"/>
                <w:szCs w:val="23"/>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(3,770)</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63"/>
        </w:trPr>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53,189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00" w:lineRule="exact"/>
        <w:rPr>
          <w:sz w:val="20"/>
          <w:szCs w:val="20"/>
          <w:color w:val="auto"/>
        </w:rPr>
      </w:pPr>
    </w:p>
    <w:p>
      <w:pPr>
        <w:spacing w:after="0" w:line="268" w:lineRule="exact"/>
        <w:rPr>
          <w:sz w:val="20"/>
          <w:szCs w:val="20"/>
          <w:color w:val="auto"/>
        </w:rPr>
      </w:pPr>
    </w:p>
    <w:p>
      <w:pPr>
        <w:ind w:right="40" w:firstLine="35"/>
        <w:spacing w:after="0" w:line="46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(UNAUDITED) SCOPE OF DISCUSSION</w:t>
      </w:r>
    </w:p>
    <w:p>
      <w:pPr>
        <w:spacing w:after="0" w:line="1" w:lineRule="exact"/>
        <w:rPr>
          <w:sz w:val="20"/>
          <w:szCs w:val="20"/>
          <w:color w:val="auto"/>
        </w:rPr>
      </w:pPr>
    </w:p>
    <w:p>
      <w:pPr>
        <w:jc w:val="both"/>
        <w:spacing w:after="0" w:line="262" w:lineRule="auto"/>
        <w:rPr>
          <w:rFonts w:ascii="Arial" w:cs="Arial" w:eastAsia="Arial" w:hAnsi="Arial"/>
          <w:sz w:val="18"/>
          <w:szCs w:val="18"/>
          <w:color w:val="0000FF"/>
        </w:rPr>
      </w:pPr>
      <w:r>
        <w:rPr>
          <w:rFonts w:ascii="Arial" w:cs="Arial" w:eastAsia="Arial" w:hAnsi="Arial"/>
          <w:sz w:val="18"/>
          <w:szCs w:val="18"/>
          <w:color w:val="auto"/>
        </w:rPr>
        <w:t xml:space="preserve">The following discussion and analysis are intended to assist readers in understanding Busey’s financial condition and results of operations during the three and six months ended June 30, 2025, and should be read in conjunction with Busey’s </w:t>
      </w:r>
      <w:r>
        <w:rPr>
          <w:rFonts w:ascii="Arial" w:cs="Arial" w:eastAsia="Arial" w:hAnsi="Arial"/>
          <w:sz w:val="18"/>
          <w:szCs w:val="18"/>
          <w:u w:val="single" w:color="auto"/>
          <w:color w:val="0000FF"/>
        </w:rPr>
        <w:t>Consolidated Financial Statements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(Unaudited)</w:t>
      </w:r>
      <w:r>
        <w:rPr>
          <w:rFonts w:ascii="Arial" w:cs="Arial" w:eastAsia="Arial" w:hAnsi="Arial"/>
          <w:sz w:val="18"/>
          <w:szCs w:val="18"/>
          <w:color w:val="0000FF"/>
        </w:rPr>
        <w:t xml:space="preserve"> </w:t>
      </w:r>
      <w:r>
        <w:rPr>
          <w:rFonts w:ascii="Arial" w:cs="Arial" w:eastAsia="Arial" w:hAnsi="Arial"/>
          <w:sz w:val="18"/>
          <w:szCs w:val="18"/>
          <w:color w:val="000000"/>
        </w:rPr>
        <w:t>and the related</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Notes to the Consolidated Financial Statements (Unaudited)</w:t>
      </w:r>
      <w:r>
        <w:rPr>
          <w:rFonts w:ascii="Arial" w:cs="Arial" w:eastAsia="Arial" w:hAnsi="Arial"/>
          <w:sz w:val="18"/>
          <w:szCs w:val="18"/>
          <w:color w:val="0000FF"/>
        </w:rPr>
        <w:t xml:space="preserve"> </w:t>
      </w:r>
      <w:r>
        <w:rPr>
          <w:rFonts w:ascii="Arial" w:cs="Arial" w:eastAsia="Arial" w:hAnsi="Arial"/>
          <w:sz w:val="18"/>
          <w:szCs w:val="18"/>
          <w:color w:val="000000"/>
        </w:rPr>
        <w:t>included in this Quarterly Report, as well as Busey’s</w:t>
      </w:r>
      <w:r>
        <w:rPr>
          <w:rFonts w:ascii="Arial" w:cs="Arial" w:eastAsia="Arial" w:hAnsi="Arial"/>
          <w:sz w:val="18"/>
          <w:szCs w:val="18"/>
          <w:color w:val="0000FF"/>
        </w:rPr>
        <w:t xml:space="preserve"> </w:t>
      </w:r>
      <w:hyperlink r:id="rId93">
        <w:r>
          <w:rPr>
            <w:rFonts w:ascii="Arial" w:cs="Arial" w:eastAsia="Arial" w:hAnsi="Arial"/>
            <w:sz w:val="18"/>
            <w:szCs w:val="18"/>
            <w:u w:val="single" w:color="auto"/>
            <w:color w:val="0000FF"/>
          </w:rPr>
          <w:t>2024 Annual Report</w:t>
        </w:r>
      </w:hyperlink>
      <w:r>
        <w:rPr>
          <w:rFonts w:ascii="Arial" w:cs="Arial" w:eastAsia="Arial" w:hAnsi="Arial"/>
          <w:sz w:val="18"/>
          <w:szCs w:val="18"/>
          <w:color w:val="000000"/>
        </w:rPr>
        <w: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First Busey Corporation is an $18.92 billion financial holding company headquartered in Leawood, Kansas. First Busey Corporation’s common stock is traded on The Nasdaq Global Select Market under the symbol “BUSE.”</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provides a full range of banking, wealth management, and payment technology solutions to individuals and corporate clients through its subsidiaries, Busey Bank and FirsTech.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Bank, headquartered in Champaign, Illinois, serves the banking needs of its customers through 78 banking centers located across six regions spanning 10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5657850" cy="35572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5657850"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East Region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serves the suburban Chicago market with 17 banking centers, offering a full spectrum of financial services to individuals and businesses. The Chicago area is home to several Fortune 500 companies, featuring a diverse economic mix that includes manufacturing, logistics, information technology, and financial services. With a regionalized approach and a legacy of service excellence, Busey remains a trusted financial partner to the vibrant communities of northeastern Illinois.</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operates 20 banking centers in the St. Louis MSA, including eight banking centers in eastern Missouri and 12 banking centers in western Illinois. With a population exceeding 2.8 million, St. Louis has a diverse economy and major employment sectors that include healthcare, financial services, professional and business services, and retail. Busey continues to build on its legacy of serving dynamic urban and suburban markets in the region.</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Bank serves the southwest Florida banking market with three banking centers located in and around Fort Myers, an area which has experienced strong population growth, job expansion, and a vibrant housing market, as well as the benefits of a robust tourism and winter resort economy. These factors have contributed to a thriving environment for consumer banking and small business services.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Midwest Region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serves the central Illinois banking market with 21 banking centers. The economy of central Illinois is agriculture-base, with manufacturing and services industries also featuring prominently. These industries, coupled with large healthcare and higher education sectors, anchor the communities in which they are located and have provided a comparatively stable foundation for housing, employment, and small business.</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due in part to it serving as the headquarters of many large corporations. Its strategic location and infrastructure have fostered steady economic performance, positioning Busey to meet the financial needs of both retail and commercial clients.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Central Region</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serves the Kansas banking market with three banking centers, including two locations in Leawood and one in Wichita. Leawood, part of the Kansas City MSA, is known for its desirable residential communities and concentration of corporate offices and financial institutions. Wichita, the largest city in Kansas, features strong aviation and manufacturing sectors, along with growing healthcare and education footprints. These markets offer Busey a well-balanced mix of consumer and commercial banking potential.</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serves the Oklahoma banking market with three banking centers, including two in Oklahoma City and one in Tulsa. These cities anchor the state’s economy, with leading sectors including aerospace, energy, healthcare, and higher education. Both Oklahoma City and Tulsa have benefited from economic diversification efforts and urban revitalization, fostering resilience in employment and housing markets and providing opportunities for Busey to support local business and community needs.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Texas Region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Bank operates four banking centers across the Dallas-Fort Worth (“DFW”) MSA, including locations in Dallas, Frisco, and Fort Worth, Texas. The DFW MSA is the most populous metropolitan area in the southern United States, and serves as a key business and financial hub with a diverse economy spanning technology, healthcare, telecommunications, and logistics. The region’s rapid population growth, entrepreneurial energy, and deep talent pool have created strong demand for housing and commercial expansion, aligning well with Busey’s financial services model.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West Region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has two banking centers in Arizona, located in Phoenix and Tucson. Phoenix, a fast-growing metropolitan area, features a broad-based economy with key sectors in advanced manufacturing, fintech, and education. Tucson, supported by a strong university presence and a vibrant tourism sector, has seen steady growth in small business development and residential communities. Busey’s presence supports a range of financial needs in both urban and suburban settings.</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 Bank has two banking centers in Colorado, located in Denver and Colorado Springs. Denver stands out as a major economic center with thriving industries in technology, energy, and financial services, while Colorado Springs offers a more suburban environment anchored by defense, aerospace, and healthcare sectors. Both cities have experienced consistent population growth and infrastructure investment, creating opportunities for Busey to serve a dynamic customer base.</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Bank operates one banking center in Clayton, New Mexico. Located in northeastern New Mexico, Clayton’s economy is primarily driven by agricultural, cattle ranching, and small-scale retail, with steady contributions from transportation services due to its proximity to major highways. The community also benefits from local tourism linked to nearby parks and attractions. Busey’s presence supports essential financial needs in this rural market, reinforcing its commitment to serving both metropolitan and underserved areas with tailored banking solutions.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Busey’s Verticals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Transcending geographical boundaries, Busey operates in several industry verticals, including Life Equity Lending, Sponsor Finance, Energy Lending, and SBA Lending.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Busey's Conservative Banking Strategy</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Busey’s financial strength is built on a long-term conservative operating approach. The quality of Busey’s core deposit franchise is a critical value driver of the institution. Busey remains substantially core deposit</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funded, with robust liquidity and significant market share in the communities it serves. As of June 30, 2025, Busey’s loan to deposit ratio was 87.4% and core deposits represented 92.5% of total deposits. Furthermore, Busey has sufficient on- and off-balance sheet liquidity to manage deposit fluctuations and the liquidity needs of its customers.</w:t>
      </w:r>
    </w:p>
    <w:p>
      <w:pPr>
        <w:spacing w:after="0" w:line="16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Busey’s credit performance reflects its highly diversified, conservatively underwritten loan portfolio, which has been originated predominantly to established customers with tenured relationships with Busey. Busey’s approach to lending and its underwriting standards are designed to emphasize relationship banking rather than transactional banking. In addition, as a matter of both policy and practice, Busey limits concentration exposures in any particular loan segment.</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Busey’s conservative banking strategy is reflected in the strength of its capital base. Busey strives to consistently maintain capital ratios well in excess of thresholds required to be designated as well capitalized by applicable regulatory guidelines, thereby ensuring financial strength and flexibility across economic and operating cycles. As of June 30, 2025, Busey’s leverage ratio of Tier 1 capital to average assets was 11.3%, its common equity Tier 1 capital to risk weighted assets ratio was 12.2%, and its total capital to risk weighted assets ratio was 15.8%.</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Mergers and Acquisitions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CrossFirst Bankshares, Inc.</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March 1, 2025, Busey completed its acquisition of CrossFirst and its wholly-owned subsidiary, CrossFirst Bank. This partnership creates a premier commercial bank in the Midwest, Southwest, and Florida, with 78 full-service locations across 10 states—Arizona, Colorado, Florida, Illinois, Indiana, Kansas, Missouri, New Mexico, Oklahoma, and Texas.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CrossFirst Bank’s results of operations were included in Busey’s results of operations beginning March 1, 2025. Busey operated CrossFirst Bank as a separate banking subsidiary until it was merged with and into Busey Bank on June 20, 2025. At the time of the bank merger, CrossFirst Bank’s banking centers became banking centers of Busey Bank.</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information regarding Busey’s acquisitions is provided in </w:t>
      </w:r>
      <w:r>
        <w:rPr>
          <w:rFonts w:ascii="Arial" w:cs="Arial" w:eastAsia="Arial" w:hAnsi="Arial"/>
          <w:sz w:val="18"/>
          <w:szCs w:val="18"/>
          <w:i w:val="1"/>
          <w:iCs w:val="1"/>
          <w:u w:val="single" w:color="auto"/>
          <w:color w:val="0000FF"/>
        </w:rPr>
        <w:t>Note 2. Mergers and Acquisitions</w:t>
      </w:r>
      <w:r>
        <w:rPr>
          <w:rFonts w:ascii="Arial" w:cs="Arial" w:eastAsia="Arial" w:hAnsi="Arial"/>
          <w:sz w:val="18"/>
          <w:szCs w:val="18"/>
          <w:color w:val="auto"/>
        </w:rPr>
        <w:t xml:space="preserve"> in the </w:t>
      </w:r>
      <w:r>
        <w:rPr>
          <w:rFonts w:ascii="Arial" w:cs="Arial" w:eastAsia="Arial" w:hAnsi="Arial"/>
          <w:sz w:val="18"/>
          <w:szCs w:val="18"/>
          <w:i w:val="1"/>
          <w:iCs w:val="1"/>
          <w:u w:val="single" w:color="auto"/>
          <w:color w:val="0000FF"/>
        </w:rPr>
        <w:t>Notes to the Consolidated Financial</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Statements (Unaudited)</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22631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332" w:lineRule="exact"/>
        <w:rPr>
          <w:sz w:val="20"/>
          <w:szCs w:val="20"/>
          <w:color w:val="auto"/>
        </w:rPr>
      </w:pPr>
    </w:p>
    <w:p>
      <w:pPr>
        <w:ind w:left="180" w:right="20" w:hanging="172"/>
        <w:spacing w:after="0" w:line="213" w:lineRule="auto"/>
        <w:tabs>
          <w:tab w:leader="none" w:pos="160" w:val="left"/>
        </w:tabs>
        <w:numPr>
          <w:ilvl w:val="0"/>
          <w:numId w:val="32"/>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AND SIX MONTHS ENDED JUNE 30, 2025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Results of Busey’s operations, by operating segment, are presented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r>
      <w:tr>
        <w:trPr>
          <w:trHeight w:val="25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2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Banking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45,838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26,145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53,189</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Wealth Management</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5,823</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12,042</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10,559</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FirsTech</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(19,990)</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(10,280)</w:t>
            </w:r>
          </w:p>
        </w:tc>
      </w:tr>
      <w:tr>
        <w:trPr>
          <w:trHeight w:val="264"/>
        </w:trPr>
        <w:tc>
          <w:tcPr>
            <w:tcW w:w="55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47,404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53,582</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Expenses and Non-GAAP Measures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views certain non-operating expenses, including acquisition expenses, restructuring charges, and non-recurring strategic events, as adjustments to net income reported under GAAP. Non-operating expenses are summarized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5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r>
      <w:tr>
        <w:trPr>
          <w:trHeight w:val="204"/>
        </w:trPr>
        <w:tc>
          <w:tcPr>
            <w:tcW w:w="5500" w:type="dxa"/>
            <w:vAlign w:val="bottom"/>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Non-operating expenses by location on the Statements of</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106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r>
      <w:tr>
        <w:trPr>
          <w:trHeight w:val="262"/>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Income</w:t>
            </w:r>
          </w:p>
        </w:tc>
        <w:tc>
          <w:tcPr>
            <w:tcW w:w="260" w:type="dxa"/>
            <w:vAlign w:val="bottom"/>
            <w:shd w:val="clear" w:color="auto" w:fill="E0E7ED"/>
          </w:tcPr>
          <w:p>
            <w:pPr>
              <w:spacing w:after="0"/>
              <w:rPr>
                <w:sz w:val="22"/>
                <w:szCs w:val="22"/>
                <w:color w:val="auto"/>
              </w:rPr>
            </w:pPr>
          </w:p>
        </w:tc>
        <w:tc>
          <w:tcPr>
            <w:tcW w:w="11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20" w:type="dxa"/>
            <w:vAlign w:val="bottom"/>
            <w:shd w:val="clear" w:color="auto" w:fill="E0E7ED"/>
          </w:tcPr>
          <w:p>
            <w:pPr>
              <w:spacing w:after="0"/>
              <w:rPr>
                <w:sz w:val="22"/>
                <w:szCs w:val="22"/>
                <w:color w:val="auto"/>
              </w:rPr>
            </w:pPr>
          </w:p>
        </w:tc>
        <w:tc>
          <w:tcPr>
            <w:tcW w:w="1040" w:type="dxa"/>
            <w:vAlign w:val="bottom"/>
            <w:shd w:val="clear" w:color="auto" w:fill="E0E7ED"/>
          </w:tcPr>
          <w:p>
            <w:pPr>
              <w:spacing w:after="0"/>
              <w:rPr>
                <w:sz w:val="22"/>
                <w:szCs w:val="22"/>
                <w:color w:val="auto"/>
              </w:rPr>
            </w:pP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Salaries, wages, and employee benefits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11,557</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27,435</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1,260</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Data processing</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24"/>
        </w:trPr>
        <w:tc>
          <w:tcPr>
            <w:tcW w:w="55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Net occupancy expense of premises and furniture and equipment</w:t>
            </w:r>
          </w:p>
        </w:tc>
        <w:tc>
          <w:tcPr>
            <w:tcW w:w="260" w:type="dxa"/>
            <w:vAlign w:val="bottom"/>
            <w:shd w:val="clear" w:color="auto" w:fill="E0E7ED"/>
          </w:tcPr>
          <w:p>
            <w:pPr>
              <w:spacing w:after="0"/>
              <w:rPr>
                <w:sz w:val="19"/>
                <w:szCs w:val="19"/>
                <w:color w:val="auto"/>
              </w:rPr>
            </w:pPr>
          </w:p>
        </w:tc>
        <w:tc>
          <w:tcPr>
            <w:tcW w:w="11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0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20" w:type="dxa"/>
            <w:vAlign w:val="bottom"/>
            <w:shd w:val="clear" w:color="auto" w:fill="E0E7ED"/>
          </w:tcPr>
          <w:p>
            <w:pPr>
              <w:spacing w:after="0"/>
              <w:rPr>
                <w:sz w:val="19"/>
                <w:szCs w:val="19"/>
                <w:color w:val="auto"/>
              </w:rPr>
            </w:pPr>
          </w:p>
        </w:tc>
        <w:tc>
          <w:tcPr>
            <w:tcW w:w="1040" w:type="dxa"/>
            <w:vAlign w:val="bottom"/>
            <w:shd w:val="clear" w:color="auto" w:fill="E0E7ED"/>
          </w:tcPr>
          <w:p>
            <w:pPr>
              <w:spacing w:after="0"/>
              <w:rPr>
                <w:sz w:val="19"/>
                <w:szCs w:val="19"/>
                <w:color w:val="auto"/>
              </w:rPr>
            </w:pPr>
          </w:p>
        </w:tc>
      </w:tr>
      <w:tr>
        <w:trPr>
          <w:trHeight w:val="242"/>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w:t>
            </w:r>
          </w:p>
        </w:tc>
      </w:tr>
      <w:tr>
        <w:trPr>
          <w:trHeight w:val="247"/>
        </w:trPr>
        <w:tc>
          <w:tcPr>
            <w:tcW w:w="55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3"/>
        </w:trPr>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5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noninterest expense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Borders>
              <w:bottom w:val="single" w:sz="8" w:color="E0E7ED"/>
            </w:tcBorders>
            <w:shd w:val="clear" w:color="auto" w:fill="E0E7ED"/>
          </w:tcPr>
          <w:p>
            <w:pPr>
              <w:spacing w:after="0"/>
              <w:rPr>
                <w:sz w:val="23"/>
                <w:szCs w:val="23"/>
                <w:color w:val="auto"/>
              </w:rPr>
            </w:pPr>
          </w:p>
        </w:tc>
        <w:tc>
          <w:tcPr>
            <w:tcW w:w="32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313</w:t>
            </w:r>
          </w:p>
        </w:tc>
      </w:tr>
      <w:tr>
        <w:trPr>
          <w:trHeight w:val="264"/>
        </w:trPr>
        <w:tc>
          <w:tcPr>
            <w:tcW w:w="5500" w:type="dxa"/>
            <w:vAlign w:val="bottom"/>
          </w:tcPr>
          <w:p>
            <w:pPr>
              <w:ind w:left="20"/>
              <w:spacing w:after="0"/>
              <w:rPr>
                <w:sz w:val="20"/>
                <w:szCs w:val="20"/>
                <w:color w:val="auto"/>
              </w:rPr>
            </w:pPr>
            <w:r>
              <w:rPr>
                <w:rFonts w:ascii="Arial" w:cs="Arial" w:eastAsia="Arial" w:hAnsi="Arial"/>
                <w:sz w:val="18"/>
                <w:szCs w:val="18"/>
                <w:color w:val="auto"/>
              </w:rPr>
              <w:t>Total non-operating expenses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92,228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w:t>
            </w:r>
          </w:p>
        </w:tc>
      </w:tr>
      <w:tr>
        <w:trPr>
          <w:trHeight w:val="20"/>
        </w:trPr>
        <w:tc>
          <w:tcPr>
            <w:tcW w:w="5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6"/>
        </w:trPr>
        <w:tc>
          <w:tcPr>
            <w:tcW w:w="5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0"/>
        </w:trPr>
        <w:tc>
          <w:tcPr>
            <w:tcW w:w="55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Non-operating expenses by business objective</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r>
      <w:tr>
        <w:trPr>
          <w:trHeight w:val="270"/>
        </w:trPr>
        <w:tc>
          <w:tcPr>
            <w:tcW w:w="5500" w:type="dxa"/>
            <w:vAlign w:val="bottom"/>
          </w:tcPr>
          <w:p>
            <w:pPr>
              <w:ind w:left="180"/>
              <w:spacing w:after="0"/>
              <w:rPr>
                <w:sz w:val="20"/>
                <w:szCs w:val="20"/>
                <w:color w:val="auto"/>
              </w:rPr>
            </w:pPr>
            <w:r>
              <w:rPr>
                <w:rFonts w:ascii="Arial" w:cs="Arial" w:eastAsia="Arial" w:hAnsi="Arial"/>
                <w:sz w:val="18"/>
                <w:szCs w:val="18"/>
                <w:color w:val="auto"/>
              </w:rPr>
              <w:t>Initial provision for credit losses</w:t>
            </w:r>
            <w:r>
              <w:rPr>
                <w:rFonts w:ascii="Arial" w:cs="Arial" w:eastAsia="Arial" w:hAnsi="Arial"/>
                <w:sz w:val="23"/>
                <w:szCs w:val="23"/>
                <w:color w:val="auto"/>
                <w:vertAlign w:val="superscript"/>
              </w:rPr>
              <w:t>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4,030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49,602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500" w:type="dxa"/>
            <w:vAlign w:val="bottom"/>
            <w:shd w:val="clear" w:color="auto" w:fill="E0E7ED"/>
          </w:tcPr>
          <w:p>
            <w:pPr>
              <w:ind w:left="180"/>
              <w:spacing w:after="0"/>
              <w:rPr>
                <w:sz w:val="20"/>
                <w:szCs w:val="20"/>
                <w:color w:val="auto"/>
              </w:rPr>
            </w:pPr>
            <w:r>
              <w:rPr>
                <w:rFonts w:ascii="Arial" w:cs="Arial" w:eastAsia="Arial" w:hAnsi="Arial"/>
                <w:sz w:val="18"/>
                <w:szCs w:val="18"/>
                <w:color w:val="auto"/>
              </w:rPr>
              <w:t>Other acquisition expenses</w:t>
            </w:r>
            <w:r>
              <w:rPr>
                <w:rFonts w:ascii="Arial" w:cs="Arial" w:eastAsia="Arial" w:hAnsi="Arial"/>
                <w:sz w:val="23"/>
                <w:szCs w:val="23"/>
                <w:color w:val="auto"/>
                <w:vertAlign w:val="superscript"/>
              </w:rPr>
              <w:t>2</w:t>
            </w: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16,600</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2,212</w:t>
            </w: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2,497</w:t>
            </w:r>
          </w:p>
        </w:tc>
      </w:tr>
      <w:tr>
        <w:trPr>
          <w:trHeight w:val="270"/>
        </w:trPr>
        <w:tc>
          <w:tcPr>
            <w:tcW w:w="5500" w:type="dxa"/>
            <w:vAlign w:val="bottom"/>
          </w:tcPr>
          <w:p>
            <w:pPr>
              <w:ind w:left="180"/>
              <w:spacing w:after="0"/>
              <w:rPr>
                <w:sz w:val="20"/>
                <w:szCs w:val="20"/>
                <w:color w:val="auto"/>
              </w:rPr>
            </w:pPr>
            <w:r>
              <w:rPr>
                <w:rFonts w:ascii="Arial" w:cs="Arial" w:eastAsia="Arial" w:hAnsi="Arial"/>
                <w:sz w:val="18"/>
                <w:szCs w:val="18"/>
                <w:color w:val="auto"/>
              </w:rPr>
              <w:t>Restructuring expenses</w:t>
            </w:r>
            <w:r>
              <w:rPr>
                <w:rFonts w:ascii="Arial" w:cs="Arial" w:eastAsia="Arial" w:hAnsi="Arial"/>
                <w:sz w:val="23"/>
                <w:szCs w:val="23"/>
                <w:color w:val="auto"/>
                <w:vertAlign w:val="superscript"/>
              </w:rPr>
              <w:t>3</w:t>
            </w:r>
          </w:p>
        </w:tc>
        <w:tc>
          <w:tcPr>
            <w:tcW w:w="260" w:type="dxa"/>
            <w:vAlign w:val="bottom"/>
          </w:tcPr>
          <w:p>
            <w:pPr>
              <w:spacing w:after="0"/>
              <w:rPr>
                <w:sz w:val="23"/>
                <w:szCs w:val="23"/>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88"/>
        </w:trPr>
        <w:tc>
          <w:tcPr>
            <w:tcW w:w="550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non-operating expenses</w:t>
            </w:r>
          </w:p>
        </w:tc>
        <w:tc>
          <w:tcPr>
            <w:tcW w:w="260" w:type="dxa"/>
            <w:vAlign w:val="bottom"/>
            <w:tcBorders>
              <w:top w:val="single" w:sz="8" w:color="auto"/>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20,630</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320" w:type="dxa"/>
            <w:vAlign w:val="bottom"/>
            <w:tcBorders>
              <w:top w:val="single" w:sz="8" w:color="auto"/>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2,212</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300" w:type="dxa"/>
            <w:vAlign w:val="bottom"/>
            <w:tcBorders>
              <w:top w:val="single" w:sz="8" w:color="auto"/>
              <w:bottom w:val="single" w:sz="8" w:color="auto"/>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92,228</w:t>
            </w:r>
          </w:p>
        </w:tc>
        <w:tc>
          <w:tcPr>
            <w:tcW w:w="100" w:type="dxa"/>
            <w:vAlign w:val="bottom"/>
            <w:tcBorders>
              <w:top w:val="single" w:sz="8" w:color="E0E7ED"/>
              <w:bottom w:val="single" w:sz="8" w:color="E0E7ED"/>
            </w:tcBorders>
            <w:shd w:val="clear" w:color="auto" w:fill="E0E7ED"/>
          </w:tcPr>
          <w:p>
            <w:pPr>
              <w:spacing w:after="0"/>
              <w:rPr>
                <w:sz w:val="24"/>
                <w:szCs w:val="24"/>
                <w:color w:val="auto"/>
              </w:rPr>
            </w:pPr>
          </w:p>
        </w:tc>
        <w:tc>
          <w:tcPr>
            <w:tcW w:w="320" w:type="dxa"/>
            <w:vAlign w:val="bottom"/>
            <w:tcBorders>
              <w:top w:val="single" w:sz="8" w:color="auto"/>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2,620</w:t>
            </w:r>
          </w:p>
        </w:tc>
      </w:tr>
      <w:tr>
        <w:trPr>
          <w:trHeight w:val="20"/>
        </w:trPr>
        <w:tc>
          <w:tcPr>
            <w:tcW w:w="55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1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0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040" w:type="dxa"/>
            <w:vAlign w:val="bottom"/>
            <w:tcBorders>
              <w:top w:val="single" w:sz="8" w:color="E0E7ED"/>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56" w:lineRule="auto"/>
        <w:tabs>
          <w:tab w:leader="none" w:pos="525" w:val="left"/>
        </w:tabs>
        <w:numPr>
          <w:ilvl w:val="0"/>
          <w:numId w:val="33"/>
        </w:numPr>
        <w:rPr>
          <w:rFonts w:ascii="Arial" w:cs="Arial" w:eastAsia="Arial" w:hAnsi="Arial"/>
          <w:sz w:val="14"/>
          <w:szCs w:val="14"/>
          <w:color w:val="auto"/>
        </w:rPr>
      </w:pPr>
      <w:r>
        <w:rPr>
          <w:rFonts w:ascii="Arial" w:cs="Arial" w:eastAsia="Arial" w:hAnsi="Arial"/>
          <w:sz w:val="14"/>
          <w:szCs w:val="14"/>
          <w:color w:val="auto"/>
        </w:rPr>
        <w:t>During the three months ended June 30, 2025, the Busey recorded a $4.0 million adjustment to the initial provision for unfunded commitments for CrossFirst acquisition-date balances based on revised estimates resulting from implementation of a new CECL model. During the six months ended June 30, 2025, in connection with the CrossFirst acquisition, Busey’s recorded expense for the initial provision for credit losses consisting of a Day 2 provision for loan losses of $42.4 million, a Day 2 provision for unfunded commitments of $3.1 million, and the aforementioned adjustment to the initial provision for unfunded commitments of $4.0 million.</w:t>
      </w:r>
    </w:p>
    <w:p>
      <w:pPr>
        <w:spacing w:after="0" w:line="1" w:lineRule="exact"/>
        <w:rPr>
          <w:rFonts w:ascii="Arial" w:cs="Arial" w:eastAsia="Arial" w:hAnsi="Arial"/>
          <w:sz w:val="14"/>
          <w:szCs w:val="14"/>
          <w:color w:val="auto"/>
        </w:rPr>
      </w:pPr>
    </w:p>
    <w:p>
      <w:pPr>
        <w:ind w:left="500" w:hanging="330"/>
        <w:spacing w:after="0" w:line="261" w:lineRule="auto"/>
        <w:tabs>
          <w:tab w:leader="none" w:pos="498"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acquisition expenses related to the acquisition of CrossFirst, which was completed on March 1, 2025, and the acquisition of M&amp;M, which was completed on April 1, 2024.</w:t>
      </w:r>
    </w:p>
    <w:p>
      <w:pPr>
        <w:ind w:left="500" w:hanging="330"/>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Restructuring expenses were related to previously disclosed restructuring and efficiency plans.</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A reconciliation of non-GAAP measures, which Busey believes facilitates the assessment of its financial results and peer comparability, is included in tabular form in this Quarterly Report. See </w:t>
      </w:r>
      <w:r>
        <w:rPr>
          <w:rFonts w:ascii="Arial" w:cs="Arial" w:eastAsia="Arial" w:hAnsi="Arial"/>
          <w:sz w:val="18"/>
          <w:szCs w:val="18"/>
          <w:i w:val="1"/>
          <w:iCs w:val="1"/>
          <w:u w:val="single" w:color="auto"/>
          <w:color w:val="0000FF"/>
        </w:rPr>
        <w:t>“Item 2. Management’s Discussion and Analysis—Non-GAAP Financial Information.”</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Performance Metrics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performance metrics presented in the table below have been derived from information used by management to monitor and manage Busey’s financial performance. In addition to the non-operating expenses in the table above, adjusted operating performance metrics also reflect adjustments for strategic balance sheet repositioning and net securities gains and losses to align with industry and research analyst reporting. The objective of Busey’s presentation of adjusted earnings and adjusted earnings metrics is to allow investors and analysts to more clearly identify quarterly trends in core earnings performance: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0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182"/>
        </w:trPr>
        <w:tc>
          <w:tcPr>
            <w:tcW w:w="50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30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r>
      <w:tr>
        <w:trPr>
          <w:trHeight w:val="244"/>
        </w:trPr>
        <w:tc>
          <w:tcPr>
            <w:tcW w:w="5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Net income (GAAP)</w:t>
            </w: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47,404</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27,357</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17,414</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53,582</w:t>
            </w: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Adjusted net income (Non-GAAP)</w:t>
            </w:r>
            <w:r>
              <w:rPr>
                <w:rFonts w:ascii="Arial" w:cs="Arial" w:eastAsia="Arial" w:hAnsi="Arial"/>
                <w:sz w:val="23"/>
                <w:szCs w:val="23"/>
                <w:color w:val="auto"/>
                <w:vertAlign w:val="superscript"/>
              </w:rPr>
              <w:t>1, 2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57,394</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30,519</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97,292</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56,232</w:t>
            </w:r>
          </w:p>
        </w:tc>
      </w:tr>
      <w:tr>
        <w:trPr>
          <w:trHeight w:val="270"/>
        </w:trPr>
        <w:tc>
          <w:tcPr>
            <w:tcW w:w="506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r>
      <w:tr>
        <w:trPr>
          <w:trHeight w:val="247"/>
        </w:trPr>
        <w:tc>
          <w:tcPr>
            <w:tcW w:w="5060" w:type="dxa"/>
            <w:vAlign w:val="bottom"/>
          </w:tcPr>
          <w:p>
            <w:pPr>
              <w:ind w:left="20"/>
              <w:spacing w:after="0"/>
              <w:rPr>
                <w:sz w:val="20"/>
                <w:szCs w:val="20"/>
                <w:color w:val="auto"/>
              </w:rPr>
            </w:pPr>
            <w:r>
              <w:rPr>
                <w:rFonts w:ascii="Arial" w:cs="Arial" w:eastAsia="Arial" w:hAnsi="Arial"/>
                <w:sz w:val="18"/>
                <w:szCs w:val="18"/>
                <w:color w:val="auto"/>
              </w:rPr>
              <w:t>Net income available to common stockholders (GAAP)</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47,249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27,357</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17,259</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53,582</w:t>
            </w:r>
          </w:p>
        </w:tc>
      </w:tr>
      <w:tr>
        <w:trPr>
          <w:trHeight w:val="23"/>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2"/>
        </w:trPr>
        <w:tc>
          <w:tcPr>
            <w:tcW w:w="5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net income available to common stockholders (Non-</w:t>
            </w:r>
          </w:p>
        </w:tc>
        <w:tc>
          <w:tcPr>
            <w:tcW w:w="3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r>
      <w:tr>
        <w:trPr>
          <w:trHeight w:val="264"/>
        </w:trPr>
        <w:tc>
          <w:tcPr>
            <w:tcW w:w="5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GAAP)</w:t>
            </w:r>
            <w:r>
              <w:rPr>
                <w:rFonts w:ascii="Arial" w:cs="Arial" w:eastAsia="Arial" w:hAnsi="Arial"/>
                <w:sz w:val="23"/>
                <w:szCs w:val="23"/>
                <w:color w:val="auto"/>
                <w:vertAlign w:val="superscript"/>
              </w:rPr>
              <w:t>1</w:t>
            </w:r>
          </w:p>
        </w:tc>
        <w:tc>
          <w:tcPr>
            <w:tcW w:w="30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57,239</w:t>
            </w: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0E7ED"/>
          </w:tcPr>
          <w:p>
            <w:pPr>
              <w:jc w:val="right"/>
              <w:ind w:right="151"/>
              <w:spacing w:after="0"/>
              <w:rPr>
                <w:sz w:val="20"/>
                <w:szCs w:val="20"/>
                <w:color w:val="auto"/>
              </w:rPr>
            </w:pPr>
            <w:r>
              <w:rPr>
                <w:rFonts w:ascii="Arial" w:cs="Arial" w:eastAsia="Arial" w:hAnsi="Arial"/>
                <w:sz w:val="18"/>
                <w:szCs w:val="18"/>
                <w:color w:val="auto"/>
              </w:rPr>
              <w:t>30,519</w:t>
            </w: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97,137</w:t>
            </w: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0E7ED"/>
          </w:tcPr>
          <w:p>
            <w:pPr>
              <w:jc w:val="right"/>
              <w:ind w:right="151"/>
              <w:spacing w:after="0"/>
              <w:rPr>
                <w:sz w:val="20"/>
                <w:szCs w:val="20"/>
                <w:color w:val="auto"/>
              </w:rPr>
            </w:pPr>
            <w:r>
              <w:rPr>
                <w:rFonts w:ascii="Arial" w:cs="Arial" w:eastAsia="Arial" w:hAnsi="Arial"/>
                <w:sz w:val="18"/>
                <w:szCs w:val="18"/>
                <w:color w:val="auto"/>
              </w:rPr>
              <w:t>56,232</w:t>
            </w:r>
          </w:p>
        </w:tc>
      </w:tr>
      <w:tr>
        <w:trPr>
          <w:trHeight w:val="270"/>
        </w:trPr>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5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Diluted earnings per common share (GAAP)</w:t>
            </w: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0.22</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0.94</w:t>
            </w: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Adjusted diluted earnings per common share (Non-GAAP)</w:t>
            </w:r>
            <w:r>
              <w:rPr>
                <w:rFonts w:ascii="Arial" w:cs="Arial" w:eastAsia="Arial" w:hAnsi="Arial"/>
                <w:sz w:val="23"/>
                <w:szCs w:val="23"/>
                <w:color w:val="auto"/>
                <w:vertAlign w:val="superscript"/>
              </w:rPr>
              <w:t>1, 2</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0.53</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0.98</w:t>
            </w:r>
          </w:p>
        </w:tc>
      </w:tr>
      <w:tr>
        <w:trPr>
          <w:trHeight w:val="270"/>
        </w:trPr>
        <w:tc>
          <w:tcPr>
            <w:tcW w:w="506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Return on average assets (Non-GAAP)</w:t>
            </w:r>
            <w:r>
              <w:rPr>
                <w:rFonts w:ascii="Arial" w:cs="Arial" w:eastAsia="Arial" w:hAnsi="Arial"/>
                <w:sz w:val="23"/>
                <w:szCs w:val="23"/>
                <w:color w:val="auto"/>
                <w:vertAlign w:val="superscript"/>
              </w:rPr>
              <w:t>1, 3</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0.91 %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0.21 %</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0.89 %</w:t>
            </w:r>
          </w:p>
        </w:tc>
      </w:tr>
      <w:tr>
        <w:trPr>
          <w:trHeight w:val="270"/>
        </w:trPr>
        <w:tc>
          <w:tcPr>
            <w:tcW w:w="5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return on average assets (Non-GAAP)</w:t>
            </w:r>
            <w:r>
              <w:rPr>
                <w:rFonts w:ascii="Arial" w:cs="Arial" w:eastAsia="Arial" w:hAnsi="Arial"/>
                <w:sz w:val="23"/>
                <w:szCs w:val="23"/>
                <w:color w:val="auto"/>
                <w:vertAlign w:val="superscript"/>
              </w:rPr>
              <w:t>1, 2, 3</w:t>
            </w: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1.21 %</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1.02 %</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1.16 %</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0.94 %</w:t>
            </w:r>
          </w:p>
        </w:tc>
      </w:tr>
      <w:tr>
        <w:trPr>
          <w:trHeight w:val="270"/>
        </w:trPr>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Return on average tangible common equity (Non-GAAP)</w:t>
            </w:r>
            <w:r>
              <w:rPr>
                <w:rFonts w:ascii="Arial" w:cs="Arial" w:eastAsia="Arial" w:hAnsi="Arial"/>
                <w:sz w:val="23"/>
                <w:szCs w:val="23"/>
                <w:color w:val="auto"/>
                <w:vertAlign w:val="superscript"/>
              </w:rPr>
              <w:t>1, 3</w:t>
            </w: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11.24 %</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11.51 %</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2.17 %</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11.47 %</w:t>
            </w:r>
          </w:p>
        </w:tc>
      </w:tr>
      <w:tr>
        <w:trPr>
          <w:trHeight w:val="222"/>
        </w:trPr>
        <w:tc>
          <w:tcPr>
            <w:tcW w:w="5060" w:type="dxa"/>
            <w:vAlign w:val="bottom"/>
          </w:tcPr>
          <w:p>
            <w:pPr>
              <w:ind w:left="20"/>
              <w:spacing w:after="0"/>
              <w:rPr>
                <w:sz w:val="20"/>
                <w:szCs w:val="20"/>
                <w:color w:val="auto"/>
              </w:rPr>
            </w:pPr>
            <w:r>
              <w:rPr>
                <w:rFonts w:ascii="Arial" w:cs="Arial" w:eastAsia="Arial" w:hAnsi="Arial"/>
                <w:sz w:val="18"/>
                <w:szCs w:val="18"/>
                <w:color w:val="auto"/>
              </w:rPr>
              <w:t>Adjusted return on average tangible common equity (Non-</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64"/>
        </w:trPr>
        <w:tc>
          <w:tcPr>
            <w:tcW w:w="5060" w:type="dxa"/>
            <w:vAlign w:val="bottom"/>
          </w:tcPr>
          <w:p>
            <w:pPr>
              <w:ind w:left="20"/>
              <w:spacing w:after="0"/>
              <w:rPr>
                <w:sz w:val="20"/>
                <w:szCs w:val="20"/>
                <w:color w:val="auto"/>
              </w:rPr>
            </w:pPr>
            <w:r>
              <w:rPr>
                <w:rFonts w:ascii="Arial" w:cs="Arial" w:eastAsia="Arial" w:hAnsi="Arial"/>
                <w:sz w:val="18"/>
                <w:szCs w:val="18"/>
                <w:color w:val="auto"/>
              </w:rPr>
              <w:t>GAAP)</w:t>
            </w:r>
            <w:r>
              <w:rPr>
                <w:rFonts w:ascii="Arial" w:cs="Arial" w:eastAsia="Arial" w:hAnsi="Arial"/>
                <w:sz w:val="23"/>
                <w:szCs w:val="23"/>
                <w:color w:val="auto"/>
                <w:vertAlign w:val="superscript"/>
              </w:rPr>
              <w:t>1, 2, 3</w:t>
            </w: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13.61 %</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12.85 %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12.21 %</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12.04 %</w:t>
            </w:r>
          </w:p>
        </w:tc>
      </w:tr>
      <w:tr>
        <w:trPr>
          <w:trHeight w:val="270"/>
        </w:trPr>
        <w:tc>
          <w:tcPr>
            <w:tcW w:w="506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1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r>
      <w:tr>
        <w:trPr>
          <w:trHeight w:val="270"/>
        </w:trPr>
        <w:tc>
          <w:tcPr>
            <w:tcW w:w="5060" w:type="dxa"/>
            <w:vAlign w:val="bottom"/>
          </w:tcPr>
          <w:p>
            <w:pPr>
              <w:ind w:left="20"/>
              <w:spacing w:after="0"/>
              <w:rPr>
                <w:sz w:val="20"/>
                <w:szCs w:val="20"/>
                <w:color w:val="auto"/>
              </w:rPr>
            </w:pPr>
            <w:r>
              <w:rPr>
                <w:rFonts w:ascii="Arial" w:cs="Arial" w:eastAsia="Arial" w:hAnsi="Arial"/>
                <w:sz w:val="18"/>
                <w:szCs w:val="18"/>
                <w:color w:val="auto"/>
              </w:rPr>
              <w:t>Pre-provision net revenue (Non-GAAP)</w:t>
            </w:r>
            <w:r>
              <w:rPr>
                <w:rFonts w:ascii="Arial" w:cs="Arial" w:eastAsia="Arial" w:hAnsi="Arial"/>
                <w:sz w:val="23"/>
                <w:szCs w:val="23"/>
                <w:color w:val="auto"/>
                <w:vertAlign w:val="superscript"/>
              </w:rPr>
              <w:t>1, 4</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64,216</w:t>
            </w:r>
          </w:p>
        </w:tc>
        <w:tc>
          <w:tcPr>
            <w:tcW w:w="100" w:type="dxa"/>
            <w:vAlign w:val="bottom"/>
          </w:tcPr>
          <w:p>
            <w:pPr>
              <w:spacing w:after="0"/>
              <w:rPr>
                <w:sz w:val="23"/>
                <w:szCs w:val="23"/>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40,682</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92,908</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86,377</w:t>
            </w:r>
          </w:p>
        </w:tc>
      </w:tr>
      <w:tr>
        <w:trPr>
          <w:trHeight w:val="270"/>
        </w:trPr>
        <w:tc>
          <w:tcPr>
            <w:tcW w:w="5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pre-provision net revenue (Non-GAAP)</w:t>
            </w:r>
            <w:r>
              <w:rPr>
                <w:rFonts w:ascii="Arial" w:cs="Arial" w:eastAsia="Arial" w:hAnsi="Arial"/>
                <w:sz w:val="23"/>
                <w:szCs w:val="23"/>
                <w:color w:val="auto"/>
                <w:vertAlign w:val="superscript"/>
              </w:rPr>
              <w:t>1, 4</w:t>
            </w:r>
          </w:p>
        </w:tc>
        <w:tc>
          <w:tcPr>
            <w:tcW w:w="30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80,816</w:t>
            </w: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0E7ED"/>
          </w:tcPr>
          <w:p>
            <w:pPr>
              <w:jc w:val="right"/>
              <w:ind w:right="151"/>
              <w:spacing w:after="0"/>
              <w:rPr>
                <w:sz w:val="20"/>
                <w:szCs w:val="20"/>
                <w:color w:val="auto"/>
              </w:rPr>
            </w:pPr>
            <w:r>
              <w:rPr>
                <w:rFonts w:ascii="Arial" w:cs="Arial" w:eastAsia="Arial" w:hAnsi="Arial"/>
                <w:sz w:val="18"/>
                <w:szCs w:val="18"/>
                <w:color w:val="auto"/>
              </w:rPr>
              <w:t>42,617</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135,534</w:t>
            </w: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0E7ED"/>
          </w:tcPr>
          <w:p>
            <w:pPr>
              <w:jc w:val="right"/>
              <w:ind w:right="151"/>
              <w:spacing w:after="0"/>
              <w:rPr>
                <w:sz w:val="20"/>
                <w:szCs w:val="20"/>
                <w:color w:val="auto"/>
              </w:rPr>
            </w:pPr>
            <w:r>
              <w:rPr>
                <w:rFonts w:ascii="Arial" w:cs="Arial" w:eastAsia="Arial" w:hAnsi="Arial"/>
                <w:sz w:val="18"/>
                <w:szCs w:val="18"/>
                <w:color w:val="auto"/>
              </w:rPr>
              <w:t>81,255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3086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p>
      <w:pPr>
        <w:spacing w:after="0" w:line="278" w:lineRule="exact"/>
        <w:rPr>
          <w:sz w:val="20"/>
          <w:szCs w:val="20"/>
          <w:color w:val="auto"/>
        </w:rPr>
      </w:pPr>
    </w:p>
    <w:p>
      <w:pPr>
        <w:ind w:left="20" w:right="780"/>
        <w:spacing w:after="0" w:line="256" w:lineRule="auto"/>
        <w:rPr>
          <w:sz w:val="20"/>
          <w:szCs w:val="20"/>
          <w:color w:val="auto"/>
        </w:rPr>
      </w:pPr>
      <w:r>
        <w:rPr>
          <w:rFonts w:ascii="Arial" w:cs="Arial" w:eastAsia="Arial" w:hAnsi="Arial"/>
          <w:sz w:val="18"/>
          <w:szCs w:val="18"/>
          <w:color w:val="auto"/>
        </w:rPr>
        <w:t>Pre-provision net revenue to average total assets (Non-GAAP)</w:t>
      </w:r>
      <w:r>
        <w:rPr>
          <w:rFonts w:ascii="Arial" w:cs="Arial" w:eastAsia="Arial" w:hAnsi="Arial"/>
          <w:sz w:val="23"/>
          <w:szCs w:val="23"/>
          <w:color w:val="auto"/>
          <w:vertAlign w:val="superscript"/>
        </w:rPr>
        <w:t>1, 3, 4</w:t>
      </w:r>
    </w:p>
    <w:p>
      <w:pPr>
        <w:spacing w:after="0" w:line="1" w:lineRule="exact"/>
        <w:rPr>
          <w:sz w:val="20"/>
          <w:szCs w:val="20"/>
          <w:color w:val="auto"/>
        </w:rPr>
      </w:pPr>
    </w:p>
    <w:p>
      <w:pPr>
        <w:ind w:left="20" w:right="540"/>
        <w:spacing w:after="0" w:line="263" w:lineRule="auto"/>
        <w:rPr>
          <w:sz w:val="20"/>
          <w:szCs w:val="20"/>
          <w:color w:val="auto"/>
        </w:rPr>
      </w:pPr>
      <w:r>
        <w:rPr>
          <w:rFonts w:ascii="Arial" w:cs="Arial" w:eastAsia="Arial" w:hAnsi="Arial"/>
          <w:sz w:val="18"/>
          <w:szCs w:val="18"/>
          <w:color w:val="auto"/>
        </w:rPr>
        <w:t>Adjusted pre-provision net revenue to average total assets (Non-GAAP)</w:t>
      </w:r>
      <w:r>
        <w:rPr>
          <w:rFonts w:ascii="Arial" w:cs="Arial" w:eastAsia="Arial" w:hAnsi="Arial"/>
          <w:sz w:val="23"/>
          <w:szCs w:val="23"/>
          <w:color w:val="auto"/>
          <w:vertAlign w:val="superscript"/>
        </w:rPr>
        <w:t>1, 3, 4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jc w:val="right"/>
              <w:ind w:right="390"/>
              <w:spacing w:after="0"/>
              <w:rPr>
                <w:sz w:val="20"/>
                <w:szCs w:val="20"/>
                <w:color w:val="auto"/>
              </w:rPr>
            </w:pPr>
            <w:r>
              <w:rPr>
                <w:rFonts w:ascii="Arial" w:cs="Arial" w:eastAsia="Arial" w:hAnsi="Arial"/>
                <w:sz w:val="18"/>
                <w:szCs w:val="18"/>
                <w:color w:val="auto"/>
                <w:w w:val="99"/>
              </w:rPr>
              <w:t>1.35 %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1.35 %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1.10 %</w:t>
            </w:r>
          </w:p>
        </w:tc>
        <w:tc>
          <w:tcPr>
            <w:tcW w:w="106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486"/>
        </w:trPr>
        <w:tc>
          <w:tcPr>
            <w:tcW w:w="1060" w:type="dxa"/>
            <w:vAlign w:val="bottom"/>
          </w:tcPr>
          <w:p>
            <w:pPr>
              <w:jc w:val="right"/>
              <w:ind w:right="390"/>
              <w:spacing w:after="0"/>
              <w:rPr>
                <w:sz w:val="20"/>
                <w:szCs w:val="20"/>
                <w:color w:val="auto"/>
              </w:rPr>
            </w:pPr>
            <w:r>
              <w:rPr>
                <w:rFonts w:ascii="Arial" w:cs="Arial" w:eastAsia="Arial" w:hAnsi="Arial"/>
                <w:sz w:val="18"/>
                <w:szCs w:val="18"/>
                <w:color w:val="auto"/>
                <w:w w:val="99"/>
              </w:rPr>
              <w:t>1.70 %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1.42 %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1.61 %</w:t>
            </w:r>
          </w:p>
        </w:tc>
        <w:tc>
          <w:tcPr>
            <w:tcW w:w="1060" w:type="dxa"/>
            <w:vAlign w:val="bottom"/>
          </w:tcPr>
          <w:p>
            <w:pPr>
              <w:jc w:val="right"/>
              <w:spacing w:after="0"/>
              <w:rPr>
                <w:sz w:val="20"/>
                <w:szCs w:val="20"/>
                <w:color w:val="auto"/>
              </w:rPr>
            </w:pPr>
            <w:r>
              <w:rPr>
                <w:rFonts w:ascii="Arial" w:cs="Arial" w:eastAsia="Arial" w:hAnsi="Arial"/>
                <w:sz w:val="18"/>
                <w:szCs w:val="18"/>
                <w:color w:val="auto"/>
              </w:rPr>
              <w:t>1.36 %</w:t>
            </w:r>
          </w:p>
        </w:tc>
      </w:tr>
    </w:tbl>
    <w:p>
      <w:pPr>
        <w:spacing w:after="0" w:line="80" w:lineRule="exact"/>
        <w:rPr>
          <w:sz w:val="20"/>
          <w:szCs w:val="20"/>
          <w:color w:val="auto"/>
        </w:rPr>
      </w:pPr>
    </w:p>
    <w:p>
      <w:pPr>
        <w:sectPr>
          <w:pgSz w:w="11900" w:h="16838" w:orient="portrait"/>
          <w:cols w:equalWidth="0" w:num="2">
            <w:col w:w="5220" w:space="720"/>
            <w:col w:w="5300"/>
          </w:cols>
          <w:pgMar w:left="320" w:top="296"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 w:lineRule="exact"/>
        <w:rPr>
          <w:sz w:val="20"/>
          <w:szCs w:val="20"/>
          <w:color w:val="auto"/>
        </w:rPr>
      </w:pPr>
    </w:p>
    <w:p>
      <w:pPr>
        <w:ind w:left="500" w:hanging="330"/>
        <w:spacing w:after="0" w:line="261" w:lineRule="auto"/>
        <w:tabs>
          <w:tab w:leader="none" w:pos="525" w:val="left"/>
        </w:tabs>
        <w:numPr>
          <w:ilvl w:val="0"/>
          <w:numId w:val="34"/>
        </w:numPr>
        <w:rPr>
          <w:rFonts w:ascii="Arial" w:cs="Arial" w:eastAsia="Arial" w:hAnsi="Arial"/>
          <w:sz w:val="14"/>
          <w:szCs w:val="14"/>
          <w:color w:val="auto"/>
        </w:rPr>
      </w:pPr>
      <w:r>
        <w:rPr>
          <w:rFonts w:ascii="Arial" w:cs="Arial" w:eastAsia="Arial" w:hAnsi="Arial"/>
          <w:sz w:val="14"/>
          <w:szCs w:val="14"/>
          <w:color w:val="auto"/>
        </w:rPr>
        <w:t xml:space="preserve">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500" w:hanging="330"/>
        <w:spacing w:after="0" w:line="261" w:lineRule="auto"/>
        <w:tabs>
          <w:tab w:leader="none" w:pos="498"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Beginning in 2025, Busey revised its calculation of adjusted net income for all periods presented to include, as applicable, adjustments for net securities gains and losses, realized net gains and losses on the sale of mortgage servicing rights, and non-recurring deferred tax adjustments.</w:t>
      </w:r>
    </w:p>
    <w:p>
      <w:pPr>
        <w:ind w:left="500" w:hanging="330"/>
        <w:spacing w:after="0"/>
        <w:tabs>
          <w:tab w:leader="none" w:pos="5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1" w:lineRule="exact"/>
        <w:rPr>
          <w:rFonts w:ascii="Arial" w:cs="Arial" w:eastAsia="Arial" w:hAnsi="Arial"/>
          <w:sz w:val="14"/>
          <w:szCs w:val="14"/>
          <w:color w:val="auto"/>
        </w:rPr>
      </w:pPr>
    </w:p>
    <w:p>
      <w:pPr>
        <w:ind w:left="500" w:hanging="330"/>
        <w:spacing w:after="0" w:line="284" w:lineRule="auto"/>
        <w:tabs>
          <w:tab w:leader="none" w:pos="498" w:val="left"/>
        </w:tabs>
        <w:numPr>
          <w:ilvl w:val="0"/>
          <w:numId w:val="34"/>
        </w:numPr>
        <w:rPr>
          <w:rFonts w:ascii="Arial" w:cs="Arial" w:eastAsia="Arial" w:hAnsi="Arial"/>
          <w:sz w:val="14"/>
          <w:szCs w:val="14"/>
          <w:color w:val="auto"/>
        </w:rPr>
      </w:pPr>
      <w:r>
        <w:rPr>
          <w:rFonts w:ascii="Arial" w:cs="Arial" w:eastAsia="Arial" w:hAnsi="Arial"/>
          <w:sz w:val="14"/>
          <w:szCs w:val="14"/>
          <w:color w:val="auto"/>
        </w:rPr>
        <w:t>Beginning in the second quarter of 2025, Busey revised its presentation, for all periods presented, to reclassify the provision for unfunded commitments so that it is now included within the provision for credit losses, affecting the calculation of pre-provision net revenue and related measures and ratios.</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8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interest income is the difference between interest income and fees earned on loans and investments (“interest-earning assets”) and interest expense incurred on deposits and borrowings (“interest-bearing liabilities”). Interest rate levels and volume fluctuations within interest-earning assets and interest-bearing liabilities impact net interest income. Net interest margin is tax-equivalent net interest income as a percent of average interest-earning assets.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Average Balance Sheets and Interest Rates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presents Busey’s Consolidated Average Balance Sheets, summarizing average balances for each major category of assets and liabilities, the interest income earned on interest-earning assets, the interest expense paid for interest-bearing liabilities, and the related interest yields for the periods indicated. Average information is provided on a daily average basis: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Income/</w:t>
            </w:r>
          </w:p>
        </w:tc>
        <w:tc>
          <w:tcPr>
            <w:tcW w:w="120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00" w:type="dxa"/>
            <w:vAlign w:val="bottom"/>
          </w:tcPr>
          <w:p>
            <w:pPr>
              <w:jc w:val="right"/>
              <w:ind w:right="348"/>
              <w:spacing w:after="0" w:line="17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48"/>
              <w:spacing w:after="0" w:line="17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69"/>
        </w:trPr>
        <w:tc>
          <w:tcPr>
            <w:tcW w:w="38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2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711,629</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7,461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4.21 %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236,605</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3,027</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5.15 %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Investment securities: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115,958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1,446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6,008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3.55 %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360"/>
              <w:spacing w:after="0" w:line="202" w:lineRule="exact"/>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241,568</w:t>
            </w: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2,691</w:t>
            </w:r>
          </w:p>
        </w:tc>
        <w:tc>
          <w:tcPr>
            <w:tcW w:w="10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4.47 %</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148,647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1,068</w:t>
            </w:r>
          </w:p>
        </w:tc>
        <w:tc>
          <w:tcPr>
            <w:tcW w:w="80" w:type="dxa"/>
            <w:vAlign w:val="bottom"/>
            <w:shd w:val="clear" w:color="auto" w:fill="E0E7ED"/>
          </w:tcPr>
          <w:p>
            <w:pPr>
              <w:spacing w:after="0"/>
              <w:rPr>
                <w:sz w:val="17"/>
                <w:szCs w:val="17"/>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2.89 %</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2,725,758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21,331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2,582,658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18,130</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Restricted bank stock</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58,354</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543</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3.73 %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6,878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98</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5.73 %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6,899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9,353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6.79 %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180"/>
              <w:spacing w:after="0" w:line="202" w:lineRule="exact"/>
              <w:rPr>
                <w:sz w:val="20"/>
                <w:szCs w:val="20"/>
                <w:color w:val="auto"/>
              </w:rPr>
            </w:pPr>
            <w:r>
              <w:rPr>
                <w:rFonts w:ascii="Arial" w:cs="Arial" w:eastAsia="Arial" w:hAnsi="Arial"/>
                <w:sz w:val="14"/>
                <w:szCs w:val="14"/>
                <w:color w:val="auto"/>
              </w:rPr>
              <w:t>Portfolio loans</w:t>
            </w:r>
            <w:r>
              <w:rPr>
                <w:rFonts w:ascii="Arial" w:cs="Arial" w:eastAsia="Arial" w:hAnsi="Arial"/>
                <w:sz w:val="18"/>
                <w:szCs w:val="18"/>
                <w:color w:val="auto"/>
                <w:vertAlign w:val="superscript"/>
              </w:rPr>
              <w:t>1, 2</w:t>
            </w: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13,840,190</w:t>
            </w:r>
          </w:p>
        </w:tc>
        <w:tc>
          <w:tcPr>
            <w:tcW w:w="10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214,663</w:t>
            </w:r>
          </w:p>
        </w:tc>
        <w:tc>
          <w:tcPr>
            <w:tcW w:w="100" w:type="dxa"/>
            <w:vAlign w:val="bottom"/>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6.22 %</w:t>
            </w:r>
          </w:p>
        </w:tc>
        <w:tc>
          <w:tcPr>
            <w:tcW w:w="10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8,010,636</w:t>
            </w:r>
          </w:p>
        </w:tc>
        <w:tc>
          <w:tcPr>
            <w:tcW w:w="8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109,807</w:t>
            </w:r>
          </w:p>
        </w:tc>
        <w:tc>
          <w:tcPr>
            <w:tcW w:w="80" w:type="dxa"/>
            <w:vAlign w:val="bottom"/>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5.51 %</w:t>
            </w:r>
          </w:p>
        </w:tc>
        <w:tc>
          <w:tcPr>
            <w:tcW w:w="0" w:type="dxa"/>
            <w:vAlign w:val="bottom"/>
          </w:tcPr>
          <w:p>
            <w:pPr>
              <w:spacing w:after="0"/>
              <w:rPr>
                <w:sz w:val="1"/>
                <w:szCs w:val="1"/>
                <w:color w:val="auto"/>
              </w:rPr>
            </w:pPr>
          </w:p>
        </w:tc>
      </w:tr>
      <w:tr>
        <w:trPr>
          <w:trHeight w:val="183"/>
        </w:trPr>
        <w:tc>
          <w:tcPr>
            <w:tcW w:w="3820" w:type="dxa"/>
            <w:vAlign w:val="bottom"/>
          </w:tcPr>
          <w:p>
            <w:pPr>
              <w:ind w:left="180"/>
              <w:spacing w:after="0" w:line="182" w:lineRule="exact"/>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1, 3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17,700,356</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248,237</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5.63 %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11,000,785</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132,341</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156,535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109,776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182,174</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122,958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ACL</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(195,527)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(93,187)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1,224,548</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949,360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19,068,086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12,089,692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3,188,993</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15,288</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1.92 %</w:t>
            </w:r>
          </w:p>
        </w:tc>
        <w:tc>
          <w:tcPr>
            <w:tcW w:w="30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2,393,016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10,005</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1.68 %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6,381,634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45,782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3,269,075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18,746</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2.31 %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2,879,902</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27,077</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3.77 %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1,589,491</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14,958</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3.78 %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141,978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886</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2.50 %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144,370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1,040</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2.90 %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180"/>
              <w:spacing w:after="0" w:line="202" w:lineRule="exact"/>
              <w:rPr>
                <w:sz w:val="20"/>
                <w:szCs w:val="20"/>
                <w:color w:val="auto"/>
              </w:rPr>
            </w:pPr>
            <w:r>
              <w:rPr>
                <w:rFonts w:ascii="Arial" w:cs="Arial" w:eastAsia="Arial" w:hAnsi="Arial"/>
                <w:sz w:val="14"/>
                <w:szCs w:val="14"/>
                <w:color w:val="auto"/>
              </w:rPr>
              <w:t>Borrowings</w:t>
            </w:r>
            <w:r>
              <w:rPr>
                <w:rFonts w:ascii="Arial" w:cs="Arial" w:eastAsia="Arial" w:hAnsi="Arial"/>
                <w:sz w:val="18"/>
                <w:szCs w:val="18"/>
                <w:color w:val="auto"/>
                <w:vertAlign w:val="superscript"/>
              </w:rPr>
              <w:t>4</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315,367</w:t>
            </w: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3,838</w:t>
            </w:r>
          </w:p>
        </w:tc>
        <w:tc>
          <w:tcPr>
            <w:tcW w:w="10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4.88 %</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255,248</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3,599</w:t>
            </w:r>
          </w:p>
        </w:tc>
        <w:tc>
          <w:tcPr>
            <w:tcW w:w="80" w:type="dxa"/>
            <w:vAlign w:val="bottom"/>
            <w:shd w:val="clear" w:color="auto" w:fill="E0E7ED"/>
          </w:tcPr>
          <w:p>
            <w:pPr>
              <w:spacing w:after="0"/>
              <w:rPr>
                <w:sz w:val="17"/>
                <w:szCs w:val="17"/>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5.67 %</w:t>
            </w:r>
          </w:p>
        </w:tc>
        <w:tc>
          <w:tcPr>
            <w:tcW w:w="0" w:type="dxa"/>
            <w:vAlign w:val="bottom"/>
          </w:tcPr>
          <w:p>
            <w:pPr>
              <w:spacing w:after="0"/>
              <w:rPr>
                <w:sz w:val="1"/>
                <w:szCs w:val="1"/>
                <w:color w:val="auto"/>
              </w:rPr>
            </w:pPr>
          </w:p>
        </w:tc>
      </w:tr>
      <w:tr>
        <w:trPr>
          <w:trHeight w:val="148"/>
        </w:trPr>
        <w:tc>
          <w:tcPr>
            <w:tcW w:w="3820" w:type="dxa"/>
            <w:vAlign w:val="bottom"/>
          </w:tcPr>
          <w:p>
            <w:pPr>
              <w:ind w:left="180"/>
              <w:spacing w:after="0" w:line="149" w:lineRule="exact"/>
              <w:rPr>
                <w:sz w:val="20"/>
                <w:szCs w:val="20"/>
                <w:color w:val="auto"/>
              </w:rPr>
            </w:pPr>
            <w:r>
              <w:rPr>
                <w:rFonts w:ascii="Arial" w:cs="Arial" w:eastAsia="Arial" w:hAnsi="Arial"/>
                <w:sz w:val="14"/>
                <w:szCs w:val="14"/>
                <w:color w:val="auto"/>
              </w:rPr>
              <w:t>Junior subordinated debt issued to unconsolidated</w:t>
            </w: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77,141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1,392</w:t>
            </w: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7.24 %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74,632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1,059</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5.71 %</w:t>
            </w:r>
          </w:p>
        </w:tc>
        <w:tc>
          <w:tcPr>
            <w:tcW w:w="0" w:type="dxa"/>
            <w:vAlign w:val="bottom"/>
          </w:tcPr>
          <w:p>
            <w:pPr>
              <w:spacing w:after="0"/>
              <w:rPr>
                <w:sz w:val="1"/>
                <w:szCs w:val="1"/>
                <w:color w:val="auto"/>
              </w:rPr>
            </w:pPr>
          </w:p>
        </w:tc>
      </w:tr>
      <w:tr>
        <w:trPr>
          <w:trHeight w:val="176"/>
        </w:trPr>
        <w:tc>
          <w:tcPr>
            <w:tcW w:w="382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trusts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12,985,015</w:t>
            </w:r>
          </w:p>
        </w:tc>
        <w:tc>
          <w:tcPr>
            <w:tcW w:w="10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94,263</w:t>
            </w:r>
          </w:p>
        </w:tc>
        <w:tc>
          <w:tcPr>
            <w:tcW w:w="100" w:type="dxa"/>
            <w:vAlign w:val="bottom"/>
            <w:tcBorders>
              <w:bottom w:val="single" w:sz="8" w:color="E0E7ED"/>
            </w:tcBorders>
            <w:shd w:val="clear" w:color="auto" w:fill="E0E7ED"/>
          </w:tcPr>
          <w:p>
            <w:pPr>
              <w:spacing w:after="0"/>
              <w:rPr>
                <w:sz w:val="17"/>
                <w:szCs w:val="17"/>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2.91 %</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8"/>
              <w:spacing w:after="0"/>
              <w:rPr>
                <w:sz w:val="20"/>
                <w:szCs w:val="20"/>
                <w:color w:val="auto"/>
              </w:rPr>
            </w:pPr>
            <w:r>
              <w:rPr>
                <w:rFonts w:ascii="Arial" w:cs="Arial" w:eastAsia="Arial" w:hAnsi="Arial"/>
                <w:sz w:val="14"/>
                <w:szCs w:val="14"/>
                <w:color w:val="auto"/>
              </w:rPr>
              <w:t>7,725,832</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49,407</w:t>
            </w:r>
          </w:p>
        </w:tc>
        <w:tc>
          <w:tcPr>
            <w:tcW w:w="80" w:type="dxa"/>
            <w:vAlign w:val="bottom"/>
            <w:tcBorders>
              <w:bottom w:val="single" w:sz="8" w:color="E0E7ED"/>
            </w:tcBorders>
            <w:shd w:val="clear" w:color="auto" w:fill="E0E7ED"/>
          </w:tcPr>
          <w:p>
            <w:pPr>
              <w:spacing w:after="0"/>
              <w:rPr>
                <w:sz w:val="17"/>
                <w:szCs w:val="17"/>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2.57 %</w:t>
            </w:r>
          </w:p>
        </w:tc>
        <w:tc>
          <w:tcPr>
            <w:tcW w:w="0" w:type="dxa"/>
            <w:vAlign w:val="bottom"/>
          </w:tcPr>
          <w:p>
            <w:pPr>
              <w:spacing w:after="0"/>
              <w:rPr>
                <w:sz w:val="1"/>
                <w:szCs w:val="1"/>
                <w:color w:val="auto"/>
              </w:rPr>
            </w:pPr>
          </w:p>
        </w:tc>
      </w:tr>
      <w:tr>
        <w:trPr>
          <w:trHeight w:val="20"/>
        </w:trPr>
        <w:tc>
          <w:tcPr>
            <w:tcW w:w="38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20" w:type="dxa"/>
            <w:vAlign w:val="bottom"/>
            <w:tcBorders>
              <w:bottom w:val="single" w:sz="8" w:color="E0E7ED"/>
            </w:tcBorders>
            <w:shd w:val="clear" w:color="auto" w:fill="E0E7ED"/>
          </w:tcPr>
          <w:p>
            <w:pPr>
              <w:ind w:left="180"/>
              <w:spacing w:after="0" w:line="189"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100" w:type="dxa"/>
            <w:vAlign w:val="bottom"/>
            <w:tcBorders>
              <w:bottom w:val="single" w:sz="8" w:color="E0E7ED"/>
            </w:tcBorders>
            <w:shd w:val="clear" w:color="auto" w:fill="E0E7ED"/>
          </w:tcPr>
          <w:p>
            <w:pPr>
              <w:spacing w:after="0"/>
              <w:rPr>
                <w:sz w:val="18"/>
                <w:szCs w:val="18"/>
                <w:color w:val="auto"/>
              </w:rPr>
            </w:pPr>
          </w:p>
        </w:tc>
        <w:tc>
          <w:tcPr>
            <w:tcW w:w="18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100" w:type="dxa"/>
            <w:vAlign w:val="bottom"/>
            <w:tcBorders>
              <w:bottom w:val="single" w:sz="8" w:color="E0E7ED"/>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2.72 %</w:t>
            </w:r>
          </w:p>
        </w:tc>
        <w:tc>
          <w:tcPr>
            <w:tcW w:w="10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8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80" w:type="dxa"/>
            <w:vAlign w:val="bottom"/>
            <w:tcBorders>
              <w:bottom w:val="single" w:sz="8" w:color="E0E7ED"/>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2.27 %</w:t>
            </w:r>
          </w:p>
        </w:tc>
        <w:tc>
          <w:tcPr>
            <w:tcW w:w="0" w:type="dxa"/>
            <w:vAlign w:val="bottom"/>
          </w:tcPr>
          <w:p>
            <w:pPr>
              <w:spacing w:after="0"/>
              <w:rPr>
                <w:sz w:val="1"/>
                <w:szCs w:val="1"/>
                <w:color w:val="auto"/>
              </w:rPr>
            </w:pPr>
          </w:p>
        </w:tc>
      </w:tr>
      <w:tr>
        <w:trPr>
          <w:trHeight w:val="20"/>
        </w:trPr>
        <w:tc>
          <w:tcPr>
            <w:tcW w:w="38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3,542,617</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2,816,293</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255,872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215,752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2,284,582</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1,331,815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19,068,086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12,089,692</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8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120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00" w:type="dxa"/>
            <w:vAlign w:val="bottom"/>
            <w:shd w:val="clear" w:color="auto" w:fill="E0E7ED"/>
          </w:tcPr>
          <w:p>
            <w:pPr>
              <w:spacing w:after="0"/>
              <w:rPr>
                <w:sz w:val="19"/>
                <w:szCs w:val="19"/>
                <w:color w:val="auto"/>
              </w:rPr>
            </w:pPr>
          </w:p>
        </w:tc>
        <w:tc>
          <w:tcPr>
            <w:tcW w:w="9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122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18"/>
                <w:szCs w:val="18"/>
                <w:color w:val="auto"/>
                <w:vertAlign w:val="superscript"/>
              </w:rPr>
              <w:t>1, 3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17,700,356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248,237</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5.63 %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11,000,785</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132,341</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17,700,356</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94,263</w:t>
            </w:r>
          </w:p>
        </w:tc>
        <w:tc>
          <w:tcPr>
            <w:tcW w:w="100" w:type="dxa"/>
            <w:vAlign w:val="bottom"/>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2.14 %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11,000,785</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49,407</w:t>
            </w:r>
          </w:p>
        </w:tc>
        <w:tc>
          <w:tcPr>
            <w:tcW w:w="80" w:type="dxa"/>
            <w:vAlign w:val="bottom"/>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1.81 %</w:t>
            </w: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line="182" w:lineRule="exact"/>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153,974</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82,934</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3.03 %</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00" w:hanging="330"/>
        <w:spacing w:after="0" w:line="251" w:lineRule="auto"/>
        <w:tabs>
          <w:tab w:leader="none" w:pos="525" w:val="left"/>
        </w:tabs>
        <w:numPr>
          <w:ilvl w:val="0"/>
          <w:numId w:val="35"/>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u w:val="single" w:color="auto"/>
          <w:color w:val="0000FF"/>
        </w:rPr>
        <w:t>”</w:t>
      </w:r>
      <w:r>
        <w:rPr>
          <w:rFonts w:ascii="Arial" w:cs="Arial" w:eastAsia="Arial" w:hAnsi="Arial"/>
          <w:sz w:val="14"/>
          <w:szCs w:val="14"/>
          <w:color w:val="auto"/>
        </w:rPr>
        <w:t xml:space="preserve"> included in this Quarterly Report.</w:t>
      </w: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Interest income includes tax-equivalent adjustments of $0.8 million and $0.4 million for the three months ended June 30, 2025 and 2024, respectively.</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non-usage fees on a revolving loan.</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8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3"/>
                <w:szCs w:val="13"/>
                <w:color w:val="auto"/>
              </w:rPr>
            </w:pPr>
          </w:p>
        </w:tc>
        <w:tc>
          <w:tcPr>
            <w:tcW w:w="104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Average</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rPr>
              <w:t>Income/</w:t>
            </w:r>
          </w:p>
        </w:tc>
        <w:tc>
          <w:tcPr>
            <w:tcW w:w="120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Yield/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ind w:left="80"/>
              <w:spacing w:after="0" w:line="15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3"/>
                <w:szCs w:val="13"/>
                <w:color w:val="auto"/>
              </w:rPr>
            </w:pPr>
          </w:p>
        </w:tc>
        <w:tc>
          <w:tcPr>
            <w:tcW w:w="102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rPr>
              <w:t>Income/</w:t>
            </w:r>
          </w:p>
        </w:tc>
        <w:tc>
          <w:tcPr>
            <w:tcW w:w="1220" w:type="dxa"/>
            <w:vAlign w:val="bottom"/>
          </w:tcPr>
          <w:p>
            <w:pPr>
              <w:jc w:val="right"/>
              <w:ind w:right="348"/>
              <w:spacing w:after="0" w:line="155" w:lineRule="exact"/>
              <w:rPr>
                <w:sz w:val="20"/>
                <w:szCs w:val="20"/>
                <w:color w:val="auto"/>
              </w:rPr>
            </w:pPr>
            <w:r>
              <w:rPr>
                <w:rFonts w:ascii="Arial" w:cs="Arial" w:eastAsia="Arial" w:hAnsi="Arial"/>
                <w:sz w:val="14"/>
                <w:szCs w:val="14"/>
                <w:b w:val="1"/>
                <w:bCs w:val="1"/>
                <w:color w:val="auto"/>
              </w:rPr>
              <w:t>Yield/</w:t>
            </w:r>
          </w:p>
        </w:tc>
        <w:tc>
          <w:tcPr>
            <w:tcW w:w="0" w:type="dxa"/>
            <w:vAlign w:val="bottom"/>
          </w:tcPr>
          <w:p>
            <w:pPr>
              <w:spacing w:after="0"/>
              <w:rPr>
                <w:sz w:val="1"/>
                <w:szCs w:val="1"/>
                <w:color w:val="auto"/>
              </w:rPr>
            </w:pPr>
          </w:p>
        </w:tc>
      </w:tr>
      <w:tr>
        <w:trPr>
          <w:trHeight w:val="175"/>
        </w:trPr>
        <w:tc>
          <w:tcPr>
            <w:tcW w:w="3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00" w:type="dxa"/>
            <w:vAlign w:val="bottom"/>
          </w:tcPr>
          <w:p>
            <w:pPr>
              <w:jc w:val="right"/>
              <w:ind w:right="348"/>
              <w:spacing w:after="0" w:line="17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Balance</w:t>
            </w:r>
          </w:p>
        </w:tc>
        <w:tc>
          <w:tcPr>
            <w:tcW w:w="20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Expense</w:t>
            </w:r>
          </w:p>
        </w:tc>
        <w:tc>
          <w:tcPr>
            <w:tcW w:w="1220" w:type="dxa"/>
            <w:vAlign w:val="bottom"/>
          </w:tcPr>
          <w:p>
            <w:pPr>
              <w:jc w:val="right"/>
              <w:ind w:right="348"/>
              <w:spacing w:after="0" w:line="176"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8"/>
                <w:szCs w:val="18"/>
                <w:b w:val="1"/>
                <w:bCs w:val="1"/>
                <w:color w:val="auto"/>
                <w:vertAlign w:val="superscript"/>
              </w:rPr>
              <w:t>5</w:t>
            </w:r>
          </w:p>
        </w:tc>
        <w:tc>
          <w:tcPr>
            <w:tcW w:w="0" w:type="dxa"/>
            <w:vAlign w:val="bottom"/>
          </w:tcPr>
          <w:p>
            <w:pPr>
              <w:spacing w:after="0"/>
              <w:rPr>
                <w:sz w:val="1"/>
                <w:szCs w:val="1"/>
                <w:color w:val="auto"/>
              </w:rPr>
            </w:pPr>
          </w:p>
        </w:tc>
      </w:tr>
      <w:tr>
        <w:trPr>
          <w:trHeight w:val="169"/>
        </w:trPr>
        <w:tc>
          <w:tcPr>
            <w:tcW w:w="382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4"/>
                <w:szCs w:val="14"/>
                <w:b w:val="1"/>
                <w:bCs w:val="1"/>
                <w:color w:val="auto"/>
              </w:rPr>
              <w:t>Assets</w:t>
            </w: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8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1200" w:type="dxa"/>
            <w:vAlign w:val="bottom"/>
            <w:tcBorders>
              <w:top w:val="single" w:sz="8" w:color="auto"/>
            </w:tcBorders>
            <w:shd w:val="clear" w:color="auto" w:fill="E0E7ED"/>
          </w:tcPr>
          <w:p>
            <w:pPr>
              <w:spacing w:after="0"/>
              <w:rPr>
                <w:sz w:val="14"/>
                <w:szCs w:val="14"/>
                <w:color w:val="auto"/>
              </w:rPr>
            </w:pPr>
          </w:p>
        </w:tc>
        <w:tc>
          <w:tcPr>
            <w:tcW w:w="10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200" w:type="dxa"/>
            <w:vAlign w:val="bottom"/>
            <w:tcBorders>
              <w:top w:val="single" w:sz="8" w:color="auto"/>
            </w:tcBorders>
            <w:shd w:val="clear" w:color="auto" w:fill="E0E7ED"/>
          </w:tcPr>
          <w:p>
            <w:pPr>
              <w:spacing w:after="0"/>
              <w:rPr>
                <w:sz w:val="14"/>
                <w:szCs w:val="14"/>
                <w:color w:val="auto"/>
              </w:rPr>
            </w:pPr>
          </w:p>
        </w:tc>
        <w:tc>
          <w:tcPr>
            <w:tcW w:w="940" w:type="dxa"/>
            <w:vAlign w:val="bottom"/>
            <w:tcBorders>
              <w:top w:val="single" w:sz="8" w:color="auto"/>
            </w:tcBorders>
            <w:shd w:val="clear" w:color="auto" w:fill="E0E7ED"/>
          </w:tcPr>
          <w:p>
            <w:pPr>
              <w:spacing w:after="0"/>
              <w:rPr>
                <w:sz w:val="14"/>
                <w:szCs w:val="14"/>
                <w:color w:val="auto"/>
              </w:rPr>
            </w:pPr>
          </w:p>
        </w:tc>
        <w:tc>
          <w:tcPr>
            <w:tcW w:w="80" w:type="dxa"/>
            <w:vAlign w:val="bottom"/>
            <w:tcBorders>
              <w:top w:val="single" w:sz="8" w:color="E0E7ED"/>
            </w:tcBorders>
            <w:shd w:val="clear" w:color="auto" w:fill="E0E7ED"/>
          </w:tcPr>
          <w:p>
            <w:pPr>
              <w:spacing w:after="0"/>
              <w:rPr>
                <w:sz w:val="14"/>
                <w:szCs w:val="14"/>
                <w:color w:val="auto"/>
              </w:rPr>
            </w:pPr>
          </w:p>
        </w:tc>
        <w:tc>
          <w:tcPr>
            <w:tcW w:w="1220" w:type="dxa"/>
            <w:vAlign w:val="bottom"/>
            <w:tcBorders>
              <w:top w:val="single" w:sz="8" w:color="auto"/>
            </w:tcBorders>
            <w:shd w:val="clear" w:color="auto" w:fill="E0E7ED"/>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Interest-bearing bank deposits and federal funds sold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699,996</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15,045</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4.33 %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362,608</w:t>
            </w:r>
          </w:p>
        </w:tc>
        <w:tc>
          <w:tcPr>
            <w:tcW w:w="8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9,498</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5.27 %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Investment securities: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U.S. Government obligations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79,048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1,949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4.97 %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9,206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2.51 %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360"/>
              <w:spacing w:after="0" w:line="202" w:lineRule="exact"/>
              <w:rPr>
                <w:sz w:val="20"/>
                <w:szCs w:val="20"/>
                <w:color w:val="auto"/>
              </w:rPr>
            </w:pPr>
            <w:r>
              <w:rPr>
                <w:rFonts w:ascii="Arial" w:cs="Arial" w:eastAsia="Arial" w:hAnsi="Arial"/>
                <w:sz w:val="14"/>
                <w:szCs w:val="14"/>
                <w:color w:val="auto"/>
              </w:rPr>
              <w:t>Obligations of states and political subdivisions</w:t>
            </w:r>
            <w:r>
              <w:rPr>
                <w:rFonts w:ascii="Arial" w:cs="Arial" w:eastAsia="Arial" w:hAnsi="Arial"/>
                <w:sz w:val="18"/>
                <w:szCs w:val="18"/>
                <w:color w:val="auto"/>
                <w:vertAlign w:val="superscript"/>
              </w:rPr>
              <w:t>1</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217,410</w:t>
            </w: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4,222</w:t>
            </w:r>
          </w:p>
        </w:tc>
        <w:tc>
          <w:tcPr>
            <w:tcW w:w="10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3.92 %</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157,047</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2,215</w:t>
            </w:r>
          </w:p>
        </w:tc>
        <w:tc>
          <w:tcPr>
            <w:tcW w:w="80" w:type="dxa"/>
            <w:vAlign w:val="bottom"/>
            <w:shd w:val="clear" w:color="auto" w:fill="E0E7ED"/>
          </w:tcPr>
          <w:p>
            <w:pPr>
              <w:spacing w:after="0"/>
              <w:rPr>
                <w:sz w:val="17"/>
                <w:szCs w:val="17"/>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189"/>
        </w:trPr>
        <w:tc>
          <w:tcPr>
            <w:tcW w:w="3820" w:type="dxa"/>
            <w:vAlign w:val="bottom"/>
          </w:tcPr>
          <w:p>
            <w:pPr>
              <w:ind w:left="360"/>
              <w:spacing w:after="0"/>
              <w:rPr>
                <w:sz w:val="20"/>
                <w:szCs w:val="20"/>
                <w:color w:val="auto"/>
              </w:rPr>
            </w:pPr>
            <w:r>
              <w:rPr>
                <w:rFonts w:ascii="Arial" w:cs="Arial" w:eastAsia="Arial" w:hAnsi="Arial"/>
                <w:sz w:val="14"/>
                <w:szCs w:val="14"/>
                <w:color w:val="auto"/>
              </w:rPr>
              <w:t>Other securities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2,637,232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38,407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2,655,975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36,949</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2.80 %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Restricted bank stock</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54,770</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1,302</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4.79 %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6,439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185</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5.78 %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Loans held for sale</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5,181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6.11 %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7,093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230</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6.52 %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180"/>
              <w:spacing w:after="0" w:line="202" w:lineRule="exact"/>
              <w:rPr>
                <w:sz w:val="20"/>
                <w:szCs w:val="20"/>
                <w:color w:val="auto"/>
              </w:rPr>
            </w:pPr>
            <w:r>
              <w:rPr>
                <w:rFonts w:ascii="Arial" w:cs="Arial" w:eastAsia="Arial" w:hAnsi="Arial"/>
                <w:sz w:val="14"/>
                <w:szCs w:val="14"/>
                <w:color w:val="auto"/>
              </w:rPr>
              <w:t>Portfolio loans</w:t>
            </w:r>
            <w:r>
              <w:rPr>
                <w:rFonts w:ascii="Arial" w:cs="Arial" w:eastAsia="Arial" w:hAnsi="Arial"/>
                <w:sz w:val="18"/>
                <w:szCs w:val="18"/>
                <w:color w:val="auto"/>
                <w:vertAlign w:val="superscript"/>
              </w:rPr>
              <w:t>1, 2</w:t>
            </w: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11,850,318</w:t>
            </w:r>
          </w:p>
        </w:tc>
        <w:tc>
          <w:tcPr>
            <w:tcW w:w="100" w:type="dxa"/>
            <w:vAlign w:val="bottom"/>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354,507</w:t>
            </w:r>
          </w:p>
        </w:tc>
        <w:tc>
          <w:tcPr>
            <w:tcW w:w="100" w:type="dxa"/>
            <w:vAlign w:val="bottom"/>
            <w:shd w:val="clear" w:color="auto" w:fill="E0E7ED"/>
          </w:tcPr>
          <w:p>
            <w:pPr>
              <w:spacing w:after="0"/>
              <w:rPr>
                <w:sz w:val="17"/>
                <w:szCs w:val="17"/>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6.03 %</w:t>
            </w:r>
          </w:p>
        </w:tc>
        <w:tc>
          <w:tcPr>
            <w:tcW w:w="10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7,804,976</w:t>
            </w:r>
          </w:p>
        </w:tc>
        <w:tc>
          <w:tcPr>
            <w:tcW w:w="80" w:type="dxa"/>
            <w:vAlign w:val="bottom"/>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spacing w:after="0"/>
              <w:rPr>
                <w:sz w:val="17"/>
                <w:szCs w:val="17"/>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209,418</w:t>
            </w:r>
          </w:p>
        </w:tc>
        <w:tc>
          <w:tcPr>
            <w:tcW w:w="80" w:type="dxa"/>
            <w:vAlign w:val="bottom"/>
            <w:shd w:val="clear" w:color="auto" w:fill="E0E7ED"/>
          </w:tcPr>
          <w:p>
            <w:pPr>
              <w:spacing w:after="0"/>
              <w:rPr>
                <w:sz w:val="17"/>
                <w:szCs w:val="17"/>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5.40 %</w:t>
            </w:r>
          </w:p>
        </w:tc>
        <w:tc>
          <w:tcPr>
            <w:tcW w:w="0" w:type="dxa"/>
            <w:vAlign w:val="bottom"/>
          </w:tcPr>
          <w:p>
            <w:pPr>
              <w:spacing w:after="0"/>
              <w:rPr>
                <w:sz w:val="1"/>
                <w:szCs w:val="1"/>
                <w:color w:val="auto"/>
              </w:rPr>
            </w:pPr>
          </w:p>
        </w:tc>
      </w:tr>
      <w:tr>
        <w:trPr>
          <w:trHeight w:val="183"/>
        </w:trPr>
        <w:tc>
          <w:tcPr>
            <w:tcW w:w="3820" w:type="dxa"/>
            <w:vAlign w:val="bottom"/>
          </w:tcPr>
          <w:p>
            <w:pPr>
              <w:ind w:left="180"/>
              <w:spacing w:after="0" w:line="182" w:lineRule="exact"/>
              <w:rPr>
                <w:sz w:val="20"/>
                <w:szCs w:val="20"/>
                <w:color w:val="auto"/>
              </w:rPr>
            </w:pPr>
            <w:r>
              <w:rPr>
                <w:rFonts w:ascii="Arial" w:cs="Arial" w:eastAsia="Arial" w:hAnsi="Arial"/>
                <w:sz w:val="14"/>
                <w:szCs w:val="14"/>
                <w:color w:val="auto"/>
              </w:rPr>
              <w:t>Total interest-earning assets</w:t>
            </w:r>
            <w:r>
              <w:rPr>
                <w:rFonts w:ascii="Arial" w:cs="Arial" w:eastAsia="Arial" w:hAnsi="Arial"/>
                <w:sz w:val="18"/>
                <w:szCs w:val="18"/>
                <w:color w:val="auto"/>
                <w:vertAlign w:val="superscript"/>
              </w:rPr>
              <w:t>1, 3</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15,543,955</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415,589</w:t>
            </w: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5.39 %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11,003,344</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258,610</w:t>
            </w:r>
          </w:p>
        </w:tc>
        <w:tc>
          <w:tcPr>
            <w:tcW w:w="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4.73 %</w:t>
            </w: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Cash and due from banks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164,617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107,679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Premises and equipment</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161,447</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122,625</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ACL</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(163,840)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(92,662)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Other assets</w:t>
            </w: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1,255,217</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915,964</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16,961,396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12,056,950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Interest-bearing transaction deposits</w:t>
            </w:r>
          </w:p>
        </w:tc>
        <w:tc>
          <w:tcPr>
            <w:tcW w:w="200" w:type="dxa"/>
            <w:vAlign w:val="bottom"/>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2,919,452</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26,216</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1.81 %</w:t>
            </w:r>
          </w:p>
        </w:tc>
        <w:tc>
          <w:tcPr>
            <w:tcW w:w="300" w:type="dxa"/>
            <w:vAlign w:val="bottom"/>
            <w:gridSpan w:val="2"/>
            <w:shd w:val="clear" w:color="auto" w:fill="E0E7ED"/>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2,458,886</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20,816</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1.70 %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Savings and money market deposits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5,417,935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73,374</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3,172,640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35,134</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Time deposits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2,468,406</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45,869</w:t>
            </w: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3.75 %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1,659,318</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31,727</w:t>
            </w: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3.85 %</w:t>
            </w: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Federal funds purchased and repurchase agreements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143,400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1,762</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2.48 %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161,514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2,412</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3.00 %</w:t>
            </w:r>
          </w:p>
        </w:tc>
        <w:tc>
          <w:tcPr>
            <w:tcW w:w="0" w:type="dxa"/>
            <w:vAlign w:val="bottom"/>
          </w:tcPr>
          <w:p>
            <w:pPr>
              <w:spacing w:after="0"/>
              <w:rPr>
                <w:sz w:val="1"/>
                <w:szCs w:val="1"/>
                <w:color w:val="auto"/>
              </w:rPr>
            </w:pPr>
          </w:p>
        </w:tc>
      </w:tr>
      <w:tr>
        <w:trPr>
          <w:trHeight w:val="203"/>
        </w:trPr>
        <w:tc>
          <w:tcPr>
            <w:tcW w:w="3820" w:type="dxa"/>
            <w:vAlign w:val="bottom"/>
            <w:shd w:val="clear" w:color="auto" w:fill="E0E7ED"/>
          </w:tcPr>
          <w:p>
            <w:pPr>
              <w:ind w:left="180"/>
              <w:spacing w:after="0" w:line="202" w:lineRule="exact"/>
              <w:rPr>
                <w:sz w:val="20"/>
                <w:szCs w:val="20"/>
                <w:color w:val="auto"/>
              </w:rPr>
            </w:pPr>
            <w:r>
              <w:rPr>
                <w:rFonts w:ascii="Arial" w:cs="Arial" w:eastAsia="Arial" w:hAnsi="Arial"/>
                <w:sz w:val="14"/>
                <w:szCs w:val="14"/>
                <w:color w:val="auto"/>
              </w:rPr>
              <w:t>Borrowings</w:t>
            </w:r>
            <w:r>
              <w:rPr>
                <w:rFonts w:ascii="Arial" w:cs="Arial" w:eastAsia="Arial" w:hAnsi="Arial"/>
                <w:sz w:val="18"/>
                <w:szCs w:val="18"/>
                <w:color w:val="auto"/>
                <w:vertAlign w:val="superscript"/>
              </w:rPr>
              <w:t>4</w:t>
            </w: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290,131</w:t>
            </w:r>
          </w:p>
        </w:tc>
        <w:tc>
          <w:tcPr>
            <w:tcW w:w="100" w:type="dxa"/>
            <w:vAlign w:val="bottom"/>
            <w:shd w:val="clear" w:color="auto" w:fill="E0E7ED"/>
          </w:tcPr>
          <w:p>
            <w:pPr>
              <w:spacing w:after="0"/>
              <w:rPr>
                <w:sz w:val="17"/>
                <w:szCs w:val="17"/>
                <w:color w:val="auto"/>
              </w:rPr>
            </w:pPr>
          </w:p>
        </w:tc>
        <w:tc>
          <w:tcPr>
            <w:tcW w:w="180" w:type="dxa"/>
            <w:vAlign w:val="bottom"/>
            <w:shd w:val="clear" w:color="auto" w:fill="E0E7ED"/>
          </w:tcPr>
          <w:p>
            <w:pPr>
              <w:spacing w:after="0"/>
              <w:rPr>
                <w:sz w:val="17"/>
                <w:szCs w:val="17"/>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7,379</w:t>
            </w:r>
          </w:p>
        </w:tc>
        <w:tc>
          <w:tcPr>
            <w:tcW w:w="100" w:type="dxa"/>
            <w:vAlign w:val="bottom"/>
            <w:shd w:val="clear" w:color="auto" w:fill="E0E7ED"/>
          </w:tcPr>
          <w:p>
            <w:pPr>
              <w:spacing w:after="0"/>
              <w:rPr>
                <w:sz w:val="17"/>
                <w:szCs w:val="17"/>
                <w:color w:val="auto"/>
              </w:rPr>
            </w:pPr>
          </w:p>
        </w:tc>
        <w:tc>
          <w:tcPr>
            <w:tcW w:w="120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5.13 %</w:t>
            </w:r>
          </w:p>
        </w:tc>
        <w:tc>
          <w:tcPr>
            <w:tcW w:w="10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253,065</w:t>
            </w:r>
          </w:p>
        </w:tc>
        <w:tc>
          <w:tcPr>
            <w:tcW w:w="80" w:type="dxa"/>
            <w:vAlign w:val="bottom"/>
            <w:shd w:val="clear" w:color="auto" w:fill="E0E7ED"/>
          </w:tcPr>
          <w:p>
            <w:pPr>
              <w:spacing w:after="0"/>
              <w:rPr>
                <w:sz w:val="17"/>
                <w:szCs w:val="17"/>
                <w:color w:val="auto"/>
              </w:rPr>
            </w:pPr>
          </w:p>
        </w:tc>
        <w:tc>
          <w:tcPr>
            <w:tcW w:w="200" w:type="dxa"/>
            <w:vAlign w:val="bottom"/>
            <w:shd w:val="clear" w:color="auto" w:fill="E0E7ED"/>
          </w:tcPr>
          <w:p>
            <w:pPr>
              <w:spacing w:after="0"/>
              <w:rPr>
                <w:sz w:val="17"/>
                <w:szCs w:val="17"/>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7,236</w:t>
            </w:r>
          </w:p>
        </w:tc>
        <w:tc>
          <w:tcPr>
            <w:tcW w:w="80" w:type="dxa"/>
            <w:vAlign w:val="bottom"/>
            <w:shd w:val="clear" w:color="auto" w:fill="E0E7ED"/>
          </w:tcPr>
          <w:p>
            <w:pPr>
              <w:spacing w:after="0"/>
              <w:rPr>
                <w:sz w:val="17"/>
                <w:szCs w:val="17"/>
                <w:color w:val="auto"/>
              </w:rPr>
            </w:pPr>
          </w:p>
        </w:tc>
        <w:tc>
          <w:tcPr>
            <w:tcW w:w="1220" w:type="dxa"/>
            <w:vAlign w:val="bottom"/>
            <w:shd w:val="clear" w:color="auto" w:fill="E0E7ED"/>
          </w:tcPr>
          <w:p>
            <w:pPr>
              <w:jc w:val="right"/>
              <w:spacing w:after="0"/>
              <w:rPr>
                <w:sz w:val="20"/>
                <w:szCs w:val="20"/>
                <w:color w:val="auto"/>
              </w:rPr>
            </w:pPr>
            <w:r>
              <w:rPr>
                <w:rFonts w:ascii="Arial" w:cs="Arial" w:eastAsia="Arial" w:hAnsi="Arial"/>
                <w:sz w:val="14"/>
                <w:szCs w:val="14"/>
                <w:color w:val="auto"/>
              </w:rPr>
              <w:t>5.75 %</w:t>
            </w:r>
          </w:p>
        </w:tc>
        <w:tc>
          <w:tcPr>
            <w:tcW w:w="0" w:type="dxa"/>
            <w:vAlign w:val="bottom"/>
          </w:tcPr>
          <w:p>
            <w:pPr>
              <w:spacing w:after="0"/>
              <w:rPr>
                <w:sz w:val="1"/>
                <w:szCs w:val="1"/>
                <w:color w:val="auto"/>
              </w:rPr>
            </w:pPr>
          </w:p>
        </w:tc>
      </w:tr>
      <w:tr>
        <w:trPr>
          <w:trHeight w:val="148"/>
        </w:trPr>
        <w:tc>
          <w:tcPr>
            <w:tcW w:w="3820" w:type="dxa"/>
            <w:vAlign w:val="bottom"/>
          </w:tcPr>
          <w:p>
            <w:pPr>
              <w:ind w:left="180"/>
              <w:spacing w:after="0" w:line="149" w:lineRule="exact"/>
              <w:rPr>
                <w:sz w:val="20"/>
                <w:szCs w:val="20"/>
                <w:color w:val="auto"/>
              </w:rPr>
            </w:pPr>
            <w:r>
              <w:rPr>
                <w:rFonts w:ascii="Arial" w:cs="Arial" w:eastAsia="Arial" w:hAnsi="Arial"/>
                <w:sz w:val="14"/>
                <w:szCs w:val="14"/>
                <w:color w:val="auto"/>
              </w:rPr>
              <w:t>Junior subordinated debt issued to unconsolidated</w:t>
            </w: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76,378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2,747</w:t>
            </w:r>
          </w:p>
        </w:tc>
        <w:tc>
          <w:tcPr>
            <w:tcW w:w="10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7.25 %</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73,321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2,048</w:t>
            </w:r>
          </w:p>
        </w:tc>
        <w:tc>
          <w:tcPr>
            <w:tcW w:w="80" w:type="dxa"/>
            <w:vAlign w:val="bottom"/>
          </w:tcPr>
          <w:p>
            <w:pPr>
              <w:spacing w:after="0"/>
              <w:rPr>
                <w:sz w:val="12"/>
                <w:szCs w:val="12"/>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5.62 %</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E0E7ED"/>
            </w:tcBorders>
          </w:tcPr>
          <w:p>
            <w:pPr>
              <w:ind w:left="180"/>
              <w:spacing w:after="0"/>
              <w:rPr>
                <w:sz w:val="20"/>
                <w:szCs w:val="20"/>
                <w:color w:val="auto"/>
              </w:rPr>
            </w:pPr>
            <w:r>
              <w:rPr>
                <w:rFonts w:ascii="Arial" w:cs="Arial" w:eastAsia="Arial" w:hAnsi="Arial"/>
                <w:sz w:val="14"/>
                <w:szCs w:val="14"/>
                <w:color w:val="auto"/>
              </w:rPr>
              <w:t>trusts</w:t>
            </w: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8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4"/>
                <w:szCs w:val="14"/>
                <w:color w:val="auto"/>
              </w:rPr>
              <w:t>Total interest-bearing liabilities</w:t>
            </w:r>
          </w:p>
        </w:tc>
        <w:tc>
          <w:tcPr>
            <w:tcW w:w="20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11,315,702</w:t>
            </w:r>
          </w:p>
        </w:tc>
        <w:tc>
          <w:tcPr>
            <w:tcW w:w="100" w:type="dxa"/>
            <w:vAlign w:val="bottom"/>
            <w:tcBorders>
              <w:bottom w:val="single" w:sz="8" w:color="E0E7ED"/>
            </w:tcBorders>
            <w:shd w:val="clear" w:color="auto" w:fill="E0E7ED"/>
          </w:tcPr>
          <w:p>
            <w:pPr>
              <w:spacing w:after="0"/>
              <w:rPr>
                <w:sz w:val="17"/>
                <w:szCs w:val="17"/>
                <w:color w:val="auto"/>
              </w:rPr>
            </w:pPr>
          </w:p>
        </w:tc>
        <w:tc>
          <w:tcPr>
            <w:tcW w:w="18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157,347</w:t>
            </w:r>
          </w:p>
        </w:tc>
        <w:tc>
          <w:tcPr>
            <w:tcW w:w="100" w:type="dxa"/>
            <w:vAlign w:val="bottom"/>
            <w:tcBorders>
              <w:bottom w:val="single" w:sz="8" w:color="E0E7ED"/>
            </w:tcBorders>
            <w:shd w:val="clear" w:color="auto" w:fill="E0E7ED"/>
          </w:tcPr>
          <w:p>
            <w:pPr>
              <w:spacing w:after="0"/>
              <w:rPr>
                <w:sz w:val="17"/>
                <w:szCs w:val="17"/>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2.80 %</w:t>
            </w:r>
          </w:p>
        </w:tc>
        <w:tc>
          <w:tcPr>
            <w:tcW w:w="10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E0E7ED"/>
            </w:tcBorders>
            <w:shd w:val="clear" w:color="auto" w:fill="E0E7ED"/>
          </w:tcPr>
          <w:p>
            <w:pPr>
              <w:spacing w:after="0"/>
              <w:rPr>
                <w:sz w:val="17"/>
                <w:szCs w:val="17"/>
                <w:color w:val="auto"/>
              </w:rPr>
            </w:pPr>
          </w:p>
        </w:tc>
        <w:tc>
          <w:tcPr>
            <w:tcW w:w="940" w:type="dxa"/>
            <w:vAlign w:val="bottom"/>
            <w:tcBorders>
              <w:bottom w:val="single" w:sz="8" w:color="E0E7ED"/>
            </w:tcBorders>
            <w:shd w:val="clear" w:color="auto" w:fill="E0E7ED"/>
          </w:tcPr>
          <w:p>
            <w:pPr>
              <w:jc w:val="right"/>
              <w:ind w:right="8"/>
              <w:spacing w:after="0"/>
              <w:rPr>
                <w:sz w:val="20"/>
                <w:szCs w:val="20"/>
                <w:color w:val="auto"/>
              </w:rPr>
            </w:pPr>
            <w:r>
              <w:rPr>
                <w:rFonts w:ascii="Arial" w:cs="Arial" w:eastAsia="Arial" w:hAnsi="Arial"/>
                <w:sz w:val="14"/>
                <w:szCs w:val="14"/>
                <w:color w:val="auto"/>
              </w:rPr>
              <w:t>7,778,744</w:t>
            </w:r>
          </w:p>
        </w:tc>
        <w:tc>
          <w:tcPr>
            <w:tcW w:w="80" w:type="dxa"/>
            <w:vAlign w:val="bottom"/>
            <w:tcBorders>
              <w:bottom w:val="single" w:sz="8" w:color="E0E7ED"/>
            </w:tcBorders>
            <w:shd w:val="clear" w:color="auto" w:fill="E0E7ED"/>
          </w:tcPr>
          <w:p>
            <w:pPr>
              <w:spacing w:after="0"/>
              <w:rPr>
                <w:sz w:val="17"/>
                <w:szCs w:val="17"/>
                <w:color w:val="auto"/>
              </w:rPr>
            </w:pPr>
          </w:p>
        </w:tc>
        <w:tc>
          <w:tcPr>
            <w:tcW w:w="200" w:type="dxa"/>
            <w:vAlign w:val="bottom"/>
            <w:tcBorders>
              <w:bottom w:val="single" w:sz="8" w:color="auto"/>
            </w:tcBorders>
            <w:shd w:val="clear" w:color="auto" w:fill="E0E7ED"/>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99,373</w:t>
            </w:r>
          </w:p>
        </w:tc>
        <w:tc>
          <w:tcPr>
            <w:tcW w:w="80" w:type="dxa"/>
            <w:vAlign w:val="bottom"/>
            <w:tcBorders>
              <w:bottom w:val="single" w:sz="8" w:color="E0E7ED"/>
            </w:tcBorders>
            <w:shd w:val="clear" w:color="auto" w:fill="E0E7ED"/>
          </w:tcPr>
          <w:p>
            <w:pPr>
              <w:spacing w:after="0"/>
              <w:rPr>
                <w:sz w:val="17"/>
                <w:szCs w:val="17"/>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4"/>
                <w:szCs w:val="14"/>
                <w:color w:val="auto"/>
              </w:rPr>
              <w:t>2.57 %</w:t>
            </w:r>
          </w:p>
        </w:tc>
        <w:tc>
          <w:tcPr>
            <w:tcW w:w="0" w:type="dxa"/>
            <w:vAlign w:val="bottom"/>
          </w:tcPr>
          <w:p>
            <w:pPr>
              <w:spacing w:after="0"/>
              <w:rPr>
                <w:sz w:val="1"/>
                <w:szCs w:val="1"/>
                <w:color w:val="auto"/>
              </w:rPr>
            </w:pPr>
          </w:p>
        </w:tc>
      </w:tr>
      <w:tr>
        <w:trPr>
          <w:trHeight w:val="20"/>
        </w:trPr>
        <w:tc>
          <w:tcPr>
            <w:tcW w:w="38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94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820" w:type="dxa"/>
            <w:vAlign w:val="bottom"/>
            <w:tcBorders>
              <w:bottom w:val="single" w:sz="8" w:color="E0E7ED"/>
            </w:tcBorders>
            <w:shd w:val="clear" w:color="auto" w:fill="E0E7ED"/>
          </w:tcPr>
          <w:p>
            <w:pPr>
              <w:ind w:left="180"/>
              <w:spacing w:after="0" w:line="189" w:lineRule="exact"/>
              <w:rPr>
                <w:sz w:val="20"/>
                <w:szCs w:val="20"/>
                <w:color w:val="auto"/>
              </w:rPr>
            </w:pPr>
            <w:r>
              <w:rPr>
                <w:rFonts w:ascii="Arial" w:cs="Arial" w:eastAsia="Arial" w:hAnsi="Arial"/>
                <w:sz w:val="14"/>
                <w:szCs w:val="14"/>
                <w:color w:val="auto"/>
              </w:rPr>
              <w:t>Net interest spread</w:t>
            </w:r>
            <w:r>
              <w:rPr>
                <w:rFonts w:ascii="Arial" w:cs="Arial" w:eastAsia="Arial" w:hAnsi="Arial"/>
                <w:sz w:val="18"/>
                <w:szCs w:val="18"/>
                <w:color w:val="auto"/>
                <w:vertAlign w:val="superscript"/>
              </w:rPr>
              <w:t>1</w:t>
            </w: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100" w:type="dxa"/>
            <w:vAlign w:val="bottom"/>
            <w:tcBorders>
              <w:bottom w:val="single" w:sz="8" w:color="E0E7ED"/>
            </w:tcBorders>
            <w:shd w:val="clear" w:color="auto" w:fill="E0E7ED"/>
          </w:tcPr>
          <w:p>
            <w:pPr>
              <w:spacing w:after="0"/>
              <w:rPr>
                <w:sz w:val="18"/>
                <w:szCs w:val="18"/>
                <w:color w:val="auto"/>
              </w:rPr>
            </w:pPr>
          </w:p>
        </w:tc>
        <w:tc>
          <w:tcPr>
            <w:tcW w:w="18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100" w:type="dxa"/>
            <w:vAlign w:val="bottom"/>
            <w:tcBorders>
              <w:bottom w:val="single" w:sz="8" w:color="E0E7ED"/>
            </w:tcBorders>
            <w:shd w:val="clear" w:color="auto" w:fill="E0E7ED"/>
          </w:tcPr>
          <w:p>
            <w:pPr>
              <w:spacing w:after="0"/>
              <w:rPr>
                <w:sz w:val="18"/>
                <w:szCs w:val="18"/>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2.59 %</w:t>
            </w:r>
          </w:p>
        </w:tc>
        <w:tc>
          <w:tcPr>
            <w:tcW w:w="10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80" w:type="dxa"/>
            <w:vAlign w:val="bottom"/>
            <w:tcBorders>
              <w:bottom w:val="single" w:sz="8" w:color="E0E7ED"/>
            </w:tcBorders>
            <w:shd w:val="clear" w:color="auto" w:fill="E0E7ED"/>
          </w:tcPr>
          <w:p>
            <w:pPr>
              <w:spacing w:after="0"/>
              <w:rPr>
                <w:sz w:val="18"/>
                <w:szCs w:val="18"/>
                <w:color w:val="auto"/>
              </w:rPr>
            </w:pPr>
          </w:p>
        </w:tc>
        <w:tc>
          <w:tcPr>
            <w:tcW w:w="200" w:type="dxa"/>
            <w:vAlign w:val="bottom"/>
            <w:tcBorders>
              <w:bottom w:val="single" w:sz="8" w:color="E0E7ED"/>
            </w:tcBorders>
            <w:shd w:val="clear" w:color="auto" w:fill="E0E7ED"/>
          </w:tcPr>
          <w:p>
            <w:pPr>
              <w:spacing w:after="0"/>
              <w:rPr>
                <w:sz w:val="18"/>
                <w:szCs w:val="18"/>
                <w:color w:val="auto"/>
              </w:rPr>
            </w:pPr>
          </w:p>
        </w:tc>
        <w:tc>
          <w:tcPr>
            <w:tcW w:w="940" w:type="dxa"/>
            <w:vAlign w:val="bottom"/>
            <w:tcBorders>
              <w:bottom w:val="single" w:sz="8" w:color="E0E7ED"/>
            </w:tcBorders>
            <w:shd w:val="clear" w:color="auto" w:fill="E0E7ED"/>
          </w:tcPr>
          <w:p>
            <w:pPr>
              <w:spacing w:after="0"/>
              <w:rPr>
                <w:sz w:val="18"/>
                <w:szCs w:val="18"/>
                <w:color w:val="auto"/>
              </w:rPr>
            </w:pPr>
          </w:p>
        </w:tc>
        <w:tc>
          <w:tcPr>
            <w:tcW w:w="80" w:type="dxa"/>
            <w:vAlign w:val="bottom"/>
            <w:tcBorders>
              <w:bottom w:val="single" w:sz="8" w:color="E0E7ED"/>
            </w:tcBorders>
            <w:shd w:val="clear" w:color="auto" w:fill="E0E7ED"/>
          </w:tcPr>
          <w:p>
            <w:pPr>
              <w:spacing w:after="0"/>
              <w:rPr>
                <w:sz w:val="18"/>
                <w:szCs w:val="18"/>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2.16 %</w:t>
            </w:r>
          </w:p>
        </w:tc>
        <w:tc>
          <w:tcPr>
            <w:tcW w:w="0" w:type="dxa"/>
            <w:vAlign w:val="bottom"/>
          </w:tcPr>
          <w:p>
            <w:pPr>
              <w:spacing w:after="0"/>
              <w:rPr>
                <w:sz w:val="1"/>
                <w:szCs w:val="1"/>
                <w:color w:val="auto"/>
              </w:rPr>
            </w:pPr>
          </w:p>
        </w:tc>
      </w:tr>
      <w:tr>
        <w:trPr>
          <w:trHeight w:val="20"/>
        </w:trPr>
        <w:tc>
          <w:tcPr>
            <w:tcW w:w="382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8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20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tcBorders>
          </w:tcPr>
          <w:p>
            <w:pPr>
              <w:spacing w:after="0" w:line="20" w:lineRule="exact"/>
              <w:rPr>
                <w:sz w:val="1"/>
                <w:szCs w:val="1"/>
                <w:color w:val="auto"/>
              </w:rPr>
            </w:pPr>
          </w:p>
        </w:tc>
        <w:tc>
          <w:tcPr>
            <w:tcW w:w="940" w:type="dxa"/>
            <w:vAlign w:val="bottom"/>
            <w:tcBorders>
              <w:top w:val="single" w:sz="8" w:color="E0E7ED"/>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12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Noninterest-bearing deposits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3,290,770</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2,762,439</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244,129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211,997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180"/>
              <w:spacing w:after="0"/>
              <w:rPr>
                <w:sz w:val="20"/>
                <w:szCs w:val="20"/>
                <w:color w:val="auto"/>
              </w:rPr>
            </w:pPr>
            <w:r>
              <w:rPr>
                <w:rFonts w:ascii="Arial" w:cs="Arial" w:eastAsia="Arial" w:hAnsi="Arial"/>
                <w:sz w:val="14"/>
                <w:szCs w:val="14"/>
                <w:color w:val="auto"/>
              </w:rPr>
              <w:t>Stockholders’ equity</w:t>
            </w: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2,110,795</w:t>
            </w:r>
          </w:p>
        </w:tc>
        <w:tc>
          <w:tcPr>
            <w:tcW w:w="100" w:type="dxa"/>
            <w:vAlign w:val="bottom"/>
            <w:shd w:val="clear" w:color="auto" w:fill="E0E7ED"/>
          </w:tcPr>
          <w:p>
            <w:pPr>
              <w:spacing w:after="0"/>
              <w:rPr>
                <w:sz w:val="16"/>
                <w:szCs w:val="16"/>
                <w:color w:val="auto"/>
              </w:rPr>
            </w:pPr>
          </w:p>
        </w:tc>
        <w:tc>
          <w:tcPr>
            <w:tcW w:w="18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1200" w:type="dxa"/>
            <w:vAlign w:val="bottom"/>
            <w:shd w:val="clear" w:color="auto" w:fill="E0E7ED"/>
          </w:tcPr>
          <w:p>
            <w:pPr>
              <w:spacing w:after="0"/>
              <w:rPr>
                <w:sz w:val="16"/>
                <w:szCs w:val="16"/>
                <w:color w:val="auto"/>
              </w:rPr>
            </w:pPr>
          </w:p>
        </w:tc>
        <w:tc>
          <w:tcPr>
            <w:tcW w:w="10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1,303,770</w:t>
            </w:r>
          </w:p>
        </w:tc>
        <w:tc>
          <w:tcPr>
            <w:tcW w:w="8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spacing w:after="0"/>
              <w:rPr>
                <w:sz w:val="16"/>
                <w:szCs w:val="16"/>
                <w:color w:val="auto"/>
              </w:rPr>
            </w:pPr>
          </w:p>
        </w:tc>
        <w:tc>
          <w:tcPr>
            <w:tcW w:w="80" w:type="dxa"/>
            <w:vAlign w:val="bottom"/>
            <w:shd w:val="clear" w:color="auto" w:fill="E0E7ED"/>
          </w:tcPr>
          <w:p>
            <w:pPr>
              <w:spacing w:after="0"/>
              <w:rPr>
                <w:sz w:val="16"/>
                <w:szCs w:val="16"/>
                <w:color w:val="auto"/>
              </w:rPr>
            </w:pPr>
          </w:p>
        </w:tc>
        <w:tc>
          <w:tcPr>
            <w:tcW w:w="1220" w:type="dxa"/>
            <w:vAlign w:val="bottom"/>
            <w:shd w:val="clear" w:color="auto" w:fill="E0E7ED"/>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20" w:type="dxa"/>
            <w:vAlign w:val="bottom"/>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16,961,396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12,056,950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2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E0E7ED"/>
            </w:tcBorders>
          </w:tcPr>
          <w:p>
            <w:pPr>
              <w:spacing w:after="0" w:line="20" w:lineRule="exact"/>
              <w:rPr>
                <w:sz w:val="1"/>
                <w:szCs w:val="1"/>
                <w:color w:val="auto"/>
              </w:rPr>
            </w:pPr>
          </w:p>
        </w:tc>
        <w:tc>
          <w:tcPr>
            <w:tcW w:w="940" w:type="dxa"/>
            <w:vAlign w:val="bottom"/>
            <w:tcBorders>
              <w:bottom w:val="single" w:sz="8" w:color="E0E7ED"/>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8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120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00" w:type="dxa"/>
            <w:vAlign w:val="bottom"/>
            <w:shd w:val="clear" w:color="auto" w:fill="E0E7ED"/>
          </w:tcPr>
          <w:p>
            <w:pPr>
              <w:spacing w:after="0"/>
              <w:rPr>
                <w:sz w:val="15"/>
                <w:szCs w:val="15"/>
                <w:color w:val="auto"/>
              </w:rPr>
            </w:pPr>
          </w:p>
        </w:tc>
        <w:tc>
          <w:tcPr>
            <w:tcW w:w="9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12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0"/>
              <w:spacing w:after="0" w:line="202" w:lineRule="exact"/>
              <w:rPr>
                <w:sz w:val="20"/>
                <w:szCs w:val="20"/>
                <w:color w:val="auto"/>
              </w:rPr>
            </w:pPr>
            <w:r>
              <w:rPr>
                <w:rFonts w:ascii="Arial" w:cs="Arial" w:eastAsia="Arial" w:hAnsi="Arial"/>
                <w:sz w:val="14"/>
                <w:szCs w:val="14"/>
                <w:color w:val="auto"/>
              </w:rPr>
              <w:t>Interest income / earning assets</w:t>
            </w:r>
            <w:r>
              <w:rPr>
                <w:rFonts w:ascii="Arial" w:cs="Arial" w:eastAsia="Arial" w:hAnsi="Arial"/>
                <w:sz w:val="18"/>
                <w:szCs w:val="18"/>
                <w:color w:val="auto"/>
                <w:vertAlign w:val="superscript"/>
              </w:rPr>
              <w:t>1, 3</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15,543,955</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415,589</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5.39 %</w:t>
            </w:r>
          </w:p>
        </w:tc>
        <w:tc>
          <w:tcPr>
            <w:tcW w:w="3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11,003,344</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258,610</w:t>
            </w:r>
          </w:p>
        </w:tc>
        <w:tc>
          <w:tcPr>
            <w:tcW w:w="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4.73 %</w:t>
            </w:r>
          </w:p>
        </w:tc>
        <w:tc>
          <w:tcPr>
            <w:tcW w:w="0" w:type="dxa"/>
            <w:vAlign w:val="bottom"/>
          </w:tcPr>
          <w:p>
            <w:pPr>
              <w:spacing w:after="0"/>
              <w:rPr>
                <w:sz w:val="1"/>
                <w:szCs w:val="1"/>
                <w:color w:val="auto"/>
              </w:rPr>
            </w:pPr>
          </w:p>
        </w:tc>
      </w:tr>
      <w:tr>
        <w:trPr>
          <w:trHeight w:val="189"/>
        </w:trPr>
        <w:tc>
          <w:tcPr>
            <w:tcW w:w="3820" w:type="dxa"/>
            <w:vAlign w:val="bottom"/>
            <w:shd w:val="clear" w:color="auto" w:fill="E0E7ED"/>
          </w:tcPr>
          <w:p>
            <w:pPr>
              <w:ind w:left="20"/>
              <w:spacing w:after="0"/>
              <w:rPr>
                <w:sz w:val="20"/>
                <w:szCs w:val="20"/>
                <w:color w:val="auto"/>
              </w:rPr>
            </w:pPr>
            <w:r>
              <w:rPr>
                <w:rFonts w:ascii="Arial" w:cs="Arial" w:eastAsia="Arial" w:hAnsi="Arial"/>
                <w:sz w:val="14"/>
                <w:szCs w:val="14"/>
                <w:color w:val="auto"/>
              </w:rPr>
              <w:t>Interest expense / earning assets</w:t>
            </w: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spacing w:after="0"/>
              <w:rPr>
                <w:sz w:val="20"/>
                <w:szCs w:val="20"/>
                <w:color w:val="auto"/>
              </w:rPr>
            </w:pPr>
            <w:r>
              <w:rPr>
                <w:rFonts w:ascii="Arial" w:cs="Arial" w:eastAsia="Arial" w:hAnsi="Arial"/>
                <w:sz w:val="14"/>
                <w:szCs w:val="14"/>
                <w:color w:val="auto"/>
              </w:rPr>
              <w:t>15,543,955</w:t>
            </w:r>
          </w:p>
        </w:tc>
        <w:tc>
          <w:tcPr>
            <w:tcW w:w="100" w:type="dxa"/>
            <w:vAlign w:val="bottom"/>
            <w:shd w:val="clear" w:color="auto" w:fill="E0E7ED"/>
          </w:tcPr>
          <w:p>
            <w:pPr>
              <w:spacing w:after="0"/>
              <w:rPr>
                <w:sz w:val="16"/>
                <w:szCs w:val="16"/>
                <w:color w:val="auto"/>
              </w:rPr>
            </w:pPr>
          </w:p>
        </w:tc>
        <w:tc>
          <w:tcPr>
            <w:tcW w:w="18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157,347</w:t>
            </w:r>
          </w:p>
        </w:tc>
        <w:tc>
          <w:tcPr>
            <w:tcW w:w="100" w:type="dxa"/>
            <w:vAlign w:val="bottom"/>
            <w:shd w:val="clear" w:color="auto" w:fill="E0E7ED"/>
          </w:tcPr>
          <w:p>
            <w:pPr>
              <w:spacing w:after="0"/>
              <w:rPr>
                <w:sz w:val="16"/>
                <w:szCs w:val="16"/>
                <w:color w:val="auto"/>
              </w:rPr>
            </w:pPr>
          </w:p>
        </w:tc>
        <w:tc>
          <w:tcPr>
            <w:tcW w:w="120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2.04 %</w:t>
            </w:r>
          </w:p>
        </w:tc>
        <w:tc>
          <w:tcPr>
            <w:tcW w:w="100" w:type="dxa"/>
            <w:vAlign w:val="bottom"/>
            <w:shd w:val="clear" w:color="auto" w:fill="E0E7ED"/>
          </w:tcPr>
          <w:p>
            <w:pPr>
              <w:spacing w:after="0"/>
              <w:rPr>
                <w:sz w:val="16"/>
                <w:szCs w:val="16"/>
                <w:color w:val="auto"/>
              </w:rPr>
            </w:pPr>
          </w:p>
        </w:tc>
        <w:tc>
          <w:tcPr>
            <w:tcW w:w="200" w:type="dxa"/>
            <w:vAlign w:val="bottom"/>
            <w:shd w:val="clear" w:color="auto" w:fill="E0E7ED"/>
          </w:tcPr>
          <w:p>
            <w:pPr>
              <w:spacing w:after="0"/>
              <w:rPr>
                <w:sz w:val="16"/>
                <w:szCs w:val="16"/>
                <w:color w:val="auto"/>
              </w:rPr>
            </w:pPr>
          </w:p>
        </w:tc>
        <w:tc>
          <w:tcPr>
            <w:tcW w:w="940" w:type="dxa"/>
            <w:vAlign w:val="bottom"/>
            <w:shd w:val="clear" w:color="auto" w:fill="E0E7ED"/>
          </w:tcPr>
          <w:p>
            <w:pPr>
              <w:jc w:val="right"/>
              <w:ind w:right="8"/>
              <w:spacing w:after="0"/>
              <w:rPr>
                <w:sz w:val="20"/>
                <w:szCs w:val="20"/>
                <w:color w:val="auto"/>
              </w:rPr>
            </w:pPr>
            <w:r>
              <w:rPr>
                <w:rFonts w:ascii="Arial" w:cs="Arial" w:eastAsia="Arial" w:hAnsi="Arial"/>
                <w:sz w:val="14"/>
                <w:szCs w:val="14"/>
                <w:color w:val="auto"/>
              </w:rPr>
              <w:t>11,003,344</w:t>
            </w:r>
          </w:p>
        </w:tc>
        <w:tc>
          <w:tcPr>
            <w:tcW w:w="80" w:type="dxa"/>
            <w:vAlign w:val="bottom"/>
            <w:shd w:val="clear" w:color="auto" w:fill="E0E7ED"/>
          </w:tcPr>
          <w:p>
            <w:pPr>
              <w:spacing w:after="0"/>
              <w:rPr>
                <w:sz w:val="16"/>
                <w:szCs w:val="16"/>
                <w:color w:val="auto"/>
              </w:rPr>
            </w:pPr>
          </w:p>
        </w:tc>
        <w:tc>
          <w:tcPr>
            <w:tcW w:w="200" w:type="dxa"/>
            <w:vAlign w:val="bottom"/>
            <w:tcBorders>
              <w:bottom w:val="single" w:sz="8" w:color="auto"/>
            </w:tcBorders>
            <w:shd w:val="clear" w:color="auto" w:fill="E0E7ED"/>
          </w:tcPr>
          <w:p>
            <w:pPr>
              <w:spacing w:after="0"/>
              <w:rPr>
                <w:sz w:val="16"/>
                <w:szCs w:val="16"/>
                <w:color w:val="auto"/>
              </w:rPr>
            </w:pPr>
          </w:p>
        </w:tc>
        <w:tc>
          <w:tcPr>
            <w:tcW w:w="940" w:type="dxa"/>
            <w:vAlign w:val="bottom"/>
            <w:tcBorders>
              <w:bottom w:val="single" w:sz="8" w:color="auto"/>
            </w:tcBorders>
            <w:shd w:val="clear" w:color="auto" w:fill="E0E7ED"/>
          </w:tcPr>
          <w:p>
            <w:pPr>
              <w:jc w:val="right"/>
              <w:ind w:right="8"/>
              <w:spacing w:after="0"/>
              <w:rPr>
                <w:sz w:val="20"/>
                <w:szCs w:val="20"/>
                <w:color w:val="auto"/>
              </w:rPr>
            </w:pPr>
            <w:r>
              <w:rPr>
                <w:rFonts w:ascii="Arial" w:cs="Arial" w:eastAsia="Arial" w:hAnsi="Arial"/>
                <w:sz w:val="14"/>
                <w:szCs w:val="14"/>
                <w:color w:val="auto"/>
              </w:rPr>
              <w:t>99,373</w:t>
            </w:r>
          </w:p>
        </w:tc>
        <w:tc>
          <w:tcPr>
            <w:tcW w:w="80" w:type="dxa"/>
            <w:vAlign w:val="bottom"/>
            <w:shd w:val="clear" w:color="auto" w:fill="E0E7ED"/>
          </w:tcPr>
          <w:p>
            <w:pPr>
              <w:spacing w:after="0"/>
              <w:rPr>
                <w:sz w:val="16"/>
                <w:szCs w:val="16"/>
                <w:color w:val="auto"/>
              </w:rPr>
            </w:pPr>
          </w:p>
        </w:tc>
        <w:tc>
          <w:tcPr>
            <w:tcW w:w="122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4"/>
                <w:szCs w:val="14"/>
                <w:color w:val="auto"/>
              </w:rPr>
              <w:t>1.82 %</w:t>
            </w: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line="182" w:lineRule="exact"/>
              <w:rPr>
                <w:sz w:val="20"/>
                <w:szCs w:val="20"/>
                <w:color w:val="auto"/>
              </w:rPr>
            </w:pPr>
            <w:r>
              <w:rPr>
                <w:rFonts w:ascii="Arial" w:cs="Arial" w:eastAsia="Arial" w:hAnsi="Arial"/>
                <w:sz w:val="14"/>
                <w:szCs w:val="14"/>
                <w:color w:val="auto"/>
              </w:rPr>
              <w:t>Net interest margin</w:t>
            </w:r>
            <w:r>
              <w:rPr>
                <w:rFonts w:ascii="Arial" w:cs="Arial" w:eastAsia="Arial" w:hAnsi="Arial"/>
                <w:sz w:val="18"/>
                <w:szCs w:val="18"/>
                <w:color w:val="auto"/>
                <w:vertAlign w:val="superscript"/>
              </w:rPr>
              <w:t>1</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258,242</w:t>
            </w:r>
          </w:p>
        </w:tc>
        <w:tc>
          <w:tcPr>
            <w:tcW w:w="100" w:type="dxa"/>
            <w:vAlign w:val="bottom"/>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159,237</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2.91 %</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00" w:hanging="330"/>
        <w:spacing w:after="0" w:line="251" w:lineRule="auto"/>
        <w:tabs>
          <w:tab w:leader="none" w:pos="525"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u w:val="single" w:color="auto"/>
          <w:color w:val="0000FF"/>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u w:val="single" w:color="auto"/>
          <w:color w:val="0000FF"/>
        </w:rPr>
        <w:t>”</w:t>
      </w:r>
      <w:r>
        <w:rPr>
          <w:rFonts w:ascii="Arial" w:cs="Arial" w:eastAsia="Arial" w:hAnsi="Arial"/>
          <w:sz w:val="14"/>
          <w:szCs w:val="14"/>
          <w:color w:val="auto"/>
        </w:rPr>
        <w:t xml:space="preserve"> included in this Quarterly Report.</w:t>
      </w:r>
    </w:p>
    <w:p>
      <w:pPr>
        <w:ind w:left="500" w:hanging="33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Non-accrual loans have been included in average portfolio loans.</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Interest income includes tax-equivalent adjustments of $1.3 million and $0.9 million for the six months ended June 30, 2025 and 2024, respectively.</w:t>
      </w:r>
    </w:p>
    <w:p>
      <w:pPr>
        <w:spacing w:after="0" w:line="14" w:lineRule="exact"/>
        <w:rPr>
          <w:rFonts w:ascii="Arial" w:cs="Arial" w:eastAsia="Arial" w:hAnsi="Arial"/>
          <w:sz w:val="14"/>
          <w:szCs w:val="14"/>
          <w:color w:val="auto"/>
        </w:rPr>
      </w:pPr>
    </w:p>
    <w:p>
      <w:pPr>
        <w:ind w:left="500" w:hanging="33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Includes short-term and long-term borrowings. Interest expense includes non-usage fees on a revolving loan.</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Notable changes in average assets and average liabilities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293"/>
              <w:spacing w:after="0"/>
              <w:rPr>
                <w:sz w:val="20"/>
                <w:szCs w:val="20"/>
                <w:color w:val="auto"/>
              </w:rPr>
            </w:pPr>
            <w:r>
              <w:rPr>
                <w:rFonts w:ascii="Arial" w:cs="Arial" w:eastAsia="Arial" w:hAnsi="Arial"/>
                <w:sz w:val="14"/>
                <w:szCs w:val="14"/>
                <w:b w:val="1"/>
                <w:bCs w:val="1"/>
                <w:color w:val="auto"/>
              </w:rPr>
              <w:t>% Change</w:t>
            </w:r>
          </w:p>
        </w:tc>
      </w:tr>
      <w:tr>
        <w:trPr>
          <w:trHeight w:val="243"/>
        </w:trPr>
        <w:tc>
          <w:tcPr>
            <w:tcW w:w="514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Average interest-earning assets</w:t>
            </w:r>
          </w:p>
        </w:tc>
        <w:tc>
          <w:tcPr>
            <w:tcW w:w="240" w:type="dxa"/>
            <w:vAlign w:val="bottom"/>
            <w:tcBorders>
              <w:top w:val="single" w:sz="8" w:color="auto"/>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17,700,356</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40" w:type="dxa"/>
            <w:vAlign w:val="bottom"/>
            <w:tcBorders>
              <w:top w:val="single" w:sz="8" w:color="auto"/>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11,000,785</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60" w:type="dxa"/>
            <w:vAlign w:val="bottom"/>
            <w:tcBorders>
              <w:top w:val="single" w:sz="8" w:color="auto"/>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6,699,571</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44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60.9 %</w:t>
            </w: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24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12,985,015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7,725,832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5,259,183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68.1 %</w:t>
            </w: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Average noninterest-bearing deposits</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3,542,617</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2,816,293</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726,324</w:t>
            </w:r>
          </w:p>
        </w:tc>
        <w:tc>
          <w:tcPr>
            <w:tcW w:w="100" w:type="dxa"/>
            <w:vAlign w:val="bottom"/>
            <w:tcBorders>
              <w:bottom w:val="single" w:sz="8" w:color="E0E7ED"/>
            </w:tcBorders>
            <w:shd w:val="clear" w:color="auto" w:fill="E0E7ED"/>
          </w:tcPr>
          <w:p>
            <w:pPr>
              <w:spacing w:after="0"/>
              <w:rPr>
                <w:sz w:val="21"/>
                <w:szCs w:val="21"/>
                <w:color w:val="auto"/>
              </w:rPr>
            </w:pP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25.8 %</w:t>
            </w:r>
          </w:p>
        </w:tc>
      </w:tr>
      <w:tr>
        <w:trPr>
          <w:trHeight w:val="270"/>
        </w:trPr>
        <w:tc>
          <w:tcPr>
            <w:tcW w:w="5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5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average deposits</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15,993,146</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10,067,875</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5,925,271</w:t>
            </w:r>
          </w:p>
        </w:tc>
        <w:tc>
          <w:tcPr>
            <w:tcW w:w="100" w:type="dxa"/>
            <w:vAlign w:val="bottom"/>
            <w:tcBorders>
              <w:bottom w:val="single" w:sz="8" w:color="E0E7ED"/>
            </w:tcBorders>
            <w:shd w:val="clear" w:color="auto" w:fill="E0E7ED"/>
          </w:tcPr>
          <w:p>
            <w:pPr>
              <w:spacing w:after="0"/>
              <w:rPr>
                <w:sz w:val="21"/>
                <w:szCs w:val="21"/>
                <w:color w:val="auto"/>
              </w:rPr>
            </w:pP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58.9 %</w:t>
            </w: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Total average liabilities</w:t>
            </w:r>
          </w:p>
        </w:tc>
        <w:tc>
          <w:tcPr>
            <w:tcW w:w="24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16,783,504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10,757,877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6,025,627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56.0 %</w:t>
            </w: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4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514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(580) bps</w:t>
            </w:r>
          </w:p>
        </w:tc>
        <w:tc>
          <w:tcPr>
            <w:tcW w:w="1440" w:type="dxa"/>
            <w:vAlign w:val="bottom"/>
          </w:tcPr>
          <w:p>
            <w:pPr>
              <w:spacing w:after="0"/>
              <w:rPr>
                <w:sz w:val="20"/>
                <w:szCs w:val="20"/>
                <w:color w:val="auto"/>
              </w:rPr>
            </w:pP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average deposits as a percent of total average liabilities</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95.3 %</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93.6 %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170 bps</w:t>
            </w:r>
          </w:p>
        </w:tc>
        <w:tc>
          <w:tcPr>
            <w:tcW w:w="1440" w:type="dxa"/>
            <w:vAlign w:val="bottom"/>
            <w:tcBorders>
              <w:bottom w:val="single" w:sz="8" w:color="E0E7ED"/>
            </w:tcBorders>
            <w:shd w:val="clear" w:color="auto" w:fill="E0E7ED"/>
          </w:tcPr>
          <w:p>
            <w:pPr>
              <w:spacing w:after="0"/>
              <w:rPr>
                <w:sz w:val="21"/>
                <w:szCs w:val="21"/>
                <w:color w:val="auto"/>
              </w:rPr>
            </w:pPr>
          </w:p>
        </w:tc>
      </w:tr>
      <w:tr>
        <w:trPr>
          <w:trHeight w:val="526"/>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3"/>
        </w:trPr>
        <w:tc>
          <w:tcPr>
            <w:tcW w:w="51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293"/>
              <w:spacing w:after="0"/>
              <w:rPr>
                <w:sz w:val="20"/>
                <w:szCs w:val="20"/>
                <w:color w:val="auto"/>
              </w:rPr>
            </w:pPr>
            <w:r>
              <w:rPr>
                <w:rFonts w:ascii="Arial" w:cs="Arial" w:eastAsia="Arial" w:hAnsi="Arial"/>
                <w:sz w:val="14"/>
                <w:szCs w:val="14"/>
                <w:b w:val="1"/>
                <w:bCs w:val="1"/>
                <w:color w:val="auto"/>
              </w:rPr>
              <w:t>% Change</w:t>
            </w:r>
          </w:p>
        </w:tc>
      </w:tr>
      <w:tr>
        <w:trPr>
          <w:trHeight w:val="244"/>
        </w:trPr>
        <w:tc>
          <w:tcPr>
            <w:tcW w:w="514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Average interest-earning assets</w:t>
            </w:r>
          </w:p>
        </w:tc>
        <w:tc>
          <w:tcPr>
            <w:tcW w:w="240" w:type="dxa"/>
            <w:vAlign w:val="bottom"/>
            <w:tcBorders>
              <w:top w:val="single" w:sz="8" w:color="auto"/>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15,543,955</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40" w:type="dxa"/>
            <w:vAlign w:val="bottom"/>
            <w:tcBorders>
              <w:top w:val="single" w:sz="8" w:color="auto"/>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11,003,344</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260" w:type="dxa"/>
            <w:vAlign w:val="bottom"/>
            <w:tcBorders>
              <w:top w:val="single" w:sz="8" w:color="auto"/>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4,540,611</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44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41.3 %</w:t>
            </w: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24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11,315,702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7,778,744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3,536,958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45.5 %</w:t>
            </w: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Average noninterest-bearing deposits</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3,290,770</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2,762,439</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528,331</w:t>
            </w:r>
          </w:p>
        </w:tc>
        <w:tc>
          <w:tcPr>
            <w:tcW w:w="100" w:type="dxa"/>
            <w:vAlign w:val="bottom"/>
            <w:tcBorders>
              <w:bottom w:val="single" w:sz="8" w:color="E0E7ED"/>
            </w:tcBorders>
            <w:shd w:val="clear" w:color="auto" w:fill="E0E7ED"/>
          </w:tcPr>
          <w:p>
            <w:pPr>
              <w:spacing w:after="0"/>
              <w:rPr>
                <w:sz w:val="21"/>
                <w:szCs w:val="21"/>
                <w:color w:val="auto"/>
              </w:rPr>
            </w:pP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19.1 %</w:t>
            </w:r>
          </w:p>
        </w:tc>
      </w:tr>
      <w:tr>
        <w:trPr>
          <w:trHeight w:val="270"/>
        </w:trPr>
        <w:tc>
          <w:tcPr>
            <w:tcW w:w="5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50"/>
        </w:trPr>
        <w:tc>
          <w:tcPr>
            <w:tcW w:w="5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average deposits</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34"/>
              <w:spacing w:after="0"/>
              <w:rPr>
                <w:sz w:val="20"/>
                <w:szCs w:val="20"/>
                <w:color w:val="auto"/>
              </w:rPr>
            </w:pPr>
            <w:r>
              <w:rPr>
                <w:rFonts w:ascii="Arial" w:cs="Arial" w:eastAsia="Arial" w:hAnsi="Arial"/>
                <w:sz w:val="18"/>
                <w:szCs w:val="18"/>
                <w:color w:val="auto"/>
              </w:rPr>
              <w:t>14,096,563</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10,053,283</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4,043,280</w:t>
            </w:r>
          </w:p>
        </w:tc>
        <w:tc>
          <w:tcPr>
            <w:tcW w:w="100" w:type="dxa"/>
            <w:vAlign w:val="bottom"/>
            <w:tcBorders>
              <w:bottom w:val="single" w:sz="8" w:color="E0E7ED"/>
            </w:tcBorders>
            <w:shd w:val="clear" w:color="auto" w:fill="E0E7ED"/>
          </w:tcPr>
          <w:p>
            <w:pPr>
              <w:spacing w:after="0"/>
              <w:rPr>
                <w:sz w:val="21"/>
                <w:szCs w:val="21"/>
                <w:color w:val="auto"/>
              </w:rPr>
            </w:pP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40.2 %</w:t>
            </w:r>
          </w:p>
        </w:tc>
      </w:tr>
      <w:tr>
        <w:trPr>
          <w:trHeight w:val="247"/>
        </w:trPr>
        <w:tc>
          <w:tcPr>
            <w:tcW w:w="5140" w:type="dxa"/>
            <w:vAlign w:val="bottom"/>
          </w:tcPr>
          <w:p>
            <w:pPr>
              <w:ind w:left="20"/>
              <w:spacing w:after="0"/>
              <w:rPr>
                <w:sz w:val="20"/>
                <w:szCs w:val="20"/>
                <w:color w:val="auto"/>
              </w:rPr>
            </w:pPr>
            <w:r>
              <w:rPr>
                <w:rFonts w:ascii="Arial" w:cs="Arial" w:eastAsia="Arial" w:hAnsi="Arial"/>
                <w:sz w:val="18"/>
                <w:szCs w:val="18"/>
                <w:color w:val="auto"/>
              </w:rPr>
              <w:t>Total average liabilities</w:t>
            </w:r>
          </w:p>
        </w:tc>
        <w:tc>
          <w:tcPr>
            <w:tcW w:w="240" w:type="dxa"/>
            <w:vAlign w:val="bottom"/>
          </w:tcPr>
          <w:p>
            <w:pPr>
              <w:spacing w:after="0"/>
              <w:rPr>
                <w:sz w:val="21"/>
                <w:szCs w:val="21"/>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14,850,601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10,753,180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4,097,421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38.1 %</w:t>
            </w: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14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40" w:type="dxa"/>
            <w:vAlign w:val="bottom"/>
            <w:shd w:val="clear" w:color="auto" w:fill="E0E7ED"/>
          </w:tcPr>
          <w:p>
            <w:pPr>
              <w:spacing w:after="0"/>
              <w:rPr>
                <w:sz w:val="23"/>
                <w:szCs w:val="23"/>
                <w:color w:val="auto"/>
              </w:rPr>
            </w:pPr>
          </w:p>
        </w:tc>
      </w:tr>
      <w:tr>
        <w:trPr>
          <w:trHeight w:val="224"/>
        </w:trPr>
        <w:tc>
          <w:tcPr>
            <w:tcW w:w="5140" w:type="dxa"/>
            <w:vAlign w:val="bottom"/>
          </w:tcPr>
          <w:p>
            <w:pPr>
              <w:ind w:left="20"/>
              <w:spacing w:after="0"/>
              <w:rPr>
                <w:sz w:val="20"/>
                <w:szCs w:val="20"/>
                <w:color w:val="auto"/>
              </w:rPr>
            </w:pPr>
            <w:r>
              <w:rPr>
                <w:rFonts w:ascii="Arial" w:cs="Arial" w:eastAsia="Arial" w:hAnsi="Arial"/>
                <w:sz w:val="18"/>
                <w:szCs w:val="18"/>
                <w:color w:val="auto"/>
              </w:rPr>
              <w:t>Average noninterest-bearing deposits as a percent of total</w:t>
            </w: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514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23.3 %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(420) bps</w:t>
            </w:r>
          </w:p>
        </w:tc>
        <w:tc>
          <w:tcPr>
            <w:tcW w:w="1440" w:type="dxa"/>
            <w:vAlign w:val="bottom"/>
          </w:tcPr>
          <w:p>
            <w:pPr>
              <w:spacing w:after="0"/>
              <w:rPr>
                <w:sz w:val="20"/>
                <w:szCs w:val="20"/>
                <w:color w:val="auto"/>
              </w:rPr>
            </w:pPr>
          </w:p>
        </w:tc>
      </w:tr>
      <w:tr>
        <w:trPr>
          <w:trHeight w:val="23"/>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440" w:type="dxa"/>
            <w:vAlign w:val="bottom"/>
          </w:tcPr>
          <w:p>
            <w:pPr>
              <w:spacing w:after="0"/>
              <w:rPr>
                <w:sz w:val="2"/>
                <w:szCs w:val="2"/>
                <w:color w:val="auto"/>
              </w:rPr>
            </w:pPr>
          </w:p>
        </w:tc>
      </w:tr>
      <w:tr>
        <w:trPr>
          <w:trHeight w:val="247"/>
        </w:trPr>
        <w:tc>
          <w:tcPr>
            <w:tcW w:w="5140" w:type="dxa"/>
            <w:vAlign w:val="bottom"/>
            <w:shd w:val="clear" w:color="auto" w:fill="E0E7ED"/>
          </w:tcPr>
          <w:p>
            <w:pPr>
              <w:ind w:left="20"/>
              <w:spacing w:after="0"/>
              <w:rPr>
                <w:sz w:val="20"/>
                <w:szCs w:val="20"/>
                <w:color w:val="auto"/>
              </w:rPr>
            </w:pPr>
            <w:r>
              <w:rPr>
                <w:rFonts w:ascii="Arial" w:cs="Arial" w:eastAsia="Arial" w:hAnsi="Arial"/>
                <w:sz w:val="18"/>
                <w:szCs w:val="18"/>
                <w:color w:val="auto"/>
              </w:rPr>
              <w:t>Total average deposits as a percent of total average liabilities</w:t>
            </w:r>
          </w:p>
        </w:tc>
        <w:tc>
          <w:tcPr>
            <w:tcW w:w="240" w:type="dxa"/>
            <w:vAlign w:val="bottom"/>
            <w:shd w:val="clear" w:color="auto" w:fill="E0E7ED"/>
          </w:tcPr>
          <w:p>
            <w:pPr>
              <w:spacing w:after="0"/>
              <w:rPr>
                <w:sz w:val="21"/>
                <w:szCs w:val="21"/>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94.9 %</w:t>
            </w:r>
          </w:p>
        </w:tc>
        <w:tc>
          <w:tcPr>
            <w:tcW w:w="100" w:type="dxa"/>
            <w:vAlign w:val="bottom"/>
            <w:shd w:val="clear" w:color="auto" w:fill="E0E7ED"/>
          </w:tcPr>
          <w:p>
            <w:pPr>
              <w:spacing w:after="0"/>
              <w:rPr>
                <w:sz w:val="21"/>
                <w:szCs w:val="21"/>
                <w:color w:val="auto"/>
              </w:rPr>
            </w:pPr>
          </w:p>
        </w:tc>
        <w:tc>
          <w:tcPr>
            <w:tcW w:w="24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93.5 %</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180" w:type="dxa"/>
            <w:vAlign w:val="bottom"/>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140 bps</w:t>
            </w:r>
          </w:p>
        </w:tc>
        <w:tc>
          <w:tcPr>
            <w:tcW w:w="1440" w:type="dxa"/>
            <w:vAlign w:val="bottom"/>
            <w:shd w:val="clear" w:color="auto" w:fill="E0E7ED"/>
          </w:tcPr>
          <w:p>
            <w:pPr>
              <w:spacing w:after="0"/>
              <w:rPr>
                <w:sz w:val="21"/>
                <w:szCs w:val="21"/>
                <w:color w:val="auto"/>
              </w:rPr>
            </w:pPr>
          </w:p>
        </w:tc>
      </w:tr>
      <w:tr>
        <w:trPr>
          <w:trHeight w:val="23"/>
        </w:trPr>
        <w:tc>
          <w:tcPr>
            <w:tcW w:w="514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12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12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440" w:type="dxa"/>
            <w:vAlign w:val="bottom"/>
            <w:shd w:val="clear" w:color="auto" w:fill="E0E7ED"/>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Changes in net interest income and net interest margin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3"/>
        </w:trPr>
        <w:tc>
          <w:tcPr>
            <w:tcW w:w="51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248,237</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132,341</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115,896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87.6 %</w:t>
            </w:r>
          </w:p>
        </w:tc>
      </w:tr>
      <w:tr>
        <w:trPr>
          <w:trHeight w:val="270"/>
        </w:trPr>
        <w:tc>
          <w:tcPr>
            <w:tcW w:w="51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ind w:right="96"/>
              <w:spacing w:after="0"/>
              <w:rPr>
                <w:sz w:val="20"/>
                <w:szCs w:val="20"/>
                <w:color w:val="auto"/>
              </w:rPr>
            </w:pPr>
            <w:r>
              <w:rPr>
                <w:rFonts w:ascii="Arial" w:cs="Arial" w:eastAsia="Arial" w:hAnsi="Arial"/>
                <w:sz w:val="18"/>
                <w:szCs w:val="18"/>
                <w:color w:val="auto"/>
              </w:rPr>
              <w:t>(94,263)</w:t>
            </w:r>
          </w:p>
        </w:tc>
        <w:tc>
          <w:tcPr>
            <w:tcW w:w="100" w:type="dxa"/>
            <w:vAlign w:val="bottom"/>
            <w:tcBorders>
              <w:bottom w:val="single" w:sz="8" w:color="E0E7ED"/>
            </w:tcBorders>
            <w:shd w:val="clear" w:color="auto" w:fill="E0E7ED"/>
          </w:tcPr>
          <w:p>
            <w:pPr>
              <w:spacing w:after="0"/>
              <w:rPr>
                <w:sz w:val="23"/>
                <w:szCs w:val="23"/>
                <w:color w:val="auto"/>
              </w:rPr>
            </w:pPr>
          </w:p>
        </w:tc>
        <w:tc>
          <w:tcPr>
            <w:tcW w:w="36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ind w:right="114"/>
              <w:spacing w:after="0"/>
              <w:rPr>
                <w:sz w:val="20"/>
                <w:szCs w:val="20"/>
                <w:color w:val="auto"/>
              </w:rPr>
            </w:pPr>
            <w:r>
              <w:rPr>
                <w:rFonts w:ascii="Arial" w:cs="Arial" w:eastAsia="Arial" w:hAnsi="Arial"/>
                <w:sz w:val="18"/>
                <w:szCs w:val="18"/>
                <w:color w:val="auto"/>
              </w:rPr>
              <w:t>(49,407)</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(44,856)</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(90.8)%</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rPr>
              <w:t>153,974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82,934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71,040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85.7 %</w:t>
            </w:r>
          </w:p>
        </w:tc>
      </w:tr>
      <w:tr>
        <w:trPr>
          <w:trHeight w:val="20"/>
        </w:trPr>
        <w:tc>
          <w:tcPr>
            <w:tcW w:w="51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r>
      <w:tr>
        <w:trPr>
          <w:trHeight w:val="237"/>
        </w:trPr>
        <w:tc>
          <w:tcPr>
            <w:tcW w:w="516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60" w:type="dxa"/>
            <w:vAlign w:val="bottom"/>
            <w:shd w:val="clear" w:color="auto" w:fill="E0E7ED"/>
          </w:tcPr>
          <w:p>
            <w:pPr>
              <w:spacing w:after="0"/>
              <w:rPr>
                <w:sz w:val="20"/>
                <w:szCs w:val="20"/>
                <w:color w:val="auto"/>
              </w:rPr>
            </w:pPr>
          </w:p>
        </w:tc>
      </w:tr>
      <w:tr>
        <w:trPr>
          <w:trHeight w:val="316"/>
        </w:trPr>
        <w:tc>
          <w:tcPr>
            <w:tcW w:w="516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 bps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40"/>
        </w:trPr>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3"/>
        </w:trPr>
        <w:tc>
          <w:tcPr>
            <w:tcW w:w="51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r>
      <w:tr>
        <w:trPr>
          <w:trHeight w:val="270"/>
        </w:trPr>
        <w:tc>
          <w:tcPr>
            <w:tcW w:w="5160" w:type="dxa"/>
            <w:vAlign w:val="bottom"/>
          </w:tcPr>
          <w:p>
            <w:pPr>
              <w:ind w:left="180"/>
              <w:spacing w:after="0"/>
              <w:rPr>
                <w:sz w:val="20"/>
                <w:szCs w:val="20"/>
                <w:color w:val="auto"/>
              </w:rPr>
            </w:pPr>
            <w:r>
              <w:rPr>
                <w:rFonts w:ascii="Arial" w:cs="Arial" w:eastAsia="Arial" w:hAnsi="Arial"/>
                <w:sz w:val="18"/>
                <w:szCs w:val="18"/>
                <w:color w:val="auto"/>
              </w:rPr>
              <w:t>Interest income, on a tax-equivalent basis</w:t>
            </w:r>
            <w:r>
              <w:rPr>
                <w:rFonts w:ascii="Arial" w:cs="Arial" w:eastAsia="Arial" w:hAnsi="Arial"/>
                <w:sz w:val="23"/>
                <w:szCs w:val="23"/>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6"/>
              <w:spacing w:after="0"/>
              <w:rPr>
                <w:sz w:val="20"/>
                <w:szCs w:val="20"/>
                <w:color w:val="auto"/>
              </w:rPr>
            </w:pPr>
            <w:r>
              <w:rPr>
                <w:rFonts w:ascii="Arial" w:cs="Arial" w:eastAsia="Arial" w:hAnsi="Arial"/>
                <w:sz w:val="18"/>
                <w:szCs w:val="18"/>
                <w:color w:val="auto"/>
              </w:rPr>
              <w:t>415,589</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4"/>
              <w:spacing w:after="0"/>
              <w:rPr>
                <w:sz w:val="20"/>
                <w:szCs w:val="20"/>
                <w:color w:val="auto"/>
              </w:rPr>
            </w:pPr>
            <w:r>
              <w:rPr>
                <w:rFonts w:ascii="Arial" w:cs="Arial" w:eastAsia="Arial" w:hAnsi="Arial"/>
                <w:sz w:val="18"/>
                <w:szCs w:val="18"/>
                <w:color w:val="auto"/>
              </w:rPr>
              <w:t>258,610</w:t>
            </w:r>
          </w:p>
        </w:tc>
        <w:tc>
          <w:tcPr>
            <w:tcW w:w="100" w:type="dxa"/>
            <w:vAlign w:val="bottom"/>
          </w:tcPr>
          <w:p>
            <w:pPr>
              <w:spacing w:after="0"/>
              <w:rPr>
                <w:sz w:val="23"/>
                <w:szCs w:val="23"/>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156,979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60.7 %</w:t>
            </w:r>
          </w:p>
        </w:tc>
      </w:tr>
      <w:tr>
        <w:trPr>
          <w:trHeight w:val="270"/>
        </w:trPr>
        <w:tc>
          <w:tcPr>
            <w:tcW w:w="51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ind w:right="96"/>
              <w:spacing w:after="0"/>
              <w:rPr>
                <w:sz w:val="20"/>
                <w:szCs w:val="20"/>
                <w:color w:val="auto"/>
              </w:rPr>
            </w:pPr>
            <w:r>
              <w:rPr>
                <w:rFonts w:ascii="Arial" w:cs="Arial" w:eastAsia="Arial" w:hAnsi="Arial"/>
                <w:sz w:val="18"/>
                <w:szCs w:val="18"/>
                <w:color w:val="auto"/>
              </w:rPr>
              <w:t>(157,347)</w:t>
            </w:r>
          </w:p>
        </w:tc>
        <w:tc>
          <w:tcPr>
            <w:tcW w:w="100" w:type="dxa"/>
            <w:vAlign w:val="bottom"/>
            <w:tcBorders>
              <w:bottom w:val="single" w:sz="8" w:color="E0E7ED"/>
            </w:tcBorders>
            <w:shd w:val="clear" w:color="auto" w:fill="E0E7ED"/>
          </w:tcPr>
          <w:p>
            <w:pPr>
              <w:spacing w:after="0"/>
              <w:rPr>
                <w:sz w:val="23"/>
                <w:szCs w:val="23"/>
                <w:color w:val="auto"/>
              </w:rPr>
            </w:pPr>
          </w:p>
        </w:tc>
        <w:tc>
          <w:tcPr>
            <w:tcW w:w="36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ind w:right="114"/>
              <w:spacing w:after="0"/>
              <w:rPr>
                <w:sz w:val="20"/>
                <w:szCs w:val="20"/>
                <w:color w:val="auto"/>
              </w:rPr>
            </w:pPr>
            <w:r>
              <w:rPr>
                <w:rFonts w:ascii="Arial" w:cs="Arial" w:eastAsia="Arial" w:hAnsi="Arial"/>
                <w:sz w:val="18"/>
                <w:szCs w:val="18"/>
                <w:color w:val="auto"/>
              </w:rPr>
              <w:t>(99,373)</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(57,974)</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(58.3)%</w:t>
            </w:r>
          </w:p>
        </w:tc>
      </w:tr>
      <w:tr>
        <w:trPr>
          <w:trHeight w:val="263"/>
        </w:trPr>
        <w:tc>
          <w:tcPr>
            <w:tcW w:w="5160" w:type="dxa"/>
            <w:vAlign w:val="bottom"/>
          </w:tcPr>
          <w:p>
            <w:pPr>
              <w:ind w:left="20"/>
              <w:spacing w:after="0"/>
              <w:rPr>
                <w:sz w:val="20"/>
                <w:szCs w:val="20"/>
                <w:color w:val="auto"/>
              </w:rPr>
            </w:pPr>
            <w:r>
              <w:rPr>
                <w:rFonts w:ascii="Arial" w:cs="Arial" w:eastAsia="Arial" w:hAnsi="Arial"/>
                <w:sz w:val="18"/>
                <w:szCs w:val="18"/>
                <w:color w:val="auto"/>
              </w:rPr>
              <w:t>Net interest income, on a tax-equivalent basis</w:t>
            </w:r>
            <w:r>
              <w:rPr>
                <w:rFonts w:ascii="Arial" w:cs="Arial" w:eastAsia="Arial" w:hAnsi="Arial"/>
                <w:sz w:val="23"/>
                <w:szCs w:val="23"/>
                <w:color w:val="auto"/>
                <w:vertAlign w:val="superscript"/>
              </w:rPr>
              <w:t>1</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rPr>
              <w:t>258,242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rPr>
              <w:t>159,237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99,005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62.2 %</w:t>
            </w:r>
          </w:p>
        </w:tc>
      </w:tr>
      <w:tr>
        <w:trPr>
          <w:trHeight w:val="20"/>
        </w:trPr>
        <w:tc>
          <w:tcPr>
            <w:tcW w:w="5160" w:type="dxa"/>
            <w:vAlign w:val="bottom"/>
            <w:tcBorders>
              <w:bottom w:val="single" w:sz="8" w:color="E0E7E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60" w:type="dxa"/>
            <w:vAlign w:val="bottom"/>
            <w:tcBorders>
              <w:bottom w:val="single" w:sz="8" w:color="E0E7ED"/>
            </w:tcBorders>
          </w:tcPr>
          <w:p>
            <w:pPr>
              <w:spacing w:after="0" w:line="20" w:lineRule="exact"/>
              <w:rPr>
                <w:sz w:val="1"/>
                <w:szCs w:val="1"/>
                <w:color w:val="auto"/>
              </w:rPr>
            </w:pPr>
          </w:p>
        </w:tc>
      </w:tr>
      <w:tr>
        <w:trPr>
          <w:trHeight w:val="237"/>
        </w:trPr>
        <w:tc>
          <w:tcPr>
            <w:tcW w:w="5160" w:type="dxa"/>
            <w:vAlign w:val="bottom"/>
            <w:shd w:val="clear" w:color="auto" w:fill="E0E7ED"/>
          </w:tcPr>
          <w:p>
            <w:pPr>
              <w:spacing w:after="0"/>
              <w:rPr>
                <w:sz w:val="20"/>
                <w:szCs w:val="20"/>
                <w:color w:val="auto"/>
              </w:rPr>
            </w:pPr>
          </w:p>
        </w:tc>
        <w:tc>
          <w:tcPr>
            <w:tcW w:w="320" w:type="dxa"/>
            <w:vAlign w:val="bottom"/>
            <w:shd w:val="clear" w:color="auto" w:fill="E0E7ED"/>
          </w:tcPr>
          <w:p>
            <w:pPr>
              <w:spacing w:after="0"/>
              <w:rPr>
                <w:sz w:val="20"/>
                <w:szCs w:val="20"/>
                <w:color w:val="auto"/>
              </w:rPr>
            </w:pPr>
          </w:p>
        </w:tc>
        <w:tc>
          <w:tcPr>
            <w:tcW w:w="11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360" w:type="dxa"/>
            <w:vAlign w:val="bottom"/>
            <w:shd w:val="clear" w:color="auto" w:fill="E0E7ED"/>
          </w:tcPr>
          <w:p>
            <w:pPr>
              <w:spacing w:after="0"/>
              <w:rPr>
                <w:sz w:val="20"/>
                <w:szCs w:val="20"/>
                <w:color w:val="auto"/>
              </w:rPr>
            </w:pPr>
          </w:p>
        </w:tc>
        <w:tc>
          <w:tcPr>
            <w:tcW w:w="114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0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60" w:type="dxa"/>
            <w:vAlign w:val="bottom"/>
            <w:shd w:val="clear" w:color="auto" w:fill="E0E7ED"/>
          </w:tcPr>
          <w:p>
            <w:pPr>
              <w:spacing w:after="0"/>
              <w:rPr>
                <w:sz w:val="20"/>
                <w:szCs w:val="20"/>
                <w:color w:val="auto"/>
              </w:rPr>
            </w:pPr>
          </w:p>
        </w:tc>
      </w:tr>
      <w:tr>
        <w:trPr>
          <w:trHeight w:val="316"/>
        </w:trPr>
        <w:tc>
          <w:tcPr>
            <w:tcW w:w="5160" w:type="dxa"/>
            <w:vAlign w:val="bottom"/>
          </w:tcPr>
          <w:p>
            <w:pPr>
              <w:ind w:left="20"/>
              <w:spacing w:after="0"/>
              <w:rPr>
                <w:sz w:val="20"/>
                <w:szCs w:val="20"/>
                <w:color w:val="auto"/>
              </w:rPr>
            </w:pPr>
            <w:r>
              <w:rPr>
                <w:rFonts w:ascii="Arial" w:cs="Arial" w:eastAsia="Arial" w:hAnsi="Arial"/>
                <w:sz w:val="18"/>
                <w:szCs w:val="18"/>
                <w:color w:val="auto"/>
              </w:rPr>
              <w:t>Net interest margin</w:t>
            </w:r>
            <w:r>
              <w:rPr>
                <w:rFonts w:ascii="Arial" w:cs="Arial" w:eastAsia="Arial" w:hAnsi="Arial"/>
                <w:sz w:val="23"/>
                <w:szCs w:val="23"/>
                <w:color w:val="auto"/>
                <w:vertAlign w:val="superscript"/>
              </w:rPr>
              <w:t>1, 2</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3.35 %</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2.91 %</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 bps</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5"/>
        </w:trPr>
        <w:tc>
          <w:tcPr>
            <w:tcW w:w="516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bl>
    <w:p>
      <w:pPr>
        <w:ind w:left="500" w:hanging="330"/>
        <w:spacing w:after="0" w:line="261" w:lineRule="auto"/>
        <w:tabs>
          <w:tab w:leader="none" w:pos="525" w:val="left"/>
        </w:tabs>
        <w:numPr>
          <w:ilvl w:val="0"/>
          <w:numId w:val="37"/>
        </w:numPr>
        <w:rPr>
          <w:rFonts w:ascii="Arial" w:cs="Arial" w:eastAsia="Arial" w:hAnsi="Arial"/>
          <w:sz w:val="14"/>
          <w:szCs w:val="14"/>
          <w:color w:val="auto"/>
        </w:rPr>
      </w:pPr>
      <w:r>
        <w:rPr>
          <w:rFonts w:ascii="Arial" w:cs="Arial" w:eastAsia="Arial" w:hAnsi="Arial"/>
          <w:sz w:val="14"/>
          <w:szCs w:val="14"/>
          <w:color w:val="auto"/>
        </w:rPr>
        <w:t xml:space="preserve">Assuming a federal income tax rate of 21.0%. For a reconciliation of non-GAAP measures to the most directly comparable 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Management’s Discussion and Analysis—Non-GAAP Financial Information</w:t>
      </w:r>
      <w:r>
        <w:rPr>
          <w:rFonts w:ascii="Arial" w:cs="Arial" w:eastAsia="Arial" w:hAnsi="Arial"/>
          <w:sz w:val="14"/>
          <w:szCs w:val="14"/>
          <w:i w:val="1"/>
          <w:iCs w:val="1"/>
          <w:color w:val="000000"/>
        </w:rPr>
        <w:t>”</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ind w:left="500" w:hanging="330"/>
        <w:spacing w:after="0"/>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Busey continues to evaluate and execute off-balance sheet hedging and balance sheet repositioning strategies as well as embedding rate protection in its asset originations to provide stabilization to net interest income in lower rate environments. Time deposit and savings specials have continued to stabilize the funding base, and Busey had excess earning cash during the second quarter of 2025. A portion of the acquired CrossFirst Bank securities portfolio was liquidated when the acquisition was finalized, providing additional excess cash that has allowed Busey to start unwinding non-core funding. As brokered CDs mature, Busey continues to deploy excess cash to reduce wholesale funding levels during subsequent quarters.</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interest spread represents the difference between the average rate earned on earning assets and the average rate paid on interest-bearing liabilities, and is presented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312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020" w:type="dxa"/>
            <w:vAlign w:val="bottom"/>
            <w:gridSpan w:val="3"/>
          </w:tcPr>
          <w:p>
            <w:pPr>
              <w:ind w:left="58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00" w:type="dxa"/>
            <w:vAlign w:val="bottom"/>
            <w:tcBorders>
              <w:bottom w:val="single" w:sz="8" w:color="E0E7ED"/>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4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5"/>
                <w:szCs w:val="15"/>
                <w:color w:val="auto"/>
              </w:rPr>
            </w:pPr>
          </w:p>
        </w:tc>
        <w:tc>
          <w:tcPr>
            <w:tcW w:w="146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14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2024</w:t>
            </w:r>
          </w:p>
        </w:tc>
      </w:tr>
      <w:tr>
        <w:trPr>
          <w:trHeight w:val="264"/>
        </w:trPr>
        <w:tc>
          <w:tcPr>
            <w:tcW w:w="5100" w:type="dxa"/>
            <w:vAlign w:val="bottom"/>
            <w:shd w:val="clear" w:color="auto" w:fill="E0E7ED"/>
          </w:tcPr>
          <w:p>
            <w:pPr>
              <w:ind w:left="20"/>
              <w:spacing w:after="0"/>
              <w:rPr>
                <w:sz w:val="20"/>
                <w:szCs w:val="20"/>
                <w:color w:val="auto"/>
              </w:rPr>
            </w:pPr>
            <w:r>
              <w:rPr>
                <w:rFonts w:ascii="Arial" w:cs="Arial" w:eastAsia="Arial" w:hAnsi="Arial"/>
                <w:sz w:val="18"/>
                <w:szCs w:val="18"/>
                <w:color w:val="auto"/>
              </w:rPr>
              <w:t>Net interest spread</w:t>
            </w:r>
            <w:r>
              <w:rPr>
                <w:rFonts w:ascii="Arial" w:cs="Arial" w:eastAsia="Arial" w:hAnsi="Arial"/>
                <w:sz w:val="23"/>
                <w:szCs w:val="23"/>
                <w:color w:val="auto"/>
                <w:vertAlign w:val="superscript"/>
              </w:rPr>
              <w:t>1</w:t>
            </w:r>
          </w:p>
        </w:tc>
        <w:tc>
          <w:tcPr>
            <w:tcW w:w="14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2.72 %</w:t>
            </w:r>
          </w:p>
        </w:tc>
        <w:tc>
          <w:tcPr>
            <w:tcW w:w="100" w:type="dxa"/>
            <w:vAlign w:val="bottom"/>
            <w:shd w:val="clear" w:color="auto" w:fill="E0E7ED"/>
          </w:tcPr>
          <w:p>
            <w:pPr>
              <w:spacing w:after="0"/>
              <w:rPr>
                <w:sz w:val="22"/>
                <w:szCs w:val="22"/>
                <w:color w:val="auto"/>
              </w:rPr>
            </w:pPr>
          </w:p>
        </w:tc>
        <w:tc>
          <w:tcPr>
            <w:tcW w:w="14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2.27 %</w:t>
            </w:r>
          </w:p>
        </w:tc>
        <w:tc>
          <w:tcPr>
            <w:tcW w:w="80" w:type="dxa"/>
            <w:vAlign w:val="bottom"/>
            <w:shd w:val="clear" w:color="auto" w:fill="E0E7ED"/>
          </w:tcPr>
          <w:p>
            <w:pPr>
              <w:spacing w:after="0"/>
              <w:rPr>
                <w:sz w:val="22"/>
                <w:szCs w:val="22"/>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2.59 %</w:t>
            </w:r>
          </w:p>
        </w:tc>
        <w:tc>
          <w:tcPr>
            <w:tcW w:w="100" w:type="dxa"/>
            <w:vAlign w:val="bottom"/>
            <w:shd w:val="clear" w:color="auto" w:fill="E0E7ED"/>
          </w:tcPr>
          <w:p>
            <w:pPr>
              <w:spacing w:after="0"/>
              <w:rPr>
                <w:sz w:val="22"/>
                <w:szCs w:val="22"/>
                <w:color w:val="auto"/>
              </w:rPr>
            </w:pPr>
          </w:p>
        </w:tc>
        <w:tc>
          <w:tcPr>
            <w:tcW w:w="14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2.16 %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5" w:lineRule="exact"/>
        <w:rPr>
          <w:sz w:val="20"/>
          <w:szCs w:val="20"/>
          <w:color w:val="auto"/>
        </w:rPr>
      </w:pPr>
    </w:p>
    <w:p>
      <w:pPr>
        <w:ind w:left="520" w:hanging="350"/>
        <w:spacing w:after="0"/>
        <w:tabs>
          <w:tab w:leader="none" w:pos="52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Net interest spread is calculated on a tax-equivalent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Annualized net interest margins for the quarterly periods indicated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Borders>
              <w:bottom w:val="single" w:sz="8" w:color="E0E7ED"/>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E0E7ED"/>
            </w:tcBorders>
          </w:tcPr>
          <w:p>
            <w:pPr>
              <w:spacing w:after="0"/>
              <w:rPr>
                <w:sz w:val="16"/>
                <w:szCs w:val="16"/>
                <w:color w:val="auto"/>
              </w:rPr>
            </w:pPr>
          </w:p>
        </w:tc>
        <w:tc>
          <w:tcPr>
            <w:tcW w:w="15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43"/>
        </w:trPr>
        <w:tc>
          <w:tcPr>
            <w:tcW w:w="90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First Quarter</w:t>
            </w:r>
          </w:p>
        </w:tc>
        <w:tc>
          <w:tcPr>
            <w:tcW w:w="5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w w:val="96"/>
              </w:rPr>
              <w:t>3.16 %</w:t>
            </w:r>
          </w:p>
        </w:tc>
        <w:tc>
          <w:tcPr>
            <w:tcW w:w="100" w:type="dxa"/>
            <w:vAlign w:val="bottom"/>
            <w:tcBorders>
              <w:bottom w:val="single" w:sz="8" w:color="E0E7ED"/>
            </w:tcBorders>
            <w:shd w:val="clear" w:color="auto" w:fill="E0E7ED"/>
          </w:tcPr>
          <w:p>
            <w:pPr>
              <w:spacing w:after="0"/>
              <w:rPr>
                <w:sz w:val="21"/>
                <w:szCs w:val="21"/>
                <w:color w:val="auto"/>
              </w:rPr>
            </w:pP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2.79 %</w:t>
            </w:r>
          </w:p>
        </w:tc>
      </w:tr>
      <w:tr>
        <w:trPr>
          <w:trHeight w:val="247"/>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580" w:type="dxa"/>
            <w:vAlign w:val="bottom"/>
          </w:tcPr>
          <w:p>
            <w:pPr>
              <w:jc w:val="right"/>
              <w:spacing w:after="0"/>
              <w:rPr>
                <w:sz w:val="20"/>
                <w:szCs w:val="20"/>
                <w:color w:val="auto"/>
              </w:rPr>
            </w:pPr>
            <w:r>
              <w:rPr>
                <w:rFonts w:ascii="Arial" w:cs="Arial" w:eastAsia="Arial" w:hAnsi="Arial"/>
                <w:sz w:val="18"/>
                <w:szCs w:val="18"/>
                <w:color w:val="auto"/>
                <w:w w:val="96"/>
              </w:rPr>
              <w:t>3.49 %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3.03 %</w:t>
            </w:r>
          </w:p>
        </w:tc>
      </w:tr>
      <w:tr>
        <w:trPr>
          <w:trHeight w:val="23"/>
        </w:trPr>
        <w:tc>
          <w:tcPr>
            <w:tcW w:w="8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906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Third Quarter</w:t>
            </w:r>
          </w:p>
        </w:tc>
        <w:tc>
          <w:tcPr>
            <w:tcW w:w="58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3.02 %</w:t>
            </w:r>
          </w:p>
        </w:tc>
      </w:tr>
      <w:tr>
        <w:trPr>
          <w:trHeight w:val="247"/>
        </w:trPr>
        <w:tc>
          <w:tcPr>
            <w:tcW w:w="906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2.95 %</w:t>
            </w: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w:t>
      </w:r>
      <w:hyperlink r:id="rId112">
        <w:r>
          <w:rPr>
            <w:rFonts w:ascii="Arial" w:cs="Arial" w:eastAsia="Arial" w:hAnsi="Arial"/>
            <w:sz w:val="18"/>
            <w:szCs w:val="18"/>
            <w:u w:val="single" w:color="auto"/>
            <w:color w:val="0000FF"/>
          </w:rPr>
          <w:t>Notes to Consolidated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in </w:t>
      </w:r>
      <w:hyperlink r:id="rId93">
        <w:r>
          <w:rPr>
            <w:rFonts w:ascii="Arial" w:cs="Arial" w:eastAsia="Arial" w:hAnsi="Arial"/>
            <w:sz w:val="18"/>
            <w:szCs w:val="18"/>
            <w:u w:val="single" w:color="auto"/>
            <w:color w:val="0000FF"/>
          </w:rPr>
          <w:t>Busey’s 2024 Annual Report</w:t>
        </w:r>
      </w:hyperlink>
      <w:r>
        <w:rPr>
          <w:rFonts w:ascii="Arial" w:cs="Arial" w:eastAsia="Arial" w:hAnsi="Arial"/>
          <w:sz w:val="18"/>
          <w:szCs w:val="18"/>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noninterest income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54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00" w:type="dxa"/>
            <w:vAlign w:val="bottom"/>
            <w:shd w:val="clear" w:color="auto" w:fill="E0E7ED"/>
          </w:tcPr>
          <w:p>
            <w:pPr>
              <w:spacing w:after="0"/>
              <w:rPr>
                <w:sz w:val="21"/>
                <w:szCs w:val="21"/>
                <w:color w:val="auto"/>
              </w:rPr>
            </w:pPr>
          </w:p>
        </w:tc>
        <w:tc>
          <w:tcPr>
            <w:tcW w:w="10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r>
      <w:tr>
        <w:trPr>
          <w:trHeight w:val="247"/>
        </w:trPr>
        <w:tc>
          <w:tcPr>
            <w:tcW w:w="5400" w:type="dxa"/>
            <w:vAlign w:val="bottom"/>
          </w:tcPr>
          <w:p>
            <w:pPr>
              <w:ind w:left="180"/>
              <w:spacing w:after="0"/>
              <w:rPr>
                <w:sz w:val="20"/>
                <w:szCs w:val="20"/>
                <w:color w:val="auto"/>
              </w:rPr>
            </w:pPr>
            <w:r>
              <w:rPr>
                <w:rFonts w:ascii="Arial" w:cs="Arial" w:eastAsia="Arial" w:hAnsi="Arial"/>
                <w:sz w:val="18"/>
                <w:szCs w:val="18"/>
                <w:color w:val="auto"/>
              </w:rPr>
              <w:t>Wealth management and payment technology income: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Wealth management fees</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16,777</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15,917</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860</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5.4 %</w:t>
            </w:r>
          </w:p>
        </w:tc>
      </w:tr>
      <w:tr>
        <w:trPr>
          <w:trHeight w:val="247"/>
        </w:trPr>
        <w:tc>
          <w:tcPr>
            <w:tcW w:w="5400" w:type="dxa"/>
            <w:vAlign w:val="bottom"/>
          </w:tcPr>
          <w:p>
            <w:pPr>
              <w:ind w:left="360"/>
              <w:spacing w:after="0"/>
              <w:rPr>
                <w:sz w:val="20"/>
                <w:szCs w:val="20"/>
                <w:color w:val="auto"/>
              </w:rPr>
            </w:pPr>
            <w:r>
              <w:rPr>
                <w:rFonts w:ascii="Arial" w:cs="Arial" w:eastAsia="Arial" w:hAnsi="Arial"/>
                <w:sz w:val="18"/>
                <w:szCs w:val="18"/>
                <w:color w:val="auto"/>
              </w:rPr>
              <w:t>Payment technology solutions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4,956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3"/>
        </w:trPr>
        <w:tc>
          <w:tcPr>
            <w:tcW w:w="54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r>
      <w:tr>
        <w:trPr>
          <w:trHeight w:val="204"/>
        </w:trPr>
        <w:tc>
          <w:tcPr>
            <w:tcW w:w="5400" w:type="dxa"/>
            <w:vAlign w:val="bottom"/>
            <w:shd w:val="clear" w:color="auto" w:fill="E0E7ED"/>
          </w:tcPr>
          <w:p>
            <w:pPr>
              <w:ind w:left="180"/>
              <w:spacing w:after="0" w:line="204" w:lineRule="exact"/>
              <w:rPr>
                <w:sz w:val="20"/>
                <w:szCs w:val="20"/>
                <w:color w:val="auto"/>
              </w:rPr>
            </w:pPr>
            <w:r>
              <w:rPr>
                <w:rFonts w:ascii="Arial" w:cs="Arial" w:eastAsia="Arial" w:hAnsi="Arial"/>
                <w:sz w:val="18"/>
                <w:szCs w:val="18"/>
                <w:color w:val="auto"/>
              </w:rPr>
              <w:t>Combined, wealth management fees and payment technology</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0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500" w:type="dxa"/>
            <w:vAlign w:val="bottom"/>
            <w:shd w:val="clear" w:color="auto" w:fill="E0E7ED"/>
          </w:tcPr>
          <w:p>
            <w:pPr>
              <w:spacing w:after="0"/>
              <w:rPr>
                <w:sz w:val="17"/>
                <w:szCs w:val="17"/>
                <w:color w:val="auto"/>
              </w:rPr>
            </w:pPr>
          </w:p>
        </w:tc>
      </w:tr>
      <w:tr>
        <w:trPr>
          <w:trHeight w:val="242"/>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solutions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21,733</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21,832</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(0.5)%</w:t>
            </w:r>
          </w:p>
        </w:tc>
      </w:tr>
      <w:tr>
        <w:trPr>
          <w:trHeight w:val="270"/>
        </w:trPr>
        <w:tc>
          <w:tcPr>
            <w:tcW w:w="5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4,981</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2,145</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2,836</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132.2 %</w:t>
            </w:r>
          </w:p>
        </w:tc>
      </w:tr>
      <w:tr>
        <w:trPr>
          <w:trHeight w:val="247"/>
        </w:trPr>
        <w:tc>
          <w:tcPr>
            <w:tcW w:w="5400" w:type="dxa"/>
            <w:vAlign w:val="bottom"/>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42.3 %</w:t>
            </w: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(808)</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(34.8)%</w:t>
            </w:r>
          </w:p>
        </w:tc>
      </w:tr>
      <w:tr>
        <w:trPr>
          <w:trHeight w:val="247"/>
        </w:trPr>
        <w:tc>
          <w:tcPr>
            <w:tcW w:w="5400" w:type="dxa"/>
            <w:vAlign w:val="bottom"/>
          </w:tcPr>
          <w:p>
            <w:pPr>
              <w:ind w:left="180"/>
              <w:spacing w:after="0"/>
              <w:rPr>
                <w:sz w:val="20"/>
                <w:szCs w:val="20"/>
                <w:color w:val="auto"/>
              </w:rPr>
            </w:pPr>
            <w:r>
              <w:rPr>
                <w:rFonts w:ascii="Arial" w:cs="Arial" w:eastAsia="Arial" w:hAnsi="Arial"/>
                <w:sz w:val="18"/>
                <w:szCs w:val="18"/>
                <w:color w:val="auto"/>
              </w:rPr>
              <w:t>Mortgage revenue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62.3 %</w:t>
            </w: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on bank owned life insurance</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1,442</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303</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21.0 %</w:t>
            </w:r>
          </w:p>
        </w:tc>
      </w:tr>
      <w:tr>
        <w:trPr>
          <w:trHeight w:val="224"/>
        </w:trPr>
        <w:tc>
          <w:tcPr>
            <w:tcW w:w="5400" w:type="dxa"/>
            <w:vAlign w:val="bottom"/>
          </w:tcPr>
          <w:p>
            <w:pPr>
              <w:ind w:left="180"/>
              <w:spacing w:after="0"/>
              <w:rPr>
                <w:sz w:val="20"/>
                <w:szCs w:val="20"/>
                <w:color w:val="auto"/>
              </w:rPr>
            </w:pPr>
            <w:r>
              <w:rPr>
                <w:rFonts w:ascii="Arial" w:cs="Arial" w:eastAsia="Arial" w:hAnsi="Arial"/>
                <w:sz w:val="18"/>
                <w:szCs w:val="18"/>
                <w:color w:val="auto"/>
              </w:rPr>
              <w:t>Realized net gains (losses) on the sale of mortgage servicing</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9"/>
        </w:trPr>
        <w:tc>
          <w:tcPr>
            <w:tcW w:w="5400" w:type="dxa"/>
            <w:vAlign w:val="bottom"/>
          </w:tcPr>
          <w:p>
            <w:pPr>
              <w:ind w:left="180"/>
              <w:spacing w:after="0"/>
              <w:rPr>
                <w:sz w:val="20"/>
                <w:szCs w:val="20"/>
                <w:color w:val="auto"/>
              </w:rPr>
            </w:pPr>
            <w:r>
              <w:rPr>
                <w:rFonts w:ascii="Arial" w:cs="Arial" w:eastAsia="Arial" w:hAnsi="Arial"/>
                <w:sz w:val="18"/>
                <w:szCs w:val="18"/>
                <w:color w:val="auto"/>
              </w:rPr>
              <w:t>rights</w:t>
            </w:r>
          </w:p>
        </w:tc>
        <w:tc>
          <w:tcPr>
            <w:tcW w:w="26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4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00" w:type="dxa"/>
            <w:vAlign w:val="bottom"/>
            <w:shd w:val="clear" w:color="auto" w:fill="E0E7ED"/>
          </w:tcPr>
          <w:p>
            <w:pPr>
              <w:spacing w:after="0"/>
              <w:rPr>
                <w:sz w:val="23"/>
                <w:szCs w:val="23"/>
                <w:color w:val="auto"/>
              </w:rPr>
            </w:pPr>
          </w:p>
        </w:tc>
        <w:tc>
          <w:tcPr>
            <w:tcW w:w="10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00" w:type="dxa"/>
            <w:vAlign w:val="bottom"/>
            <w:shd w:val="clear" w:color="auto" w:fill="E0E7ED"/>
          </w:tcPr>
          <w:p>
            <w:pPr>
              <w:spacing w:after="0"/>
              <w:rPr>
                <w:sz w:val="23"/>
                <w:szCs w:val="23"/>
                <w:color w:val="auto"/>
              </w:rPr>
            </w:pPr>
          </w:p>
        </w:tc>
      </w:tr>
      <w:tr>
        <w:trPr>
          <w:trHeight w:val="247"/>
        </w:trPr>
        <w:tc>
          <w:tcPr>
            <w:tcW w:w="5400" w:type="dxa"/>
            <w:vAlign w:val="bottom"/>
          </w:tcPr>
          <w:p>
            <w:pPr>
              <w:ind w:left="180"/>
              <w:spacing w:after="0"/>
              <w:rPr>
                <w:sz w:val="20"/>
                <w:szCs w:val="20"/>
                <w:color w:val="auto"/>
              </w:rPr>
            </w:pPr>
            <w:r>
              <w:rPr>
                <w:rFonts w:ascii="Arial" w:cs="Arial" w:eastAsia="Arial" w:hAnsi="Arial"/>
                <w:sz w:val="18"/>
                <w:szCs w:val="18"/>
                <w:color w:val="auto"/>
              </w:rPr>
              <w:t>Securities income:</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5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0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Realized net gains (losses) on securities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125.0 %</w:t>
            </w:r>
          </w:p>
        </w:tc>
      </w:tr>
      <w:tr>
        <w:trPr>
          <w:trHeight w:val="247"/>
        </w:trPr>
        <w:tc>
          <w:tcPr>
            <w:tcW w:w="5400" w:type="dxa"/>
            <w:vAlign w:val="bottom"/>
          </w:tcPr>
          <w:p>
            <w:pPr>
              <w:ind w:left="360"/>
              <w:spacing w:after="0"/>
              <w:rPr>
                <w:sz w:val="20"/>
                <w:szCs w:val="20"/>
                <w:color w:val="auto"/>
              </w:rPr>
            </w:pPr>
            <w:r>
              <w:rPr>
                <w:rFonts w:ascii="Arial" w:cs="Arial" w:eastAsia="Arial" w:hAnsi="Arial"/>
                <w:sz w:val="18"/>
                <w:szCs w:val="18"/>
                <w:color w:val="auto"/>
              </w:rPr>
              <w:t>Unrealized net gains (losses) recognized on equity securities</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6,345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
        </w:trPr>
        <w:tc>
          <w:tcPr>
            <w:tcW w:w="54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r>
      <w:tr>
        <w:trPr>
          <w:trHeight w:val="244"/>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Net securities gains (losses)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5,997</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E0E7ED"/>
            </w:tcBorders>
            <w:shd w:val="clear" w:color="auto" w:fill="E0E7ED"/>
          </w:tcPr>
          <w:p>
            <w:pPr>
              <w:spacing w:after="0"/>
              <w:rPr>
                <w:sz w:val="21"/>
                <w:szCs w:val="21"/>
                <w:color w:val="auto"/>
              </w:rPr>
            </w:pP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NM</w:t>
            </w:r>
          </w:p>
        </w:tc>
      </w:tr>
      <w:tr>
        <w:trPr>
          <w:trHeight w:val="270"/>
        </w:trPr>
        <w:tc>
          <w:tcPr>
            <w:tcW w:w="5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5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noninterest income</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3,238</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2,131</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1,107</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51.9 %</w:t>
            </w:r>
          </w:p>
        </w:tc>
      </w:tr>
      <w:tr>
        <w:trPr>
          <w:trHeight w:val="263"/>
        </w:trPr>
        <w:tc>
          <w:tcPr>
            <w:tcW w:w="540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44,863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33,703</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33.1 %</w:t>
            </w:r>
          </w:p>
        </w:tc>
      </w:tr>
      <w:tr>
        <w:trPr>
          <w:trHeight w:val="20"/>
        </w:trPr>
        <w:tc>
          <w:tcPr>
            <w:tcW w:w="5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3"/>
        </w:trPr>
        <w:tc>
          <w:tcPr>
            <w:tcW w:w="53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3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r>
      <w:tr>
        <w:trPr>
          <w:trHeight w:val="224"/>
        </w:trPr>
        <w:tc>
          <w:tcPr>
            <w:tcW w:w="5360" w:type="dxa"/>
            <w:vAlign w:val="bottom"/>
          </w:tcPr>
          <w:p>
            <w:pPr>
              <w:ind w:left="180"/>
              <w:spacing w:after="0"/>
              <w:rPr>
                <w:sz w:val="20"/>
                <w:szCs w:val="20"/>
                <w:color w:val="auto"/>
              </w:rPr>
            </w:pPr>
            <w:r>
              <w:rPr>
                <w:rFonts w:ascii="Arial" w:cs="Arial" w:eastAsia="Arial" w:hAnsi="Arial"/>
                <w:sz w:val="18"/>
                <w:szCs w:val="18"/>
                <w:color w:val="auto"/>
              </w:rPr>
              <w:t>Wealth management and payment technology solutions</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Wealth management fees</w:t>
            </w: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34,141</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31,466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2,675</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8.5 %</w:t>
            </w:r>
          </w:p>
        </w:tc>
      </w:tr>
      <w:tr>
        <w:trPr>
          <w:trHeight w:val="247"/>
        </w:trPr>
        <w:tc>
          <w:tcPr>
            <w:tcW w:w="5360" w:type="dxa"/>
            <w:vAlign w:val="bottom"/>
          </w:tcPr>
          <w:p>
            <w:pPr>
              <w:ind w:left="360"/>
              <w:spacing w:after="0"/>
              <w:rPr>
                <w:sz w:val="20"/>
                <w:szCs w:val="20"/>
                <w:color w:val="auto"/>
              </w:rPr>
            </w:pPr>
            <w:r>
              <w:rPr>
                <w:rFonts w:ascii="Arial" w:cs="Arial" w:eastAsia="Arial" w:hAnsi="Arial"/>
                <w:sz w:val="18"/>
                <w:szCs w:val="18"/>
                <w:color w:val="auto"/>
              </w:rPr>
              <w:t>Payment technology solutions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10,029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(13.7)%</w:t>
            </w:r>
          </w:p>
        </w:tc>
      </w:tr>
      <w:tr>
        <w:trPr>
          <w:trHeight w:val="23"/>
        </w:trPr>
        <w:tc>
          <w:tcPr>
            <w:tcW w:w="53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r>
      <w:tr>
        <w:trPr>
          <w:trHeight w:val="204"/>
        </w:trPr>
        <w:tc>
          <w:tcPr>
            <w:tcW w:w="5360" w:type="dxa"/>
            <w:vAlign w:val="bottom"/>
            <w:shd w:val="clear" w:color="auto" w:fill="E0E7ED"/>
          </w:tcPr>
          <w:p>
            <w:pPr>
              <w:ind w:left="180"/>
              <w:spacing w:after="0" w:line="204" w:lineRule="exact"/>
              <w:rPr>
                <w:sz w:val="20"/>
                <w:szCs w:val="20"/>
                <w:color w:val="auto"/>
              </w:rPr>
            </w:pPr>
            <w:r>
              <w:rPr>
                <w:rFonts w:ascii="Arial" w:cs="Arial" w:eastAsia="Arial" w:hAnsi="Arial"/>
                <w:sz w:val="18"/>
                <w:szCs w:val="18"/>
                <w:color w:val="auto"/>
              </w:rPr>
              <w:t>Combined, wealth management fees and payment technology</w:t>
            </w:r>
          </w:p>
        </w:tc>
        <w:tc>
          <w:tcPr>
            <w:tcW w:w="260" w:type="dxa"/>
            <w:vAlign w:val="bottom"/>
            <w:shd w:val="clear" w:color="auto" w:fill="E0E7ED"/>
          </w:tcPr>
          <w:p>
            <w:pPr>
              <w:spacing w:after="0"/>
              <w:rPr>
                <w:sz w:val="17"/>
                <w:szCs w:val="17"/>
                <w:color w:val="auto"/>
              </w:rPr>
            </w:pPr>
          </w:p>
        </w:tc>
        <w:tc>
          <w:tcPr>
            <w:tcW w:w="11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280" w:type="dxa"/>
            <w:vAlign w:val="bottom"/>
            <w:shd w:val="clear" w:color="auto" w:fill="E0E7ED"/>
          </w:tcPr>
          <w:p>
            <w:pPr>
              <w:spacing w:after="0"/>
              <w:rPr>
                <w:sz w:val="17"/>
                <w:szCs w:val="17"/>
                <w:color w:val="auto"/>
              </w:rPr>
            </w:pPr>
          </w:p>
        </w:tc>
        <w:tc>
          <w:tcPr>
            <w:tcW w:w="10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1500" w:type="dxa"/>
            <w:vAlign w:val="bottom"/>
            <w:shd w:val="clear" w:color="auto" w:fill="E0E7ED"/>
          </w:tcPr>
          <w:p>
            <w:pPr>
              <w:spacing w:after="0"/>
              <w:rPr>
                <w:sz w:val="17"/>
                <w:szCs w:val="17"/>
                <w:color w:val="auto"/>
              </w:rPr>
            </w:pPr>
          </w:p>
        </w:tc>
      </w:tr>
      <w:tr>
        <w:trPr>
          <w:trHeight w:val="242"/>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solutions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44,170</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43,090</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1,080</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2.5 %</w:t>
            </w:r>
          </w:p>
        </w:tc>
      </w:tr>
      <w:tr>
        <w:trPr>
          <w:trHeight w:val="270"/>
        </w:trPr>
        <w:tc>
          <w:tcPr>
            <w:tcW w:w="5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Treasury management services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7,998</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4,046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3,952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97.7 %</w:t>
            </w: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Card services and ATM fees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2,199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34.4 %</w:t>
            </w: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service charges on deposit accounts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3,046</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4,669</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(1,623)</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(34.8)%</w:t>
            </w: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Mortgage revenue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Income on bank owned life insurance</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3,191</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330</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11.5 %</w:t>
            </w:r>
          </w:p>
        </w:tc>
      </w:tr>
      <w:tr>
        <w:trPr>
          <w:trHeight w:val="224"/>
        </w:trPr>
        <w:tc>
          <w:tcPr>
            <w:tcW w:w="5360" w:type="dxa"/>
            <w:vAlign w:val="bottom"/>
          </w:tcPr>
          <w:p>
            <w:pPr>
              <w:ind w:left="180"/>
              <w:spacing w:after="0"/>
              <w:rPr>
                <w:sz w:val="20"/>
                <w:szCs w:val="20"/>
                <w:color w:val="auto"/>
              </w:rPr>
            </w:pPr>
            <w:r>
              <w:rPr>
                <w:rFonts w:ascii="Arial" w:cs="Arial" w:eastAsia="Arial" w:hAnsi="Arial"/>
                <w:sz w:val="18"/>
                <w:szCs w:val="18"/>
                <w:color w:val="auto"/>
              </w:rPr>
              <w:t>Realized net gains (losses) on the sale of mortgage servicing</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9"/>
        </w:trPr>
        <w:tc>
          <w:tcPr>
            <w:tcW w:w="5360" w:type="dxa"/>
            <w:vAlign w:val="bottom"/>
          </w:tcPr>
          <w:p>
            <w:pPr>
              <w:ind w:left="180"/>
              <w:spacing w:after="0"/>
              <w:rPr>
                <w:sz w:val="20"/>
                <w:szCs w:val="20"/>
                <w:color w:val="auto"/>
              </w:rPr>
            </w:pPr>
            <w:r>
              <w:rPr>
                <w:rFonts w:ascii="Arial" w:cs="Arial" w:eastAsia="Arial" w:hAnsi="Arial"/>
                <w:sz w:val="18"/>
                <w:szCs w:val="18"/>
                <w:color w:val="auto"/>
              </w:rPr>
              <w:t>rights</w:t>
            </w:r>
          </w:p>
        </w:tc>
        <w:tc>
          <w:tcPr>
            <w:tcW w:w="26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7,742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(7,742)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536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10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00" w:type="dxa"/>
            <w:vAlign w:val="bottom"/>
            <w:shd w:val="clear" w:color="auto" w:fill="E0E7ED"/>
          </w:tcPr>
          <w:p>
            <w:pPr>
              <w:spacing w:after="0"/>
              <w:rPr>
                <w:sz w:val="23"/>
                <w:szCs w:val="23"/>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Securities income:</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36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Realized net gains (losses) on securities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(15,536)</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(8,730)</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(128.3)%</w:t>
            </w:r>
          </w:p>
        </w:tc>
      </w:tr>
      <w:tr>
        <w:trPr>
          <w:trHeight w:val="247"/>
        </w:trPr>
        <w:tc>
          <w:tcPr>
            <w:tcW w:w="5360" w:type="dxa"/>
            <w:vAlign w:val="bottom"/>
          </w:tcPr>
          <w:p>
            <w:pPr>
              <w:ind w:left="360"/>
              <w:spacing w:after="0"/>
              <w:rPr>
                <w:sz w:val="20"/>
                <w:szCs w:val="20"/>
                <w:color w:val="auto"/>
              </w:rPr>
            </w:pPr>
            <w:r>
              <w:rPr>
                <w:rFonts w:ascii="Arial" w:cs="Arial" w:eastAsia="Arial" w:hAnsi="Arial"/>
                <w:sz w:val="18"/>
                <w:szCs w:val="18"/>
                <w:color w:val="auto"/>
              </w:rPr>
              <w:t>Unrealized net gains (losses) recognized on equity securities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5,687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NM</w:t>
            </w:r>
          </w:p>
        </w:tc>
      </w:tr>
      <w:tr>
        <w:trPr>
          <w:trHeight w:val="23"/>
        </w:trPr>
        <w:tc>
          <w:tcPr>
            <w:tcW w:w="53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r>
      <w:tr>
        <w:trPr>
          <w:trHeight w:val="243"/>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Net securities gains (losses)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(9,771)</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(6,728)</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(3,043)</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(45.2)%</w:t>
            </w:r>
          </w:p>
        </w:tc>
      </w:tr>
      <w:tr>
        <w:trPr>
          <w:trHeight w:val="270"/>
        </w:trPr>
        <w:tc>
          <w:tcPr>
            <w:tcW w:w="5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 noninterest income</w:t>
            </w:r>
          </w:p>
        </w:tc>
        <w:tc>
          <w:tcPr>
            <w:tcW w:w="260" w:type="dxa"/>
            <w:vAlign w:val="bottom"/>
            <w:tcBorders>
              <w:bottom w:val="single" w:sz="8" w:color="E0E7ED"/>
            </w:tcBorders>
            <w:shd w:val="clear" w:color="auto" w:fill="E0E7ED"/>
          </w:tcPr>
          <w:p>
            <w:pPr>
              <w:spacing w:after="0"/>
              <w:rPr>
                <w:sz w:val="23"/>
                <w:szCs w:val="23"/>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7,758</w:t>
            </w:r>
          </w:p>
        </w:tc>
        <w:tc>
          <w:tcPr>
            <w:tcW w:w="8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Borders>
              <w:bottom w:val="single" w:sz="8" w:color="E0E7ED"/>
            </w:tcBorders>
            <w:shd w:val="clear" w:color="auto" w:fill="E0E7ED"/>
          </w:tcPr>
          <w:p>
            <w:pPr>
              <w:spacing w:after="0"/>
              <w:rPr>
                <w:sz w:val="23"/>
                <w:szCs w:val="23"/>
                <w:color w:val="auto"/>
              </w:rPr>
            </w:pPr>
          </w:p>
        </w:tc>
        <w:tc>
          <w:tcPr>
            <w:tcW w:w="28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2,436</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45.8 %</w:t>
            </w:r>
          </w:p>
        </w:tc>
      </w:tr>
      <w:tr>
        <w:trPr>
          <w:trHeight w:val="264"/>
        </w:trPr>
        <w:tc>
          <w:tcPr>
            <w:tcW w:w="536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66,086</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68,616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36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500" w:type="dxa"/>
            <w:vAlign w:val="bottom"/>
            <w:tcBorders>
              <w:bottom w:val="single" w:sz="8" w:color="E0E7ED"/>
            </w:tcBorders>
          </w:tcPr>
          <w:p>
            <w:pPr>
              <w:spacing w:after="0" w:line="20" w:lineRule="exact"/>
              <w:rPr>
                <w:sz w:val="1"/>
                <w:szCs w:val="1"/>
                <w:color w:val="auto"/>
              </w:rPr>
            </w:pPr>
          </w:p>
        </w:tc>
      </w:tr>
      <w:tr>
        <w:trPr>
          <w:trHeight w:val="237"/>
        </w:trPr>
        <w:tc>
          <w:tcPr>
            <w:tcW w:w="536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2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60" w:type="dxa"/>
            <w:vAlign w:val="bottom"/>
            <w:shd w:val="clear" w:color="auto" w:fill="E0E7ED"/>
          </w:tcPr>
          <w:p>
            <w:pPr>
              <w:spacing w:after="0"/>
              <w:rPr>
                <w:sz w:val="20"/>
                <w:szCs w:val="20"/>
                <w:color w:val="auto"/>
              </w:rPr>
            </w:pPr>
          </w:p>
        </w:tc>
        <w:tc>
          <w:tcPr>
            <w:tcW w:w="11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80" w:type="dxa"/>
            <w:vAlign w:val="bottom"/>
            <w:shd w:val="clear" w:color="auto" w:fill="E0E7ED"/>
          </w:tcPr>
          <w:p>
            <w:pPr>
              <w:spacing w:after="0"/>
              <w:rPr>
                <w:sz w:val="20"/>
                <w:szCs w:val="20"/>
                <w:color w:val="auto"/>
              </w:rPr>
            </w:pPr>
          </w:p>
        </w:tc>
        <w:tc>
          <w:tcPr>
            <w:tcW w:w="108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500" w:type="dxa"/>
            <w:vAlign w:val="bottom"/>
            <w:shd w:val="clear" w:color="auto" w:fill="E0E7ED"/>
          </w:tcPr>
          <w:p>
            <w:pPr>
              <w:spacing w:after="0"/>
              <w:rPr>
                <w:sz w:val="20"/>
                <w:szCs w:val="20"/>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Assets under care as of period end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14,102,022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13,019,583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1,082,439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8.3 %</w:t>
            </w:r>
          </w:p>
        </w:tc>
      </w:tr>
    </w:tbl>
    <w:p>
      <w:pPr>
        <w:spacing w:after="0" w:line="2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noninterest income was $44.9 million for the three months ended June 30, 2025, an increase of 33.1% from the comparable period in 2024, primarily due to unrealized net gains recognized on equity securities, as well as the benefit of a full quarter of income from the CrossFirst acquisition. Total noninterest income was $66.1 million for the six months ended June 30, 2025, a decrease of 3.7% from the comparable period in 2024. The six months ended June 30, 2025 includes four months of income from the CrossFirst acquisition, offset by net securities losses that were recorded in the first quarter of 2025 in connection with a strategic balance sheet repositioning. Additionally, the prior year included $7.7 million of realized net gains on the sale of mortgage servicing rights, which was not repeated in the current year.</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Wealth management fees were $16.8 million for the three months ended June 30, 2025, a 5.4% increase from the comparable period in 2024, and were $34.1 million for the six months ended June 30, 2025, an 8.5% increase from the comparable period for 2024, primarily due to increases in trust fee income. On a segment basis, Busey’s Wealth Management division contributed $17.0 million, or 37.9%, of Busey’s noninterest income for the three months ended June 30, 2025, which included approximately $0.2 million reported as other noninterest income, and contributed $ 34.6 million, or 52.3%, of Busey’s noninterest income for the six months ended June 30, 2025, which included approximately $0.4 million reported as other noninterest income. Busey’s Wealth Management division ended the second quarter of 2025 with $14.10 billion in assets under care, an increase of 8.3% compared to the balance on June 30, 2024. Busey’s portfolio management team continues to focus on long-term returns and managing risk in the face of volatile markets.</w:t>
      </w:r>
    </w:p>
    <w:p>
      <w:pPr>
        <w:spacing w:after="0" w:line="200" w:lineRule="exact"/>
        <w:rPr>
          <w:sz w:val="20"/>
          <w:szCs w:val="20"/>
          <w:color w:val="auto"/>
        </w:rPr>
      </w:pP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Payment technology solutions relates to Busey’s payment processing company, FirsTech. Income from payment technology solutions was $5.0 million for the three months ended June 30, 2025, a 16.2% decrease from the comparable period in 2024, and was $10.0 million for the six months ended June 30, 2025, a 13.7% decrease from the comparable period in 2024, primarily due to decreases in income from online bill payments. On a segment basis, FirsTech contributed $5.4 million, or 12.0%, of Busey’s noninterest income for the three months ended June 30, 2025, and $10.8 million, or 16.3%, of Busey’s noninterest income for the six months ended June 30, 2025.</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Combined, noninterest income from wealth management fees and payment technology solutions represented 48.4% and 66.8% of Busey’s noninterest income for the three and six months ended June 30, 2025, respectively, providing a complement to spread-based revenue from traditional banking activities.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Treasury management services consist primarily of business analysis charges and wire transfer fees on commercial accounts. Income from treasury management services increased by 132.2% and 97.7% compared to the three and six months ended June 30, 2024, respectively, due to the addition of CrossFirst commercial services.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Card services and ATM fees, which include both commercial and consumer accounts, increased by 42.3% and 34.4% compared to the three and six months ended June 30, 2024, respectively, primarily due to addition of CrossFirst corporate card services.</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Other service charges on deposit accounts were $1.5 million and $3.0 million for the three and six months ended June 30, 2025, respectively, which was a decline of 34.8% compared to both the three and six months ended June 30, 2024. Declines are largely related to lower non-sufficient fund charges, reflecting changes Busey made to its fee structure in 2025.</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Mortgage revenue was $ 0.8 million for the three months ended June 30, 2025, a 62.3% increase from the comparable period in 2024, and was $1.1 million for the six months ended June 30, 2025, a 9.7% decrease from the comparable period in 2024. General economic conditions and interest rate volatility may impact future mortgage revenue.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on bank owned life insurance was $1.7 million for the three months ended June 30, 2025, a 21.0% increase from the comparable period in 2024, as a result of a $0.5 million increase in the cash surrender value of the policies, partially offset by a $0.2 million decrease in earnings on death proceeds. Income on bank owned life insurance was $3.2 million for the six months ended June 30, 2025, an 11.5% increase from the comparable period in 2024, as a result of a $0.8 million increase in the cash surrender value of the policies, partially offset by a $0.4 million decrease in earnings on death proceeds.</w:t>
      </w:r>
    </w:p>
    <w:p>
      <w:pPr>
        <w:spacing w:after="0" w:line="139" w:lineRule="exact"/>
        <w:rPr>
          <w:sz w:val="20"/>
          <w:szCs w:val="20"/>
          <w:color w:val="auto"/>
        </w:rPr>
      </w:pPr>
    </w:p>
    <w:p>
      <w:pPr>
        <w:jc w:val="both"/>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During the six months ended June 30, 2025, Busey did not record any realized gains on the sale of mortgage servicing rights. In comparison, during the six months ended June 30, 2024, Busey recognized a $7.7 million gain on the sale of mortgage servicing rights in connection with a strategic two-part balance sheet repositioning. For more information, see </w:t>
      </w:r>
      <w:r>
        <w:rPr>
          <w:rFonts w:ascii="Arial" w:cs="Arial" w:eastAsia="Arial" w:hAnsi="Arial"/>
          <w:sz w:val="18"/>
          <w:szCs w:val="18"/>
          <w:i w:val="1"/>
          <w:iCs w:val="1"/>
          <w:color w:val="auto"/>
        </w:rPr>
        <w:t>“</w:t>
      </w:r>
      <w:hyperlink r:id="rId115">
        <w:r>
          <w:rPr>
            <w:rFonts w:ascii="Arial" w:cs="Arial" w:eastAsia="Arial" w:hAnsi="Arial"/>
            <w:sz w:val="18"/>
            <w:szCs w:val="18"/>
            <w:i w:val="1"/>
            <w:iCs w:val="1"/>
            <w:u w:val="single" w:color="auto"/>
            <w:color w:val="0000FF"/>
          </w:rPr>
          <w:t>Busey executed a two-part balance sheet repositioning strategy</w:t>
        </w:r>
      </w:hyperlink>
      <w:r>
        <w:rPr>
          <w:rFonts w:ascii="Arial" w:cs="Arial" w:eastAsia="Arial" w:hAnsi="Arial"/>
          <w:sz w:val="18"/>
          <w:szCs w:val="18"/>
          <w:color w:val="auto"/>
        </w:rPr>
        <w:t>” in the Management Discussion and Analysis included in Busey’s Quarterly Report for the first quarter of 2024, filed with the SEC on May 7, 2024.</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securities gains were $ 6.0 million for the three months ended June 30, 2025, an increase over the net securities losses from the comparable period in 2024. The increase was related to unrealized gains on Busey’s approximately 3% equity ownership of a financial institution that was the target of an announced acquisition at a significant market premium. Net securities losses of $9.8 million during the six months ended June 30, 2025, were greater than the net securities losses realized during the comparable period in 2024. Losses for the six months ended June 30, 2025, were comprised of $15.5 million of realized net losses on securities associated with a strategic balance sheet repositioning in the first quarter of 2025, partially offset by $5.8 million of unrealized net gains recognized on equity securities in the second quarter of 2025.</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Other noninterest income was $3.2 million for the three months ended June 30, 2025, a 51.9% increase from the comparable period in 2024, and was $7.8 million for the six months ended June 30, 2025, a 45.8% increase from the comparable period in 2024. Increases were attributable to fluctuations in income recognized on venture capital investments, gains on commercial loan sales, commercial loan servicing income, other loan fee income, swap origination fees and OREO gains and losses.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Changes in noninterest expense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3"/>
        </w:trPr>
        <w:tc>
          <w:tcPr>
            <w:tcW w:w="520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2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2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r>
      <w:tr>
        <w:trPr>
          <w:trHeight w:val="247"/>
        </w:trPr>
        <w:tc>
          <w:tcPr>
            <w:tcW w:w="520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78,360</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43,478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34,882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80.2 %</w:t>
            </w: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3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14,021</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7,100</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6,921</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97.5 %</w:t>
            </w:r>
          </w:p>
        </w:tc>
      </w:tr>
      <w:tr>
        <w:trPr>
          <w:trHeight w:val="270"/>
        </w:trPr>
        <w:tc>
          <w:tcPr>
            <w:tcW w:w="5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52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Premises expenses:</w:t>
            </w:r>
          </w:p>
        </w:tc>
        <w:tc>
          <w:tcPr>
            <w:tcW w:w="3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spacing w:after="0"/>
              <w:rPr>
                <w:sz w:val="21"/>
                <w:szCs w:val="21"/>
                <w:color w:val="auto"/>
              </w:rPr>
            </w:pPr>
          </w:p>
        </w:tc>
      </w:tr>
      <w:tr>
        <w:trPr>
          <w:trHeight w:val="247"/>
        </w:trPr>
        <w:tc>
          <w:tcPr>
            <w:tcW w:w="520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7,832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3,242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70.6 %</w:t>
            </w: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0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Furniture and equipment expenses</w:t>
            </w:r>
          </w:p>
        </w:tc>
        <w:tc>
          <w:tcPr>
            <w:tcW w:w="32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2,409</w:t>
            </w:r>
          </w:p>
        </w:tc>
        <w:tc>
          <w:tcPr>
            <w:tcW w:w="80" w:type="dxa"/>
            <w:vAlign w:val="bottom"/>
            <w:tcBorders>
              <w:bottom w:val="single" w:sz="8" w:color="E0E7ED"/>
            </w:tcBorders>
            <w:shd w:val="clear" w:color="auto" w:fill="E0E7ED"/>
          </w:tcPr>
          <w:p>
            <w:pPr>
              <w:spacing w:after="0"/>
              <w:rPr>
                <w:sz w:val="23"/>
                <w:szCs w:val="23"/>
                <w:color w:val="auto"/>
              </w:rPr>
            </w:pPr>
          </w:p>
        </w:tc>
        <w:tc>
          <w:tcPr>
            <w:tcW w:w="360" w:type="dxa"/>
            <w:vAlign w:val="bottom"/>
            <w:tcBorders>
              <w:bottom w:val="single" w:sz="8" w:color="E0E7ED"/>
            </w:tcBorders>
            <w:shd w:val="clear" w:color="auto" w:fill="E0E7ED"/>
          </w:tcPr>
          <w:p>
            <w:pPr>
              <w:spacing w:after="0"/>
              <w:rPr>
                <w:sz w:val="23"/>
                <w:szCs w:val="23"/>
                <w:color w:val="auto"/>
              </w:rPr>
            </w:pPr>
          </w:p>
        </w:tc>
        <w:tc>
          <w:tcPr>
            <w:tcW w:w="112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1,695</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714</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42.1 %</w:t>
            </w:r>
          </w:p>
        </w:tc>
      </w:tr>
      <w:tr>
        <w:trPr>
          <w:trHeight w:val="204"/>
        </w:trPr>
        <w:tc>
          <w:tcPr>
            <w:tcW w:w="5200" w:type="dxa"/>
            <w:vAlign w:val="bottom"/>
          </w:tcPr>
          <w:p>
            <w:pPr>
              <w:ind w:left="180"/>
              <w:spacing w:after="0" w:line="204" w:lineRule="exact"/>
              <w:rPr>
                <w:sz w:val="20"/>
                <w:szCs w:val="20"/>
                <w:color w:val="auto"/>
              </w:rPr>
            </w:pPr>
            <w:r>
              <w:rPr>
                <w:rFonts w:ascii="Arial" w:cs="Arial" w:eastAsia="Arial" w:hAnsi="Arial"/>
                <w:sz w:val="18"/>
                <w:szCs w:val="18"/>
                <w:color w:val="auto"/>
              </w:rPr>
              <w:t>Combined, net occupancy expense of premises and furniture</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9"/>
        </w:trPr>
        <w:tc>
          <w:tcPr>
            <w:tcW w:w="520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20" w:type="dxa"/>
            <w:vAlign w:val="bottom"/>
          </w:tcPr>
          <w:p>
            <w:pPr>
              <w:spacing w:after="0"/>
              <w:rPr>
                <w:sz w:val="20"/>
                <w:szCs w:val="20"/>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10,241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6,285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3,956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62.9 %</w:t>
            </w: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00" w:type="dxa"/>
            <w:vAlign w:val="bottom"/>
            <w:shd w:val="clear" w:color="auto" w:fill="E0E7ED"/>
          </w:tcPr>
          <w:p>
            <w:pPr>
              <w:spacing w:after="0"/>
              <w:rPr>
                <w:sz w:val="23"/>
                <w:szCs w:val="23"/>
                <w:color w:val="auto"/>
              </w:rPr>
            </w:pPr>
          </w:p>
        </w:tc>
        <w:tc>
          <w:tcPr>
            <w:tcW w:w="32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r>
      <w:tr>
        <w:trPr>
          <w:trHeight w:val="247"/>
        </w:trPr>
        <w:tc>
          <w:tcPr>
            <w:tcW w:w="52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2,874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2,495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15.2 %</w:t>
            </w: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4,592</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2,629</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1,963</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74.7 %</w:t>
            </w:r>
          </w:p>
        </w:tc>
      </w:tr>
      <w:tr>
        <w:trPr>
          <w:trHeight w:val="247"/>
        </w:trPr>
        <w:tc>
          <w:tcPr>
            <w:tcW w:w="520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3"/>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FDIC insurance</w:t>
            </w:r>
          </w:p>
        </w:tc>
        <w:tc>
          <w:tcPr>
            <w:tcW w:w="3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2,424</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964</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66.0 %</w:t>
            </w:r>
          </w:p>
        </w:tc>
      </w:tr>
      <w:tr>
        <w:trPr>
          <w:trHeight w:val="247"/>
        </w:trPr>
        <w:tc>
          <w:tcPr>
            <w:tcW w:w="5200" w:type="dxa"/>
            <w:vAlign w:val="bottom"/>
          </w:tcPr>
          <w:p>
            <w:pPr>
              <w:ind w:left="180"/>
              <w:spacing w:after="0"/>
              <w:rPr>
                <w:sz w:val="20"/>
                <w:szCs w:val="20"/>
                <w:color w:val="auto"/>
              </w:rPr>
            </w:pPr>
            <w:r>
              <w:rPr>
                <w:rFonts w:ascii="Arial" w:cs="Arial" w:eastAsia="Arial" w:hAnsi="Arial"/>
                <w:sz w:val="18"/>
                <w:szCs w:val="18"/>
                <w:color w:val="auto"/>
              </w:rPr>
              <w:t>Other noninterest expense</w:t>
            </w:r>
          </w:p>
        </w:tc>
        <w:tc>
          <w:tcPr>
            <w:tcW w:w="320" w:type="dxa"/>
            <w:vAlign w:val="bottom"/>
          </w:tcPr>
          <w:p>
            <w:pPr>
              <w:spacing w:after="0"/>
              <w:rPr>
                <w:sz w:val="21"/>
                <w:szCs w:val="21"/>
                <w:color w:val="auto"/>
              </w:rPr>
            </w:pP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14,024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3,298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
        </w:trPr>
        <w:tc>
          <w:tcPr>
            <w:tcW w:w="52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r>
      <w:tr>
        <w:trPr>
          <w:trHeight w:val="289"/>
        </w:trPr>
        <w:tc>
          <w:tcPr>
            <w:tcW w:w="520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noninterest expense</w:t>
            </w: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127,833</w:t>
            </w:r>
          </w:p>
        </w:tc>
        <w:tc>
          <w:tcPr>
            <w:tcW w:w="80" w:type="dxa"/>
            <w:vAlign w:val="bottom"/>
            <w:tcBorders>
              <w:bottom w:val="single" w:sz="8" w:color="E0E7ED"/>
            </w:tcBorders>
            <w:shd w:val="clear" w:color="auto" w:fill="E0E7ED"/>
          </w:tcPr>
          <w:p>
            <w:pPr>
              <w:spacing w:after="0"/>
              <w:rPr>
                <w:sz w:val="24"/>
                <w:szCs w:val="24"/>
                <w:color w:val="auto"/>
              </w:rPr>
            </w:pP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E0E7ED"/>
          </w:tcPr>
          <w:p>
            <w:pPr>
              <w:jc w:val="right"/>
              <w:ind w:right="131"/>
              <w:spacing w:after="0"/>
              <w:rPr>
                <w:sz w:val="20"/>
                <w:szCs w:val="20"/>
                <w:color w:val="auto"/>
              </w:rPr>
            </w:pPr>
            <w:r>
              <w:rPr>
                <w:rFonts w:ascii="Arial" w:cs="Arial" w:eastAsia="Arial" w:hAnsi="Arial"/>
                <w:sz w:val="18"/>
                <w:szCs w:val="18"/>
                <w:color w:val="auto"/>
              </w:rPr>
              <w:t>75,906</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51,927</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68.4 %</w:t>
            </w:r>
          </w:p>
        </w:tc>
      </w:tr>
      <w:tr>
        <w:trPr>
          <w:trHeight w:val="20"/>
        </w:trPr>
        <w:tc>
          <w:tcPr>
            <w:tcW w:w="520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2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7"/>
        </w:trPr>
        <w:tc>
          <w:tcPr>
            <w:tcW w:w="5200" w:type="dxa"/>
            <w:vAlign w:val="bottom"/>
            <w:shd w:val="clear" w:color="auto" w:fill="E0E7ED"/>
          </w:tcPr>
          <w:p>
            <w:pPr>
              <w:ind w:left="20"/>
              <w:spacing w:after="0"/>
              <w:rPr>
                <w:sz w:val="20"/>
                <w:szCs w:val="20"/>
                <w:color w:val="auto"/>
              </w:rPr>
            </w:pPr>
            <w:r>
              <w:rPr>
                <w:rFonts w:ascii="Arial" w:cs="Arial" w:eastAsia="Arial" w:hAnsi="Arial"/>
                <w:sz w:val="18"/>
                <w:szCs w:val="18"/>
                <w:color w:val="auto"/>
              </w:rPr>
              <w:t>Income taxes</w:t>
            </w: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17,109</w:t>
            </w:r>
          </w:p>
        </w:tc>
        <w:tc>
          <w:tcPr>
            <w:tcW w:w="80" w:type="dxa"/>
            <w:vAlign w:val="bottom"/>
            <w:shd w:val="clear" w:color="auto" w:fill="E0E7ED"/>
          </w:tcPr>
          <w:p>
            <w:pPr>
              <w:spacing w:after="0"/>
              <w:rPr>
                <w:sz w:val="21"/>
                <w:szCs w:val="21"/>
                <w:color w:val="auto"/>
              </w:rPr>
            </w:pP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0E7ED"/>
          </w:tcPr>
          <w:p>
            <w:pPr>
              <w:jc w:val="right"/>
              <w:ind w:right="131"/>
              <w:spacing w:after="0"/>
              <w:rPr>
                <w:sz w:val="20"/>
                <w:szCs w:val="20"/>
                <w:color w:val="auto"/>
              </w:rPr>
            </w:pPr>
            <w:r>
              <w:rPr>
                <w:rFonts w:ascii="Arial" w:cs="Arial" w:eastAsia="Arial" w:hAnsi="Arial"/>
                <w:sz w:val="18"/>
                <w:szCs w:val="18"/>
                <w:color w:val="auto"/>
              </w:rPr>
              <w:t>11,064</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6,045</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8"/>
                <w:szCs w:val="18"/>
                <w:color w:val="auto"/>
              </w:rPr>
              <w:t>54.6 %</w:t>
            </w:r>
          </w:p>
        </w:tc>
      </w:tr>
      <w:tr>
        <w:trPr>
          <w:trHeight w:val="23"/>
        </w:trPr>
        <w:tc>
          <w:tcPr>
            <w:tcW w:w="5200" w:type="dxa"/>
            <w:vAlign w:val="bottom"/>
            <w:shd w:val="clear" w:color="auto" w:fill="E0E7ED"/>
          </w:tcPr>
          <w:p>
            <w:pPr>
              <w:spacing w:after="0"/>
              <w:rPr>
                <w:sz w:val="2"/>
                <w:szCs w:val="2"/>
                <w:color w:val="auto"/>
              </w:rPr>
            </w:pPr>
          </w:p>
        </w:tc>
        <w:tc>
          <w:tcPr>
            <w:tcW w:w="320" w:type="dxa"/>
            <w:vAlign w:val="bottom"/>
            <w:shd w:val="clear" w:color="auto" w:fill="E0E7ED"/>
          </w:tcPr>
          <w:p>
            <w:pPr>
              <w:spacing w:after="0"/>
              <w:rPr>
                <w:sz w:val="2"/>
                <w:szCs w:val="2"/>
                <w:color w:val="auto"/>
              </w:rPr>
            </w:pPr>
          </w:p>
        </w:tc>
        <w:tc>
          <w:tcPr>
            <w:tcW w:w="1180" w:type="dxa"/>
            <w:vAlign w:val="bottom"/>
            <w:shd w:val="clear" w:color="auto" w:fill="E0E7ED"/>
          </w:tcPr>
          <w:p>
            <w:pPr>
              <w:spacing w:after="0"/>
              <w:rPr>
                <w:sz w:val="2"/>
                <w:szCs w:val="2"/>
                <w:color w:val="auto"/>
              </w:rPr>
            </w:pPr>
          </w:p>
        </w:tc>
        <w:tc>
          <w:tcPr>
            <w:tcW w:w="80" w:type="dxa"/>
            <w:vAlign w:val="bottom"/>
            <w:shd w:val="clear" w:color="auto" w:fill="E0E7ED"/>
          </w:tcPr>
          <w:p>
            <w:pPr>
              <w:spacing w:after="0"/>
              <w:rPr>
                <w:sz w:val="2"/>
                <w:szCs w:val="2"/>
                <w:color w:val="auto"/>
              </w:rPr>
            </w:pPr>
          </w:p>
        </w:tc>
        <w:tc>
          <w:tcPr>
            <w:tcW w:w="360" w:type="dxa"/>
            <w:vAlign w:val="bottom"/>
            <w:shd w:val="clear" w:color="auto" w:fill="E0E7ED"/>
          </w:tcPr>
          <w:p>
            <w:pPr>
              <w:spacing w:after="0"/>
              <w:rPr>
                <w:sz w:val="2"/>
                <w:szCs w:val="2"/>
                <w:color w:val="auto"/>
              </w:rPr>
            </w:pPr>
          </w:p>
        </w:tc>
        <w:tc>
          <w:tcPr>
            <w:tcW w:w="112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460" w:type="dxa"/>
            <w:vAlign w:val="bottom"/>
            <w:shd w:val="clear" w:color="auto" w:fill="E0E7ED"/>
          </w:tcPr>
          <w:p>
            <w:pPr>
              <w:spacing w:after="0"/>
              <w:rPr>
                <w:sz w:val="2"/>
                <w:szCs w:val="2"/>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8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600" w:type="dxa"/>
            <w:vAlign w:val="bottom"/>
          </w:tcPr>
          <w:p>
            <w:pPr>
              <w:jc w:val="right"/>
              <w:ind w:right="410"/>
              <w:spacing w:after="0"/>
              <w:rPr>
                <w:sz w:val="20"/>
                <w:szCs w:val="20"/>
                <w:color w:val="auto"/>
              </w:rPr>
            </w:pPr>
            <w:r>
              <w:rPr>
                <w:rFonts w:ascii="Arial" w:cs="Arial" w:eastAsia="Arial" w:hAnsi="Arial"/>
                <w:sz w:val="18"/>
                <w:szCs w:val="18"/>
                <w:color w:val="auto"/>
              </w:rPr>
              <w:t>26.5 %</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28.8 %</w:t>
            </w:r>
          </w:p>
        </w:tc>
        <w:tc>
          <w:tcPr>
            <w:tcW w:w="2660" w:type="dxa"/>
            <w:vAlign w:val="bottom"/>
          </w:tcPr>
          <w:p>
            <w:pPr>
              <w:jc w:val="right"/>
              <w:ind w:right="1490"/>
              <w:spacing w:after="0"/>
              <w:rPr>
                <w:sz w:val="20"/>
                <w:szCs w:val="20"/>
                <w:color w:val="auto"/>
              </w:rPr>
            </w:pPr>
            <w:r>
              <w:rPr>
                <w:rFonts w:ascii="Arial" w:cs="Arial" w:eastAsia="Arial" w:hAnsi="Arial"/>
                <w:sz w:val="18"/>
                <w:szCs w:val="18"/>
                <w:color w:val="auto"/>
              </w:rPr>
              <w:t>(230) bps</w:t>
            </w:r>
          </w:p>
        </w:tc>
      </w:tr>
      <w:tr>
        <w:trPr>
          <w:trHeight w:val="23"/>
        </w:trPr>
        <w:tc>
          <w:tcPr>
            <w:tcW w:w="45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60" w:type="dxa"/>
            <w:vAlign w:val="bottom"/>
          </w:tcPr>
          <w:p>
            <w:pPr>
              <w:spacing w:after="0"/>
              <w:rPr>
                <w:sz w:val="2"/>
                <w:szCs w:val="2"/>
                <w:color w:val="auto"/>
              </w:rPr>
            </w:pPr>
          </w:p>
        </w:tc>
      </w:tr>
      <w:tr>
        <w:trPr>
          <w:trHeight w:val="270"/>
        </w:trPr>
        <w:tc>
          <w:tcPr>
            <w:tcW w:w="4580" w:type="dxa"/>
            <w:vAlign w:val="bottom"/>
            <w:shd w:val="clear" w:color="auto" w:fill="E0E7ED"/>
          </w:tcPr>
          <w:p>
            <w:pPr>
              <w:spacing w:after="0"/>
              <w:rPr>
                <w:sz w:val="23"/>
                <w:szCs w:val="23"/>
                <w:color w:val="auto"/>
              </w:rPr>
            </w:pPr>
          </w:p>
        </w:tc>
        <w:tc>
          <w:tcPr>
            <w:tcW w:w="2600" w:type="dxa"/>
            <w:vAlign w:val="bottom"/>
            <w:shd w:val="clear" w:color="auto" w:fill="E0E7ED"/>
          </w:tcPr>
          <w:p>
            <w:pPr>
              <w:spacing w:after="0"/>
              <w:rPr>
                <w:sz w:val="23"/>
                <w:szCs w:val="23"/>
                <w:color w:val="auto"/>
              </w:rPr>
            </w:pPr>
          </w:p>
        </w:tc>
        <w:tc>
          <w:tcPr>
            <w:tcW w:w="1400" w:type="dxa"/>
            <w:vAlign w:val="bottom"/>
            <w:shd w:val="clear" w:color="auto" w:fill="E0E7ED"/>
          </w:tcPr>
          <w:p>
            <w:pPr>
              <w:spacing w:after="0"/>
              <w:rPr>
                <w:sz w:val="23"/>
                <w:szCs w:val="23"/>
                <w:color w:val="auto"/>
              </w:rPr>
            </w:pPr>
          </w:p>
        </w:tc>
        <w:tc>
          <w:tcPr>
            <w:tcW w:w="2660" w:type="dxa"/>
            <w:vAlign w:val="bottom"/>
            <w:shd w:val="clear" w:color="auto" w:fill="E0E7ED"/>
          </w:tcPr>
          <w:p>
            <w:pPr>
              <w:spacing w:after="0"/>
              <w:rPr>
                <w:sz w:val="23"/>
                <w:szCs w:val="23"/>
                <w:color w:val="auto"/>
              </w:rPr>
            </w:pPr>
          </w:p>
        </w:tc>
      </w:tr>
      <w:tr>
        <w:trPr>
          <w:trHeight w:val="270"/>
        </w:trPr>
        <w:tc>
          <w:tcPr>
            <w:tcW w:w="4580" w:type="dxa"/>
            <w:vAlign w:val="bottom"/>
          </w:tcPr>
          <w:p>
            <w:pPr>
              <w:ind w:left="20"/>
              <w:spacing w:after="0"/>
              <w:rPr>
                <w:sz w:val="20"/>
                <w:szCs w:val="20"/>
                <w:color w:val="auto"/>
              </w:rPr>
            </w:pPr>
            <w:r>
              <w:rPr>
                <w:rFonts w:ascii="Arial" w:cs="Arial" w:eastAsia="Arial" w:hAnsi="Arial"/>
                <w:sz w:val="18"/>
                <w:szCs w:val="18"/>
                <w:color w:val="auto"/>
              </w:rPr>
              <w:t>Efficiency ratio (Non-GAAP)</w:t>
            </w:r>
            <w:r>
              <w:rPr>
                <w:rFonts w:ascii="Arial" w:cs="Arial" w:eastAsia="Arial" w:hAnsi="Arial"/>
                <w:sz w:val="23"/>
                <w:szCs w:val="23"/>
                <w:color w:val="auto"/>
                <w:vertAlign w:val="superscript"/>
              </w:rPr>
              <w:t>1</w:t>
            </w:r>
          </w:p>
        </w:tc>
        <w:tc>
          <w:tcPr>
            <w:tcW w:w="2600" w:type="dxa"/>
            <w:vAlign w:val="bottom"/>
          </w:tcPr>
          <w:p>
            <w:pPr>
              <w:jc w:val="right"/>
              <w:ind w:right="410"/>
              <w:spacing w:after="0"/>
              <w:rPr>
                <w:sz w:val="20"/>
                <w:szCs w:val="20"/>
                <w:color w:val="auto"/>
              </w:rPr>
            </w:pPr>
            <w:r>
              <w:rPr>
                <w:rFonts w:ascii="Arial" w:cs="Arial" w:eastAsia="Arial" w:hAnsi="Arial"/>
                <w:sz w:val="18"/>
                <w:szCs w:val="18"/>
                <w:color w:val="auto"/>
              </w:rPr>
              <w:t>63.9 %</w:t>
            </w:r>
          </w:p>
        </w:tc>
        <w:tc>
          <w:tcPr>
            <w:tcW w:w="1400" w:type="dxa"/>
            <w:vAlign w:val="bottom"/>
          </w:tcPr>
          <w:p>
            <w:pPr>
              <w:jc w:val="right"/>
              <w:ind w:right="230"/>
              <w:spacing w:after="0"/>
              <w:rPr>
                <w:sz w:val="20"/>
                <w:szCs w:val="20"/>
                <w:color w:val="auto"/>
              </w:rPr>
            </w:pPr>
            <w:r>
              <w:rPr>
                <w:rFonts w:ascii="Arial" w:cs="Arial" w:eastAsia="Arial" w:hAnsi="Arial"/>
                <w:sz w:val="18"/>
                <w:szCs w:val="18"/>
                <w:color w:val="auto"/>
              </w:rPr>
              <w:t>62.6 %</w:t>
            </w:r>
          </w:p>
        </w:tc>
        <w:tc>
          <w:tcPr>
            <w:tcW w:w="2660" w:type="dxa"/>
            <w:vAlign w:val="bottom"/>
          </w:tcPr>
          <w:p>
            <w:pPr>
              <w:jc w:val="right"/>
              <w:ind w:right="1490"/>
              <w:spacing w:after="0"/>
              <w:rPr>
                <w:sz w:val="20"/>
                <w:szCs w:val="20"/>
                <w:color w:val="auto"/>
              </w:rPr>
            </w:pPr>
            <w:r>
              <w:rPr>
                <w:rFonts w:ascii="Arial" w:cs="Arial" w:eastAsia="Arial" w:hAnsi="Arial"/>
                <w:sz w:val="18"/>
                <w:szCs w:val="18"/>
                <w:color w:val="auto"/>
              </w:rPr>
              <w:t>130 bps</w:t>
            </w:r>
          </w:p>
        </w:tc>
      </w:tr>
      <w:tr>
        <w:trPr>
          <w:trHeight w:val="270"/>
        </w:trPr>
        <w:tc>
          <w:tcPr>
            <w:tcW w:w="458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efficiency ratio (Non-GAAP)</w:t>
            </w:r>
            <w:r>
              <w:rPr>
                <w:rFonts w:ascii="Arial" w:cs="Arial" w:eastAsia="Arial" w:hAnsi="Arial"/>
                <w:sz w:val="23"/>
                <w:szCs w:val="23"/>
                <w:color w:val="auto"/>
                <w:vertAlign w:val="superscript"/>
              </w:rPr>
              <w:t>1</w:t>
            </w:r>
          </w:p>
        </w:tc>
        <w:tc>
          <w:tcPr>
            <w:tcW w:w="2600" w:type="dxa"/>
            <w:vAlign w:val="bottom"/>
            <w:shd w:val="clear" w:color="auto" w:fill="E0E7ED"/>
          </w:tcPr>
          <w:p>
            <w:pPr>
              <w:jc w:val="right"/>
              <w:ind w:right="410"/>
              <w:spacing w:after="0"/>
              <w:rPr>
                <w:sz w:val="20"/>
                <w:szCs w:val="20"/>
                <w:color w:val="auto"/>
              </w:rPr>
            </w:pPr>
            <w:r>
              <w:rPr>
                <w:rFonts w:ascii="Arial" w:cs="Arial" w:eastAsia="Arial" w:hAnsi="Arial"/>
                <w:sz w:val="18"/>
                <w:szCs w:val="18"/>
                <w:color w:val="auto"/>
              </w:rPr>
              <w:t>55.3 %</w:t>
            </w:r>
          </w:p>
        </w:tc>
        <w:tc>
          <w:tcPr>
            <w:tcW w:w="1400" w:type="dxa"/>
            <w:vAlign w:val="bottom"/>
            <w:shd w:val="clear" w:color="auto" w:fill="E0E7ED"/>
          </w:tcPr>
          <w:p>
            <w:pPr>
              <w:jc w:val="right"/>
              <w:ind w:right="230"/>
              <w:spacing w:after="0"/>
              <w:rPr>
                <w:sz w:val="20"/>
                <w:szCs w:val="20"/>
                <w:color w:val="auto"/>
              </w:rPr>
            </w:pPr>
            <w:r>
              <w:rPr>
                <w:rFonts w:ascii="Arial" w:cs="Arial" w:eastAsia="Arial" w:hAnsi="Arial"/>
                <w:sz w:val="18"/>
                <w:szCs w:val="18"/>
                <w:color w:val="auto"/>
              </w:rPr>
              <w:t>60.9 %</w:t>
            </w:r>
          </w:p>
        </w:tc>
        <w:tc>
          <w:tcPr>
            <w:tcW w:w="2660" w:type="dxa"/>
            <w:vAlign w:val="bottom"/>
            <w:shd w:val="clear" w:color="auto" w:fill="E0E7ED"/>
          </w:tcPr>
          <w:p>
            <w:pPr>
              <w:jc w:val="right"/>
              <w:ind w:right="1490"/>
              <w:spacing w:after="0"/>
              <w:rPr>
                <w:sz w:val="20"/>
                <w:szCs w:val="20"/>
                <w:color w:val="auto"/>
              </w:rPr>
            </w:pPr>
            <w:r>
              <w:rPr>
                <w:rFonts w:ascii="Arial" w:cs="Arial" w:eastAsia="Arial" w:hAnsi="Arial"/>
                <w:sz w:val="18"/>
                <w:szCs w:val="18"/>
                <w:color w:val="auto"/>
              </w:rPr>
              <w:t>(560) bps</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15" w:lineRule="exact"/>
        <w:rPr>
          <w:sz w:val="20"/>
          <w:szCs w:val="20"/>
          <w:color w:val="auto"/>
        </w:rPr>
      </w:pPr>
    </w:p>
    <w:p>
      <w:pPr>
        <w:ind w:left="500" w:hanging="330"/>
        <w:spacing w:after="0" w:line="284" w:lineRule="auto"/>
        <w:tabs>
          <w:tab w:leader="none" w:pos="525" w:val="left"/>
        </w:tabs>
        <w:numPr>
          <w:ilvl w:val="0"/>
          <w:numId w:val="39"/>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36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20" w:type="dxa"/>
            <w:vAlign w:val="bottom"/>
            <w:gridSpan w:val="5"/>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3"/>
        </w:trPr>
        <w:tc>
          <w:tcPr>
            <w:tcW w:w="518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6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E0E7ED"/>
            </w:tcBorders>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1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36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r>
      <w:tr>
        <w:trPr>
          <w:trHeight w:val="247"/>
        </w:trPr>
        <w:tc>
          <w:tcPr>
            <w:tcW w:w="5180" w:type="dxa"/>
            <w:vAlign w:val="bottom"/>
          </w:tcPr>
          <w:p>
            <w:pPr>
              <w:ind w:left="180"/>
              <w:spacing w:after="0"/>
              <w:rPr>
                <w:sz w:val="20"/>
                <w:szCs w:val="20"/>
                <w:color w:val="auto"/>
              </w:rPr>
            </w:pPr>
            <w:r>
              <w:rPr>
                <w:rFonts w:ascii="Arial" w:cs="Arial" w:eastAsia="Arial" w:hAnsi="Arial"/>
                <w:sz w:val="18"/>
                <w:szCs w:val="18"/>
                <w:color w:val="auto"/>
              </w:rPr>
              <w:t>Salaries, wages, and employee benefits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145,923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85,568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60,355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70.5 %</w:t>
            </w:r>
          </w:p>
        </w:tc>
      </w:tr>
      <w:tr>
        <w:trPr>
          <w:trHeight w:val="23"/>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Data processing</w:t>
            </w:r>
          </w:p>
        </w:tc>
        <w:tc>
          <w:tcPr>
            <w:tcW w:w="36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23,596</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13,650</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9,946</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72.9 %</w:t>
            </w:r>
          </w:p>
        </w:tc>
      </w:tr>
      <w:tr>
        <w:trPr>
          <w:trHeight w:val="270"/>
        </w:trPr>
        <w:tc>
          <w:tcPr>
            <w:tcW w:w="5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0"/>
        </w:trPr>
        <w:tc>
          <w:tcPr>
            <w:tcW w:w="51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Premises expenses:</w:t>
            </w:r>
          </w:p>
        </w:tc>
        <w:tc>
          <w:tcPr>
            <w:tcW w:w="36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spacing w:after="0"/>
              <w:rPr>
                <w:sz w:val="21"/>
                <w:szCs w:val="21"/>
                <w:color w:val="auto"/>
              </w:rPr>
            </w:pPr>
          </w:p>
        </w:tc>
      </w:tr>
      <w:tr>
        <w:trPr>
          <w:trHeight w:val="247"/>
        </w:trPr>
        <w:tc>
          <w:tcPr>
            <w:tcW w:w="5180" w:type="dxa"/>
            <w:vAlign w:val="bottom"/>
          </w:tcPr>
          <w:p>
            <w:pPr>
              <w:ind w:left="360"/>
              <w:spacing w:after="0"/>
              <w:rPr>
                <w:sz w:val="20"/>
                <w:szCs w:val="20"/>
                <w:color w:val="auto"/>
              </w:rPr>
            </w:pPr>
            <w:r>
              <w:rPr>
                <w:rFonts w:ascii="Arial" w:cs="Arial" w:eastAsia="Arial" w:hAnsi="Arial"/>
                <w:sz w:val="18"/>
                <w:szCs w:val="18"/>
                <w:color w:val="auto"/>
              </w:rPr>
              <w:t>Net occupancy expense of premises</w:t>
            </w:r>
          </w:p>
        </w:tc>
        <w:tc>
          <w:tcPr>
            <w:tcW w:w="36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13,631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9,310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4,321</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46.4 %</w:t>
            </w:r>
          </w:p>
        </w:tc>
      </w:tr>
      <w:tr>
        <w:trPr>
          <w:trHeight w:val="23"/>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8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Furniture and equipment expenses</w:t>
            </w:r>
          </w:p>
        </w:tc>
        <w:tc>
          <w:tcPr>
            <w:tcW w:w="36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4,153</w:t>
            </w:r>
          </w:p>
        </w:tc>
        <w:tc>
          <w:tcPr>
            <w:tcW w:w="100" w:type="dxa"/>
            <w:vAlign w:val="bottom"/>
            <w:tcBorders>
              <w:bottom w:val="single" w:sz="8" w:color="E0E7ED"/>
            </w:tcBorders>
            <w:shd w:val="clear" w:color="auto" w:fill="E0E7ED"/>
          </w:tcPr>
          <w:p>
            <w:pPr>
              <w:spacing w:after="0"/>
              <w:rPr>
                <w:sz w:val="23"/>
                <w:szCs w:val="23"/>
                <w:color w:val="auto"/>
              </w:rPr>
            </w:pPr>
          </w:p>
        </w:tc>
        <w:tc>
          <w:tcPr>
            <w:tcW w:w="34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645</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18.4 %</w:t>
            </w:r>
          </w:p>
        </w:tc>
      </w:tr>
      <w:tr>
        <w:trPr>
          <w:trHeight w:val="204"/>
        </w:trPr>
        <w:tc>
          <w:tcPr>
            <w:tcW w:w="5180" w:type="dxa"/>
            <w:vAlign w:val="bottom"/>
          </w:tcPr>
          <w:p>
            <w:pPr>
              <w:ind w:left="180"/>
              <w:spacing w:after="0" w:line="204" w:lineRule="exact"/>
              <w:rPr>
                <w:sz w:val="20"/>
                <w:szCs w:val="20"/>
                <w:color w:val="auto"/>
              </w:rPr>
            </w:pPr>
            <w:r>
              <w:rPr>
                <w:rFonts w:ascii="Arial" w:cs="Arial" w:eastAsia="Arial" w:hAnsi="Arial"/>
                <w:sz w:val="18"/>
                <w:szCs w:val="18"/>
                <w:color w:val="auto"/>
              </w:rPr>
              <w:t>Combined, net occupancy expense of premises and furniture</w:t>
            </w:r>
          </w:p>
        </w:tc>
        <w:tc>
          <w:tcPr>
            <w:tcW w:w="3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39"/>
        </w:trPr>
        <w:tc>
          <w:tcPr>
            <w:tcW w:w="5180" w:type="dxa"/>
            <w:vAlign w:val="bottom"/>
          </w:tcPr>
          <w:p>
            <w:pPr>
              <w:ind w:left="180"/>
              <w:spacing w:after="0"/>
              <w:rPr>
                <w:sz w:val="20"/>
                <w:szCs w:val="20"/>
                <w:color w:val="auto"/>
              </w:rPr>
            </w:pPr>
            <w:r>
              <w:rPr>
                <w:rFonts w:ascii="Arial" w:cs="Arial" w:eastAsia="Arial" w:hAnsi="Arial"/>
                <w:sz w:val="18"/>
                <w:szCs w:val="18"/>
                <w:color w:val="auto"/>
              </w:rPr>
              <w:t>and equipment expenses</w:t>
            </w:r>
          </w:p>
        </w:tc>
        <w:tc>
          <w:tcPr>
            <w:tcW w:w="360" w:type="dxa"/>
            <w:vAlign w:val="bottom"/>
          </w:tcPr>
          <w:p>
            <w:pPr>
              <w:spacing w:after="0"/>
              <w:rPr>
                <w:sz w:val="20"/>
                <w:szCs w:val="20"/>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17,784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12,818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4,966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38.7 %</w:t>
            </w:r>
          </w:p>
        </w:tc>
      </w:tr>
      <w:tr>
        <w:trPr>
          <w:trHeight w:val="23"/>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180" w:type="dxa"/>
            <w:vAlign w:val="bottom"/>
            <w:shd w:val="clear" w:color="auto" w:fill="E0E7ED"/>
          </w:tcPr>
          <w:p>
            <w:pPr>
              <w:spacing w:after="0"/>
              <w:rPr>
                <w:sz w:val="23"/>
                <w:szCs w:val="23"/>
                <w:color w:val="auto"/>
              </w:rPr>
            </w:pPr>
          </w:p>
        </w:tc>
        <w:tc>
          <w:tcPr>
            <w:tcW w:w="36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340" w:type="dxa"/>
            <w:vAlign w:val="bottom"/>
            <w:shd w:val="clear" w:color="auto" w:fill="E0E7ED"/>
          </w:tcPr>
          <w:p>
            <w:pPr>
              <w:spacing w:after="0"/>
              <w:rPr>
                <w:sz w:val="23"/>
                <w:szCs w:val="23"/>
                <w:color w:val="auto"/>
              </w:rPr>
            </w:pPr>
          </w:p>
        </w:tc>
        <w:tc>
          <w:tcPr>
            <w:tcW w:w="114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r>
      <w:tr>
        <w:trPr>
          <w:trHeight w:val="247"/>
        </w:trPr>
        <w:tc>
          <w:tcPr>
            <w:tcW w:w="51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6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12,385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4,748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7,637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160.8 %</w:t>
            </w:r>
          </w:p>
        </w:tc>
      </w:tr>
      <w:tr>
        <w:trPr>
          <w:trHeight w:val="23"/>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7,675</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5,038</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2,637</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52.3 %</w:t>
            </w:r>
          </w:p>
        </w:tc>
      </w:tr>
      <w:tr>
        <w:trPr>
          <w:trHeight w:val="247"/>
        </w:trPr>
        <w:tc>
          <w:tcPr>
            <w:tcW w:w="5180" w:type="dxa"/>
            <w:vAlign w:val="bottom"/>
          </w:tcPr>
          <w:p>
            <w:pPr>
              <w:ind w:left="180"/>
              <w:spacing w:after="0"/>
              <w:rPr>
                <w:sz w:val="20"/>
                <w:szCs w:val="20"/>
                <w:color w:val="auto"/>
              </w:rPr>
            </w:pPr>
            <w:r>
              <w:rPr>
                <w:rFonts w:ascii="Arial" w:cs="Arial" w:eastAsia="Arial" w:hAnsi="Arial"/>
                <w:sz w:val="18"/>
                <w:szCs w:val="18"/>
                <w:color w:val="auto"/>
              </w:rPr>
              <w:t>Interchange expense</w:t>
            </w:r>
          </w:p>
        </w:tc>
        <w:tc>
          <w:tcPr>
            <w:tcW w:w="36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2,640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3,344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(21.1)%</w:t>
            </w:r>
          </w:p>
        </w:tc>
      </w:tr>
      <w:tr>
        <w:trPr>
          <w:trHeight w:val="23"/>
        </w:trPr>
        <w:tc>
          <w:tcPr>
            <w:tcW w:w="5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1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FDIC insurance</w:t>
            </w:r>
          </w:p>
        </w:tc>
        <w:tc>
          <w:tcPr>
            <w:tcW w:w="36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4,591</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31"/>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1,731</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60.5 %</w:t>
            </w:r>
          </w:p>
        </w:tc>
      </w:tr>
      <w:tr>
        <w:trPr>
          <w:trHeight w:val="247"/>
        </w:trPr>
        <w:tc>
          <w:tcPr>
            <w:tcW w:w="5180" w:type="dxa"/>
            <w:vAlign w:val="bottom"/>
          </w:tcPr>
          <w:p>
            <w:pPr>
              <w:ind w:left="180"/>
              <w:spacing w:after="0"/>
              <w:rPr>
                <w:sz w:val="20"/>
                <w:szCs w:val="20"/>
                <w:color w:val="auto"/>
              </w:rPr>
            </w:pPr>
            <w:r>
              <w:rPr>
                <w:rFonts w:ascii="Arial" w:cs="Arial" w:eastAsia="Arial" w:hAnsi="Arial"/>
                <w:sz w:val="18"/>
                <w:szCs w:val="18"/>
                <w:color w:val="auto"/>
              </w:rPr>
              <w:t>Other noninterest expense</w:t>
            </w:r>
          </w:p>
        </w:tc>
        <w:tc>
          <w:tcPr>
            <w:tcW w:w="36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25,269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19,327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5,942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30.7 %</w:t>
            </w:r>
          </w:p>
        </w:tc>
      </w:tr>
      <w:tr>
        <w:trPr>
          <w:trHeight w:val="23"/>
        </w:trPr>
        <w:tc>
          <w:tcPr>
            <w:tcW w:w="5180" w:type="dxa"/>
            <w:vAlign w:val="bottom"/>
            <w:tcBorders>
              <w:bottom w:val="single" w:sz="8" w:color="E0E7ED"/>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r>
      <w:tr>
        <w:trPr>
          <w:trHeight w:val="288"/>
        </w:trPr>
        <w:tc>
          <w:tcPr>
            <w:tcW w:w="51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noninterest expense</w:t>
            </w:r>
          </w:p>
        </w:tc>
        <w:tc>
          <w:tcPr>
            <w:tcW w:w="36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239,863</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E0E7ED"/>
          </w:tcPr>
          <w:p>
            <w:pPr>
              <w:jc w:val="right"/>
              <w:ind w:right="131"/>
              <w:spacing w:after="0"/>
              <w:rPr>
                <w:sz w:val="20"/>
                <w:szCs w:val="20"/>
                <w:color w:val="auto"/>
              </w:rPr>
            </w:pPr>
            <w:r>
              <w:rPr>
                <w:rFonts w:ascii="Arial" w:cs="Arial" w:eastAsia="Arial" w:hAnsi="Arial"/>
                <w:sz w:val="18"/>
                <w:szCs w:val="18"/>
                <w:color w:val="auto"/>
              </w:rPr>
              <w:t>147,353</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92,510</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62.8 %</w:t>
            </w:r>
          </w:p>
        </w:tc>
      </w:tr>
      <w:tr>
        <w:trPr>
          <w:trHeight w:val="20"/>
        </w:trPr>
        <w:tc>
          <w:tcPr>
            <w:tcW w:w="5180" w:type="dxa"/>
            <w:vAlign w:val="bottom"/>
            <w:tcBorders>
              <w:top w:val="single" w:sz="8" w:color="E0E7ED"/>
            </w:tcBorders>
          </w:tcPr>
          <w:p>
            <w:pPr>
              <w:spacing w:after="0" w:line="20" w:lineRule="exact"/>
              <w:rPr>
                <w:sz w:val="1"/>
                <w:szCs w:val="1"/>
                <w:color w:val="auto"/>
              </w:rPr>
            </w:pPr>
          </w:p>
        </w:tc>
        <w:tc>
          <w:tcPr>
            <w:tcW w:w="36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0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7"/>
        </w:trPr>
        <w:tc>
          <w:tcPr>
            <w:tcW w:w="5180" w:type="dxa"/>
            <w:vAlign w:val="bottom"/>
            <w:shd w:val="clear" w:color="auto" w:fill="E0E7ED"/>
          </w:tcPr>
          <w:p>
            <w:pPr>
              <w:ind w:left="2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14,430</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E0E7ED"/>
          </w:tcPr>
          <w:p>
            <w:pPr>
              <w:jc w:val="right"/>
              <w:ind w:right="131"/>
              <w:spacing w:after="0"/>
              <w:rPr>
                <w:sz w:val="20"/>
                <w:szCs w:val="20"/>
                <w:color w:val="auto"/>
              </w:rPr>
            </w:pPr>
            <w:r>
              <w:rPr>
                <w:rFonts w:ascii="Arial" w:cs="Arial" w:eastAsia="Arial" w:hAnsi="Arial"/>
                <w:sz w:val="18"/>
                <w:szCs w:val="18"/>
                <w:color w:val="auto"/>
              </w:rPr>
              <w:t>19,799</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(5,369)</w:t>
            </w:r>
          </w:p>
        </w:tc>
        <w:tc>
          <w:tcPr>
            <w:tcW w:w="1560" w:type="dxa"/>
            <w:vAlign w:val="bottom"/>
            <w:gridSpan w:val="2"/>
            <w:shd w:val="clear" w:color="auto" w:fill="E0E7ED"/>
          </w:tcPr>
          <w:p>
            <w:pPr>
              <w:jc w:val="right"/>
              <w:spacing w:after="0"/>
              <w:rPr>
                <w:sz w:val="20"/>
                <w:szCs w:val="20"/>
                <w:color w:val="auto"/>
              </w:rPr>
            </w:pPr>
            <w:r>
              <w:rPr>
                <w:rFonts w:ascii="Arial" w:cs="Arial" w:eastAsia="Arial" w:hAnsi="Arial"/>
                <w:sz w:val="18"/>
                <w:szCs w:val="18"/>
                <w:color w:val="auto"/>
              </w:rPr>
              <w:t>(27.1)%</w:t>
            </w:r>
          </w:p>
        </w:tc>
      </w:tr>
      <w:tr>
        <w:trPr>
          <w:trHeight w:val="23"/>
        </w:trPr>
        <w:tc>
          <w:tcPr>
            <w:tcW w:w="5180" w:type="dxa"/>
            <w:vAlign w:val="bottom"/>
            <w:shd w:val="clear" w:color="auto" w:fill="E0E7ED"/>
          </w:tcPr>
          <w:p>
            <w:pPr>
              <w:spacing w:after="0"/>
              <w:rPr>
                <w:sz w:val="2"/>
                <w:szCs w:val="2"/>
                <w:color w:val="auto"/>
              </w:rPr>
            </w:pPr>
          </w:p>
        </w:tc>
        <w:tc>
          <w:tcPr>
            <w:tcW w:w="360" w:type="dxa"/>
            <w:vAlign w:val="bottom"/>
            <w:shd w:val="clear" w:color="auto" w:fill="E0E7ED"/>
          </w:tcPr>
          <w:p>
            <w:pPr>
              <w:spacing w:after="0"/>
              <w:rPr>
                <w:sz w:val="2"/>
                <w:szCs w:val="2"/>
                <w:color w:val="auto"/>
              </w:rPr>
            </w:pPr>
          </w:p>
        </w:tc>
        <w:tc>
          <w:tcPr>
            <w:tcW w:w="11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40" w:type="dxa"/>
            <w:vAlign w:val="bottom"/>
            <w:shd w:val="clear" w:color="auto" w:fill="E0E7ED"/>
          </w:tcPr>
          <w:p>
            <w:pPr>
              <w:spacing w:after="0"/>
              <w:rPr>
                <w:sz w:val="2"/>
                <w:szCs w:val="2"/>
                <w:color w:val="auto"/>
              </w:rPr>
            </w:pPr>
          </w:p>
        </w:tc>
        <w:tc>
          <w:tcPr>
            <w:tcW w:w="11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460" w:type="dxa"/>
            <w:vAlign w:val="bottom"/>
            <w:shd w:val="clear" w:color="auto" w:fill="E0E7ED"/>
          </w:tcPr>
          <w:p>
            <w:pPr>
              <w:spacing w:after="0"/>
              <w:rPr>
                <w:sz w:val="2"/>
                <w:szCs w:val="2"/>
                <w:color w:val="auto"/>
              </w:rPr>
            </w:pPr>
          </w:p>
        </w:tc>
      </w:tr>
    </w:tbl>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6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45.3 %</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27.0 %</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1,830 bps</w:t>
            </w:r>
          </w:p>
        </w:tc>
        <w:tc>
          <w:tcPr>
            <w:tcW w:w="1080" w:type="dxa"/>
            <w:vAlign w:val="bottom"/>
          </w:tcPr>
          <w:p>
            <w:pPr>
              <w:spacing w:after="0"/>
              <w:rPr>
                <w:sz w:val="20"/>
                <w:szCs w:val="20"/>
                <w:color w:val="auto"/>
              </w:rPr>
            </w:pPr>
          </w:p>
        </w:tc>
      </w:tr>
      <w:tr>
        <w:trPr>
          <w:trHeight w:val="23"/>
        </w:trPr>
        <w:tc>
          <w:tcPr>
            <w:tcW w:w="49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960" w:type="dxa"/>
            <w:vAlign w:val="bottom"/>
            <w:shd w:val="clear" w:color="auto" w:fill="E0E7ED"/>
          </w:tcPr>
          <w:p>
            <w:pPr>
              <w:spacing w:after="0"/>
              <w:rPr>
                <w:sz w:val="23"/>
                <w:szCs w:val="23"/>
                <w:color w:val="auto"/>
              </w:rPr>
            </w:pPr>
          </w:p>
        </w:tc>
        <w:tc>
          <w:tcPr>
            <w:tcW w:w="2220" w:type="dxa"/>
            <w:vAlign w:val="bottom"/>
            <w:shd w:val="clear" w:color="auto" w:fill="E0E7ED"/>
          </w:tcPr>
          <w:p>
            <w:pPr>
              <w:spacing w:after="0"/>
              <w:rPr>
                <w:sz w:val="23"/>
                <w:szCs w:val="23"/>
                <w:color w:val="auto"/>
              </w:rPr>
            </w:pPr>
          </w:p>
        </w:tc>
        <w:tc>
          <w:tcPr>
            <w:tcW w:w="1380" w:type="dxa"/>
            <w:vAlign w:val="bottom"/>
            <w:shd w:val="clear" w:color="auto" w:fill="E0E7ED"/>
          </w:tcPr>
          <w:p>
            <w:pPr>
              <w:spacing w:after="0"/>
              <w:rPr>
                <w:sz w:val="23"/>
                <w:szCs w:val="23"/>
                <w:color w:val="auto"/>
              </w:rPr>
            </w:pPr>
          </w:p>
        </w:tc>
        <w:tc>
          <w:tcPr>
            <w:tcW w:w="160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r>
      <w:tr>
        <w:trPr>
          <w:trHeight w:val="270"/>
        </w:trPr>
        <w:tc>
          <w:tcPr>
            <w:tcW w:w="4960" w:type="dxa"/>
            <w:vAlign w:val="bottom"/>
          </w:tcPr>
          <w:p>
            <w:pPr>
              <w:ind w:left="20"/>
              <w:spacing w:after="0"/>
              <w:rPr>
                <w:sz w:val="20"/>
                <w:szCs w:val="20"/>
                <w:color w:val="auto"/>
              </w:rPr>
            </w:pPr>
            <w:r>
              <w:rPr>
                <w:rFonts w:ascii="Arial" w:cs="Arial" w:eastAsia="Arial" w:hAnsi="Arial"/>
                <w:sz w:val="18"/>
                <w:szCs w:val="18"/>
                <w:color w:val="auto"/>
              </w:rPr>
              <w:t>Efficiency ratio (Non-GAAP)</w:t>
            </w:r>
            <w:r>
              <w:rPr>
                <w:rFonts w:ascii="Arial" w:cs="Arial" w:eastAsia="Arial" w:hAnsi="Arial"/>
                <w:sz w:val="23"/>
                <w:szCs w:val="23"/>
                <w:color w:val="auto"/>
                <w:vertAlign w:val="superscript"/>
              </w:rPr>
              <w:t>1</w:t>
            </w:r>
          </w:p>
        </w:tc>
        <w:tc>
          <w:tcPr>
            <w:tcW w:w="2220" w:type="dxa"/>
            <w:vAlign w:val="bottom"/>
          </w:tcPr>
          <w:p>
            <w:pPr>
              <w:jc w:val="right"/>
              <w:ind w:right="430"/>
              <w:spacing w:after="0"/>
              <w:rPr>
                <w:sz w:val="20"/>
                <w:szCs w:val="20"/>
                <w:color w:val="auto"/>
              </w:rPr>
            </w:pPr>
            <w:r>
              <w:rPr>
                <w:rFonts w:ascii="Arial" w:cs="Arial" w:eastAsia="Arial" w:hAnsi="Arial"/>
                <w:sz w:val="18"/>
                <w:szCs w:val="18"/>
                <w:color w:val="auto"/>
              </w:rPr>
              <w:t>69.5 %</w:t>
            </w:r>
          </w:p>
        </w:tc>
        <w:tc>
          <w:tcPr>
            <w:tcW w:w="1380" w:type="dxa"/>
            <w:vAlign w:val="bottom"/>
          </w:tcPr>
          <w:p>
            <w:pPr>
              <w:jc w:val="right"/>
              <w:ind w:right="210"/>
              <w:spacing w:after="0"/>
              <w:rPr>
                <w:sz w:val="20"/>
                <w:szCs w:val="20"/>
                <w:color w:val="auto"/>
              </w:rPr>
            </w:pPr>
            <w:r>
              <w:rPr>
                <w:rFonts w:ascii="Arial" w:cs="Arial" w:eastAsia="Arial" w:hAnsi="Arial"/>
                <w:sz w:val="18"/>
                <w:szCs w:val="18"/>
                <w:color w:val="auto"/>
              </w:rPr>
              <w:t>60.7 %</w:t>
            </w:r>
          </w:p>
        </w:tc>
        <w:tc>
          <w:tcPr>
            <w:tcW w:w="1600" w:type="dxa"/>
            <w:vAlign w:val="bottom"/>
          </w:tcPr>
          <w:p>
            <w:pPr>
              <w:jc w:val="right"/>
              <w:ind w:right="410"/>
              <w:spacing w:after="0"/>
              <w:rPr>
                <w:sz w:val="20"/>
                <w:szCs w:val="20"/>
                <w:color w:val="auto"/>
              </w:rPr>
            </w:pPr>
            <w:r>
              <w:rPr>
                <w:rFonts w:ascii="Arial" w:cs="Arial" w:eastAsia="Arial" w:hAnsi="Arial"/>
                <w:sz w:val="18"/>
                <w:szCs w:val="18"/>
                <w:color w:val="auto"/>
              </w:rPr>
              <w:t>880 bps</w:t>
            </w:r>
          </w:p>
        </w:tc>
        <w:tc>
          <w:tcPr>
            <w:tcW w:w="1080" w:type="dxa"/>
            <w:vAlign w:val="bottom"/>
          </w:tcPr>
          <w:p>
            <w:pPr>
              <w:spacing w:after="0"/>
              <w:rPr>
                <w:sz w:val="23"/>
                <w:szCs w:val="23"/>
                <w:color w:val="auto"/>
              </w:rPr>
            </w:pPr>
          </w:p>
        </w:tc>
      </w:tr>
      <w:tr>
        <w:trPr>
          <w:trHeight w:val="270"/>
        </w:trPr>
        <w:tc>
          <w:tcPr>
            <w:tcW w:w="496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efficiency ratio (Non-GAAP)</w:t>
            </w:r>
            <w:r>
              <w:rPr>
                <w:rFonts w:ascii="Arial" w:cs="Arial" w:eastAsia="Arial" w:hAnsi="Arial"/>
                <w:sz w:val="23"/>
                <w:szCs w:val="23"/>
                <w:color w:val="auto"/>
                <w:vertAlign w:val="superscript"/>
              </w:rPr>
              <w:t>1</w:t>
            </w:r>
          </w:p>
        </w:tc>
        <w:tc>
          <w:tcPr>
            <w:tcW w:w="2220" w:type="dxa"/>
            <w:vAlign w:val="bottom"/>
            <w:shd w:val="clear" w:color="auto" w:fill="E0E7ED"/>
          </w:tcPr>
          <w:p>
            <w:pPr>
              <w:jc w:val="right"/>
              <w:ind w:right="430"/>
              <w:spacing w:after="0"/>
              <w:rPr>
                <w:sz w:val="20"/>
                <w:szCs w:val="20"/>
                <w:color w:val="auto"/>
              </w:rPr>
            </w:pPr>
            <w:r>
              <w:rPr>
                <w:rFonts w:ascii="Arial" w:cs="Arial" w:eastAsia="Arial" w:hAnsi="Arial"/>
                <w:sz w:val="18"/>
                <w:szCs w:val="18"/>
                <w:color w:val="auto"/>
              </w:rPr>
              <w:t>56.7 %</w:t>
            </w:r>
          </w:p>
        </w:tc>
        <w:tc>
          <w:tcPr>
            <w:tcW w:w="138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rPr>
              <w:t>61.6 %</w:t>
            </w:r>
          </w:p>
        </w:tc>
        <w:tc>
          <w:tcPr>
            <w:tcW w:w="1600" w:type="dxa"/>
            <w:vAlign w:val="bottom"/>
            <w:shd w:val="clear" w:color="auto" w:fill="E0E7ED"/>
          </w:tcPr>
          <w:p>
            <w:pPr>
              <w:jc w:val="right"/>
              <w:ind w:right="410"/>
              <w:spacing w:after="0"/>
              <w:rPr>
                <w:sz w:val="20"/>
                <w:szCs w:val="20"/>
                <w:color w:val="auto"/>
              </w:rPr>
            </w:pPr>
            <w:r>
              <w:rPr>
                <w:rFonts w:ascii="Arial" w:cs="Arial" w:eastAsia="Arial" w:hAnsi="Arial"/>
                <w:sz w:val="18"/>
                <w:szCs w:val="18"/>
                <w:color w:val="auto"/>
              </w:rPr>
              <w:t>(490) bps</w:t>
            </w:r>
          </w:p>
        </w:tc>
        <w:tc>
          <w:tcPr>
            <w:tcW w:w="1080" w:type="dxa"/>
            <w:vAlign w:val="bottom"/>
            <w:shd w:val="clear" w:color="auto" w:fill="E0E7ED"/>
          </w:tcPr>
          <w:p>
            <w:pPr>
              <w:spacing w:after="0"/>
              <w:rPr>
                <w:sz w:val="23"/>
                <w:szCs w:val="23"/>
                <w:color w:val="auto"/>
              </w:rPr>
            </w:pPr>
          </w:p>
        </w:tc>
      </w:tr>
      <w:tr>
        <w:trPr>
          <w:trHeight w:val="270"/>
        </w:trPr>
        <w:tc>
          <w:tcPr>
            <w:tcW w:w="496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50"/>
        </w:trPr>
        <w:tc>
          <w:tcPr>
            <w:tcW w:w="49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Full-time equivalent associates as of period-end</w:t>
            </w:r>
          </w:p>
        </w:tc>
        <w:tc>
          <w:tcPr>
            <w:tcW w:w="2220" w:type="dxa"/>
            <w:vAlign w:val="bottom"/>
            <w:tcBorders>
              <w:bottom w:val="single" w:sz="8" w:color="E0E7ED"/>
            </w:tcBorders>
            <w:shd w:val="clear" w:color="auto" w:fill="E0E7ED"/>
          </w:tcPr>
          <w:p>
            <w:pPr>
              <w:jc w:val="right"/>
              <w:ind w:right="430"/>
              <w:spacing w:after="0"/>
              <w:rPr>
                <w:sz w:val="20"/>
                <w:szCs w:val="20"/>
                <w:color w:val="auto"/>
              </w:rPr>
            </w:pPr>
            <w:r>
              <w:rPr>
                <w:rFonts w:ascii="Arial" w:cs="Arial" w:eastAsia="Arial" w:hAnsi="Arial"/>
                <w:sz w:val="18"/>
                <w:szCs w:val="18"/>
                <w:color w:val="auto"/>
              </w:rPr>
              <w:t>1,950</w:t>
            </w:r>
          </w:p>
        </w:tc>
        <w:tc>
          <w:tcPr>
            <w:tcW w:w="138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rPr>
              <w:t>1,520</w:t>
            </w:r>
          </w:p>
        </w:tc>
        <w:tc>
          <w:tcPr>
            <w:tcW w:w="1600" w:type="dxa"/>
            <w:vAlign w:val="bottom"/>
            <w:tcBorders>
              <w:bottom w:val="single" w:sz="8" w:color="E0E7ED"/>
            </w:tcBorders>
            <w:shd w:val="clear" w:color="auto" w:fill="E0E7ED"/>
          </w:tcPr>
          <w:p>
            <w:pPr>
              <w:jc w:val="right"/>
              <w:ind w:right="410"/>
              <w:spacing w:after="0"/>
              <w:rPr>
                <w:sz w:val="20"/>
                <w:szCs w:val="20"/>
                <w:color w:val="auto"/>
              </w:rPr>
            </w:pPr>
            <w:r>
              <w:rPr>
                <w:rFonts w:ascii="Arial" w:cs="Arial" w:eastAsia="Arial" w:hAnsi="Arial"/>
                <w:sz w:val="18"/>
                <w:szCs w:val="18"/>
                <w:color w:val="auto"/>
              </w:rPr>
              <w:t>430</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28.3 %</w:t>
            </w:r>
          </w:p>
        </w:tc>
      </w:tr>
      <w:tr>
        <w:trPr>
          <w:trHeight w:val="275"/>
        </w:trPr>
        <w:tc>
          <w:tcPr>
            <w:tcW w:w="4960" w:type="dxa"/>
            <w:vAlign w:val="bottom"/>
          </w:tcPr>
          <w:p>
            <w:pPr>
              <w:spacing w:after="0"/>
              <w:rPr>
                <w:sz w:val="20"/>
                <w:szCs w:val="20"/>
                <w:color w:val="auto"/>
              </w:rPr>
            </w:pPr>
            <w:r>
              <w:rPr>
                <w:rFonts w:ascii="Arial" w:cs="Arial" w:eastAsia="Arial" w:hAnsi="Arial"/>
                <w:sz w:val="14"/>
                <w:szCs w:val="14"/>
                <w:color w:val="auto"/>
              </w:rPr>
              <w:t>___________________________________________</w:t>
            </w:r>
          </w:p>
        </w:tc>
        <w:tc>
          <w:tcPr>
            <w:tcW w:w="2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80" w:type="dxa"/>
            <w:vAlign w:val="bottom"/>
          </w:tcPr>
          <w:p>
            <w:pPr>
              <w:spacing w:after="0"/>
              <w:rPr>
                <w:sz w:val="23"/>
                <w:szCs w:val="23"/>
                <w:color w:val="auto"/>
              </w:rPr>
            </w:pPr>
          </w:p>
        </w:tc>
      </w:tr>
    </w:tbl>
    <w:p>
      <w:pPr>
        <w:ind w:left="500" w:hanging="330"/>
        <w:spacing w:after="0" w:line="264" w:lineRule="auto"/>
        <w:tabs>
          <w:tab w:leader="none" w:pos="525"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FF"/>
        </w:rPr>
        <w:t>Item 2. Management’s Discussion and Analysis—Non-GAAP Financial Information</w:t>
      </w:r>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1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noninterest expense was $127.8 million for the three months ended June 30, 2025, a 68.4% increase from the comparable period in 2024. Total noninterest expense was $239.9 million for the six months ended June 30, 2025, a 62.8% increase from the comparable period in</w:t>
      </w:r>
    </w:p>
    <w:p>
      <w:pPr>
        <w:jc w:val="both"/>
        <w:spacing w:after="0" w:line="253" w:lineRule="auto"/>
        <w:rPr>
          <w:sz w:val="20"/>
          <w:szCs w:val="20"/>
          <w:color w:val="auto"/>
        </w:rPr>
      </w:pPr>
      <w:r>
        <w:rPr>
          <w:rFonts w:ascii="Arial" w:cs="Arial" w:eastAsia="Arial" w:hAnsi="Arial"/>
          <w:sz w:val="18"/>
          <w:szCs w:val="18"/>
          <w:color w:val="auto"/>
        </w:rPr>
        <w:t>2024. Growth in noninterest expense was primarily attributable to acquisition and restructuring expenses related to the CrossFirst acquisition, added costs for operating expenses for two banks from March 1, 2025, until the banks were merged on June 20, 2025, and increased expenses associated with the larger organization and branch network. Acquisition and restructuring expenses contributed $16.6 million to total noninterest expense for the three months ended June 30, 2025, compared to $ 2.2 million for the comparable period in 2024. Acquisition and restructuring expenses contributed $42.6 million to total noninterest expense for the six months ended June 30, 2025, compared to $2.6 million for the comparable period in 2024.</w:t>
      </w:r>
    </w:p>
    <w:p>
      <w:pPr>
        <w:spacing w:after="0" w:line="1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Annual pre-tax expense synergy estimates resulting from the CrossFirst acquisition remain on track at $25.0 million. Busey anticipates a 50% rate of synergy realization in 2025 and 100% in 2026.</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wages, and employee benefits were $78.4 million for the three months ended June 30, 2025, an 80.2% increase from the comparable period in 2024 and were $145.9 million for the six months ended June 30, 2025, a 70.5% increase from the comparable period in 2024. Acquisition and restructuring expenses were $11.6 million and $27.4 million for the three and six months ended June 30, 2025, respectively, with additional severance, retention, and stock-based compensation expenses related to the CrossFirst acquisition. Further, in connection with the CrossFirst acquisition in March and the addition of 16 banking centers, Busey’s workforce expanded. In total, Busey has added 430 full time equivalent associates over the past year, mostly as a result of the CrossFirst acquisition.</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Data processing expense was $ 14.0 million for the three months ended June 30, 2025, a 97.5% increase from the comparable period in 2024. Excluding acquisition and restructuring expenses, data processing expense was $10.1 million for the three months ended June 30, 2025, a 48.9% increase from the comparable period in 2024. Data processing expense was $23.6 million for the six months ended June 30, 2025, a 72.9% increase from the comparable period in 2024. Excluding acquisition and restructuring expenses, data processing expense was $ 17.3 million for the six months ended June 30, 2025, a 31.2% increase from the comparable period in 2024. Busey has continued to make investments in technology enhancements and has also experienced inflation-driven price increases.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Combined, net occupancy expense of premises and furniture and equipment expense totaled $10.2 million for the three months ended June 30, 2025, a 62.9% increase from the comparable period in 2024, and $17.8 million for the six months ended June 30, 2025, a 38.7% increase from the comparable period in 2024. The CrossFirst acquisition added 16 banking centers and primary cost drivers in these expense categories include lease costs, repairs and maintenance, depreciation expense, real estate taxes, and utilities.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Professional fees were $2.9 million for the three months ended June 30, 2025, a 15.2% increase from the comparable period in 2024 and were $12.4 million for the six months ended June 30, 2025, a 160.8% increase from the comparable period in 2024. Acquisition and restructuring expenses were $0.3 million and $7.6 million for the three and six months ended June 30, 2025, respectively.</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Amortization of intangible assets was $4.6 million for the three months ended June 30, 2025, a 74.7% increase from the comparable period in 2024, and $7.7 million for the six months ended June 30, 2025, a 52.3% increase from the comparable period for 2024. The CrossFirst acquisition added an estimated $81.8 million of finite-lived intangible assets with amortization of $2.4 million and $3.1 million during the three and six months ended June 30, 2025, respectively. Busey uses an accelerated amortization methodology.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Interchange expense was $1.3 million for the three months ended June 30, 2025, a 25.2% decrease from the comparable period in 2024, and was $2.6 million for the six months ended June 30, 2025, a 21.1% decrease from the comparable period in 2024. Fluctuations in interchange expense relate to payment and volume activity at FirsTech.</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FDIC insurance expense was $2.4 million for the three months ended June 30, 2025, a 66.0% increase from the comparable period in 2024, and $4.6 million for the six months ended June 30, 2025, a 60.5% increase from the comparable period in 2024. Additional FDIC insurance assessments were the result of Busey’s growth in average assets in connection with the CrossFirst acquisition.</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noninterest expense was $14.0 million for the three months ended June 30, 2025, a 30.7% increase from the comparable period in 2024, and was $25.3 million for the six months ended June 30, 2025, also a 30.7% increase from the comparable period in 2024. Increases in other noninterest expense are attributable to multiple items, including marketing, business development, and supplies, as well as increases in acquisition and restructuring expenses of $0.5 million and $1.0 million compared to the three and six months ended June 30, 2024, respectively.</w:t>
      </w:r>
    </w:p>
    <w:p>
      <w:pPr>
        <w:spacing w:after="0" w:line="200" w:lineRule="exact"/>
        <w:rPr>
          <w:sz w:val="20"/>
          <w:szCs w:val="20"/>
          <w:color w:val="auto"/>
        </w:rPr>
      </w:pPr>
    </w:p>
    <w:p>
      <w:pPr>
        <w:spacing w:after="0" w:line="35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Efficiency Ratio</w:t>
      </w:r>
    </w:p>
    <w:p>
      <w:pPr>
        <w:spacing w:after="0" w:line="18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efficiency ratio</w:t>
      </w:r>
      <w:r>
        <w:rPr>
          <w:rFonts w:ascii="Arial" w:cs="Arial" w:eastAsia="Arial" w:hAnsi="Arial"/>
          <w:sz w:val="23"/>
          <w:szCs w:val="23"/>
          <w:color w:val="auto"/>
          <w:vertAlign w:val="superscript"/>
        </w:rPr>
        <w:t>2</w:t>
      </w:r>
      <w:r>
        <w:rPr>
          <w:rFonts w:ascii="Arial" w:cs="Arial" w:eastAsia="Arial" w:hAnsi="Arial"/>
          <w:sz w:val="18"/>
          <w:szCs w:val="18"/>
          <w:color w:val="auto"/>
        </w:rPr>
        <w:t>, which is a measure commonly used by management and the banking industry, measures the amount of expense incurred to generate a dollar of revenue. Busey’s efficiency ratio was 63.9% for the three months ended June 30, 2025, compared to 62.6% for the same period in 2024, and was 69.5% for the six months ended June 30, 2025, compared to 60.7% for the same period in 2024.</w:t>
      </w:r>
    </w:p>
    <w:p>
      <w:pPr>
        <w:spacing w:after="0" w:line="16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Busey’s adjusted efficiency ratio</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was 55.3% for the three months ended June 30, 2025, compared to 60.9% for the same period in 2024, and was 56.7% for the six months ended June 30, 2025, compared to 61.6% for the same period in 2024.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Taxes</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Busey’s effective income tax rate of 26.5% for the three months ended June 30, 2025, was lower than the combined federal and state statutory rate due to tax exempt interest income, such as municipal bond interest and bank owned life insurance income. Busey’s effective income tax rate of 45.3% for the six months ended June 30, 2025, was impacted by the first quarter loss due to the CrossFirst acquisition and non-recurring adjustments. The three and six months ended June 30, 2025, were impacted by a $0.3 million write-off of deferred tax assets related to non-deductible compensation and acquisition-related expenses. Further, the six months ended June 30, 2025, includes a $4.6 million non-recurring deferred tax valuation expense in connection with the CrossFirst acquisition which is expected to lower the effective blended state tax rate in future periods but created a negative adjustment to the carrying value of deferred tax asset in the current period.</w:t>
      </w:r>
    </w:p>
    <w:p>
      <w:pPr>
        <w:spacing w:after="0" w:line="15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Busey continues to monitor evolving federal and state tax legislation and its potential impact on operations on an ongoing basis. As of June 30, 2025, Busey Bank was under examination by the Florida Department of Revenue for its 2020 to 2022 corporate income tax filings and by the Illinois Department of Revenue for M&amp;M’s tax filings for the tax years 2022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2631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49" w:lineRule="exact"/>
        <w:rPr>
          <w:sz w:val="20"/>
          <w:szCs w:val="20"/>
          <w:color w:val="auto"/>
        </w:rPr>
      </w:pPr>
    </w:p>
    <w:p>
      <w:pPr>
        <w:ind w:left="180" w:hanging="172"/>
        <w:spacing w:after="0" w:line="213" w:lineRule="auto"/>
        <w:tabs>
          <w:tab w:leader="none" w:pos="146" w:val="left"/>
        </w:tabs>
        <w:numPr>
          <w:ilvl w:val="0"/>
          <w:numId w:val="41"/>
        </w:numPr>
        <w:rPr>
          <w:rFonts w:ascii="Arial" w:cs="Arial" w:eastAsia="Arial" w:hAnsi="Arial"/>
          <w:sz w:val="23"/>
          <w:szCs w:val="23"/>
          <w:color w:val="auto"/>
          <w:vertAlign w:val="superscript"/>
        </w:rPr>
      </w:pPr>
      <w:r>
        <w:rPr>
          <w:rFonts w:ascii="Arial" w:cs="Arial" w:eastAsia="Arial" w:hAnsi="Arial"/>
          <w:sz w:val="14"/>
          <w:szCs w:val="14"/>
          <w:color w:val="auto"/>
        </w:rPr>
        <w:t>The efficiency ratio and adjusted efficiency ratio are non-GAAP financial measures. For a reconciliation of non-GAAP measures to the most directly comparable GAAP financial measures, see “</w:t>
      </w:r>
      <w:r>
        <w:rPr>
          <w:rFonts w:ascii="Arial" w:cs="Arial" w:eastAsia="Arial" w:hAnsi="Arial"/>
          <w:sz w:val="14"/>
          <w:szCs w:val="14"/>
          <w:u w:val="single" w:color="auto"/>
          <w:color w:val="0000FF"/>
        </w:rPr>
        <w:t>Item 2. Management’s Discussion and Analysis—Non-GAAP Financial Information</w:t>
      </w:r>
      <w:r>
        <w:rPr>
          <w:rFonts w:ascii="Arial" w:cs="Arial" w:eastAsia="Arial" w:hAnsi="Arial"/>
          <w:sz w:val="14"/>
          <w:szCs w:val="14"/>
          <w:color w:val="auto"/>
        </w:rPr>
        <w:t>” included in this Quarterly Report.</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Changes in significant items on Busey’s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are summarized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0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5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53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Debt securities available for sale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2,217,788</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1,810,221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407,567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Debt securities held to maturity</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802,965</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826,630</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(23,665)</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13,625,285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7,613,683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6,011,602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79.0 %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18,918,740</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12,046,722</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6,872,018</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Deposits: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Noninterest-bearing</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3,590,363</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2,719,907</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870,456</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32.0 %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12,211,409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7,262,583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4,948,826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68.1 %</w:t>
            </w:r>
          </w:p>
        </w:tc>
        <w:tc>
          <w:tcPr>
            <w:tcW w:w="0" w:type="dxa"/>
            <w:vAlign w:val="bottom"/>
          </w:tcPr>
          <w:p>
            <w:pPr>
              <w:spacing w:after="0"/>
              <w:rPr>
                <w:sz w:val="1"/>
                <w:szCs w:val="1"/>
                <w:color w:val="auto"/>
              </w:rPr>
            </w:pPr>
          </w:p>
        </w:tc>
      </w:tr>
      <w:tr>
        <w:trPr>
          <w:trHeight w:val="23"/>
        </w:trPr>
        <w:tc>
          <w:tcPr>
            <w:tcW w:w="53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15,801,772</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9,982,490</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5,819,282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58.3 %</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158,030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155,610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86,557</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86,557</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Subordinated notes, net of unamortized issuance costs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103,169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227,723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(124,554)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Junior subordinated debt owed to unconsolidated trusts</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77,187</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74,815</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2,372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47"/>
        </w:trPr>
        <w:tc>
          <w:tcPr>
            <w:tcW w:w="53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16,506,194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10,663,453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5,842,741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54.8 %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12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180" w:type="dxa"/>
            <w:vAlign w:val="bottom"/>
            <w:shd w:val="clear" w:color="auto" w:fill="E0E7ED"/>
          </w:tcPr>
          <w:p>
            <w:pPr>
              <w:spacing w:after="0"/>
              <w:rPr>
                <w:sz w:val="23"/>
                <w:szCs w:val="23"/>
                <w:color w:val="auto"/>
              </w:rPr>
            </w:pPr>
          </w:p>
        </w:tc>
        <w:tc>
          <w:tcPr>
            <w:tcW w:w="11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8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50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2,412,546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1,383,269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1,029,277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74.4 %</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Loans</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Busey believes that making sound and profitable loans is a necessary and desirable means of employing funds available for investment. Busey maintains lending policies and procedures designed to focus lending efforts on the types, locations, and duration of loans most appropriate for its business model and markets. While not specifically limited, Busey attempts to focus its lending on short to intermediate-term loans (0-10 years) in geographic areas within 125 miles of its lending offices. Loans originated outside of these areas are generally to existing customers of Busey Bank. Busey attempts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reviews and approves Busey Bank’s lending policies and procedures on a regular basis. Management routinely—at least quarterly—reviews the ACL in conjunction with reports related to loan production, loan quality, concentrations of credit, loan delinquencies, non-performing loans, and potential problem loans. Busey’s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no time is a borrower’s total borrowing relationship permitted to exceed Busey Bank’s regulatory lending limit. Busey generally limits such relationships to amounts substantially less than the regulatory limit. Loans to related parties, including executive officers and directors of First Busey Corporation and its subsidiaries, are reviewed for compliance with regulatory guidelines.</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maintains an independent loan review department that reviews loans for compliance with Busey’s loan policy on a periodic basis. In addition, the loan review department reviews risk assessments made by Busey’s credit department, lenders, and loan committees. Results of these reviews are presented to management and the audit committee at least quarterly.</w:t>
      </w:r>
    </w:p>
    <w:p>
      <w:pPr>
        <w:spacing w:after="0" w:line="144" w:lineRule="exact"/>
        <w:rPr>
          <w:sz w:val="20"/>
          <w:szCs w:val="20"/>
          <w:color w:val="auto"/>
        </w:rPr>
      </w:pPr>
    </w:p>
    <w:p>
      <w:pPr>
        <w:jc w:val="both"/>
        <w:spacing w:after="0" w:line="259" w:lineRule="auto"/>
        <w:rPr>
          <w:rFonts w:ascii="Arial" w:cs="Arial" w:eastAsia="Arial" w:hAnsi="Arial"/>
          <w:sz w:val="18"/>
          <w:szCs w:val="18"/>
          <w:color w:val="0000FF"/>
        </w:rPr>
      </w:pPr>
      <w:r>
        <w:rPr>
          <w:rFonts w:ascii="Arial" w:cs="Arial" w:eastAsia="Arial" w:hAnsi="Arial"/>
          <w:sz w:val="18"/>
          <w:szCs w:val="18"/>
          <w:color w:val="auto"/>
        </w:rPr>
        <w:t xml:space="preserve">Busey Bank’s lending can be summarized into five primary lending activities, which can be further categorized as either commercial or retail lending. Commercial lending activities consist of C&amp;I and other commercial loans, CRE loans, and real estate construction loans while retail lending activities consist of retail real estate loans and retail other loans. A description of each of the five primary areas can be found in </w:t>
      </w:r>
      <w:hyperlink r:id="rId93">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Item 7. Management's Discussion and Analysis of Financial Condition and Results of Operations—Portfolio Loans</w:t>
        </w:r>
        <w:r>
          <w:rPr>
            <w:rFonts w:ascii="Arial" w:cs="Arial" w:eastAsia="Arial" w:hAnsi="Arial"/>
            <w:sz w:val="18"/>
            <w:szCs w:val="18"/>
            <w:i w:val="1"/>
            <w:iCs w:val="1"/>
            <w:color w:val="auto"/>
          </w:rPr>
          <w:t xml:space="preserve">” </w:t>
        </w:r>
        <w:r>
          <w:rPr>
            <w:rFonts w:ascii="Arial" w:cs="Arial" w:eastAsia="Arial" w:hAnsi="Arial"/>
            <w:sz w:val="18"/>
            <w:szCs w:val="18"/>
            <w:color w:val="auto"/>
          </w:rPr>
          <w:t>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0000FF"/>
          </w:rPr>
          <w:t>Busey’s 2024 Annual</w:t>
        </w:r>
      </w:hyperlink>
      <w:r>
        <w:rPr>
          <w:rFonts w:ascii="Arial" w:cs="Arial" w:eastAsia="Arial" w:hAnsi="Arial"/>
          <w:sz w:val="18"/>
          <w:szCs w:val="18"/>
          <w:i w:val="1"/>
          <w:iCs w:val="1"/>
          <w:color w:val="auto"/>
        </w:rPr>
        <w:t xml:space="preserve"> </w:t>
      </w:r>
      <w:hyperlink r:id="rId93">
        <w:r>
          <w:rPr>
            <w:rFonts w:ascii="Arial" w:cs="Arial" w:eastAsia="Arial" w:hAnsi="Arial"/>
            <w:sz w:val="18"/>
            <w:szCs w:val="18"/>
            <w:u w:val="single" w:color="auto"/>
            <w:color w:val="0000FF"/>
          </w:rPr>
          <w:t>Report</w:t>
        </w:r>
        <w:r>
          <w:rPr>
            <w:rFonts w:ascii="Arial" w:cs="Arial" w:eastAsia="Arial" w:hAnsi="Arial"/>
            <w:sz w:val="18"/>
            <w:szCs w:val="18"/>
            <w:color w:val="000000"/>
          </w:rPr>
          <w:t>.</w:t>
        </w:r>
      </w:hyperlink>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Portfolio Composition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Busey’s loan portfolio as of the dates indicated, as well as changes in portfolio loan balances,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8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10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50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5"/>
        </w:trPr>
        <w:tc>
          <w:tcPr>
            <w:tcW w:w="536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3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260" w:type="dxa"/>
            <w:vAlign w:val="bottom"/>
            <w:shd w:val="clear" w:color="auto" w:fill="E0E7ED"/>
          </w:tcPr>
          <w:p>
            <w:pPr>
              <w:spacing w:after="0"/>
              <w:rPr>
                <w:sz w:val="21"/>
                <w:szCs w:val="21"/>
                <w:color w:val="auto"/>
              </w:rPr>
            </w:pPr>
          </w:p>
        </w:tc>
        <w:tc>
          <w:tcPr>
            <w:tcW w:w="112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1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280" w:type="dxa"/>
            <w:vAlign w:val="bottom"/>
            <w:shd w:val="clear" w:color="auto" w:fill="E0E7ED"/>
          </w:tcPr>
          <w:p>
            <w:pPr>
              <w:spacing w:after="0"/>
              <w:rPr>
                <w:sz w:val="21"/>
                <w:szCs w:val="21"/>
                <w:color w:val="auto"/>
              </w:rPr>
            </w:pPr>
          </w:p>
        </w:tc>
        <w:tc>
          <w:tcPr>
            <w:tcW w:w="108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5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4,476,869</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1,904,515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2,572,354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135.1 %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2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5,569,759</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3,269,564</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2,300,195</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70.4 %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1,041,803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378,209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663,594</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175.5 %</w:t>
            </w:r>
          </w:p>
        </w:tc>
        <w:tc>
          <w:tcPr>
            <w:tcW w:w="0" w:type="dxa"/>
            <w:vAlign w:val="bottom"/>
          </w:tcPr>
          <w:p>
            <w:pPr>
              <w:spacing w:after="0"/>
              <w:rPr>
                <w:sz w:val="1"/>
                <w:szCs w:val="1"/>
                <w:color w:val="auto"/>
              </w:rPr>
            </w:pPr>
          </w:p>
        </w:tc>
      </w:tr>
      <w:tr>
        <w:trPr>
          <w:trHeight w:val="23"/>
        </w:trPr>
        <w:tc>
          <w:tcPr>
            <w:tcW w:w="53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 loans</w:t>
            </w:r>
          </w:p>
        </w:tc>
        <w:tc>
          <w:tcPr>
            <w:tcW w:w="26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11,088,431</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5,552,288</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5,536,143</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99.7 %</w:t>
            </w:r>
          </w:p>
        </w:tc>
        <w:tc>
          <w:tcPr>
            <w:tcW w:w="0" w:type="dxa"/>
            <w:vAlign w:val="bottom"/>
          </w:tcPr>
          <w:p>
            <w:pPr>
              <w:spacing w:after="0"/>
              <w:rPr>
                <w:sz w:val="1"/>
                <w:szCs w:val="1"/>
                <w:color w:val="auto"/>
              </w:rPr>
            </w:pPr>
          </w:p>
        </w:tc>
      </w:tr>
      <w:tr>
        <w:trPr>
          <w:trHeight w:val="242"/>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26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2,228,959</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1,696,457</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532,502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31.4 %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491,229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448,342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42,887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3"/>
        </w:trPr>
        <w:tc>
          <w:tcPr>
            <w:tcW w:w="536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50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 loans</w:t>
            </w:r>
          </w:p>
        </w:tc>
        <w:tc>
          <w:tcPr>
            <w:tcW w:w="260" w:type="dxa"/>
            <w:vAlign w:val="bottom"/>
            <w:tcBorders>
              <w:bottom w:val="single" w:sz="8" w:color="E0E7ED"/>
            </w:tcBorders>
            <w:shd w:val="clear" w:color="auto" w:fill="E0E7ED"/>
          </w:tcPr>
          <w:p>
            <w:pPr>
              <w:spacing w:after="0"/>
              <w:rPr>
                <w:sz w:val="22"/>
                <w:szCs w:val="22"/>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2,720,188</w:t>
            </w:r>
          </w:p>
        </w:tc>
        <w:tc>
          <w:tcPr>
            <w:tcW w:w="8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2,144,799</w:t>
            </w:r>
          </w:p>
        </w:tc>
        <w:tc>
          <w:tcPr>
            <w:tcW w:w="100" w:type="dxa"/>
            <w:vAlign w:val="bottom"/>
            <w:tcBorders>
              <w:bottom w:val="single" w:sz="8" w:color="E0E7ED"/>
            </w:tcBorders>
            <w:shd w:val="clear" w:color="auto" w:fill="E0E7ED"/>
          </w:tcPr>
          <w:p>
            <w:pPr>
              <w:spacing w:after="0"/>
              <w:rPr>
                <w:sz w:val="22"/>
                <w:szCs w:val="22"/>
                <w:color w:val="auto"/>
              </w:rPr>
            </w:pPr>
          </w:p>
        </w:tc>
        <w:tc>
          <w:tcPr>
            <w:tcW w:w="28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575,389</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40"/>
        </w:trPr>
        <w:tc>
          <w:tcPr>
            <w:tcW w:w="536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13,808,619</w:t>
            </w: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7,697,087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6,111,532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w:t>
            </w:r>
          </w:p>
        </w:tc>
        <w:tc>
          <w:tcPr>
            <w:tcW w:w="260" w:type="dxa"/>
            <w:vAlign w:val="bottom"/>
            <w:tcBorders>
              <w:bottom w:val="single" w:sz="8" w:color="E0E7ED"/>
            </w:tcBorders>
            <w:shd w:val="clear" w:color="auto" w:fill="E0E7ED"/>
          </w:tcPr>
          <w:p>
            <w:pPr>
              <w:spacing w:after="0"/>
              <w:rPr>
                <w:sz w:val="23"/>
                <w:szCs w:val="23"/>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(183,334)</w:t>
            </w: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(83,404)</w:t>
            </w:r>
          </w:p>
        </w:tc>
        <w:tc>
          <w:tcPr>
            <w:tcW w:w="100" w:type="dxa"/>
            <w:vAlign w:val="bottom"/>
            <w:tcBorders>
              <w:bottom w:val="single" w:sz="8" w:color="E0E7ED"/>
            </w:tcBorders>
            <w:shd w:val="clear" w:color="auto" w:fill="E0E7ED"/>
          </w:tcPr>
          <w:p>
            <w:pPr>
              <w:spacing w:after="0"/>
              <w:rPr>
                <w:sz w:val="23"/>
                <w:szCs w:val="23"/>
                <w:color w:val="auto"/>
              </w:rPr>
            </w:pPr>
          </w:p>
        </w:tc>
        <w:tc>
          <w:tcPr>
            <w:tcW w:w="280" w:type="dxa"/>
            <w:vAlign w:val="bottom"/>
            <w:tcBorders>
              <w:bottom w:val="single" w:sz="8" w:color="E0E7ED"/>
            </w:tcBorders>
            <w:shd w:val="clear" w:color="auto" w:fill="E0E7ED"/>
          </w:tcPr>
          <w:p>
            <w:pPr>
              <w:spacing w:after="0"/>
              <w:rPr>
                <w:sz w:val="23"/>
                <w:szCs w:val="23"/>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(99,930)</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119.8 %</w:t>
            </w:r>
          </w:p>
        </w:tc>
        <w:tc>
          <w:tcPr>
            <w:tcW w:w="0" w:type="dxa"/>
            <w:vAlign w:val="bottom"/>
          </w:tcPr>
          <w:p>
            <w:pPr>
              <w:spacing w:after="0"/>
              <w:rPr>
                <w:sz w:val="1"/>
                <w:szCs w:val="1"/>
                <w:color w:val="auto"/>
              </w:rPr>
            </w:pP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Portfolio loans,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13,625,285</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7,613,683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6,011,602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79.0 %</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Total portfolio loans were $13.81 billion at June 30, 2025, compared to $7.70 billion at December 31, 2024. The $6.11 billion growth in the loan portfolio during the first half of 2025 was attributable to the CrossFirst acquisition. Busey remains steadfast in its conservative approach to underwriting and disciplined approach to pricing. Loan demand has been tempered, with borrowers hesitant to invest because of lingering macroeconomic uncertainty. At the same time, Busey’s commercial real estate portfolio continues to season, resulting in payoffs as properties are completed, stabilized, and refinanced to permanent markets or sold. We expect continued pressure from pay downs within our commercial real estate portfolio through the remainder of 2025.</w:t>
      </w: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As a matter of policy and practice, Busey limits the level of concentration exposure in any particular loan segment with the goal of maintaining a well-diversified loan portfolio. The following table presents the percentage of total portfolio loans for each lending activity: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1800" w:type="dxa"/>
            <w:vAlign w:val="bottom"/>
            <w:tcBorders>
              <w:bottom w:val="single" w:sz="8" w:color="auto"/>
            </w:tcBorders>
            <w:gridSpan w:val="3"/>
          </w:tcPr>
          <w:p>
            <w:pPr>
              <w:ind w:left="1360"/>
              <w:spacing w:after="0"/>
              <w:rPr>
                <w:sz w:val="20"/>
                <w:szCs w:val="20"/>
                <w:color w:val="auto"/>
              </w:rPr>
            </w:pPr>
            <w:r>
              <w:rPr>
                <w:rFonts w:ascii="Arial" w:cs="Arial" w:eastAsia="Arial" w:hAnsi="Arial"/>
                <w:sz w:val="14"/>
                <w:szCs w:val="14"/>
                <w:b w:val="1"/>
                <w:bCs w:val="1"/>
                <w:color w:val="auto"/>
              </w:rPr>
              <w:t>As of</w:t>
            </w:r>
          </w:p>
        </w:tc>
        <w:tc>
          <w:tcPr>
            <w:tcW w:w="1300" w:type="dxa"/>
            <w:vAlign w:val="bottom"/>
            <w:tcBorders>
              <w:bottom w:val="single" w:sz="8" w:color="auto"/>
            </w:tcBorders>
          </w:tcPr>
          <w:p>
            <w:pPr>
              <w:spacing w:after="0"/>
              <w:rPr>
                <w:sz w:val="16"/>
                <w:szCs w:val="16"/>
                <w:color w:val="auto"/>
              </w:rPr>
            </w:pPr>
          </w:p>
        </w:tc>
      </w:tr>
      <w:tr>
        <w:trPr>
          <w:trHeight w:val="142"/>
        </w:trPr>
        <w:tc>
          <w:tcPr>
            <w:tcW w:w="8140" w:type="dxa"/>
            <w:vAlign w:val="bottom"/>
          </w:tcPr>
          <w:p>
            <w:pPr>
              <w:spacing w:after="0"/>
              <w:rPr>
                <w:sz w:val="12"/>
                <w:szCs w:val="12"/>
                <w:color w:val="auto"/>
              </w:rPr>
            </w:pPr>
          </w:p>
        </w:tc>
        <w:tc>
          <w:tcPr>
            <w:tcW w:w="1800" w:type="dxa"/>
            <w:vAlign w:val="bottom"/>
            <w:gridSpan w:val="3"/>
          </w:tcPr>
          <w:p>
            <w:pPr>
              <w:ind w:left="460"/>
              <w:spacing w:after="0" w:line="142" w:lineRule="exact"/>
              <w:rPr>
                <w:sz w:val="20"/>
                <w:szCs w:val="20"/>
                <w:color w:val="auto"/>
              </w:rPr>
            </w:pPr>
            <w:r>
              <w:rPr>
                <w:rFonts w:ascii="Arial" w:cs="Arial" w:eastAsia="Arial" w:hAnsi="Arial"/>
                <w:sz w:val="14"/>
                <w:szCs w:val="14"/>
                <w:b w:val="1"/>
                <w:bCs w:val="1"/>
                <w:color w:val="auto"/>
              </w:rPr>
              <w:t>June 30,</w:t>
            </w:r>
          </w:p>
        </w:tc>
        <w:tc>
          <w:tcPr>
            <w:tcW w:w="13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December 31,</w:t>
            </w:r>
          </w:p>
        </w:tc>
      </w:tr>
      <w:tr>
        <w:trPr>
          <w:trHeight w:val="175"/>
        </w:trPr>
        <w:tc>
          <w:tcPr>
            <w:tcW w:w="8140" w:type="dxa"/>
            <w:vAlign w:val="bottom"/>
            <w:tcBorders>
              <w:bottom w:val="single" w:sz="8" w:color="E0E7ED"/>
            </w:tcBorders>
          </w:tcPr>
          <w:p>
            <w:pPr>
              <w:spacing w:after="0"/>
              <w:rPr>
                <w:sz w:val="15"/>
                <w:szCs w:val="15"/>
                <w:color w:val="auto"/>
              </w:rPr>
            </w:pPr>
          </w:p>
        </w:tc>
        <w:tc>
          <w:tcPr>
            <w:tcW w:w="15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2024</w:t>
            </w:r>
          </w:p>
        </w:tc>
      </w:tr>
      <w:tr>
        <w:trPr>
          <w:trHeight w:val="250"/>
        </w:trPr>
        <w:tc>
          <w:tcPr>
            <w:tcW w:w="814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Commercial loans</w:t>
            </w:r>
          </w:p>
        </w:tc>
        <w:tc>
          <w:tcPr>
            <w:tcW w:w="1500" w:type="dxa"/>
            <w:vAlign w:val="bottom"/>
            <w:shd w:val="clear" w:color="auto" w:fill="E0E7ED"/>
          </w:tcPr>
          <w:p>
            <w:pPr>
              <w:spacing w:after="0"/>
              <w:rPr>
                <w:sz w:val="21"/>
                <w:szCs w:val="21"/>
                <w:color w:val="auto"/>
              </w:rPr>
            </w:pPr>
          </w:p>
        </w:tc>
        <w:tc>
          <w:tcPr>
            <w:tcW w:w="8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300" w:type="dxa"/>
            <w:vAlign w:val="bottom"/>
            <w:shd w:val="clear" w:color="auto" w:fill="E0E7ED"/>
          </w:tcPr>
          <w:p>
            <w:pPr>
              <w:spacing w:after="0"/>
              <w:rPr>
                <w:sz w:val="21"/>
                <w:szCs w:val="21"/>
                <w:color w:val="auto"/>
              </w:rPr>
            </w:pP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1500" w:type="dxa"/>
            <w:vAlign w:val="bottom"/>
          </w:tcPr>
          <w:p>
            <w:pPr>
              <w:jc w:val="right"/>
              <w:spacing w:after="0"/>
              <w:rPr>
                <w:sz w:val="20"/>
                <w:szCs w:val="20"/>
                <w:color w:val="auto"/>
              </w:rPr>
            </w:pPr>
            <w:r>
              <w:rPr>
                <w:rFonts w:ascii="Arial" w:cs="Arial" w:eastAsia="Arial" w:hAnsi="Arial"/>
                <w:sz w:val="18"/>
                <w:szCs w:val="18"/>
                <w:color w:val="auto"/>
              </w:rPr>
              <w:t>32.4 %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24.8 %</w:t>
            </w:r>
          </w:p>
        </w:tc>
      </w:tr>
      <w:tr>
        <w:trPr>
          <w:trHeight w:val="23"/>
        </w:trPr>
        <w:tc>
          <w:tcPr>
            <w:tcW w:w="8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1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40.3 %</w:t>
            </w:r>
          </w:p>
        </w:tc>
        <w:tc>
          <w:tcPr>
            <w:tcW w:w="8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42.5 %</w:t>
            </w: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500" w:type="dxa"/>
            <w:vAlign w:val="bottom"/>
          </w:tcPr>
          <w:p>
            <w:pPr>
              <w:jc w:val="right"/>
              <w:spacing w:after="0"/>
              <w:rPr>
                <w:sz w:val="20"/>
                <w:szCs w:val="20"/>
                <w:color w:val="auto"/>
              </w:rPr>
            </w:pPr>
            <w:r>
              <w:rPr>
                <w:rFonts w:ascii="Arial" w:cs="Arial" w:eastAsia="Arial" w:hAnsi="Arial"/>
                <w:sz w:val="18"/>
                <w:szCs w:val="18"/>
                <w:color w:val="auto"/>
              </w:rPr>
              <w:t>7.6 %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3"/>
        </w:trPr>
        <w:tc>
          <w:tcPr>
            <w:tcW w:w="8140" w:type="dxa"/>
            <w:vAlign w:val="bottom"/>
            <w:tcBorders>
              <w:bottom w:val="single" w:sz="8" w:color="E0E7ED"/>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 loans</w:t>
            </w: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80.3 %</w:t>
            </w:r>
          </w:p>
        </w:tc>
        <w:tc>
          <w:tcPr>
            <w:tcW w:w="80" w:type="dxa"/>
            <w:vAlign w:val="bottom"/>
            <w:tcBorders>
              <w:bottom w:val="single" w:sz="8" w:color="E0E7ED"/>
            </w:tcBorders>
            <w:shd w:val="clear" w:color="auto" w:fill="E0E7ED"/>
          </w:tcPr>
          <w:p>
            <w:pPr>
              <w:spacing w:after="0"/>
              <w:rPr>
                <w:sz w:val="22"/>
                <w:szCs w:val="22"/>
                <w:color w:val="auto"/>
              </w:rPr>
            </w:pPr>
          </w:p>
        </w:tc>
        <w:tc>
          <w:tcPr>
            <w:tcW w:w="220" w:type="dxa"/>
            <w:vAlign w:val="bottom"/>
            <w:tcBorders>
              <w:bottom w:val="single" w:sz="8" w:color="E0E7ED"/>
            </w:tcBorders>
            <w:shd w:val="clear" w:color="auto" w:fill="E0E7ED"/>
          </w:tcPr>
          <w:p>
            <w:pPr>
              <w:spacing w:after="0"/>
              <w:rPr>
                <w:sz w:val="22"/>
                <w:szCs w:val="22"/>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72.2 %</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Retail loans</w:t>
            </w:r>
          </w:p>
        </w:tc>
        <w:tc>
          <w:tcPr>
            <w:tcW w:w="15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r>
      <w:tr>
        <w:trPr>
          <w:trHeight w:val="257"/>
        </w:trPr>
        <w:tc>
          <w:tcPr>
            <w:tcW w:w="81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16.1 %</w:t>
            </w:r>
          </w:p>
        </w:tc>
        <w:tc>
          <w:tcPr>
            <w:tcW w:w="80" w:type="dxa"/>
            <w:vAlign w:val="bottom"/>
            <w:tcBorders>
              <w:bottom w:val="single" w:sz="8" w:color="E0E7ED"/>
            </w:tcBorders>
            <w:shd w:val="clear" w:color="auto" w:fill="E0E7ED"/>
          </w:tcPr>
          <w:p>
            <w:pPr>
              <w:spacing w:after="0"/>
              <w:rPr>
                <w:sz w:val="22"/>
                <w:szCs w:val="22"/>
                <w:color w:val="auto"/>
              </w:rPr>
            </w:pPr>
          </w:p>
        </w:tc>
        <w:tc>
          <w:tcPr>
            <w:tcW w:w="220" w:type="dxa"/>
            <w:vAlign w:val="bottom"/>
            <w:tcBorders>
              <w:bottom w:val="single" w:sz="8" w:color="E0E7ED"/>
            </w:tcBorders>
            <w:shd w:val="clear" w:color="auto" w:fill="E0E7ED"/>
          </w:tcPr>
          <w:p>
            <w:pPr>
              <w:spacing w:after="0"/>
              <w:rPr>
                <w:sz w:val="22"/>
                <w:szCs w:val="22"/>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22.0 %</w:t>
            </w:r>
          </w:p>
        </w:tc>
      </w:tr>
      <w:tr>
        <w:trPr>
          <w:trHeight w:val="247"/>
        </w:trPr>
        <w:tc>
          <w:tcPr>
            <w:tcW w:w="81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500" w:type="dxa"/>
            <w:vAlign w:val="bottom"/>
          </w:tcPr>
          <w:p>
            <w:pPr>
              <w:jc w:val="right"/>
              <w:spacing w:after="0"/>
              <w:rPr>
                <w:sz w:val="20"/>
                <w:szCs w:val="20"/>
                <w:color w:val="auto"/>
              </w:rPr>
            </w:pPr>
            <w:r>
              <w:rPr>
                <w:rFonts w:ascii="Arial" w:cs="Arial" w:eastAsia="Arial" w:hAnsi="Arial"/>
                <w:sz w:val="18"/>
                <w:szCs w:val="18"/>
                <w:color w:val="auto"/>
              </w:rPr>
              <w:t>3.6 %</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
        </w:trPr>
        <w:tc>
          <w:tcPr>
            <w:tcW w:w="8140" w:type="dxa"/>
            <w:vAlign w:val="bottom"/>
            <w:tcBorders>
              <w:bottom w:val="single" w:sz="8" w:color="E0E7ED"/>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 loans</w:t>
            </w: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19.7 %</w:t>
            </w:r>
          </w:p>
        </w:tc>
        <w:tc>
          <w:tcPr>
            <w:tcW w:w="80" w:type="dxa"/>
            <w:vAlign w:val="bottom"/>
            <w:tcBorders>
              <w:bottom w:val="single" w:sz="8" w:color="E0E7ED"/>
            </w:tcBorders>
            <w:shd w:val="clear" w:color="auto" w:fill="E0E7ED"/>
          </w:tcPr>
          <w:p>
            <w:pPr>
              <w:spacing w:after="0"/>
              <w:rPr>
                <w:sz w:val="22"/>
                <w:szCs w:val="22"/>
                <w:color w:val="auto"/>
              </w:rPr>
            </w:pPr>
          </w:p>
        </w:tc>
        <w:tc>
          <w:tcPr>
            <w:tcW w:w="220" w:type="dxa"/>
            <w:vAlign w:val="bottom"/>
            <w:tcBorders>
              <w:bottom w:val="single" w:sz="8" w:color="E0E7ED"/>
            </w:tcBorders>
            <w:shd w:val="clear" w:color="auto" w:fill="E0E7ED"/>
          </w:tcPr>
          <w:p>
            <w:pPr>
              <w:spacing w:after="0"/>
              <w:rPr>
                <w:sz w:val="22"/>
                <w:szCs w:val="22"/>
                <w:color w:val="auto"/>
              </w:rPr>
            </w:pPr>
          </w:p>
        </w:tc>
        <w:tc>
          <w:tcPr>
            <w:tcW w:w="13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27.8 %</w:t>
            </w:r>
          </w:p>
        </w:tc>
      </w:tr>
      <w:tr>
        <w:trPr>
          <w:trHeight w:val="241"/>
        </w:trPr>
        <w:tc>
          <w:tcPr>
            <w:tcW w:w="814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Busey Bank originates loans across its regional operating model. Busey’s regions are defined as follows:</w:t>
      </w:r>
    </w:p>
    <w:p>
      <w:pPr>
        <w:spacing w:after="0" w:line="185"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East </w:t>
      </w:r>
      <w:r>
        <w:rPr>
          <w:rFonts w:ascii="Arial" w:cs="Arial" w:eastAsia="Arial" w:hAnsi="Arial"/>
          <w:sz w:val="18"/>
          <w:szCs w:val="18"/>
          <w:color w:val="auto"/>
        </w:rPr>
        <w:t>– Suburban Chicago markets, the St. Louis MSA, and southwest Florida</w:t>
      </w:r>
    </w:p>
    <w:p>
      <w:pPr>
        <w:spacing w:after="0" w:line="184" w:lineRule="exact"/>
        <w:rPr>
          <w:rFonts w:ascii="Arial" w:cs="Arial" w:eastAsia="Arial" w:hAnsi="Arial"/>
          <w:sz w:val="18"/>
          <w:szCs w:val="18"/>
          <w:i w:val="1"/>
          <w:iCs w:val="1"/>
          <w:color w:val="auto"/>
        </w:rPr>
      </w:pPr>
    </w:p>
    <w:p>
      <w:pPr>
        <w:ind w:left="660" w:hanging="328"/>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Midwest </w:t>
      </w:r>
      <w:r>
        <w:rPr>
          <w:rFonts w:ascii="Arial" w:cs="Arial" w:eastAsia="Arial" w:hAnsi="Arial"/>
          <w:sz w:val="18"/>
          <w:szCs w:val="18"/>
          <w:color w:val="auto"/>
        </w:rPr>
        <w:t>– Central Illinois and Indianapolis, Indiana</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Central </w:t>
      </w:r>
      <w:r>
        <w:rPr>
          <w:rFonts w:ascii="Arial" w:cs="Arial" w:eastAsia="Arial" w:hAnsi="Arial"/>
          <w:sz w:val="18"/>
          <w:szCs w:val="18"/>
          <w:color w:val="auto"/>
        </w:rPr>
        <w:t>– The Kansas City MSA, central Kansas, and Oklahoma</w:t>
      </w:r>
    </w:p>
    <w:p>
      <w:pPr>
        <w:spacing w:after="0" w:line="184" w:lineRule="exact"/>
        <w:rPr>
          <w:rFonts w:ascii="Arial" w:cs="Arial" w:eastAsia="Arial" w:hAnsi="Arial"/>
          <w:sz w:val="18"/>
          <w:szCs w:val="18"/>
          <w:i w:val="1"/>
          <w:iCs w:val="1"/>
          <w:color w:val="auto"/>
        </w:rPr>
      </w:pPr>
    </w:p>
    <w:p>
      <w:pPr>
        <w:ind w:left="660" w:hanging="328"/>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Texas </w:t>
      </w:r>
      <w:r>
        <w:rPr>
          <w:rFonts w:ascii="Arial" w:cs="Arial" w:eastAsia="Arial" w:hAnsi="Arial"/>
          <w:sz w:val="18"/>
          <w:szCs w:val="18"/>
          <w:color w:val="auto"/>
        </w:rPr>
        <w:t>– The Dallas-Fort Worth MSA</w:t>
      </w:r>
    </w:p>
    <w:p>
      <w:pPr>
        <w:spacing w:after="0" w:line="184" w:lineRule="exact"/>
        <w:rPr>
          <w:rFonts w:ascii="Arial" w:cs="Arial" w:eastAsia="Arial" w:hAnsi="Arial"/>
          <w:sz w:val="18"/>
          <w:szCs w:val="18"/>
          <w:i w:val="1"/>
          <w:iCs w:val="1"/>
          <w:color w:val="auto"/>
        </w:rPr>
      </w:pPr>
    </w:p>
    <w:p>
      <w:pPr>
        <w:ind w:left="660" w:hanging="328"/>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West </w:t>
      </w:r>
      <w:r>
        <w:rPr>
          <w:rFonts w:ascii="Arial" w:cs="Arial" w:eastAsia="Arial" w:hAnsi="Arial"/>
          <w:sz w:val="18"/>
          <w:szCs w:val="18"/>
          <w:color w:val="auto"/>
        </w:rPr>
        <w:t>– Colorado, New Mexico, and Arizona</w:t>
      </w:r>
    </w:p>
    <w:p>
      <w:pPr>
        <w:spacing w:after="0" w:line="198" w:lineRule="exact"/>
        <w:rPr>
          <w:rFonts w:ascii="Arial" w:cs="Arial" w:eastAsia="Arial" w:hAnsi="Arial"/>
          <w:sz w:val="18"/>
          <w:szCs w:val="18"/>
          <w:i w:val="1"/>
          <w:iCs w:val="1"/>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Verticals </w:t>
      </w:r>
      <w:r>
        <w:rPr>
          <w:rFonts w:ascii="Arial" w:cs="Arial" w:eastAsia="Arial" w:hAnsi="Arial"/>
          <w:sz w:val="18"/>
          <w:szCs w:val="18"/>
          <w:color w:val="auto"/>
        </w:rPr>
        <w:t>– Busey’s Life Equity Lending, Sponsor Finance, Energy Lending, and SBA Lending products</w:t>
      </w:r>
    </w:p>
    <w:p>
      <w:pPr>
        <w:spacing w:after="0" w:line="18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geographic distribution of Busey Bank loans outstanding as of June 30, 2025, that were originated in each of these markets is presented in the table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As of June 30, 2025</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6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2"/>
                <w:szCs w:val="12"/>
                <w:color w:val="auto"/>
              </w:rPr>
            </w:pPr>
          </w:p>
        </w:tc>
        <w:tc>
          <w:tcPr>
            <w:tcW w:w="130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rPr>
              <w:t>C&amp;I and other</w:t>
            </w:r>
          </w:p>
        </w:tc>
        <w:tc>
          <w:tcPr>
            <w:tcW w:w="280" w:type="dxa"/>
            <w:vAlign w:val="bottom"/>
          </w:tcPr>
          <w:p>
            <w:pPr>
              <w:spacing w:after="0"/>
              <w:rPr>
                <w:sz w:val="12"/>
                <w:szCs w:val="12"/>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CRE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rPr>
              <w:t>Real estate</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Retail real estate</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240" w:type="dxa"/>
            <w:vAlign w:val="bottom"/>
          </w:tcPr>
          <w:p>
            <w:pPr>
              <w:spacing w:after="0"/>
              <w:rPr>
                <w:sz w:val="12"/>
                <w:szCs w:val="12"/>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6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commercial</w:t>
            </w: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construction</w:t>
            </w:r>
          </w:p>
        </w:tc>
        <w:tc>
          <w:tcPr>
            <w:tcW w:w="146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620" w:type="dxa"/>
            <w:vAlign w:val="bottom"/>
            <w:tcBorders>
              <w:top w:val="single" w:sz="8" w:color="E0E7ED"/>
            </w:tcBorders>
            <w:shd w:val="clear" w:color="auto" w:fill="E0E7ED"/>
          </w:tcPr>
          <w:p>
            <w:pPr>
              <w:ind w:left="20"/>
              <w:spacing w:after="0" w:line="204" w:lineRule="exact"/>
              <w:rPr>
                <w:sz w:val="20"/>
                <w:szCs w:val="20"/>
                <w:color w:val="auto"/>
              </w:rPr>
            </w:pPr>
            <w:r>
              <w:rPr>
                <w:rFonts w:ascii="Arial" w:cs="Arial" w:eastAsia="Arial" w:hAnsi="Arial"/>
                <w:sz w:val="18"/>
                <w:szCs w:val="18"/>
                <w:b w:val="1"/>
                <w:bCs w:val="1"/>
                <w:color w:val="auto"/>
              </w:rPr>
              <w:t>Loans by region of</w:t>
            </w:r>
          </w:p>
        </w:tc>
        <w:tc>
          <w:tcPr>
            <w:tcW w:w="160" w:type="dxa"/>
            <w:vAlign w:val="bottom"/>
            <w:tcBorders>
              <w:top w:val="single" w:sz="8" w:color="auto"/>
            </w:tcBorders>
            <w:shd w:val="clear" w:color="auto" w:fill="E0E7ED"/>
          </w:tcPr>
          <w:p>
            <w:pPr>
              <w:spacing w:after="0"/>
              <w:rPr>
                <w:sz w:val="17"/>
                <w:szCs w:val="17"/>
                <w:color w:val="auto"/>
              </w:rPr>
            </w:pPr>
          </w:p>
        </w:tc>
        <w:tc>
          <w:tcPr>
            <w:tcW w:w="120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8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180" w:type="dxa"/>
            <w:vAlign w:val="bottom"/>
            <w:tcBorders>
              <w:top w:val="single" w:sz="8" w:color="auto"/>
            </w:tcBorders>
            <w:shd w:val="clear" w:color="auto" w:fill="E0E7ED"/>
          </w:tcPr>
          <w:p>
            <w:pPr>
              <w:spacing w:after="0"/>
              <w:rPr>
                <w:sz w:val="17"/>
                <w:szCs w:val="17"/>
                <w:color w:val="auto"/>
              </w:rPr>
            </w:pPr>
          </w:p>
        </w:tc>
        <w:tc>
          <w:tcPr>
            <w:tcW w:w="118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300" w:type="dxa"/>
            <w:vAlign w:val="bottom"/>
            <w:tcBorders>
              <w:top w:val="single" w:sz="8" w:color="auto"/>
            </w:tcBorders>
            <w:shd w:val="clear" w:color="auto" w:fill="E0E7ED"/>
          </w:tcPr>
          <w:p>
            <w:pPr>
              <w:spacing w:after="0"/>
              <w:rPr>
                <w:sz w:val="17"/>
                <w:szCs w:val="17"/>
                <w:color w:val="auto"/>
              </w:rPr>
            </w:pPr>
          </w:p>
        </w:tc>
        <w:tc>
          <w:tcPr>
            <w:tcW w:w="106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E0E7ED"/>
            </w:tcBorders>
            <w:shd w:val="clear" w:color="auto" w:fill="E0E7ED"/>
          </w:tcPr>
          <w:p>
            <w:pPr>
              <w:spacing w:after="0"/>
              <w:rPr>
                <w:sz w:val="17"/>
                <w:szCs w:val="17"/>
                <w:color w:val="auto"/>
              </w:rPr>
            </w:pPr>
          </w:p>
        </w:tc>
        <w:tc>
          <w:tcPr>
            <w:tcW w:w="200" w:type="dxa"/>
            <w:vAlign w:val="bottom"/>
            <w:tcBorders>
              <w:top w:val="single" w:sz="8" w:color="auto"/>
            </w:tcBorders>
            <w:shd w:val="clear" w:color="auto" w:fill="E0E7ED"/>
          </w:tcPr>
          <w:p>
            <w:pPr>
              <w:spacing w:after="0"/>
              <w:rPr>
                <w:sz w:val="17"/>
                <w:szCs w:val="17"/>
                <w:color w:val="auto"/>
              </w:rPr>
            </w:pPr>
          </w:p>
        </w:tc>
        <w:tc>
          <w:tcPr>
            <w:tcW w:w="1140" w:type="dxa"/>
            <w:vAlign w:val="bottom"/>
            <w:tcBorders>
              <w:top w:val="single" w:sz="8" w:color="auto"/>
            </w:tcBorders>
            <w:shd w:val="clear" w:color="auto" w:fill="E0E7ED"/>
          </w:tcPr>
          <w:p>
            <w:pPr>
              <w:spacing w:after="0"/>
              <w:rPr>
                <w:sz w:val="17"/>
                <w:szCs w:val="17"/>
                <w:color w:val="auto"/>
              </w:rPr>
            </w:pPr>
          </w:p>
        </w:tc>
        <w:tc>
          <w:tcPr>
            <w:tcW w:w="100" w:type="dxa"/>
            <w:vAlign w:val="bottom"/>
            <w:tcBorders>
              <w:top w:val="single" w:sz="8" w:color="auto"/>
            </w:tcBorders>
            <w:shd w:val="clear" w:color="auto" w:fill="E0E7ED"/>
          </w:tcPr>
          <w:p>
            <w:pPr>
              <w:spacing w:after="0"/>
              <w:rPr>
                <w:sz w:val="17"/>
                <w:szCs w:val="17"/>
                <w:color w:val="auto"/>
              </w:rPr>
            </w:pPr>
          </w:p>
        </w:tc>
        <w:tc>
          <w:tcPr>
            <w:tcW w:w="240" w:type="dxa"/>
            <w:vAlign w:val="bottom"/>
            <w:tcBorders>
              <w:top w:val="single" w:sz="8" w:color="auto"/>
            </w:tcBorders>
            <w:shd w:val="clear" w:color="auto" w:fill="E0E7ED"/>
          </w:tcPr>
          <w:p>
            <w:pPr>
              <w:spacing w:after="0"/>
              <w:rPr>
                <w:sz w:val="17"/>
                <w:szCs w:val="17"/>
                <w:color w:val="auto"/>
              </w:rPr>
            </w:pPr>
          </w:p>
        </w:tc>
        <w:tc>
          <w:tcPr>
            <w:tcW w:w="1120" w:type="dxa"/>
            <w:vAlign w:val="bottom"/>
            <w:tcBorders>
              <w:top w:val="single" w:sz="8" w:color="auto"/>
            </w:tcBorders>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6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origination</w:t>
            </w:r>
          </w:p>
        </w:tc>
        <w:tc>
          <w:tcPr>
            <w:tcW w:w="160" w:type="dxa"/>
            <w:vAlign w:val="bottom"/>
            <w:shd w:val="clear" w:color="auto" w:fill="E0E7ED"/>
          </w:tcPr>
          <w:p>
            <w:pPr>
              <w:spacing w:after="0"/>
              <w:rPr>
                <w:sz w:val="22"/>
                <w:szCs w:val="22"/>
                <w:color w:val="auto"/>
              </w:rPr>
            </w:pPr>
          </w:p>
        </w:tc>
        <w:tc>
          <w:tcPr>
            <w:tcW w:w="120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8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180" w:type="dxa"/>
            <w:vAlign w:val="bottom"/>
            <w:shd w:val="clear" w:color="auto" w:fill="E0E7ED"/>
          </w:tcPr>
          <w:p>
            <w:pPr>
              <w:spacing w:after="0"/>
              <w:rPr>
                <w:sz w:val="22"/>
                <w:szCs w:val="22"/>
                <w:color w:val="auto"/>
              </w:rPr>
            </w:pPr>
          </w:p>
        </w:tc>
        <w:tc>
          <w:tcPr>
            <w:tcW w:w="118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06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140" w:type="dxa"/>
            <w:vAlign w:val="bottom"/>
            <w:shd w:val="clear" w:color="auto" w:fill="E0E7ED"/>
          </w:tcPr>
          <w:p>
            <w:pPr>
              <w:spacing w:after="0"/>
              <w:rPr>
                <w:sz w:val="22"/>
                <w:szCs w:val="22"/>
                <w:color w:val="auto"/>
              </w:rPr>
            </w:pP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120" w:type="dxa"/>
            <w:vAlign w:val="bottom"/>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2620" w:type="dxa"/>
            <w:vAlign w:val="bottom"/>
          </w:tcPr>
          <w:p>
            <w:pPr>
              <w:ind w:left="180"/>
              <w:spacing w:after="0"/>
              <w:rPr>
                <w:sz w:val="20"/>
                <w:szCs w:val="20"/>
                <w:color w:val="auto"/>
              </w:rPr>
            </w:pPr>
            <w:r>
              <w:rPr>
                <w:rFonts w:ascii="Arial" w:cs="Arial" w:eastAsia="Arial" w:hAnsi="Arial"/>
                <w:sz w:val="18"/>
                <w:szCs w:val="18"/>
                <w:color w:val="auto"/>
              </w:rPr>
              <w:t>East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1,119,140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1,786,474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136,456</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895,403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108,934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4,046,407</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Midwest</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829,956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1,404,010</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236,085</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749,057</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7,937</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3,227,045</w:t>
            </w:r>
          </w:p>
        </w:tc>
        <w:tc>
          <w:tcPr>
            <w:tcW w:w="0" w:type="dxa"/>
            <w:vAlign w:val="bottom"/>
          </w:tcPr>
          <w:p>
            <w:pPr>
              <w:spacing w:after="0"/>
              <w:rPr>
                <w:sz w:val="1"/>
                <w:szCs w:val="1"/>
                <w:color w:val="auto"/>
              </w:rPr>
            </w:pPr>
          </w:p>
        </w:tc>
      </w:tr>
      <w:tr>
        <w:trPr>
          <w:trHeight w:val="247"/>
        </w:trPr>
        <w:tc>
          <w:tcPr>
            <w:tcW w:w="2620" w:type="dxa"/>
            <w:vAlign w:val="bottom"/>
          </w:tcPr>
          <w:p>
            <w:pPr>
              <w:ind w:left="180"/>
              <w:spacing w:after="0"/>
              <w:rPr>
                <w:sz w:val="20"/>
                <w:szCs w:val="20"/>
                <w:color w:val="auto"/>
              </w:rPr>
            </w:pPr>
            <w:r>
              <w:rPr>
                <w:rFonts w:ascii="Arial" w:cs="Arial" w:eastAsia="Arial" w:hAnsi="Arial"/>
                <w:sz w:val="18"/>
                <w:szCs w:val="18"/>
                <w:color w:val="auto"/>
              </w:rPr>
              <w:t>Central</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597,171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900,003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170,393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362,558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2,046,378</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Texas</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668,766</w:t>
            </w:r>
          </w:p>
        </w:tc>
        <w:tc>
          <w:tcPr>
            <w:tcW w:w="100" w:type="dxa"/>
            <w:vAlign w:val="bottom"/>
            <w:tcBorders>
              <w:bottom w:val="single" w:sz="8" w:color="E0E7ED"/>
            </w:tcBorders>
            <w:shd w:val="clear" w:color="auto" w:fill="E0E7ED"/>
          </w:tcPr>
          <w:p>
            <w:pPr>
              <w:spacing w:after="0"/>
              <w:rPr>
                <w:sz w:val="21"/>
                <w:szCs w:val="21"/>
                <w:color w:val="auto"/>
              </w:rPr>
            </w:pPr>
          </w:p>
        </w:tc>
        <w:tc>
          <w:tcPr>
            <w:tcW w:w="28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810,674</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337,306</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123,456</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4,492</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1,944,694</w:t>
            </w:r>
          </w:p>
        </w:tc>
        <w:tc>
          <w:tcPr>
            <w:tcW w:w="0" w:type="dxa"/>
            <w:vAlign w:val="bottom"/>
          </w:tcPr>
          <w:p>
            <w:pPr>
              <w:spacing w:after="0"/>
              <w:rPr>
                <w:sz w:val="1"/>
                <w:szCs w:val="1"/>
                <w:color w:val="auto"/>
              </w:rPr>
            </w:pPr>
          </w:p>
        </w:tc>
      </w:tr>
      <w:tr>
        <w:trPr>
          <w:trHeight w:val="247"/>
        </w:trPr>
        <w:tc>
          <w:tcPr>
            <w:tcW w:w="2620" w:type="dxa"/>
            <w:vAlign w:val="bottom"/>
          </w:tcPr>
          <w:p>
            <w:pPr>
              <w:ind w:left="180"/>
              <w:spacing w:after="0"/>
              <w:rPr>
                <w:sz w:val="20"/>
                <w:szCs w:val="20"/>
                <w:color w:val="auto"/>
              </w:rPr>
            </w:pPr>
            <w:r>
              <w:rPr>
                <w:rFonts w:ascii="Arial" w:cs="Arial" w:eastAsia="Arial" w:hAnsi="Arial"/>
                <w:sz w:val="18"/>
                <w:szCs w:val="18"/>
                <w:color w:val="auto"/>
              </w:rPr>
              <w:t>West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244,358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528,893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146,358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89,823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1,010,377</w:t>
            </w: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Verticals</w:t>
            </w: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1,017,478</w:t>
            </w:r>
          </w:p>
        </w:tc>
        <w:tc>
          <w:tcPr>
            <w:tcW w:w="100" w:type="dxa"/>
            <w:vAlign w:val="bottom"/>
            <w:tcBorders>
              <w:bottom w:val="single" w:sz="8" w:color="E0E7ED"/>
            </w:tcBorders>
            <w:shd w:val="clear" w:color="auto" w:fill="E0E7ED"/>
          </w:tcPr>
          <w:p>
            <w:pPr>
              <w:spacing w:after="0"/>
              <w:rPr>
                <w:sz w:val="23"/>
                <w:szCs w:val="23"/>
                <w:color w:val="auto"/>
              </w:rPr>
            </w:pPr>
          </w:p>
        </w:tc>
        <w:tc>
          <w:tcPr>
            <w:tcW w:w="28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139,705</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15,205</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352,668</w:t>
            </w:r>
          </w:p>
        </w:tc>
        <w:tc>
          <w:tcPr>
            <w:tcW w:w="10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1,533,718</w:t>
            </w:r>
          </w:p>
        </w:tc>
        <w:tc>
          <w:tcPr>
            <w:tcW w:w="0" w:type="dxa"/>
            <w:vAlign w:val="bottom"/>
          </w:tcPr>
          <w:p>
            <w:pPr>
              <w:spacing w:after="0"/>
              <w:rPr>
                <w:sz w:val="1"/>
                <w:szCs w:val="1"/>
                <w:color w:val="auto"/>
              </w:rPr>
            </w:pPr>
          </w:p>
        </w:tc>
      </w:tr>
      <w:tr>
        <w:trPr>
          <w:trHeight w:val="264"/>
        </w:trPr>
        <w:tc>
          <w:tcPr>
            <w:tcW w:w="262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4,476,869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5,569,759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1,041,803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2,228,959</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491,229</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13,808,619</w:t>
            </w:r>
          </w:p>
        </w:tc>
        <w:tc>
          <w:tcPr>
            <w:tcW w:w="0" w:type="dxa"/>
            <w:vAlign w:val="bottom"/>
          </w:tcPr>
          <w:p>
            <w:pPr>
              <w:spacing w:after="0"/>
              <w:rPr>
                <w:sz w:val="1"/>
                <w:szCs w:val="1"/>
                <w:color w:val="auto"/>
              </w:rPr>
            </w:pPr>
          </w:p>
        </w:tc>
      </w:tr>
      <w:tr>
        <w:trPr>
          <w:trHeight w:val="20"/>
        </w:trPr>
        <w:tc>
          <w:tcPr>
            <w:tcW w:w="262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E0E7ED"/>
            </w:tcBorders>
          </w:tcPr>
          <w:p>
            <w:pPr>
              <w:spacing w:after="0" w:line="20" w:lineRule="exact"/>
              <w:rPr>
                <w:sz w:val="1"/>
                <w:szCs w:val="1"/>
                <w:color w:val="auto"/>
              </w:rPr>
            </w:pPr>
          </w:p>
        </w:tc>
        <w:tc>
          <w:tcPr>
            <w:tcW w:w="112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w:t>
            </w:r>
          </w:p>
        </w:tc>
        <w:tc>
          <w:tcPr>
            <w:tcW w:w="160" w:type="dxa"/>
            <w:vAlign w:val="bottom"/>
            <w:tcBorders>
              <w:bottom w:val="single" w:sz="8" w:color="E0E7ED"/>
            </w:tcBorders>
            <w:shd w:val="clear" w:color="auto" w:fill="E0E7ED"/>
          </w:tcPr>
          <w:p>
            <w:pPr>
              <w:spacing w:after="0"/>
              <w:rPr>
                <w:sz w:val="20"/>
                <w:szCs w:val="20"/>
                <w:color w:val="auto"/>
              </w:rPr>
            </w:pPr>
          </w:p>
        </w:tc>
        <w:tc>
          <w:tcPr>
            <w:tcW w:w="120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80" w:type="dxa"/>
            <w:vAlign w:val="bottom"/>
            <w:tcBorders>
              <w:bottom w:val="single" w:sz="8" w:color="E0E7ED"/>
            </w:tcBorders>
            <w:shd w:val="clear" w:color="auto" w:fill="E0E7ED"/>
          </w:tcPr>
          <w:p>
            <w:pPr>
              <w:spacing w:after="0"/>
              <w:rPr>
                <w:sz w:val="20"/>
                <w:szCs w:val="20"/>
                <w:color w:val="auto"/>
              </w:rPr>
            </w:pPr>
          </w:p>
        </w:tc>
        <w:tc>
          <w:tcPr>
            <w:tcW w:w="106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E0E7ED"/>
            </w:tcBorders>
            <w:shd w:val="clear" w:color="auto" w:fill="E0E7ED"/>
          </w:tcPr>
          <w:p>
            <w:pPr>
              <w:spacing w:after="0"/>
              <w:rPr>
                <w:sz w:val="20"/>
                <w:szCs w:val="20"/>
                <w:color w:val="auto"/>
              </w:rPr>
            </w:pPr>
          </w:p>
        </w:tc>
        <w:tc>
          <w:tcPr>
            <w:tcW w:w="118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E0E7ED"/>
            </w:tcBorders>
            <w:shd w:val="clear" w:color="auto" w:fill="E0E7ED"/>
          </w:tcPr>
          <w:p>
            <w:pPr>
              <w:spacing w:after="0"/>
              <w:rPr>
                <w:sz w:val="20"/>
                <w:szCs w:val="20"/>
                <w:color w:val="auto"/>
              </w:rPr>
            </w:pPr>
          </w:p>
        </w:tc>
        <w:tc>
          <w:tcPr>
            <w:tcW w:w="106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E0E7ED"/>
            </w:tcBorders>
            <w:shd w:val="clear" w:color="auto" w:fill="E0E7ED"/>
          </w:tcPr>
          <w:p>
            <w:pPr>
              <w:spacing w:after="0"/>
              <w:rPr>
                <w:sz w:val="20"/>
                <w:szCs w:val="20"/>
                <w:color w:val="auto"/>
              </w:rPr>
            </w:pPr>
          </w:p>
        </w:tc>
        <w:tc>
          <w:tcPr>
            <w:tcW w:w="114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40" w:type="dxa"/>
            <w:vAlign w:val="bottom"/>
            <w:tcBorders>
              <w:bottom w:val="single" w:sz="8" w:color="E0E7ED"/>
            </w:tcBorders>
            <w:shd w:val="clear" w:color="auto" w:fill="E0E7ED"/>
          </w:tcPr>
          <w:p>
            <w:pPr>
              <w:spacing w:after="0"/>
              <w:rPr>
                <w:sz w:val="20"/>
                <w:szCs w:val="20"/>
                <w:color w:val="auto"/>
              </w:rPr>
            </w:pPr>
          </w:p>
        </w:tc>
        <w:tc>
          <w:tcPr>
            <w:tcW w:w="11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(183,334)</w:t>
            </w:r>
          </w:p>
        </w:tc>
        <w:tc>
          <w:tcPr>
            <w:tcW w:w="0" w:type="dxa"/>
            <w:vAlign w:val="bottom"/>
          </w:tcPr>
          <w:p>
            <w:pPr>
              <w:spacing w:after="0"/>
              <w:rPr>
                <w:sz w:val="1"/>
                <w:szCs w:val="1"/>
                <w:color w:val="auto"/>
              </w:rPr>
            </w:pPr>
          </w:p>
        </w:tc>
      </w:tr>
      <w:tr>
        <w:trPr>
          <w:trHeight w:val="263"/>
        </w:trPr>
        <w:tc>
          <w:tcPr>
            <w:tcW w:w="262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13,625,285</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Prior to the CrossFirst acquisition on March 1, 2025, Busey Bank’s loan origination occurred in the Illinois, Missouri, Florida, and Indiana markets. The geographic distribution of Busey Bank loans outstanding as of December 31, 2024, that were originated in each of these markets is presented in the table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As of December 31, 2024</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C&amp;I and other</w:t>
            </w:r>
          </w:p>
        </w:tc>
        <w:tc>
          <w:tcPr>
            <w:tcW w:w="300" w:type="dxa"/>
            <w:vAlign w:val="bottom"/>
          </w:tcPr>
          <w:p>
            <w:pPr>
              <w:spacing w:after="0"/>
              <w:rPr>
                <w:sz w:val="12"/>
                <w:szCs w:val="12"/>
                <w:color w:val="auto"/>
              </w:rPr>
            </w:pPr>
          </w:p>
        </w:tc>
        <w:tc>
          <w:tcPr>
            <w:tcW w:w="11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CRE</w:t>
            </w:r>
          </w:p>
        </w:tc>
        <w:tc>
          <w:tcPr>
            <w:tcW w:w="180" w:type="dxa"/>
            <w:vAlign w:val="bottom"/>
          </w:tcPr>
          <w:p>
            <w:pPr>
              <w:spacing w:after="0"/>
              <w:rPr>
                <w:sz w:val="12"/>
                <w:szCs w:val="12"/>
                <w:color w:val="auto"/>
              </w:rPr>
            </w:pPr>
          </w:p>
        </w:tc>
        <w:tc>
          <w:tcPr>
            <w:tcW w:w="1280" w:type="dxa"/>
            <w:vAlign w:val="bottom"/>
            <w:gridSpan w:val="2"/>
          </w:tcPr>
          <w:p>
            <w:pPr>
              <w:jc w:val="center"/>
              <w:ind w:right="280"/>
              <w:spacing w:after="0" w:line="147" w:lineRule="exact"/>
              <w:rPr>
                <w:sz w:val="20"/>
                <w:szCs w:val="20"/>
                <w:color w:val="auto"/>
              </w:rPr>
            </w:pPr>
            <w:r>
              <w:rPr>
                <w:rFonts w:ascii="Arial" w:cs="Arial" w:eastAsia="Arial" w:hAnsi="Arial"/>
                <w:sz w:val="14"/>
                <w:szCs w:val="14"/>
                <w:b w:val="1"/>
                <w:bCs w:val="1"/>
                <w:color w:val="auto"/>
              </w:rPr>
              <w:t>Real estate</w:t>
            </w:r>
          </w:p>
        </w:tc>
        <w:tc>
          <w:tcPr>
            <w:tcW w:w="146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Retail real estate</w:t>
            </w:r>
          </w:p>
        </w:tc>
        <w:tc>
          <w:tcPr>
            <w:tcW w:w="200" w:type="dxa"/>
            <w:vAlign w:val="bottom"/>
          </w:tcPr>
          <w:p>
            <w:pPr>
              <w:spacing w:after="0"/>
              <w:rPr>
                <w:sz w:val="12"/>
                <w:szCs w:val="12"/>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Retail other</w:t>
            </w:r>
          </w:p>
        </w:tc>
        <w:tc>
          <w:tcPr>
            <w:tcW w:w="300" w:type="dxa"/>
            <w:vAlign w:val="bottom"/>
          </w:tcPr>
          <w:p>
            <w:pPr>
              <w:spacing w:after="0"/>
              <w:rPr>
                <w:sz w:val="12"/>
                <w:szCs w:val="12"/>
                <w:color w:val="auto"/>
              </w:rPr>
            </w:pPr>
          </w:p>
        </w:tc>
        <w:tc>
          <w:tcPr>
            <w:tcW w:w="106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commercial</w:t>
            </w:r>
          </w:p>
        </w:tc>
        <w:tc>
          <w:tcPr>
            <w:tcW w:w="3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construction</w:t>
            </w:r>
          </w:p>
        </w:tc>
        <w:tc>
          <w:tcPr>
            <w:tcW w:w="146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6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Loans by state of origination</w:t>
            </w:r>
          </w:p>
        </w:tc>
        <w:tc>
          <w:tcPr>
            <w:tcW w:w="160" w:type="dxa"/>
            <w:vAlign w:val="bottom"/>
            <w:tcBorders>
              <w:top w:val="single" w:sz="8" w:color="auto"/>
            </w:tcBorders>
            <w:shd w:val="clear" w:color="auto" w:fill="E0E7ED"/>
          </w:tcPr>
          <w:p>
            <w:pPr>
              <w:spacing w:after="0"/>
              <w:rPr>
                <w:sz w:val="21"/>
                <w:szCs w:val="21"/>
                <w:color w:val="auto"/>
              </w:rPr>
            </w:pPr>
          </w:p>
        </w:tc>
        <w:tc>
          <w:tcPr>
            <w:tcW w:w="120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1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20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auto"/>
            </w:tcBorders>
            <w:shd w:val="clear" w:color="auto" w:fill="E0E7ED"/>
          </w:tcPr>
          <w:p>
            <w:pPr>
              <w:spacing w:after="0"/>
              <w:rPr>
                <w:sz w:val="21"/>
                <w:szCs w:val="21"/>
                <w:color w:val="auto"/>
              </w:rPr>
            </w:pPr>
          </w:p>
        </w:tc>
        <w:tc>
          <w:tcPr>
            <w:tcW w:w="300" w:type="dxa"/>
            <w:vAlign w:val="bottom"/>
            <w:tcBorders>
              <w:top w:val="single" w:sz="8" w:color="auto"/>
            </w:tcBorders>
            <w:shd w:val="clear" w:color="auto" w:fill="E0E7ED"/>
          </w:tcPr>
          <w:p>
            <w:pPr>
              <w:spacing w:after="0"/>
              <w:rPr>
                <w:sz w:val="21"/>
                <w:szCs w:val="21"/>
                <w:color w:val="auto"/>
              </w:rPr>
            </w:pPr>
          </w:p>
        </w:tc>
        <w:tc>
          <w:tcPr>
            <w:tcW w:w="106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Illinois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1,493,670</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2,285,915</w:t>
            </w: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232,898</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1,275,834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443,164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5,731,481</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Missouri</w:t>
            </w:r>
          </w:p>
        </w:tc>
        <w:tc>
          <w:tcPr>
            <w:tcW w:w="16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276,140</w:t>
            </w:r>
          </w:p>
        </w:tc>
        <w:tc>
          <w:tcPr>
            <w:tcW w:w="8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560,337</w:t>
            </w: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40,816</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211,878</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3,731</w:t>
            </w:r>
          </w:p>
        </w:tc>
        <w:tc>
          <w:tcPr>
            <w:tcW w:w="10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1,092,902</w:t>
            </w:r>
          </w:p>
        </w:tc>
        <w:tc>
          <w:tcPr>
            <w:tcW w:w="0" w:type="dxa"/>
            <w:vAlign w:val="bottom"/>
          </w:tcPr>
          <w:p>
            <w:pPr>
              <w:spacing w:after="0"/>
              <w:rPr>
                <w:sz w:val="1"/>
                <w:szCs w:val="1"/>
                <w:color w:val="auto"/>
              </w:rPr>
            </w:pPr>
          </w:p>
        </w:tc>
      </w:tr>
      <w:tr>
        <w:trPr>
          <w:trHeight w:val="247"/>
        </w:trPr>
        <w:tc>
          <w:tcPr>
            <w:tcW w:w="2640" w:type="dxa"/>
            <w:vAlign w:val="bottom"/>
          </w:tcPr>
          <w:p>
            <w:pPr>
              <w:ind w:left="180"/>
              <w:spacing w:after="0"/>
              <w:rPr>
                <w:sz w:val="20"/>
                <w:szCs w:val="20"/>
                <w:color w:val="auto"/>
              </w:rPr>
            </w:pPr>
            <w:r>
              <w:rPr>
                <w:rFonts w:ascii="Arial" w:cs="Arial" w:eastAsia="Arial" w:hAnsi="Arial"/>
                <w:sz w:val="18"/>
                <w:szCs w:val="18"/>
                <w:color w:val="auto"/>
              </w:rPr>
              <w:t>Florida</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58,277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245,918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30,826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464,056</w:t>
            </w:r>
          </w:p>
        </w:tc>
        <w:tc>
          <w:tcPr>
            <w:tcW w:w="0" w:type="dxa"/>
            <w:vAlign w:val="bottom"/>
          </w:tcPr>
          <w:p>
            <w:pPr>
              <w:spacing w:after="0"/>
              <w:rPr>
                <w:sz w:val="1"/>
                <w:szCs w:val="1"/>
                <w:color w:val="auto"/>
              </w:rPr>
            </w:pPr>
          </w:p>
        </w:tc>
      </w:tr>
      <w:tr>
        <w:trPr>
          <w:trHeight w:val="2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Indiana</w:t>
            </w:r>
          </w:p>
        </w:tc>
        <w:tc>
          <w:tcPr>
            <w:tcW w:w="16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76,428</w:t>
            </w:r>
          </w:p>
        </w:tc>
        <w:tc>
          <w:tcPr>
            <w:tcW w:w="8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177,394</w:t>
            </w:r>
          </w:p>
        </w:tc>
        <w:tc>
          <w:tcPr>
            <w:tcW w:w="8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73,669</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80,393</w:t>
            </w:r>
          </w:p>
        </w:tc>
        <w:tc>
          <w:tcPr>
            <w:tcW w:w="100" w:type="dxa"/>
            <w:vAlign w:val="bottom"/>
            <w:tcBorders>
              <w:bottom w:val="single" w:sz="8" w:color="E0E7ED"/>
            </w:tcBorders>
            <w:shd w:val="clear" w:color="auto" w:fill="E0E7ED"/>
          </w:tcPr>
          <w:p>
            <w:pPr>
              <w:spacing w:after="0"/>
              <w:rPr>
                <w:sz w:val="23"/>
                <w:szCs w:val="23"/>
                <w:color w:val="auto"/>
              </w:rPr>
            </w:pPr>
          </w:p>
        </w:tc>
        <w:tc>
          <w:tcPr>
            <w:tcW w:w="20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E0E7ED"/>
            </w:tcBorders>
            <w:shd w:val="clear" w:color="auto" w:fill="E0E7ED"/>
          </w:tcPr>
          <w:p>
            <w:pPr>
              <w:spacing w:after="0"/>
              <w:rPr>
                <w:sz w:val="23"/>
                <w:szCs w:val="23"/>
                <w:color w:val="auto"/>
              </w:rPr>
            </w:pPr>
          </w:p>
        </w:tc>
        <w:tc>
          <w:tcPr>
            <w:tcW w:w="300" w:type="dxa"/>
            <w:vAlign w:val="bottom"/>
            <w:tcBorders>
              <w:bottom w:val="single" w:sz="8" w:color="E0E7ED"/>
            </w:tcBorders>
            <w:shd w:val="clear" w:color="auto" w:fill="E0E7ED"/>
          </w:tcPr>
          <w:p>
            <w:pPr>
              <w:spacing w:after="0"/>
              <w:rPr>
                <w:sz w:val="23"/>
                <w:szCs w:val="23"/>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408,648</w:t>
            </w:r>
          </w:p>
        </w:tc>
        <w:tc>
          <w:tcPr>
            <w:tcW w:w="0" w:type="dxa"/>
            <w:vAlign w:val="bottom"/>
          </w:tcPr>
          <w:p>
            <w:pPr>
              <w:spacing w:after="0"/>
              <w:rPr>
                <w:sz w:val="1"/>
                <w:szCs w:val="1"/>
                <w:color w:val="auto"/>
              </w:rPr>
            </w:pPr>
          </w:p>
        </w:tc>
      </w:tr>
      <w:tr>
        <w:trPr>
          <w:trHeight w:val="263"/>
        </w:trPr>
        <w:tc>
          <w:tcPr>
            <w:tcW w:w="2640" w:type="dxa"/>
            <w:vAlign w:val="bottom"/>
          </w:tcPr>
          <w:p>
            <w:pPr>
              <w:ind w:left="20"/>
              <w:spacing w:after="0"/>
              <w:rPr>
                <w:sz w:val="20"/>
                <w:szCs w:val="20"/>
                <w:color w:val="auto"/>
              </w:rPr>
            </w:pPr>
            <w:r>
              <w:rPr>
                <w:rFonts w:ascii="Arial" w:cs="Arial" w:eastAsia="Arial" w:hAnsi="Arial"/>
                <w:sz w:val="18"/>
                <w:szCs w:val="18"/>
                <w:color w:val="auto"/>
              </w:rPr>
              <w:t>Total portfolio loans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1,904,515</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3,269,564</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378,209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1,696,457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448,342</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7,697,087</w:t>
            </w:r>
          </w:p>
        </w:tc>
        <w:tc>
          <w:tcPr>
            <w:tcW w:w="0" w:type="dxa"/>
            <w:vAlign w:val="bottom"/>
          </w:tcPr>
          <w:p>
            <w:pPr>
              <w:spacing w:after="0"/>
              <w:rPr>
                <w:sz w:val="1"/>
                <w:szCs w:val="1"/>
                <w:color w:val="auto"/>
              </w:rPr>
            </w:pPr>
          </w:p>
        </w:tc>
      </w:tr>
      <w:tr>
        <w:trPr>
          <w:trHeight w:val="20"/>
        </w:trPr>
        <w:tc>
          <w:tcPr>
            <w:tcW w:w="2640" w:type="dxa"/>
            <w:vAlign w:val="bottom"/>
            <w:tcBorders>
              <w:bottom w:val="single" w:sz="8" w:color="E0E7E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E0E7ED"/>
            </w:tcBorders>
          </w:tcPr>
          <w:p>
            <w:pPr>
              <w:spacing w:after="0" w:line="20" w:lineRule="exact"/>
              <w:rPr>
                <w:sz w:val="1"/>
                <w:szCs w:val="1"/>
                <w:color w:val="auto"/>
              </w:rPr>
            </w:pPr>
          </w:p>
        </w:tc>
        <w:tc>
          <w:tcPr>
            <w:tcW w:w="10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6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w:t>
            </w:r>
          </w:p>
        </w:tc>
        <w:tc>
          <w:tcPr>
            <w:tcW w:w="160" w:type="dxa"/>
            <w:vAlign w:val="bottom"/>
            <w:tcBorders>
              <w:bottom w:val="single" w:sz="8" w:color="E0E7ED"/>
            </w:tcBorders>
            <w:shd w:val="clear" w:color="auto" w:fill="E0E7ED"/>
          </w:tcPr>
          <w:p>
            <w:pPr>
              <w:spacing w:after="0"/>
              <w:rPr>
                <w:sz w:val="20"/>
                <w:szCs w:val="20"/>
                <w:color w:val="auto"/>
              </w:rPr>
            </w:pPr>
          </w:p>
        </w:tc>
        <w:tc>
          <w:tcPr>
            <w:tcW w:w="120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E0E7ED"/>
            </w:tcBorders>
            <w:shd w:val="clear" w:color="auto" w:fill="E0E7ED"/>
          </w:tcPr>
          <w:p>
            <w:pPr>
              <w:spacing w:after="0"/>
              <w:rPr>
                <w:sz w:val="20"/>
                <w:szCs w:val="20"/>
                <w:color w:val="auto"/>
              </w:rPr>
            </w:pPr>
          </w:p>
        </w:tc>
        <w:tc>
          <w:tcPr>
            <w:tcW w:w="1060" w:type="dxa"/>
            <w:vAlign w:val="bottom"/>
            <w:tcBorders>
              <w:bottom w:val="single" w:sz="8" w:color="E0E7ED"/>
            </w:tcBorders>
            <w:shd w:val="clear" w:color="auto" w:fill="E0E7ED"/>
          </w:tcPr>
          <w:p>
            <w:pPr>
              <w:spacing w:after="0"/>
              <w:rPr>
                <w:sz w:val="20"/>
                <w:szCs w:val="20"/>
                <w:color w:val="auto"/>
              </w:rPr>
            </w:pPr>
          </w:p>
        </w:tc>
        <w:tc>
          <w:tcPr>
            <w:tcW w:w="80" w:type="dxa"/>
            <w:vAlign w:val="bottom"/>
            <w:tcBorders>
              <w:bottom w:val="single" w:sz="8" w:color="E0E7ED"/>
            </w:tcBorders>
            <w:shd w:val="clear" w:color="auto" w:fill="E0E7ED"/>
          </w:tcPr>
          <w:p>
            <w:pPr>
              <w:spacing w:after="0"/>
              <w:rPr>
                <w:sz w:val="20"/>
                <w:szCs w:val="20"/>
                <w:color w:val="auto"/>
              </w:rPr>
            </w:pPr>
          </w:p>
        </w:tc>
        <w:tc>
          <w:tcPr>
            <w:tcW w:w="180" w:type="dxa"/>
            <w:vAlign w:val="bottom"/>
            <w:tcBorders>
              <w:bottom w:val="single" w:sz="8" w:color="E0E7ED"/>
            </w:tcBorders>
            <w:shd w:val="clear" w:color="auto" w:fill="E0E7ED"/>
          </w:tcPr>
          <w:p>
            <w:pPr>
              <w:spacing w:after="0"/>
              <w:rPr>
                <w:sz w:val="20"/>
                <w:szCs w:val="20"/>
                <w:color w:val="auto"/>
              </w:rPr>
            </w:pPr>
          </w:p>
        </w:tc>
        <w:tc>
          <w:tcPr>
            <w:tcW w:w="118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E0E7ED"/>
            </w:tcBorders>
            <w:shd w:val="clear" w:color="auto" w:fill="E0E7ED"/>
          </w:tcPr>
          <w:p>
            <w:pPr>
              <w:spacing w:after="0"/>
              <w:rPr>
                <w:sz w:val="20"/>
                <w:szCs w:val="20"/>
                <w:color w:val="auto"/>
              </w:rPr>
            </w:pPr>
          </w:p>
        </w:tc>
        <w:tc>
          <w:tcPr>
            <w:tcW w:w="106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200" w:type="dxa"/>
            <w:vAlign w:val="bottom"/>
            <w:tcBorders>
              <w:bottom w:val="single" w:sz="8" w:color="E0E7ED"/>
            </w:tcBorders>
            <w:shd w:val="clear" w:color="auto" w:fill="E0E7ED"/>
          </w:tcPr>
          <w:p>
            <w:pPr>
              <w:spacing w:after="0"/>
              <w:rPr>
                <w:sz w:val="20"/>
                <w:szCs w:val="20"/>
                <w:color w:val="auto"/>
              </w:rPr>
            </w:pPr>
          </w:p>
        </w:tc>
        <w:tc>
          <w:tcPr>
            <w:tcW w:w="1140" w:type="dxa"/>
            <w:vAlign w:val="bottom"/>
            <w:tcBorders>
              <w:bottom w:val="single" w:sz="8" w:color="E0E7ED"/>
            </w:tcBorders>
            <w:shd w:val="clear" w:color="auto" w:fill="E0E7ED"/>
          </w:tcPr>
          <w:p>
            <w:pPr>
              <w:spacing w:after="0"/>
              <w:rPr>
                <w:sz w:val="20"/>
                <w:szCs w:val="20"/>
                <w:color w:val="auto"/>
              </w:rPr>
            </w:pPr>
          </w:p>
        </w:tc>
        <w:tc>
          <w:tcPr>
            <w:tcW w:w="100" w:type="dxa"/>
            <w:vAlign w:val="bottom"/>
            <w:tcBorders>
              <w:bottom w:val="single" w:sz="8" w:color="E0E7ED"/>
            </w:tcBorders>
            <w:shd w:val="clear" w:color="auto" w:fill="E0E7ED"/>
          </w:tcPr>
          <w:p>
            <w:pPr>
              <w:spacing w:after="0"/>
              <w:rPr>
                <w:sz w:val="20"/>
                <w:szCs w:val="20"/>
                <w:color w:val="auto"/>
              </w:rPr>
            </w:pPr>
          </w:p>
        </w:tc>
        <w:tc>
          <w:tcPr>
            <w:tcW w:w="300" w:type="dxa"/>
            <w:vAlign w:val="bottom"/>
            <w:tcBorders>
              <w:bottom w:val="single" w:sz="8" w:color="E0E7ED"/>
            </w:tcBorders>
            <w:shd w:val="clear" w:color="auto" w:fill="E0E7ED"/>
          </w:tcPr>
          <w:p>
            <w:pPr>
              <w:spacing w:after="0"/>
              <w:rPr>
                <w:sz w:val="20"/>
                <w:szCs w:val="20"/>
                <w:color w:val="auto"/>
              </w:rPr>
            </w:pPr>
          </w:p>
        </w:tc>
        <w:tc>
          <w:tcPr>
            <w:tcW w:w="10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(83,404)</w:t>
            </w:r>
          </w:p>
        </w:tc>
        <w:tc>
          <w:tcPr>
            <w:tcW w:w="0" w:type="dxa"/>
            <w:vAlign w:val="bottom"/>
          </w:tcPr>
          <w:p>
            <w:pPr>
              <w:spacing w:after="0"/>
              <w:rPr>
                <w:sz w:val="1"/>
                <w:szCs w:val="1"/>
                <w:color w:val="auto"/>
              </w:rPr>
            </w:pPr>
          </w:p>
        </w:tc>
      </w:tr>
      <w:tr>
        <w:trPr>
          <w:trHeight w:val="263"/>
        </w:trPr>
        <w:tc>
          <w:tcPr>
            <w:tcW w:w="2640" w:type="dxa"/>
            <w:vAlign w:val="bottom"/>
          </w:tcPr>
          <w:p>
            <w:pPr>
              <w:ind w:left="20"/>
              <w:spacing w:after="0"/>
              <w:rPr>
                <w:sz w:val="20"/>
                <w:szCs w:val="20"/>
                <w:color w:val="auto"/>
              </w:rPr>
            </w:pPr>
            <w:r>
              <w:rPr>
                <w:rFonts w:ascii="Arial" w:cs="Arial" w:eastAsia="Arial" w:hAnsi="Arial"/>
                <w:sz w:val="18"/>
                <w:szCs w:val="18"/>
                <w:color w:val="auto"/>
              </w:rPr>
              <w:t>Portfolio loans, net of ACL</w:t>
            </w: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7,613,683</w:t>
            </w: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 loans made up 40.3% of Busey’s total loan portfolio as of June 30, 2025, and were 25.6% owner occupied. CRE loans are made across a variety of industries, as depicted in the table below. Balances reflected in the table below do not include loan origination fees or costs, purchase accounting adjustments, SBA discounts, or negative escrow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As of June 30, 2025</w:t>
            </w: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Owned By</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of CRE Loans That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line="20" w:lineRule="exact"/>
              <w:rPr>
                <w:sz w:val="1"/>
                <w:szCs w:val="1"/>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CRE Loans</w:t>
            </w:r>
          </w:p>
        </w:tc>
        <w:tc>
          <w:tcPr>
            <w:tcW w:w="260" w:type="dxa"/>
            <w:vAlign w:val="bottom"/>
          </w:tcPr>
          <w:p>
            <w:pPr>
              <w:spacing w:after="0" w:line="20" w:lineRule="exact"/>
              <w:rPr>
                <w:sz w:val="1"/>
                <w:szCs w:val="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Investor</w:t>
            </w:r>
          </w:p>
        </w:tc>
        <w:tc>
          <w:tcPr>
            <w:tcW w:w="340" w:type="dxa"/>
            <w:vAlign w:val="bottom"/>
          </w:tcPr>
          <w:p>
            <w:pPr>
              <w:spacing w:after="0" w:line="20" w:lineRule="exact"/>
              <w:rPr>
                <w:sz w:val="1"/>
                <w:szCs w:val="1"/>
                <w:color w:val="auto"/>
              </w:rPr>
            </w:pPr>
          </w:p>
        </w:tc>
        <w:tc>
          <w:tcPr>
            <w:tcW w:w="102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Occupant</w:t>
            </w:r>
          </w:p>
        </w:tc>
        <w:tc>
          <w:tcPr>
            <w:tcW w:w="10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Are Owner Occupied</w:t>
            </w:r>
          </w:p>
        </w:tc>
        <w:tc>
          <w:tcPr>
            <w:tcW w:w="0" w:type="dxa"/>
            <w:vAlign w:val="bottom"/>
          </w:tcPr>
          <w:p>
            <w:pPr>
              <w:spacing w:after="0"/>
              <w:rPr>
                <w:sz w:val="1"/>
                <w:szCs w:val="1"/>
                <w:color w:val="auto"/>
              </w:rPr>
            </w:pPr>
          </w:p>
        </w:tc>
      </w:tr>
      <w:tr>
        <w:trPr>
          <w:trHeight w:val="250"/>
        </w:trPr>
        <w:tc>
          <w:tcPr>
            <w:tcW w:w="536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Industry</w:t>
            </w:r>
          </w:p>
        </w:tc>
        <w:tc>
          <w:tcPr>
            <w:tcW w:w="220" w:type="dxa"/>
            <w:vAlign w:val="bottom"/>
            <w:tcBorders>
              <w:top w:val="single" w:sz="8" w:color="auto"/>
            </w:tcBorders>
            <w:shd w:val="clear" w:color="auto" w:fill="E0E7ED"/>
          </w:tcPr>
          <w:p>
            <w:pPr>
              <w:spacing w:after="0"/>
              <w:rPr>
                <w:sz w:val="21"/>
                <w:szCs w:val="21"/>
                <w:color w:val="auto"/>
              </w:rPr>
            </w:pPr>
          </w:p>
        </w:tc>
        <w:tc>
          <w:tcPr>
            <w:tcW w:w="11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260" w:type="dxa"/>
            <w:vAlign w:val="bottom"/>
            <w:tcBorders>
              <w:top w:val="single" w:sz="8" w:color="auto"/>
            </w:tcBorders>
            <w:shd w:val="clear" w:color="auto" w:fill="E0E7ED"/>
          </w:tcPr>
          <w:p>
            <w:pPr>
              <w:spacing w:after="0"/>
              <w:rPr>
                <w:sz w:val="21"/>
                <w:szCs w:val="21"/>
                <w:color w:val="auto"/>
              </w:rPr>
            </w:pPr>
          </w:p>
        </w:tc>
        <w:tc>
          <w:tcPr>
            <w:tcW w:w="11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40" w:type="dxa"/>
            <w:vAlign w:val="bottom"/>
            <w:tcBorders>
              <w:top w:val="single" w:sz="8" w:color="auto"/>
            </w:tcBorders>
            <w:shd w:val="clear" w:color="auto" w:fill="E0E7ED"/>
          </w:tcPr>
          <w:p>
            <w:pPr>
              <w:spacing w:after="0"/>
              <w:rPr>
                <w:sz w:val="21"/>
                <w:szCs w:val="21"/>
                <w:color w:val="auto"/>
              </w:rPr>
            </w:pPr>
          </w:p>
        </w:tc>
        <w:tc>
          <w:tcPr>
            <w:tcW w:w="10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50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Industrial and warehousing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1,319,292</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873,061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446,231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859,112</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744,581</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114,531</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Apartments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850,596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850,596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Traditional office</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662,478</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464,304</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198,174</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29.9 %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Specialty</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472,791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180,384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292,407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61.8 %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Hotel</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350,045</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350,045</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0E7ED"/>
            </w:tcBorders>
            <w:shd w:val="clear" w:color="auto" w:fill="E0E7ED"/>
          </w:tcPr>
          <w:p>
            <w:pPr>
              <w:spacing w:after="0"/>
              <w:rPr>
                <w:sz w:val="21"/>
                <w:szCs w:val="21"/>
                <w:color w:val="auto"/>
              </w:rPr>
            </w:pP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Medical office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278,545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138,319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140,226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50.3 %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Student housing</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210,572</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210,572</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0E7ED"/>
            </w:tcBorders>
            <w:shd w:val="clear" w:color="auto" w:fill="E0E7ED"/>
          </w:tcPr>
          <w:p>
            <w:pPr>
              <w:spacing w:after="0"/>
              <w:rPr>
                <w:sz w:val="21"/>
                <w:szCs w:val="21"/>
                <w:color w:val="auto"/>
              </w:rPr>
            </w:pPr>
          </w:p>
        </w:tc>
        <w:tc>
          <w:tcPr>
            <w:tcW w:w="15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Senior housing</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145,344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145,344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Restaurant</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143,817</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28,325</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115,492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80.3 %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Nursing homes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107,828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106,230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1-4 Family</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63,540</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27,384</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36,156</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56.9 %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20,407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Land acquisition and development</w:t>
            </w:r>
          </w:p>
        </w:tc>
        <w:tc>
          <w:tcPr>
            <w:tcW w:w="2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15,581</w:t>
            </w: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9,182</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58.9 %</w:t>
            </w:r>
          </w:p>
        </w:tc>
        <w:tc>
          <w:tcPr>
            <w:tcW w:w="0" w:type="dxa"/>
            <w:vAlign w:val="bottom"/>
          </w:tcPr>
          <w:p>
            <w:pPr>
              <w:spacing w:after="0"/>
              <w:rPr>
                <w:sz w:val="1"/>
                <w:szCs w:val="1"/>
                <w:color w:val="auto"/>
              </w:rPr>
            </w:pPr>
          </w:p>
        </w:tc>
      </w:tr>
      <w:tr>
        <w:trPr>
          <w:trHeight w:val="247"/>
        </w:trPr>
        <w:tc>
          <w:tcPr>
            <w:tcW w:w="5360" w:type="dxa"/>
            <w:vAlign w:val="bottom"/>
          </w:tcPr>
          <w:p>
            <w:pPr>
              <w:ind w:left="180"/>
              <w:spacing w:after="0"/>
              <w:rPr>
                <w:sz w:val="20"/>
                <w:szCs w:val="20"/>
                <w:color w:val="auto"/>
              </w:rPr>
            </w:pPr>
            <w:r>
              <w:rPr>
                <w:rFonts w:ascii="Arial" w:cs="Arial" w:eastAsia="Arial" w:hAnsi="Arial"/>
                <w:sz w:val="18"/>
                <w:szCs w:val="18"/>
                <w:color w:val="auto"/>
              </w:rPr>
              <w:t>Group homes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109,101</w:t>
            </w:r>
          </w:p>
        </w:tc>
        <w:tc>
          <w:tcPr>
            <w:tcW w:w="80" w:type="dxa"/>
            <w:vAlign w:val="bottom"/>
            <w:tcBorders>
              <w:bottom w:val="single" w:sz="8" w:color="E0E7ED"/>
            </w:tcBorders>
            <w:shd w:val="clear" w:color="auto" w:fill="E0E7ED"/>
          </w:tcPr>
          <w:p>
            <w:pPr>
              <w:spacing w:after="0"/>
              <w:rPr>
                <w:sz w:val="23"/>
                <w:szCs w:val="23"/>
                <w:color w:val="auto"/>
              </w:rPr>
            </w:pP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24,348</w:t>
            </w:r>
          </w:p>
        </w:tc>
        <w:tc>
          <w:tcPr>
            <w:tcW w:w="100" w:type="dxa"/>
            <w:vAlign w:val="bottom"/>
            <w:tcBorders>
              <w:bottom w:val="single" w:sz="8" w:color="E0E7ED"/>
            </w:tcBorders>
            <w:shd w:val="clear" w:color="auto" w:fill="E0E7ED"/>
          </w:tcPr>
          <w:p>
            <w:pPr>
              <w:spacing w:after="0"/>
              <w:rPr>
                <w:sz w:val="23"/>
                <w:szCs w:val="23"/>
                <w:color w:val="auto"/>
              </w:rPr>
            </w:pPr>
          </w:p>
        </w:tc>
        <w:tc>
          <w:tcPr>
            <w:tcW w:w="340" w:type="dxa"/>
            <w:vAlign w:val="bottom"/>
            <w:tcBorders>
              <w:bottom w:val="single" w:sz="8" w:color="E0E7ED"/>
            </w:tcBorders>
            <w:shd w:val="clear" w:color="auto" w:fill="E0E7ED"/>
          </w:tcPr>
          <w:p>
            <w:pPr>
              <w:spacing w:after="0"/>
              <w:rPr>
                <w:sz w:val="23"/>
                <w:szCs w:val="23"/>
                <w:color w:val="auto"/>
              </w:rPr>
            </w:pPr>
          </w:p>
        </w:tc>
        <w:tc>
          <w:tcPr>
            <w:tcW w:w="10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84,753</w:t>
            </w:r>
          </w:p>
        </w:tc>
        <w:tc>
          <w:tcPr>
            <w:tcW w:w="160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77.7 %</w:t>
            </w:r>
          </w:p>
        </w:tc>
        <w:tc>
          <w:tcPr>
            <w:tcW w:w="0" w:type="dxa"/>
            <w:vAlign w:val="bottom"/>
          </w:tcPr>
          <w:p>
            <w:pPr>
              <w:spacing w:after="0"/>
              <w:rPr>
                <w:sz w:val="1"/>
                <w:szCs w:val="1"/>
                <w:color w:val="auto"/>
              </w:rPr>
            </w:pPr>
          </w:p>
        </w:tc>
      </w:tr>
      <w:tr>
        <w:trPr>
          <w:trHeight w:val="263"/>
        </w:trPr>
        <w:tc>
          <w:tcPr>
            <w:tcW w:w="53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5,612,664</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4,173,507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1,439,157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 and Provision for Loan Losses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ACL is a significant estimate on Busey’s unaudited consolidated financial statements, affecting both earnings and capital. The methodology adopted influences, and is influenced by, Busey’s overall credit risk management processes. The ACL is recorded in accordance with GAAP to provide an adequate reserve for expected credit losses that is reflective of management’s best estimate of what is expected to be collected. Estimates of credit losses are based on a careful consideration of all significant factors affecting the collectability as of the evaluation date. The ACL is established through the provision for credit loss expense charged to income. Provision for loan losses expenses were recorded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540" w:type="dxa"/>
            <w:vAlign w:val="bottom"/>
            <w:gridSpan w:val="4"/>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48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r>
      <w:tr>
        <w:trPr>
          <w:trHeight w:val="241"/>
        </w:trPr>
        <w:tc>
          <w:tcPr>
            <w:tcW w:w="5480" w:type="dxa"/>
            <w:vAlign w:val="bottom"/>
            <w:shd w:val="clear" w:color="auto" w:fill="E0E7ED"/>
          </w:tcPr>
          <w:p>
            <w:pPr>
              <w:ind w:left="180"/>
              <w:spacing w:after="0"/>
              <w:rPr>
                <w:sz w:val="20"/>
                <w:szCs w:val="20"/>
                <w:color w:val="auto"/>
              </w:rPr>
            </w:pPr>
            <w:r>
              <w:rPr>
                <w:rFonts w:ascii="Arial" w:cs="Arial" w:eastAsia="Arial" w:hAnsi="Arial"/>
                <w:sz w:val="18"/>
                <w:szCs w:val="18"/>
                <w:color w:val="auto"/>
              </w:rPr>
              <w:t>Provision for loan losses</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E0E7ED"/>
          </w:tcPr>
          <w:p>
            <w:pPr>
              <w:jc w:val="right"/>
              <w:ind w:right="2"/>
              <w:spacing w:after="0"/>
              <w:rPr>
                <w:sz w:val="20"/>
                <w:szCs w:val="20"/>
                <w:color w:val="auto"/>
              </w:rPr>
            </w:pPr>
            <w:r>
              <w:rPr>
                <w:rFonts w:ascii="Arial" w:cs="Arial" w:eastAsia="Arial" w:hAnsi="Arial"/>
                <w:sz w:val="18"/>
                <w:szCs w:val="18"/>
                <w:color w:val="auto"/>
              </w:rPr>
              <w:t>1,005</w:t>
            </w:r>
          </w:p>
        </w:tc>
        <w:tc>
          <w:tcPr>
            <w:tcW w:w="80" w:type="dxa"/>
            <w:vAlign w:val="bottom"/>
            <w:shd w:val="clear" w:color="auto" w:fill="E0E7ED"/>
          </w:tcPr>
          <w:p>
            <w:pPr>
              <w:spacing w:after="0"/>
              <w:rPr>
                <w:sz w:val="20"/>
                <w:szCs w:val="20"/>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2,277</w:t>
            </w:r>
          </w:p>
        </w:tc>
        <w:tc>
          <w:tcPr>
            <w:tcW w:w="80" w:type="dxa"/>
            <w:vAlign w:val="bottom"/>
            <w:shd w:val="clear" w:color="auto" w:fill="E0E7ED"/>
          </w:tcPr>
          <w:p>
            <w:pPr>
              <w:spacing w:after="0"/>
              <w:rPr>
                <w:sz w:val="20"/>
                <w:szCs w:val="20"/>
                <w:color w:val="auto"/>
              </w:rPr>
            </w:pPr>
          </w:p>
        </w:tc>
        <w:tc>
          <w:tcPr>
            <w:tcW w:w="300" w:type="dxa"/>
            <w:vAlign w:val="bottom"/>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0E7ED"/>
          </w:tcPr>
          <w:p>
            <w:pPr>
              <w:jc w:val="right"/>
              <w:ind w:right="2"/>
              <w:spacing w:after="0"/>
              <w:rPr>
                <w:sz w:val="20"/>
                <w:szCs w:val="20"/>
                <w:color w:val="auto"/>
              </w:rPr>
            </w:pPr>
            <w:r>
              <w:rPr>
                <w:rFonts w:ascii="Arial" w:cs="Arial" w:eastAsia="Arial" w:hAnsi="Arial"/>
                <w:sz w:val="18"/>
                <w:szCs w:val="18"/>
                <w:color w:val="auto"/>
              </w:rPr>
              <w:t>43,457</w:t>
            </w:r>
          </w:p>
        </w:tc>
        <w:tc>
          <w:tcPr>
            <w:tcW w:w="100" w:type="dxa"/>
            <w:vAlign w:val="bottom"/>
            <w:shd w:val="clear" w:color="auto" w:fill="E0E7ED"/>
          </w:tcPr>
          <w:p>
            <w:pPr>
              <w:spacing w:after="0"/>
              <w:rPr>
                <w:sz w:val="20"/>
                <w:szCs w:val="20"/>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7,315</w:t>
            </w:r>
          </w:p>
        </w:tc>
      </w:tr>
      <w:tr>
        <w:trPr>
          <w:trHeight w:val="23"/>
        </w:trPr>
        <w:tc>
          <w:tcPr>
            <w:tcW w:w="548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120" w:type="dxa"/>
            <w:vAlign w:val="bottom"/>
            <w:shd w:val="clear" w:color="auto" w:fill="E0E7ED"/>
          </w:tcPr>
          <w:p>
            <w:pPr>
              <w:spacing w:after="0"/>
              <w:rPr>
                <w:sz w:val="2"/>
                <w:szCs w:val="2"/>
                <w:color w:val="auto"/>
              </w:rPr>
            </w:pPr>
          </w:p>
        </w:tc>
        <w:tc>
          <w:tcPr>
            <w:tcW w:w="80" w:type="dxa"/>
            <w:vAlign w:val="bottom"/>
            <w:shd w:val="clear" w:color="auto" w:fill="E0E7ED"/>
          </w:tcPr>
          <w:p>
            <w:pPr>
              <w:spacing w:after="0"/>
              <w:rPr>
                <w:sz w:val="2"/>
                <w:szCs w:val="2"/>
                <w:color w:val="auto"/>
              </w:rPr>
            </w:pPr>
          </w:p>
        </w:tc>
        <w:tc>
          <w:tcPr>
            <w:tcW w:w="320" w:type="dxa"/>
            <w:vAlign w:val="bottom"/>
            <w:shd w:val="clear" w:color="auto" w:fill="E0E7ED"/>
          </w:tcPr>
          <w:p>
            <w:pPr>
              <w:spacing w:after="0"/>
              <w:rPr>
                <w:sz w:val="2"/>
                <w:szCs w:val="2"/>
                <w:color w:val="auto"/>
              </w:rPr>
            </w:pPr>
          </w:p>
        </w:tc>
        <w:tc>
          <w:tcPr>
            <w:tcW w:w="1060" w:type="dxa"/>
            <w:vAlign w:val="bottom"/>
            <w:shd w:val="clear" w:color="auto" w:fill="E0E7ED"/>
          </w:tcPr>
          <w:p>
            <w:pPr>
              <w:spacing w:after="0"/>
              <w:rPr>
                <w:sz w:val="2"/>
                <w:szCs w:val="2"/>
                <w:color w:val="auto"/>
              </w:rPr>
            </w:pPr>
          </w:p>
        </w:tc>
        <w:tc>
          <w:tcPr>
            <w:tcW w:w="80" w:type="dxa"/>
            <w:vAlign w:val="bottom"/>
            <w:shd w:val="clear" w:color="auto" w:fill="E0E7ED"/>
          </w:tcPr>
          <w:p>
            <w:pPr>
              <w:spacing w:after="0"/>
              <w:rPr>
                <w:sz w:val="2"/>
                <w:szCs w:val="2"/>
                <w:color w:val="auto"/>
              </w:rPr>
            </w:pPr>
          </w:p>
        </w:tc>
        <w:tc>
          <w:tcPr>
            <w:tcW w:w="30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20" w:type="dxa"/>
            <w:vAlign w:val="bottom"/>
            <w:shd w:val="clear" w:color="auto" w:fill="E0E7ED"/>
          </w:tcPr>
          <w:p>
            <w:pPr>
              <w:spacing w:after="0"/>
              <w:rPr>
                <w:sz w:val="2"/>
                <w:szCs w:val="2"/>
                <w:color w:val="auto"/>
              </w:rPr>
            </w:pPr>
          </w:p>
        </w:tc>
        <w:tc>
          <w:tcPr>
            <w:tcW w:w="1040" w:type="dxa"/>
            <w:vAlign w:val="bottom"/>
            <w:shd w:val="clear" w:color="auto" w:fill="E0E7ED"/>
          </w:tcPr>
          <w:p>
            <w:pPr>
              <w:spacing w:after="0"/>
              <w:rPr>
                <w:sz w:val="2"/>
                <w:szCs w:val="2"/>
                <w:color w:val="auto"/>
              </w:rPr>
            </w:pPr>
          </w:p>
        </w:tc>
      </w:tr>
    </w:tbl>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$1.0 million provision for loan losses recorded in the second quarter of 2025 included a release of the PCD provision of $11.8 million due to PCD loan payoffs/paydowns and non-PCD provision expense of $12.8 million to support charge-offs, to adjust for the loan portfolio mix, and as a response to economic factors. The provision for loan losses for the six months ended June 30, 2025, included $42.4 million provision expense recorded to establish an initial allowance for non-PCD loans immediately following the close of the CrossFirst acquisition in accordance with ASC 326-20-30-15.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ACL and the ratio of ACL to portfolio loan balances is presented below by lending activity: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June 30, 2025</w:t>
            </w:r>
          </w:p>
        </w:tc>
        <w:tc>
          <w:tcPr>
            <w:tcW w:w="1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2024</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Loans</w:t>
            </w:r>
          </w:p>
        </w:tc>
        <w:tc>
          <w:tcPr>
            <w:tcW w:w="320" w:type="dxa"/>
            <w:vAlign w:val="bottom"/>
          </w:tcPr>
          <w:p>
            <w:pPr>
              <w:spacing w:after="0"/>
              <w:rPr>
                <w:sz w:val="12"/>
                <w:szCs w:val="12"/>
                <w:color w:val="auto"/>
              </w:rPr>
            </w:pPr>
          </w:p>
        </w:tc>
        <w:tc>
          <w:tcPr>
            <w:tcW w:w="11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ACL</w:t>
            </w:r>
          </w:p>
        </w:tc>
        <w:tc>
          <w:tcPr>
            <w:tcW w:w="154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Ratio of ACL to</w:t>
            </w:r>
          </w:p>
        </w:tc>
        <w:tc>
          <w:tcPr>
            <w:tcW w:w="1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Portfolio Loans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ACL</w:t>
            </w:r>
          </w:p>
        </w:tc>
        <w:tc>
          <w:tcPr>
            <w:tcW w:w="128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Ratio of ACL to</w:t>
            </w:r>
          </w:p>
        </w:tc>
        <w:tc>
          <w:tcPr>
            <w:tcW w:w="0" w:type="dxa"/>
            <w:vAlign w:val="bottom"/>
          </w:tcPr>
          <w:p>
            <w:pPr>
              <w:spacing w:after="0"/>
              <w:rPr>
                <w:sz w:val="1"/>
                <w:szCs w:val="1"/>
                <w:color w:val="auto"/>
              </w:rPr>
            </w:pPr>
          </w:p>
        </w:tc>
      </w:tr>
      <w:tr>
        <w:trPr>
          <w:trHeight w:val="175"/>
        </w:trPr>
        <w:tc>
          <w:tcPr>
            <w:tcW w:w="25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1540" w:type="dxa"/>
            <w:vAlign w:val="bottom"/>
            <w:gridSpan w:val="2"/>
          </w:tcPr>
          <w:p>
            <w:pPr>
              <w:ind w:left="200"/>
              <w:spacing w:after="0"/>
              <w:rPr>
                <w:sz w:val="20"/>
                <w:szCs w:val="20"/>
                <w:color w:val="auto"/>
              </w:rPr>
            </w:pPr>
            <w:r>
              <w:rPr>
                <w:rFonts w:ascii="Arial" w:cs="Arial" w:eastAsia="Arial" w:hAnsi="Arial"/>
                <w:sz w:val="14"/>
                <w:szCs w:val="14"/>
                <w:b w:val="1"/>
                <w:bCs w:val="1"/>
                <w:color w:val="auto"/>
              </w:rPr>
              <w:t>Portfolio Loans</w:t>
            </w:r>
          </w:p>
        </w:tc>
        <w:tc>
          <w:tcPr>
            <w:tcW w:w="14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280" w:type="dxa"/>
            <w:vAlign w:val="bottom"/>
          </w:tcPr>
          <w:p>
            <w:pPr>
              <w:jc w:val="right"/>
              <w:ind w:right="114"/>
              <w:spacing w:after="0"/>
              <w:rPr>
                <w:sz w:val="20"/>
                <w:szCs w:val="20"/>
                <w:color w:val="auto"/>
              </w:rPr>
            </w:pPr>
            <w:r>
              <w:rPr>
                <w:rFonts w:ascii="Arial" w:cs="Arial" w:eastAsia="Arial" w:hAnsi="Arial"/>
                <w:sz w:val="14"/>
                <w:szCs w:val="14"/>
                <w:b w:val="1"/>
                <w:bCs w:val="1"/>
                <w:color w:val="auto"/>
              </w:rPr>
              <w:t>Portfolio Loans</w:t>
            </w:r>
          </w:p>
        </w:tc>
        <w:tc>
          <w:tcPr>
            <w:tcW w:w="0" w:type="dxa"/>
            <w:vAlign w:val="bottom"/>
          </w:tcPr>
          <w:p>
            <w:pPr>
              <w:spacing w:after="0"/>
              <w:rPr>
                <w:sz w:val="1"/>
                <w:szCs w:val="1"/>
                <w:color w:val="auto"/>
              </w:rPr>
            </w:pPr>
          </w:p>
        </w:tc>
      </w:tr>
      <w:tr>
        <w:trPr>
          <w:trHeight w:val="250"/>
        </w:trPr>
        <w:tc>
          <w:tcPr>
            <w:tcW w:w="2540" w:type="dxa"/>
            <w:vAlign w:val="bottom"/>
            <w:tcBorders>
              <w:top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Commercial</w:t>
            </w:r>
          </w:p>
        </w:tc>
        <w:tc>
          <w:tcPr>
            <w:tcW w:w="120" w:type="dxa"/>
            <w:vAlign w:val="bottom"/>
            <w:tcBorders>
              <w:top w:val="single" w:sz="8" w:color="auto"/>
            </w:tcBorders>
            <w:shd w:val="clear" w:color="auto" w:fill="E0E7ED"/>
          </w:tcPr>
          <w:p>
            <w:pPr>
              <w:spacing w:after="0"/>
              <w:rPr>
                <w:sz w:val="21"/>
                <w:szCs w:val="21"/>
                <w:color w:val="auto"/>
              </w:rPr>
            </w:pPr>
          </w:p>
        </w:tc>
        <w:tc>
          <w:tcPr>
            <w:tcW w:w="122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100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460" w:type="dxa"/>
            <w:vAlign w:val="bottom"/>
            <w:tcBorders>
              <w:top w:val="single" w:sz="8" w:color="auto"/>
            </w:tcBorders>
            <w:shd w:val="clear" w:color="auto" w:fill="E0E7ED"/>
          </w:tcPr>
          <w:p>
            <w:pPr>
              <w:spacing w:after="0"/>
              <w:rPr>
                <w:sz w:val="21"/>
                <w:szCs w:val="21"/>
                <w:color w:val="auto"/>
              </w:rPr>
            </w:pPr>
          </w:p>
        </w:tc>
        <w:tc>
          <w:tcPr>
            <w:tcW w:w="80" w:type="dxa"/>
            <w:vAlign w:val="bottom"/>
            <w:tcBorders>
              <w:top w:val="single" w:sz="8" w:color="E0E7ED"/>
            </w:tcBorders>
            <w:shd w:val="clear" w:color="auto" w:fill="E0E7ED"/>
          </w:tcPr>
          <w:p>
            <w:pPr>
              <w:spacing w:after="0"/>
              <w:rPr>
                <w:sz w:val="21"/>
                <w:szCs w:val="21"/>
                <w:color w:val="auto"/>
              </w:rPr>
            </w:pPr>
          </w:p>
        </w:tc>
        <w:tc>
          <w:tcPr>
            <w:tcW w:w="140" w:type="dxa"/>
            <w:vAlign w:val="bottom"/>
            <w:tcBorders>
              <w:top w:val="single" w:sz="8" w:color="auto"/>
            </w:tcBorders>
            <w:shd w:val="clear" w:color="auto" w:fill="E0E7ED"/>
          </w:tcPr>
          <w:p>
            <w:pPr>
              <w:spacing w:after="0"/>
              <w:rPr>
                <w:sz w:val="21"/>
                <w:szCs w:val="21"/>
                <w:color w:val="auto"/>
              </w:rPr>
            </w:pPr>
          </w:p>
        </w:tc>
        <w:tc>
          <w:tcPr>
            <w:tcW w:w="1140" w:type="dxa"/>
            <w:vAlign w:val="bottom"/>
            <w:tcBorders>
              <w:top w:val="single" w:sz="8" w:color="auto"/>
            </w:tcBorders>
            <w:shd w:val="clear" w:color="auto" w:fill="E0E7ED"/>
          </w:tcPr>
          <w:p>
            <w:pPr>
              <w:spacing w:after="0"/>
              <w:rPr>
                <w:sz w:val="21"/>
                <w:szCs w:val="21"/>
                <w:color w:val="auto"/>
              </w:rPr>
            </w:pPr>
          </w:p>
        </w:tc>
        <w:tc>
          <w:tcPr>
            <w:tcW w:w="6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320" w:type="dxa"/>
            <w:vAlign w:val="bottom"/>
            <w:tcBorders>
              <w:top w:val="single" w:sz="8" w:color="auto"/>
            </w:tcBorders>
            <w:shd w:val="clear" w:color="auto" w:fill="E0E7ED"/>
          </w:tcPr>
          <w:p>
            <w:pPr>
              <w:spacing w:after="0"/>
              <w:rPr>
                <w:sz w:val="21"/>
                <w:szCs w:val="21"/>
                <w:color w:val="auto"/>
              </w:rPr>
            </w:pPr>
          </w:p>
        </w:tc>
        <w:tc>
          <w:tcPr>
            <w:tcW w:w="980" w:type="dxa"/>
            <w:vAlign w:val="bottom"/>
            <w:tcBorders>
              <w:top w:val="single" w:sz="8" w:color="auto"/>
            </w:tcBorders>
            <w:shd w:val="clear" w:color="auto" w:fill="E0E7ED"/>
          </w:tcPr>
          <w:p>
            <w:pPr>
              <w:spacing w:after="0"/>
              <w:rPr>
                <w:sz w:val="21"/>
                <w:szCs w:val="21"/>
                <w:color w:val="auto"/>
              </w:rPr>
            </w:pPr>
          </w:p>
        </w:tc>
        <w:tc>
          <w:tcPr>
            <w:tcW w:w="100" w:type="dxa"/>
            <w:vAlign w:val="bottom"/>
            <w:tcBorders>
              <w:top w:val="single" w:sz="8" w:color="E0E7ED"/>
            </w:tcBorders>
            <w:shd w:val="clear" w:color="auto" w:fill="E0E7ED"/>
          </w:tcPr>
          <w:p>
            <w:pPr>
              <w:spacing w:after="0"/>
              <w:rPr>
                <w:sz w:val="21"/>
                <w:szCs w:val="21"/>
                <w:color w:val="auto"/>
              </w:rPr>
            </w:pPr>
          </w:p>
        </w:tc>
        <w:tc>
          <w:tcPr>
            <w:tcW w:w="180" w:type="dxa"/>
            <w:vAlign w:val="bottom"/>
            <w:tcBorders>
              <w:top w:val="single" w:sz="8" w:color="auto"/>
            </w:tcBorders>
            <w:shd w:val="clear" w:color="auto" w:fill="E0E7ED"/>
          </w:tcPr>
          <w:p>
            <w:pPr>
              <w:spacing w:after="0"/>
              <w:rPr>
                <w:sz w:val="21"/>
                <w:szCs w:val="21"/>
                <w:color w:val="auto"/>
              </w:rPr>
            </w:pPr>
          </w:p>
        </w:tc>
        <w:tc>
          <w:tcPr>
            <w:tcW w:w="1280" w:type="dxa"/>
            <w:vAlign w:val="bottom"/>
            <w:tcBorders>
              <w:top w:val="single" w:sz="8" w:color="auto"/>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540" w:type="dxa"/>
            <w:vAlign w:val="bottom"/>
          </w:tcPr>
          <w:p>
            <w:pPr>
              <w:ind w:left="180"/>
              <w:spacing w:after="0"/>
              <w:rPr>
                <w:sz w:val="20"/>
                <w:szCs w:val="20"/>
                <w:color w:val="auto"/>
              </w:rPr>
            </w:pPr>
            <w:r>
              <w:rPr>
                <w:rFonts w:ascii="Arial" w:cs="Arial" w:eastAsia="Arial" w:hAnsi="Arial"/>
                <w:sz w:val="18"/>
                <w:szCs w:val="18"/>
                <w:color w:val="auto"/>
              </w:rPr>
              <w:t>C&amp;I and other 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4,476,869</w:t>
            </w:r>
          </w:p>
        </w:tc>
        <w:tc>
          <w:tcPr>
            <w:tcW w:w="10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68,578</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1.53 %</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1,904,515</w:t>
            </w:r>
          </w:p>
        </w:tc>
        <w:tc>
          <w:tcPr>
            <w:tcW w:w="48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21,589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CRE</w:t>
            </w:r>
          </w:p>
        </w:tc>
        <w:tc>
          <w:tcPr>
            <w:tcW w:w="12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5,569,759</w:t>
            </w: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70,935</w:t>
            </w: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1.27 %</w:t>
            </w:r>
          </w:p>
        </w:tc>
        <w:tc>
          <w:tcPr>
            <w:tcW w:w="80" w:type="dxa"/>
            <w:vAlign w:val="bottom"/>
            <w:tcBorders>
              <w:bottom w:val="single" w:sz="8" w:color="E0E7ED"/>
            </w:tcBorders>
            <w:shd w:val="clear" w:color="auto" w:fill="E0E7ED"/>
          </w:tcPr>
          <w:p>
            <w:pPr>
              <w:spacing w:after="0"/>
              <w:rPr>
                <w:sz w:val="21"/>
                <w:szCs w:val="21"/>
                <w:color w:val="auto"/>
              </w:rPr>
            </w:pPr>
          </w:p>
        </w:tc>
        <w:tc>
          <w:tcPr>
            <w:tcW w:w="1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3,269,564</w:t>
            </w:r>
          </w:p>
        </w:tc>
        <w:tc>
          <w:tcPr>
            <w:tcW w:w="6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9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32,301</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0.99 %</w:t>
            </w:r>
          </w:p>
        </w:tc>
        <w:tc>
          <w:tcPr>
            <w:tcW w:w="0" w:type="dxa"/>
            <w:vAlign w:val="bottom"/>
          </w:tcPr>
          <w:p>
            <w:pPr>
              <w:spacing w:after="0"/>
              <w:rPr>
                <w:sz w:val="1"/>
                <w:szCs w:val="1"/>
                <w:color w:val="auto"/>
              </w:rPr>
            </w:pPr>
          </w:p>
        </w:tc>
      </w:tr>
      <w:tr>
        <w:trPr>
          <w:trHeight w:val="247"/>
        </w:trPr>
        <w:tc>
          <w:tcPr>
            <w:tcW w:w="254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1,041,803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13,072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1.25 %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378,209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0.88 %</w:t>
            </w:r>
          </w:p>
        </w:tc>
        <w:tc>
          <w:tcPr>
            <w:tcW w:w="0" w:type="dxa"/>
            <w:vAlign w:val="bottom"/>
          </w:tcPr>
          <w:p>
            <w:pPr>
              <w:spacing w:after="0"/>
              <w:rPr>
                <w:sz w:val="1"/>
                <w:szCs w:val="1"/>
                <w:color w:val="auto"/>
              </w:rPr>
            </w:pPr>
          </w:p>
        </w:tc>
      </w:tr>
      <w:tr>
        <w:trPr>
          <w:trHeight w:val="23"/>
        </w:trPr>
        <w:tc>
          <w:tcPr>
            <w:tcW w:w="254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E0E7ED"/>
            </w:tcBorders>
          </w:tcPr>
          <w:p>
            <w:pPr>
              <w:spacing w:after="0"/>
              <w:rPr>
                <w:sz w:val="2"/>
                <w:szCs w:val="2"/>
                <w:color w:val="auto"/>
              </w:rPr>
            </w:pPr>
          </w:p>
        </w:tc>
        <w:tc>
          <w:tcPr>
            <w:tcW w:w="128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25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commercial</w:t>
            </w:r>
          </w:p>
        </w:tc>
        <w:tc>
          <w:tcPr>
            <w:tcW w:w="120" w:type="dxa"/>
            <w:vAlign w:val="bottom"/>
            <w:tcBorders>
              <w:bottom w:val="single" w:sz="8" w:color="E0E7ED"/>
            </w:tcBorders>
            <w:shd w:val="clear" w:color="auto" w:fill="E0E7ED"/>
          </w:tcPr>
          <w:p>
            <w:pPr>
              <w:spacing w:after="0"/>
              <w:rPr>
                <w:sz w:val="22"/>
                <w:szCs w:val="22"/>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11,088,431</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152,585</w:t>
            </w:r>
          </w:p>
        </w:tc>
        <w:tc>
          <w:tcPr>
            <w:tcW w:w="100" w:type="dxa"/>
            <w:vAlign w:val="bottom"/>
            <w:tcBorders>
              <w:bottom w:val="single" w:sz="8" w:color="E0E7ED"/>
            </w:tcBorders>
            <w:shd w:val="clear" w:color="auto" w:fill="E0E7ED"/>
          </w:tcPr>
          <w:p>
            <w:pPr>
              <w:spacing w:after="0"/>
              <w:rPr>
                <w:sz w:val="22"/>
                <w:szCs w:val="22"/>
                <w:color w:val="auto"/>
              </w:rPr>
            </w:pPr>
          </w:p>
        </w:tc>
        <w:tc>
          <w:tcPr>
            <w:tcW w:w="14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1.38 %</w:t>
            </w: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E0E7ED"/>
            </w:tcBorders>
            <w:shd w:val="clear" w:color="auto" w:fill="E0E7ED"/>
          </w:tcPr>
          <w:p>
            <w:pPr>
              <w:spacing w:after="0"/>
              <w:rPr>
                <w:sz w:val="22"/>
                <w:szCs w:val="22"/>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5,552,288</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9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57,235</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Arial" w:cs="Arial" w:eastAsia="Arial" w:hAnsi="Arial"/>
                <w:sz w:val="18"/>
                <w:szCs w:val="18"/>
                <w:b w:val="1"/>
                <w:bCs w:val="1"/>
                <w:color w:val="auto"/>
              </w:rPr>
              <w:t>Retail</w:t>
            </w:r>
          </w:p>
        </w:tc>
        <w:tc>
          <w:tcPr>
            <w:tcW w:w="1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5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Retail real estate</w:t>
            </w:r>
          </w:p>
        </w:tc>
        <w:tc>
          <w:tcPr>
            <w:tcW w:w="120" w:type="dxa"/>
            <w:vAlign w:val="bottom"/>
            <w:tcBorders>
              <w:bottom w:val="single" w:sz="8" w:color="E0E7ED"/>
            </w:tcBorders>
            <w:shd w:val="clear" w:color="auto" w:fill="E0E7ED"/>
          </w:tcPr>
          <w:p>
            <w:pPr>
              <w:spacing w:after="0"/>
              <w:rPr>
                <w:sz w:val="22"/>
                <w:szCs w:val="22"/>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2,228,959</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29,042</w:t>
            </w:r>
          </w:p>
        </w:tc>
        <w:tc>
          <w:tcPr>
            <w:tcW w:w="100" w:type="dxa"/>
            <w:vAlign w:val="bottom"/>
            <w:tcBorders>
              <w:bottom w:val="single" w:sz="8" w:color="E0E7ED"/>
            </w:tcBorders>
            <w:shd w:val="clear" w:color="auto" w:fill="E0E7ED"/>
          </w:tcPr>
          <w:p>
            <w:pPr>
              <w:spacing w:after="0"/>
              <w:rPr>
                <w:sz w:val="22"/>
                <w:szCs w:val="22"/>
                <w:color w:val="auto"/>
              </w:rPr>
            </w:pPr>
          </w:p>
        </w:tc>
        <w:tc>
          <w:tcPr>
            <w:tcW w:w="14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E0E7ED"/>
            </w:tcBorders>
            <w:shd w:val="clear" w:color="auto" w:fill="E0E7ED"/>
          </w:tcPr>
          <w:p>
            <w:pPr>
              <w:spacing w:after="0"/>
              <w:rPr>
                <w:sz w:val="22"/>
                <w:szCs w:val="22"/>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1,696,457</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9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23,711</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47"/>
        </w:trPr>
        <w:tc>
          <w:tcPr>
            <w:tcW w:w="254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491,229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0.35 %</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448,342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0.55 %</w:t>
            </w:r>
          </w:p>
        </w:tc>
        <w:tc>
          <w:tcPr>
            <w:tcW w:w="0" w:type="dxa"/>
            <w:vAlign w:val="bottom"/>
          </w:tcPr>
          <w:p>
            <w:pPr>
              <w:spacing w:after="0"/>
              <w:rPr>
                <w:sz w:val="1"/>
                <w:szCs w:val="1"/>
                <w:color w:val="auto"/>
              </w:rPr>
            </w:pPr>
          </w:p>
        </w:tc>
      </w:tr>
      <w:tr>
        <w:trPr>
          <w:trHeight w:val="23"/>
        </w:trPr>
        <w:tc>
          <w:tcPr>
            <w:tcW w:w="2540" w:type="dxa"/>
            <w:vAlign w:val="bottom"/>
            <w:tcBorders>
              <w:bottom w:val="single" w:sz="8" w:color="E0E7ED"/>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80" w:type="dxa"/>
            <w:vAlign w:val="bottom"/>
            <w:tcBorders>
              <w:bottom w:val="single" w:sz="8" w:color="E0E7ED"/>
            </w:tcBorders>
          </w:tcPr>
          <w:p>
            <w:pPr>
              <w:spacing w:after="0"/>
              <w:rPr>
                <w:sz w:val="2"/>
                <w:szCs w:val="2"/>
                <w:color w:val="auto"/>
              </w:rPr>
            </w:pPr>
          </w:p>
        </w:tc>
        <w:tc>
          <w:tcPr>
            <w:tcW w:w="128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retail</w:t>
            </w:r>
          </w:p>
        </w:tc>
        <w:tc>
          <w:tcPr>
            <w:tcW w:w="120" w:type="dxa"/>
            <w:vAlign w:val="bottom"/>
            <w:tcBorders>
              <w:bottom w:val="single" w:sz="8" w:color="E0E7ED"/>
            </w:tcBorders>
            <w:shd w:val="clear" w:color="auto" w:fill="E0E7ED"/>
          </w:tcPr>
          <w:p>
            <w:pPr>
              <w:spacing w:after="0"/>
              <w:rPr>
                <w:sz w:val="22"/>
                <w:szCs w:val="22"/>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2,720,188</w:t>
            </w: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10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30,749</w:t>
            </w:r>
          </w:p>
        </w:tc>
        <w:tc>
          <w:tcPr>
            <w:tcW w:w="100" w:type="dxa"/>
            <w:vAlign w:val="bottom"/>
            <w:tcBorders>
              <w:bottom w:val="single" w:sz="8" w:color="E0E7ED"/>
            </w:tcBorders>
            <w:shd w:val="clear" w:color="auto" w:fill="E0E7ED"/>
          </w:tcPr>
          <w:p>
            <w:pPr>
              <w:spacing w:after="0"/>
              <w:rPr>
                <w:sz w:val="22"/>
                <w:szCs w:val="22"/>
                <w:color w:val="auto"/>
              </w:rPr>
            </w:pPr>
          </w:p>
        </w:tc>
        <w:tc>
          <w:tcPr>
            <w:tcW w:w="14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1.13 %</w:t>
            </w:r>
          </w:p>
        </w:tc>
        <w:tc>
          <w:tcPr>
            <w:tcW w:w="80" w:type="dxa"/>
            <w:vAlign w:val="bottom"/>
            <w:tcBorders>
              <w:bottom w:val="single" w:sz="8" w:color="E0E7ED"/>
            </w:tcBorders>
            <w:shd w:val="clear" w:color="auto" w:fill="E0E7ED"/>
          </w:tcPr>
          <w:p>
            <w:pPr>
              <w:spacing w:after="0"/>
              <w:rPr>
                <w:sz w:val="22"/>
                <w:szCs w:val="22"/>
                <w:color w:val="auto"/>
              </w:rPr>
            </w:pPr>
          </w:p>
        </w:tc>
        <w:tc>
          <w:tcPr>
            <w:tcW w:w="140" w:type="dxa"/>
            <w:vAlign w:val="bottom"/>
            <w:tcBorders>
              <w:bottom w:val="single" w:sz="8" w:color="E0E7ED"/>
            </w:tcBorders>
            <w:shd w:val="clear" w:color="auto" w:fill="E0E7ED"/>
          </w:tcPr>
          <w:p>
            <w:pPr>
              <w:spacing w:after="0"/>
              <w:rPr>
                <w:sz w:val="22"/>
                <w:szCs w:val="22"/>
                <w:color w:val="auto"/>
              </w:rPr>
            </w:pPr>
          </w:p>
        </w:tc>
        <w:tc>
          <w:tcPr>
            <w:tcW w:w="11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2,144,799</w:t>
            </w:r>
          </w:p>
        </w:tc>
        <w:tc>
          <w:tcPr>
            <w:tcW w:w="60" w:type="dxa"/>
            <w:vAlign w:val="bottom"/>
            <w:tcBorders>
              <w:bottom w:val="single" w:sz="8" w:color="E0E7ED"/>
            </w:tcBorders>
            <w:shd w:val="clear" w:color="auto" w:fill="E0E7ED"/>
          </w:tcPr>
          <w:p>
            <w:pPr>
              <w:spacing w:after="0"/>
              <w:rPr>
                <w:sz w:val="22"/>
                <w:szCs w:val="22"/>
                <w:color w:val="auto"/>
              </w:rPr>
            </w:pPr>
          </w:p>
        </w:tc>
        <w:tc>
          <w:tcPr>
            <w:tcW w:w="100" w:type="dxa"/>
            <w:vAlign w:val="bottom"/>
            <w:tcBorders>
              <w:bottom w:val="single" w:sz="8" w:color="E0E7ED"/>
            </w:tcBorders>
            <w:shd w:val="clear" w:color="auto" w:fill="E0E7ED"/>
          </w:tcPr>
          <w:p>
            <w:pPr>
              <w:spacing w:after="0"/>
              <w:rPr>
                <w:sz w:val="22"/>
                <w:szCs w:val="22"/>
                <w:color w:val="auto"/>
              </w:rPr>
            </w:pPr>
          </w:p>
        </w:tc>
        <w:tc>
          <w:tcPr>
            <w:tcW w:w="320" w:type="dxa"/>
            <w:vAlign w:val="bottom"/>
            <w:tcBorders>
              <w:bottom w:val="single" w:sz="8" w:color="E0E7ED"/>
            </w:tcBorders>
            <w:shd w:val="clear" w:color="auto" w:fill="E0E7ED"/>
          </w:tcPr>
          <w:p>
            <w:pPr>
              <w:spacing w:after="0"/>
              <w:rPr>
                <w:sz w:val="22"/>
                <w:szCs w:val="22"/>
                <w:color w:val="auto"/>
              </w:rPr>
            </w:pPr>
          </w:p>
        </w:tc>
        <w:tc>
          <w:tcPr>
            <w:tcW w:w="9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26,169</w:t>
            </w:r>
          </w:p>
        </w:tc>
        <w:tc>
          <w:tcPr>
            <w:tcW w:w="100" w:type="dxa"/>
            <w:vAlign w:val="bottom"/>
            <w:tcBorders>
              <w:bottom w:val="single" w:sz="8" w:color="E0E7ED"/>
            </w:tcBorders>
            <w:shd w:val="clear" w:color="auto" w:fill="E0E7ED"/>
          </w:tcPr>
          <w:p>
            <w:pPr>
              <w:spacing w:after="0"/>
              <w:rPr>
                <w:sz w:val="22"/>
                <w:szCs w:val="22"/>
                <w:color w:val="auto"/>
              </w:rPr>
            </w:pPr>
          </w:p>
        </w:tc>
        <w:tc>
          <w:tcPr>
            <w:tcW w:w="18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63"/>
        </w:trPr>
        <w:tc>
          <w:tcPr>
            <w:tcW w:w="254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13,808,619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183,334</w:t>
            </w:r>
          </w:p>
        </w:tc>
        <w:tc>
          <w:tcPr>
            <w:tcW w:w="10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1.33 %</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7,697,087</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83,404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June 30, 2025, management believed the level of the ACL to be appropriate based upon the information available. However, additional losses may be identified in the loan portfolio as new information is obtained. Factors that influence Busey’s calculation of its ACL include changes in economic conditions and forecasts, originated and acquired loan portfolio composition, credit performance trends, portfolio duration, and other factors.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are considered past due if the required principal or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200" w:lineRule="exact"/>
        <w:rPr>
          <w:sz w:val="20"/>
          <w:szCs w:val="20"/>
          <w:color w:val="auto"/>
        </w:rPr>
      </w:pPr>
    </w:p>
    <w:p>
      <w:pPr>
        <w:spacing w:after="0" w:line="357"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Typically, loans are secured by collateral. When a loan is classified as non-accrual and determined to be collateral dependent, it is appropriately reserved or charged down through the ACL to the fair value of Busey’s interest in the underlying collateral less estimated costs to sell. Busey’s loan portfolio is collateralized primarily by real estate.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assets and asset quality ratios: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51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2"/>
                <w:szCs w:val="12"/>
                <w:color w:val="auto"/>
              </w:rPr>
            </w:pPr>
          </w:p>
        </w:tc>
        <w:tc>
          <w:tcPr>
            <w:tcW w:w="1380" w:type="dxa"/>
            <w:vAlign w:val="bottom"/>
            <w:gridSpan w:val="2"/>
          </w:tcPr>
          <w:p>
            <w:pPr>
              <w:ind w:left="240"/>
              <w:spacing w:after="0" w:line="142" w:lineRule="exact"/>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2"/>
                <w:szCs w:val="12"/>
                <w:color w:val="auto"/>
              </w:rPr>
            </w:pPr>
          </w:p>
        </w:tc>
        <w:tc>
          <w:tcPr>
            <w:tcW w:w="13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2"/>
                <w:szCs w:val="12"/>
                <w:color w:val="auto"/>
              </w:rPr>
            </w:pPr>
          </w:p>
        </w:tc>
        <w:tc>
          <w:tcPr>
            <w:tcW w:w="10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1460" w:type="dxa"/>
            <w:vAlign w:val="bottom"/>
            <w:vMerge w:val="restart"/>
          </w:tcPr>
          <w:p>
            <w:pPr>
              <w:jc w:val="right"/>
              <w:ind w:right="2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6"/>
        </w:trPr>
        <w:tc>
          <w:tcPr>
            <w:tcW w:w="5120" w:type="dxa"/>
            <w:vAlign w:val="bottom"/>
            <w:tcBorders>
              <w:bottom w:val="single" w:sz="8" w:color="E0E7ED"/>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Portfolio loans</w:t>
            </w: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13,808,619</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7,697,087</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6,111,532</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79.4 %</w:t>
            </w: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Loans 30 – 89 days past due</w:t>
            </w: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42,188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8,124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34,064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419.3 %</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18,918,740</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12,046,722</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6,872,018</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57.0 %</w:t>
            </w:r>
          </w:p>
        </w:tc>
        <w:tc>
          <w:tcPr>
            <w:tcW w:w="0" w:type="dxa"/>
            <w:vAlign w:val="bottom"/>
          </w:tcPr>
          <w:p>
            <w:pPr>
              <w:spacing w:after="0"/>
              <w:rPr>
                <w:sz w:val="1"/>
                <w:szCs w:val="1"/>
                <w:color w:val="auto"/>
              </w:rPr>
            </w:pPr>
          </w:p>
        </w:tc>
      </w:tr>
      <w:tr>
        <w:trPr>
          <w:trHeight w:val="270"/>
        </w:trPr>
        <w:tc>
          <w:tcPr>
            <w:tcW w:w="5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1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Non-performing assets</w:t>
            </w: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5120" w:type="dxa"/>
            <w:vAlign w:val="bottom"/>
          </w:tcPr>
          <w:p>
            <w:pPr>
              <w:ind w:left="180"/>
              <w:spacing w:after="0"/>
              <w:rPr>
                <w:sz w:val="20"/>
                <w:szCs w:val="20"/>
                <w:color w:val="auto"/>
              </w:rPr>
            </w:pPr>
            <w:r>
              <w:rPr>
                <w:rFonts w:ascii="Arial" w:cs="Arial" w:eastAsia="Arial" w:hAnsi="Arial"/>
                <w:sz w:val="18"/>
                <w:szCs w:val="18"/>
                <w:color w:val="auto"/>
              </w:rPr>
              <w:t>Non-performing loans:</w:t>
            </w: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E0E7ED"/>
            </w:tcBorders>
            <w:shd w:val="clear" w:color="auto" w:fill="E0E7ED"/>
          </w:tcPr>
          <w:p>
            <w:pPr>
              <w:ind w:left="360"/>
              <w:spacing w:after="0"/>
              <w:rPr>
                <w:sz w:val="20"/>
                <w:szCs w:val="20"/>
                <w:color w:val="auto"/>
              </w:rPr>
            </w:pPr>
            <w:r>
              <w:rPr>
                <w:rFonts w:ascii="Arial" w:cs="Arial" w:eastAsia="Arial" w:hAnsi="Arial"/>
                <w:sz w:val="18"/>
                <w:szCs w:val="18"/>
                <w:color w:val="auto"/>
              </w:rPr>
              <w:t>Non-accrual loans</w:t>
            </w: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53,614</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22,088</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31,526</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142.7 %</w:t>
            </w:r>
          </w:p>
        </w:tc>
        <w:tc>
          <w:tcPr>
            <w:tcW w:w="0" w:type="dxa"/>
            <w:vAlign w:val="bottom"/>
          </w:tcPr>
          <w:p>
            <w:pPr>
              <w:spacing w:after="0"/>
              <w:rPr>
                <w:sz w:val="1"/>
                <w:szCs w:val="1"/>
                <w:color w:val="auto"/>
              </w:rPr>
            </w:pPr>
          </w:p>
        </w:tc>
      </w:tr>
      <w:tr>
        <w:trPr>
          <w:trHeight w:val="247"/>
        </w:trPr>
        <w:tc>
          <w:tcPr>
            <w:tcW w:w="5120" w:type="dxa"/>
            <w:vAlign w:val="bottom"/>
          </w:tcPr>
          <w:p>
            <w:pPr>
              <w:ind w:left="360"/>
              <w:spacing w:after="0"/>
              <w:rPr>
                <w:sz w:val="20"/>
                <w:szCs w:val="20"/>
                <w:color w:val="auto"/>
              </w:rPr>
            </w:pPr>
            <w:r>
              <w:rPr>
                <w:rFonts w:ascii="Arial" w:cs="Arial" w:eastAsia="Arial" w:hAnsi="Arial"/>
                <w:sz w:val="18"/>
                <w:szCs w:val="18"/>
                <w:color w:val="auto"/>
              </w:rPr>
              <w:t>Loans 90+ days past due and still accruing</w:t>
            </w: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3"/>
        </w:trPr>
        <w:tc>
          <w:tcPr>
            <w:tcW w:w="512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Total non-performing loans</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54,555</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23,237</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31,318</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134.8 %</w:t>
            </w:r>
          </w:p>
        </w:tc>
        <w:tc>
          <w:tcPr>
            <w:tcW w:w="0" w:type="dxa"/>
            <w:vAlign w:val="bottom"/>
          </w:tcPr>
          <w:p>
            <w:pPr>
              <w:spacing w:after="0"/>
              <w:rPr>
                <w:sz w:val="1"/>
                <w:szCs w:val="1"/>
                <w:color w:val="auto"/>
              </w:rPr>
            </w:pPr>
          </w:p>
        </w:tc>
      </w:tr>
      <w:tr>
        <w:trPr>
          <w:trHeight w:val="247"/>
        </w:trPr>
        <w:tc>
          <w:tcPr>
            <w:tcW w:w="5120" w:type="dxa"/>
            <w:vAlign w:val="bottom"/>
          </w:tcPr>
          <w:p>
            <w:pPr>
              <w:ind w:left="180"/>
              <w:spacing w:after="0"/>
              <w:rPr>
                <w:sz w:val="20"/>
                <w:szCs w:val="20"/>
                <w:color w:val="auto"/>
              </w:rPr>
            </w:pPr>
            <w:r>
              <w:rPr>
                <w:rFonts w:ascii="Arial" w:cs="Arial" w:eastAsia="Arial" w:hAnsi="Arial"/>
                <w:sz w:val="18"/>
                <w:szCs w:val="18"/>
                <w:color w:val="auto"/>
              </w:rPr>
              <w:t>OREO and other repossessed assets</w:t>
            </w: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3,596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
        </w:trPr>
        <w:tc>
          <w:tcPr>
            <w:tcW w:w="512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non-performing assets</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58,151</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23,300</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34,851</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149.6 %</w:t>
            </w: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Substandard (excludes 90+ days past due)</w:t>
            </w: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117,580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62,023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55,557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89.6 %</w:t>
            </w:r>
          </w:p>
        </w:tc>
        <w:tc>
          <w:tcPr>
            <w:tcW w:w="0" w:type="dxa"/>
            <w:vAlign w:val="bottom"/>
          </w:tcPr>
          <w:p>
            <w:pPr>
              <w:spacing w:after="0"/>
              <w:rPr>
                <w:sz w:val="1"/>
                <w:szCs w:val="1"/>
                <w:color w:val="auto"/>
              </w:rPr>
            </w:pPr>
          </w:p>
        </w:tc>
      </w:tr>
      <w:tr>
        <w:trPr>
          <w:trHeight w:val="23"/>
        </w:trPr>
        <w:tc>
          <w:tcPr>
            <w:tcW w:w="512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1460" w:type="dxa"/>
            <w:vAlign w:val="bottom"/>
            <w:tcBorders>
              <w:bottom w:val="single" w:sz="8" w:color="E0E7ED"/>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Classified assets</w:t>
            </w:r>
          </w:p>
        </w:tc>
        <w:tc>
          <w:tcPr>
            <w:tcW w:w="240" w:type="dxa"/>
            <w:vAlign w:val="bottom"/>
            <w:tcBorders>
              <w:bottom w:val="single" w:sz="8" w:color="auto"/>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Arial" w:cs="Arial" w:eastAsia="Arial" w:hAnsi="Arial"/>
                <w:sz w:val="18"/>
                <w:szCs w:val="18"/>
                <w:color w:val="auto"/>
              </w:rPr>
              <w:t>175,731</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auto"/>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E0E7ED"/>
          </w:tcPr>
          <w:p>
            <w:pPr>
              <w:jc w:val="right"/>
              <w:ind w:right="152"/>
              <w:spacing w:after="0"/>
              <w:rPr>
                <w:sz w:val="20"/>
                <w:szCs w:val="20"/>
                <w:color w:val="auto"/>
              </w:rPr>
            </w:pPr>
            <w:r>
              <w:rPr>
                <w:rFonts w:ascii="Arial" w:cs="Arial" w:eastAsia="Arial" w:hAnsi="Arial"/>
                <w:sz w:val="18"/>
                <w:szCs w:val="18"/>
                <w:color w:val="auto"/>
              </w:rPr>
              <w:t>85,323</w:t>
            </w:r>
          </w:p>
        </w:tc>
        <w:tc>
          <w:tcPr>
            <w:tcW w:w="100" w:type="dxa"/>
            <w:vAlign w:val="bottom"/>
            <w:tcBorders>
              <w:bottom w:val="single" w:sz="8" w:color="E0E7ED"/>
            </w:tcBorders>
            <w:shd w:val="clear" w:color="auto" w:fill="E0E7ED"/>
          </w:tcPr>
          <w:p>
            <w:pPr>
              <w:spacing w:after="0"/>
              <w:rPr>
                <w:sz w:val="24"/>
                <w:szCs w:val="24"/>
                <w:color w:val="auto"/>
              </w:rPr>
            </w:pPr>
          </w:p>
        </w:tc>
        <w:tc>
          <w:tcPr>
            <w:tcW w:w="260" w:type="dxa"/>
            <w:vAlign w:val="bottom"/>
            <w:tcBorders>
              <w:bottom w:val="single" w:sz="8" w:color="auto"/>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E0E7ED"/>
          </w:tcPr>
          <w:p>
            <w:pPr>
              <w:jc w:val="right"/>
              <w:spacing w:after="0"/>
              <w:rPr>
                <w:sz w:val="20"/>
                <w:szCs w:val="20"/>
                <w:color w:val="auto"/>
              </w:rPr>
            </w:pPr>
            <w:r>
              <w:rPr>
                <w:rFonts w:ascii="Arial" w:cs="Arial" w:eastAsia="Arial" w:hAnsi="Arial"/>
                <w:sz w:val="18"/>
                <w:szCs w:val="18"/>
                <w:color w:val="auto"/>
              </w:rPr>
              <w:t>90,408</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106.0 %</w:t>
            </w:r>
          </w:p>
        </w:tc>
        <w:tc>
          <w:tcPr>
            <w:tcW w:w="0" w:type="dxa"/>
            <w:vAlign w:val="bottom"/>
          </w:tcPr>
          <w:p>
            <w:pPr>
              <w:spacing w:after="0"/>
              <w:rPr>
                <w:sz w:val="1"/>
                <w:szCs w:val="1"/>
                <w:color w:val="auto"/>
              </w:rPr>
            </w:pPr>
          </w:p>
        </w:tc>
      </w:tr>
      <w:tr>
        <w:trPr>
          <w:trHeight w:val="20"/>
        </w:trPr>
        <w:tc>
          <w:tcPr>
            <w:tcW w:w="512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60" w:type="dxa"/>
            <w:vAlign w:val="bottom"/>
            <w:tcBorders>
              <w:top w:val="single" w:sz="8" w:color="E0E7ED"/>
              <w:bottom w:val="single" w:sz="8" w:color="auto"/>
            </w:tcBorders>
          </w:tcPr>
          <w:p>
            <w:pPr>
              <w:spacing w:after="0" w:line="20" w:lineRule="exact"/>
              <w:rPr>
                <w:sz w:val="1"/>
                <w:szCs w:val="1"/>
                <w:color w:val="auto"/>
              </w:rPr>
            </w:pPr>
          </w:p>
        </w:tc>
        <w:tc>
          <w:tcPr>
            <w:tcW w:w="10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1460" w:type="dxa"/>
            <w:vAlign w:val="bottom"/>
            <w:tcBorders>
              <w:top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w:t>
            </w: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183,334</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83,404</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99,930</w:t>
            </w:r>
          </w:p>
        </w:tc>
        <w:tc>
          <w:tcPr>
            <w:tcW w:w="15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119.8 %</w:t>
            </w: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Bank Tier 1 Capital</w:t>
            </w:r>
          </w:p>
        </w:tc>
        <w:tc>
          <w:tcPr>
            <w:tcW w:w="24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2,098,016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1,438,296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659,720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45.9 %</w:t>
            </w: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60" w:type="dxa"/>
            <w:vAlign w:val="bottom"/>
            <w:shd w:val="clear" w:color="auto" w:fill="E0E7ED"/>
          </w:tcPr>
          <w:p>
            <w:pPr>
              <w:spacing w:after="0"/>
              <w:rPr>
                <w:sz w:val="23"/>
                <w:szCs w:val="23"/>
                <w:color w:val="auto"/>
              </w:rPr>
            </w:pPr>
          </w:p>
        </w:tc>
        <w:tc>
          <w:tcPr>
            <w:tcW w:w="108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146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to portfolio loans</w:t>
            </w:r>
          </w:p>
        </w:tc>
        <w:tc>
          <w:tcPr>
            <w:tcW w:w="24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E0E7ED"/>
            </w:tcBorders>
            <w:shd w:val="clear" w:color="auto" w:fill="E0E7ED"/>
          </w:tcPr>
          <w:p>
            <w:pPr>
              <w:spacing w:after="0"/>
              <w:rPr>
                <w:sz w:val="22"/>
                <w:szCs w:val="22"/>
                <w:color w:val="auto"/>
              </w:rPr>
            </w:pPr>
          </w:p>
        </w:tc>
        <w:tc>
          <w:tcPr>
            <w:tcW w:w="220" w:type="dxa"/>
            <w:vAlign w:val="bottom"/>
            <w:tcBorders>
              <w:bottom w:val="single" w:sz="8" w:color="E0E7ED"/>
            </w:tcBorders>
            <w:shd w:val="clear" w:color="auto" w:fill="E0E7ED"/>
          </w:tcPr>
          <w:p>
            <w:pPr>
              <w:spacing w:after="0"/>
              <w:rPr>
                <w:sz w:val="22"/>
                <w:szCs w:val="22"/>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1.08 %</w:t>
            </w:r>
          </w:p>
        </w:tc>
        <w:tc>
          <w:tcPr>
            <w:tcW w:w="100" w:type="dxa"/>
            <w:vAlign w:val="bottom"/>
            <w:tcBorders>
              <w:bottom w:val="single" w:sz="8" w:color="E0E7ED"/>
            </w:tcBorders>
            <w:shd w:val="clear" w:color="auto" w:fill="E0E7ED"/>
          </w:tcPr>
          <w:p>
            <w:pPr>
              <w:spacing w:after="0"/>
              <w:rPr>
                <w:sz w:val="22"/>
                <w:szCs w:val="22"/>
                <w:color w:val="auto"/>
              </w:rPr>
            </w:pPr>
          </w:p>
        </w:tc>
        <w:tc>
          <w:tcPr>
            <w:tcW w:w="260" w:type="dxa"/>
            <w:vAlign w:val="bottom"/>
            <w:tcBorders>
              <w:bottom w:val="single" w:sz="8" w:color="E0E7ED"/>
            </w:tcBorders>
            <w:shd w:val="clear" w:color="auto" w:fill="E0E7ED"/>
          </w:tcPr>
          <w:p>
            <w:pPr>
              <w:spacing w:after="0"/>
              <w:rPr>
                <w:sz w:val="22"/>
                <w:szCs w:val="22"/>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 bps</w:t>
            </w:r>
          </w:p>
        </w:tc>
        <w:tc>
          <w:tcPr>
            <w:tcW w:w="100" w:type="dxa"/>
            <w:vAlign w:val="bottom"/>
            <w:tcBorders>
              <w:bottom w:val="single" w:sz="8" w:color="E0E7ED"/>
            </w:tcBorders>
            <w:shd w:val="clear" w:color="auto" w:fill="E0E7ED"/>
          </w:tcPr>
          <w:p>
            <w:pPr>
              <w:spacing w:after="0"/>
              <w:rPr>
                <w:sz w:val="22"/>
                <w:szCs w:val="22"/>
                <w:color w:val="auto"/>
              </w:rPr>
            </w:pPr>
          </w:p>
        </w:tc>
        <w:tc>
          <w:tcPr>
            <w:tcW w:w="1460" w:type="dxa"/>
            <w:vAlign w:val="bottom"/>
            <w:tcBorders>
              <w:bottom w:val="single" w:sz="8" w:color="E0E7ED"/>
            </w:tcBorders>
            <w:shd w:val="clear" w:color="auto" w:fill="E0E7ED"/>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ACL to non-accrual loans</w:t>
            </w:r>
          </w:p>
        </w:tc>
        <w:tc>
          <w:tcPr>
            <w:tcW w:w="240" w:type="dxa"/>
            <w:vAlign w:val="bottom"/>
          </w:tcPr>
          <w:p>
            <w:pPr>
              <w:spacing w:after="0"/>
              <w:rPr>
                <w:sz w:val="21"/>
                <w:szCs w:val="21"/>
                <w:color w:val="auto"/>
              </w:rPr>
            </w:pPr>
          </w:p>
        </w:tc>
        <w:tc>
          <w:tcPr>
            <w:tcW w:w="1380" w:type="dxa"/>
            <w:vAlign w:val="bottom"/>
            <w:gridSpan w:val="2"/>
          </w:tcPr>
          <w:p>
            <w:pPr>
              <w:ind w:left="760"/>
              <w:spacing w:after="0"/>
              <w:rPr>
                <w:sz w:val="20"/>
                <w:szCs w:val="20"/>
                <w:color w:val="auto"/>
              </w:rPr>
            </w:pPr>
            <w:r>
              <w:rPr>
                <w:rFonts w:ascii="Arial" w:cs="Arial" w:eastAsia="Arial" w:hAnsi="Arial"/>
                <w:sz w:val="18"/>
                <w:szCs w:val="18"/>
                <w:color w:val="auto"/>
              </w:rPr>
              <w:t>3.42 x</w:t>
            </w:r>
          </w:p>
        </w:tc>
        <w:tc>
          <w:tcPr>
            <w:tcW w:w="220" w:type="dxa"/>
            <w:vAlign w:val="bottom"/>
          </w:tcPr>
          <w:p>
            <w:pPr>
              <w:spacing w:after="0"/>
              <w:rPr>
                <w:sz w:val="21"/>
                <w:szCs w:val="21"/>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3.78 x</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(3,565) bps</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ACL to non-performing loans</w:t>
            </w:r>
          </w:p>
        </w:tc>
        <w:tc>
          <w:tcPr>
            <w:tcW w:w="240" w:type="dxa"/>
            <w:vAlign w:val="bottom"/>
            <w:tcBorders>
              <w:bottom w:val="single" w:sz="8" w:color="E0E7ED"/>
            </w:tcBorders>
            <w:shd w:val="clear" w:color="auto" w:fill="E0E7ED"/>
          </w:tcPr>
          <w:p>
            <w:pPr>
              <w:spacing w:after="0"/>
              <w:rPr>
                <w:sz w:val="21"/>
                <w:szCs w:val="21"/>
                <w:color w:val="auto"/>
              </w:rPr>
            </w:pPr>
          </w:p>
        </w:tc>
        <w:tc>
          <w:tcPr>
            <w:tcW w:w="1380" w:type="dxa"/>
            <w:vAlign w:val="bottom"/>
            <w:tcBorders>
              <w:bottom w:val="single" w:sz="8" w:color="E0E7ED"/>
            </w:tcBorders>
            <w:gridSpan w:val="2"/>
            <w:shd w:val="clear" w:color="auto" w:fill="E0E7ED"/>
          </w:tcPr>
          <w:p>
            <w:pPr>
              <w:ind w:left="760"/>
              <w:spacing w:after="0"/>
              <w:rPr>
                <w:sz w:val="20"/>
                <w:szCs w:val="20"/>
                <w:color w:val="auto"/>
              </w:rPr>
            </w:pPr>
            <w:r>
              <w:rPr>
                <w:rFonts w:ascii="Arial" w:cs="Arial" w:eastAsia="Arial" w:hAnsi="Arial"/>
                <w:sz w:val="18"/>
                <w:szCs w:val="18"/>
                <w:color w:val="auto"/>
              </w:rPr>
              <w:t>3.36 x</w:t>
            </w:r>
          </w:p>
        </w:tc>
        <w:tc>
          <w:tcPr>
            <w:tcW w:w="220" w:type="dxa"/>
            <w:vAlign w:val="bottom"/>
            <w:tcBorders>
              <w:bottom w:val="single" w:sz="8" w:color="E0E7ED"/>
            </w:tcBorders>
            <w:shd w:val="clear" w:color="auto" w:fill="E0E7ED"/>
          </w:tcPr>
          <w:p>
            <w:pPr>
              <w:spacing w:after="0"/>
              <w:rPr>
                <w:sz w:val="21"/>
                <w:szCs w:val="21"/>
                <w:color w:val="auto"/>
              </w:rPr>
            </w:pPr>
          </w:p>
        </w:tc>
        <w:tc>
          <w:tcPr>
            <w:tcW w:w="1380" w:type="dxa"/>
            <w:vAlign w:val="bottom"/>
            <w:tcBorders>
              <w:bottom w:val="single" w:sz="8" w:color="E0E7ED"/>
            </w:tcBorders>
            <w:gridSpan w:val="2"/>
            <w:shd w:val="clear" w:color="auto" w:fill="E0E7ED"/>
          </w:tcPr>
          <w:p>
            <w:pPr>
              <w:ind w:left="780"/>
              <w:spacing w:after="0"/>
              <w:rPr>
                <w:sz w:val="20"/>
                <w:szCs w:val="20"/>
                <w:color w:val="auto"/>
              </w:rPr>
            </w:pPr>
            <w:r>
              <w:rPr>
                <w:rFonts w:ascii="Arial" w:cs="Arial" w:eastAsia="Arial" w:hAnsi="Arial"/>
                <w:sz w:val="18"/>
                <w:szCs w:val="18"/>
                <w:color w:val="auto"/>
              </w:rPr>
              <w:t>3.59 x</w:t>
            </w: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(2,287) bps</w:t>
            </w: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ACL to non-performing assets</w:t>
            </w:r>
          </w:p>
        </w:tc>
        <w:tc>
          <w:tcPr>
            <w:tcW w:w="240" w:type="dxa"/>
            <w:vAlign w:val="bottom"/>
          </w:tcPr>
          <w:p>
            <w:pPr>
              <w:spacing w:after="0"/>
              <w:rPr>
                <w:sz w:val="21"/>
                <w:szCs w:val="21"/>
                <w:color w:val="auto"/>
              </w:rPr>
            </w:pPr>
          </w:p>
        </w:tc>
        <w:tc>
          <w:tcPr>
            <w:tcW w:w="1380" w:type="dxa"/>
            <w:vAlign w:val="bottom"/>
            <w:gridSpan w:val="2"/>
          </w:tcPr>
          <w:p>
            <w:pPr>
              <w:ind w:left="760"/>
              <w:spacing w:after="0"/>
              <w:rPr>
                <w:sz w:val="20"/>
                <w:szCs w:val="20"/>
                <w:color w:val="auto"/>
              </w:rPr>
            </w:pPr>
            <w:r>
              <w:rPr>
                <w:rFonts w:ascii="Arial" w:cs="Arial" w:eastAsia="Arial" w:hAnsi="Arial"/>
                <w:sz w:val="18"/>
                <w:szCs w:val="18"/>
                <w:color w:val="auto"/>
              </w:rPr>
              <w:t>3.15 x</w:t>
            </w:r>
          </w:p>
        </w:tc>
        <w:tc>
          <w:tcPr>
            <w:tcW w:w="220" w:type="dxa"/>
            <w:vAlign w:val="bottom"/>
          </w:tcPr>
          <w:p>
            <w:pPr>
              <w:spacing w:after="0"/>
              <w:rPr>
                <w:sz w:val="21"/>
                <w:szCs w:val="21"/>
                <w:color w:val="auto"/>
              </w:rPr>
            </w:pPr>
          </w:p>
        </w:tc>
        <w:tc>
          <w:tcPr>
            <w:tcW w:w="1380" w:type="dxa"/>
            <w:vAlign w:val="bottom"/>
            <w:gridSpan w:val="2"/>
          </w:tcPr>
          <w:p>
            <w:pPr>
              <w:ind w:left="780"/>
              <w:spacing w:after="0"/>
              <w:rPr>
                <w:sz w:val="20"/>
                <w:szCs w:val="20"/>
                <w:color w:val="auto"/>
              </w:rPr>
            </w:pPr>
            <w:r>
              <w:rPr>
                <w:rFonts w:ascii="Arial" w:cs="Arial" w:eastAsia="Arial" w:hAnsi="Arial"/>
                <w:sz w:val="18"/>
                <w:szCs w:val="18"/>
                <w:color w:val="auto"/>
              </w:rPr>
              <w:t>3.58 x</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(4,268) bps</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Non-accrual loans to portfolio loans</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0.39 %</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0.29 %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 bps</w:t>
            </w: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5120" w:type="dxa"/>
            <w:vAlign w:val="bottom"/>
          </w:tcPr>
          <w:p>
            <w:pPr>
              <w:ind w:left="20"/>
              <w:spacing w:after="0"/>
              <w:rPr>
                <w:sz w:val="20"/>
                <w:szCs w:val="20"/>
                <w:color w:val="auto"/>
              </w:rPr>
            </w:pPr>
            <w:r>
              <w:rPr>
                <w:rFonts w:ascii="Arial" w:cs="Arial" w:eastAsia="Arial" w:hAnsi="Arial"/>
                <w:sz w:val="18"/>
                <w:szCs w:val="18"/>
                <w:color w:val="auto"/>
              </w:rPr>
              <w:t>Non-performing loans to portfolio loans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 bps</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Non-performing assets to total assets</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0.31 %</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0.19 %</w:t>
            </w:r>
          </w:p>
        </w:tc>
        <w:tc>
          <w:tcPr>
            <w:tcW w:w="10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shd w:val="clear" w:color="auto" w:fill="E0E7ED"/>
          </w:tcPr>
          <w:p>
            <w:pPr>
              <w:spacing w:after="0"/>
              <w:rPr>
                <w:sz w:val="21"/>
                <w:szCs w:val="21"/>
                <w:color w:val="auto"/>
              </w:rPr>
            </w:pPr>
          </w:p>
        </w:tc>
        <w:tc>
          <w:tcPr>
            <w:tcW w:w="10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 bps</w:t>
            </w:r>
          </w:p>
        </w:tc>
        <w:tc>
          <w:tcPr>
            <w:tcW w:w="100" w:type="dxa"/>
            <w:vAlign w:val="bottom"/>
            <w:tcBorders>
              <w:bottom w:val="single" w:sz="8" w:color="E0E7ED"/>
            </w:tcBorders>
            <w:shd w:val="clear" w:color="auto" w:fill="E0E7ED"/>
          </w:tcPr>
          <w:p>
            <w:pPr>
              <w:spacing w:after="0"/>
              <w:rPr>
                <w:sz w:val="21"/>
                <w:szCs w:val="21"/>
                <w:color w:val="auto"/>
              </w:rPr>
            </w:pPr>
          </w:p>
        </w:tc>
        <w:tc>
          <w:tcPr>
            <w:tcW w:w="1460" w:type="dxa"/>
            <w:vAlign w:val="bottom"/>
            <w:tcBorders>
              <w:bottom w:val="single" w:sz="8" w:color="E0E7ED"/>
            </w:tcBorders>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Non-performing assets to portfolio loans and OREO and other</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120" w:type="dxa"/>
            <w:vAlign w:val="bottom"/>
          </w:tcPr>
          <w:p>
            <w:pPr>
              <w:ind w:left="20"/>
              <w:spacing w:after="0"/>
              <w:rPr>
                <w:sz w:val="20"/>
                <w:szCs w:val="20"/>
                <w:color w:val="auto"/>
              </w:rPr>
            </w:pPr>
            <w:r>
              <w:rPr>
                <w:rFonts w:ascii="Arial" w:cs="Arial" w:eastAsia="Arial" w:hAnsi="Arial"/>
                <w:sz w:val="18"/>
                <w:szCs w:val="18"/>
                <w:color w:val="auto"/>
              </w:rPr>
              <w:t>repossessed assets</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0.42 %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 bps</w:t>
            </w: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120" w:type="dxa"/>
            <w:vAlign w:val="bottom"/>
            <w:shd w:val="clear" w:color="auto" w:fill="E0E7ED"/>
          </w:tcPr>
          <w:p>
            <w:pPr>
              <w:ind w:left="20"/>
              <w:spacing w:after="0"/>
              <w:rPr>
                <w:sz w:val="20"/>
                <w:szCs w:val="20"/>
                <w:color w:val="auto"/>
              </w:rPr>
            </w:pPr>
            <w:r>
              <w:rPr>
                <w:rFonts w:ascii="Arial" w:cs="Arial" w:eastAsia="Arial" w:hAnsi="Arial"/>
                <w:sz w:val="18"/>
                <w:szCs w:val="18"/>
                <w:color w:val="auto"/>
              </w:rPr>
              <w:t>Classified assets to Bank Tier 1 Capital and ACL</w:t>
            </w:r>
          </w:p>
        </w:tc>
        <w:tc>
          <w:tcPr>
            <w:tcW w:w="24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7.70 %</w:t>
            </w:r>
          </w:p>
        </w:tc>
        <w:tc>
          <w:tcPr>
            <w:tcW w:w="100" w:type="dxa"/>
            <w:vAlign w:val="bottom"/>
            <w:shd w:val="clear" w:color="auto" w:fill="E0E7ED"/>
          </w:tcPr>
          <w:p>
            <w:pPr>
              <w:spacing w:after="0"/>
              <w:rPr>
                <w:sz w:val="21"/>
                <w:szCs w:val="21"/>
                <w:color w:val="auto"/>
              </w:rPr>
            </w:pPr>
          </w:p>
        </w:tc>
        <w:tc>
          <w:tcPr>
            <w:tcW w:w="220" w:type="dxa"/>
            <w:vAlign w:val="bottom"/>
            <w:shd w:val="clear" w:color="auto" w:fill="E0E7ED"/>
          </w:tcPr>
          <w:p>
            <w:pPr>
              <w:spacing w:after="0"/>
              <w:rPr>
                <w:sz w:val="21"/>
                <w:szCs w:val="21"/>
                <w:color w:val="auto"/>
              </w:rPr>
            </w:pPr>
          </w:p>
        </w:tc>
        <w:tc>
          <w:tcPr>
            <w:tcW w:w="12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5.61 %</w:t>
            </w:r>
          </w:p>
        </w:tc>
        <w:tc>
          <w:tcPr>
            <w:tcW w:w="100" w:type="dxa"/>
            <w:vAlign w:val="bottom"/>
            <w:shd w:val="clear" w:color="auto" w:fill="E0E7ED"/>
          </w:tcPr>
          <w:p>
            <w:pPr>
              <w:spacing w:after="0"/>
              <w:rPr>
                <w:sz w:val="21"/>
                <w:szCs w:val="21"/>
                <w:color w:val="auto"/>
              </w:rPr>
            </w:pPr>
          </w:p>
        </w:tc>
        <w:tc>
          <w:tcPr>
            <w:tcW w:w="260" w:type="dxa"/>
            <w:vAlign w:val="bottom"/>
            <w:shd w:val="clear" w:color="auto" w:fill="E0E7ED"/>
          </w:tcPr>
          <w:p>
            <w:pPr>
              <w:spacing w:after="0"/>
              <w:rPr>
                <w:sz w:val="21"/>
                <w:szCs w:val="21"/>
                <w:color w:val="auto"/>
              </w:rPr>
            </w:pPr>
          </w:p>
        </w:tc>
        <w:tc>
          <w:tcPr>
            <w:tcW w:w="10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209 bps</w:t>
            </w:r>
          </w:p>
        </w:tc>
        <w:tc>
          <w:tcPr>
            <w:tcW w:w="100" w:type="dxa"/>
            <w:vAlign w:val="bottom"/>
            <w:shd w:val="clear" w:color="auto" w:fill="E0E7ED"/>
          </w:tcPr>
          <w:p>
            <w:pPr>
              <w:spacing w:after="0"/>
              <w:rPr>
                <w:sz w:val="21"/>
                <w:szCs w:val="21"/>
                <w:color w:val="auto"/>
              </w:rPr>
            </w:pPr>
          </w:p>
        </w:tc>
        <w:tc>
          <w:tcPr>
            <w:tcW w:w="146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512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12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20" w:type="dxa"/>
            <w:vAlign w:val="bottom"/>
            <w:shd w:val="clear" w:color="auto" w:fill="E0E7ED"/>
          </w:tcPr>
          <w:p>
            <w:pPr>
              <w:spacing w:after="0"/>
              <w:rPr>
                <w:sz w:val="2"/>
                <w:szCs w:val="2"/>
                <w:color w:val="auto"/>
              </w:rPr>
            </w:pPr>
          </w:p>
        </w:tc>
        <w:tc>
          <w:tcPr>
            <w:tcW w:w="12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60" w:type="dxa"/>
            <w:vAlign w:val="bottom"/>
            <w:shd w:val="clear" w:color="auto" w:fill="E0E7ED"/>
          </w:tcPr>
          <w:p>
            <w:pPr>
              <w:spacing w:after="0"/>
              <w:rPr>
                <w:sz w:val="2"/>
                <w:szCs w:val="2"/>
                <w:color w:val="auto"/>
              </w:rPr>
            </w:pPr>
          </w:p>
        </w:tc>
        <w:tc>
          <w:tcPr>
            <w:tcW w:w="10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146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Busey’s total assets grew by 57.0% to $18.92 billion as of June 30, 2025, compared to $12.05 billion as of December 31, 2024, largely in connection with the CrossFirst acquisition. Further, Busey’s loan portfolio grew by 79.4% to $13.81 billion as of June 30, 2025, compared to $7.70 billion as of December 31, 2024.</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 quality continues to be strong. Following the CrossFirst Bank Merger in June, Busey is operating as one bank, with a singular credit policy, concentration limits, and monitoring that will continue to align with Busey’s pillars of credit quality. Busey’s operating mandate and focus remain on emphasizing credit quality over asset growth.</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Non-performing loan balances increased to $54.6 million as of June 30, 2025, compared to $ 23.2 million as of December 31, 2024, due to PCD loans assumed in the CrossFirst acquisition. Non-performing loans represented 0.40% of portfolio loans as of June 30, 2025, compared to 0.30% as of December 31, 2024. Busey’s allowance for credit losses provided coverage of 3.36 times non-performing loans at June 30, 2025, compared to 3.59 times at December 31, 2024.</w:t>
      </w:r>
    </w:p>
    <w:p>
      <w:pPr>
        <w:spacing w:after="0" w:line="13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Non-performing assets, which includes non-performing loans, OREO, and other repossessed assets, increased to $58.2 million as of June 30, 2025, compared to $23.3 million as of December 31, 2024, due to PCD loans assumed in the CrossFirst acquisition. Non-performing assets represented 0.31% of total assets as of June 30, 2025, compared to 0.19% as of December 31, 2024. Busey’s allowance for credit losses provided coverage of 3.15 times non-performing assets at June 30, 2025, compared to 3.58 times at December 31, 2024.</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Classified assets, which includes non-performing assets and substandard loans, increased to $175.7 million as of June 30, 2025, compared to $85.3 million as of December 31, 2024, due to PCD loans assumed in the CrossFirst acquisition. Classified assets represented 7.70% of the Bank’s Tier 1 capital and ACL at June 30, 2025, compared to 5.61% at December 31, 2024.</w:t>
      </w:r>
    </w:p>
    <w:p>
      <w:pPr>
        <w:spacing w:after="0" w:line="1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charge-offs totaled $12.9 million and $44.3 million for the three and six months ended June 30, 2025, respectively, compared to $9.9 million and $15.1 million for the comparable periods in 2024. Net charge-offs for the six months ended June 30, 2025, include $31.1 million related to PCD loans acquired from CrossFirst Bank, which were fully reserved at acquisition and did not require recording additional provision expense.</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Asset quality metrics remain dependent upon market-specific economic conditions, and specific measures may fluctuate from period to period. If economic conditions were to deteriorate, Busey would expect the credit quality of its loan portfolio to decline and loan defaults to increase.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Potential Problem Loans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Potential problem loans are loans classified as substandard which are not individually evaluated,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$105.3 million as of June 30, 2025, compared to $62.0 million as of December 31, 2024. Management continues to monitor these loans and work with the borrowers on restructurings, guarantees, additional collateral, or other planned actions. As of June 30, 2025, management identified no other loans that represent or result from trends or uncertainties that would be expected to materially impact future operating results, liquidity, or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Total deposits increased by 58.3% to $ 15.80 billion as of June 30, 2025, compared to $9.98 billion as of December 31, 2024, in connection with the CrossFirst acquisition. Busey focuses on deepening its customer relationships to maintain and protect its strong core deposit</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franchise. Core deposits include non-brokered transaction accounts, money market and savings deposit accounts, and time deposits of $250,000 or less. Core deposits represented 92.5% of total deposits as of June 30, 2025.</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Deposits are federally insured up to the FDIC insurance limit of $250,000. When a portion of a deposit account exceeds the FDIC insurance limit, that portion is uninsured. Estimated uninsured deposits were $6.66 billion, or 42% of total deposits, as of June 30, 2025, compared to $3.78 billion, or 38% of total deposits, as of December 31, 2024. Excluding intercompany accounts, fully collateralized accounts (including preferred deposits), and pass-through accounts where clients have deposit insurance at the correspondent financial institution, the portion of Busey’s deposit base that was uninsured and not otherwise collateralized was $5.25 billion, or 33% of total deposits, as of June 30, 2025, compared to $2.96 billion, or 30% of total deposits,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22631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61" w:lineRule="exact"/>
        <w:rPr>
          <w:sz w:val="20"/>
          <w:szCs w:val="20"/>
          <w:color w:val="auto"/>
        </w:rPr>
      </w:pPr>
    </w:p>
    <w:p>
      <w:pPr>
        <w:ind w:left="180" w:right="20" w:hanging="172"/>
        <w:spacing w:after="0" w:line="213" w:lineRule="auto"/>
        <w:tabs>
          <w:tab w:leader="none" w:pos="160" w:val="left"/>
        </w:tabs>
        <w:numPr>
          <w:ilvl w:val="0"/>
          <w:numId w:val="43"/>
        </w:numPr>
        <w:rPr>
          <w:rFonts w:ascii="Arial" w:cs="Arial" w:eastAsia="Arial" w:hAnsi="Arial"/>
          <w:sz w:val="23"/>
          <w:szCs w:val="23"/>
          <w:color w:val="auto"/>
          <w:vertAlign w:val="superscript"/>
        </w:rPr>
      </w:pPr>
      <w:r>
        <w:rPr>
          <w:rFonts w:ascii="Arial" w:cs="Arial" w:eastAsia="Arial" w:hAnsi="Arial"/>
          <w:sz w:val="14"/>
          <w:szCs w:val="14"/>
          <w:color w:val="auto"/>
        </w:rPr>
        <w:t xml:space="preserve">Core deposits is a non-GAAP financial measure. For a reconciliation of non-GAAP measures to the most directly comparable GAAP financial measures, see </w:t>
      </w:r>
      <w:r>
        <w:rPr>
          <w:rFonts w:ascii="Arial" w:cs="Arial" w:eastAsia="Arial" w:hAnsi="Arial"/>
          <w:sz w:val="14"/>
          <w:szCs w:val="14"/>
          <w:i w:val="1"/>
          <w:iCs w:val="1"/>
          <w:u w:val="single" w:color="auto"/>
          <w:color w:val="0000FF"/>
        </w:rPr>
        <w:t>“Item 2.</w:t>
      </w:r>
      <w:r>
        <w:rPr>
          <w:rFonts w:ascii="Arial" w:cs="Arial" w:eastAsia="Arial" w:hAnsi="Arial"/>
          <w:sz w:val="14"/>
          <w:szCs w:val="14"/>
          <w:color w:val="auto"/>
        </w:rPr>
        <w:t xml:space="preserve"> </w:t>
      </w:r>
      <w:r>
        <w:rPr>
          <w:rFonts w:ascii="Arial" w:cs="Arial" w:eastAsia="Arial" w:hAnsi="Arial"/>
          <w:sz w:val="14"/>
          <w:szCs w:val="14"/>
          <w:i w:val="1"/>
          <w:iCs w:val="1"/>
          <w:u w:val="single" w:color="auto"/>
          <w:color w:val="0000FF"/>
        </w:rPr>
        <w:t>Management’s Discussion and Analysis—Non-GAAP Financial Information”</w:t>
      </w:r>
      <w:r>
        <w:rPr>
          <w:rFonts w:ascii="Arial" w:cs="Arial" w:eastAsia="Arial" w:hAnsi="Arial"/>
          <w:sz w:val="14"/>
          <w:szCs w:val="14"/>
          <w:i w:val="1"/>
          <w:iCs w:val="1"/>
          <w:color w:val="0000FF"/>
        </w:rPr>
        <w:t xml:space="preserve"> </w:t>
      </w:r>
      <w:r>
        <w:rPr>
          <w:rFonts w:ascii="Arial" w:cs="Arial" w:eastAsia="Arial" w:hAnsi="Arial"/>
          <w:sz w:val="14"/>
          <w:szCs w:val="14"/>
          <w:color w:val="000000"/>
        </w:rPr>
        <w:t>included in this Quarterly Report.</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Liquidity management is the process by which Busey ensures that adequate liquid funds are available to meet the present and future cash flow obligations arising in the daily operations of its business. These financial obligations consist of needs for funds to meet commitments to borrowers for extensions of credit, fund capital expenditures, honor withdrawals by customers, pay dividends to stockholders, and pay operating expenses. Busey’s most liquid assets are cash and due from banks, interest-bearing bank deposits, and federal funds sold. Balances of these assets are dependent on Busey’s operating, investing, lending, and financing activities during any given period.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Average liquid assets are summarized in the table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02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32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2024</w:t>
            </w:r>
          </w:p>
        </w:tc>
      </w:tr>
      <w:tr>
        <w:trPr>
          <w:trHeight w:val="250"/>
        </w:trPr>
        <w:tc>
          <w:tcPr>
            <w:tcW w:w="502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Average liquid assets</w:t>
            </w:r>
          </w:p>
        </w:tc>
        <w:tc>
          <w:tcPr>
            <w:tcW w:w="320" w:type="dxa"/>
            <w:vAlign w:val="bottom"/>
            <w:shd w:val="clear" w:color="auto" w:fill="E0E7ED"/>
          </w:tcPr>
          <w:p>
            <w:pPr>
              <w:spacing w:after="0"/>
              <w:rPr>
                <w:sz w:val="21"/>
                <w:szCs w:val="21"/>
                <w:color w:val="auto"/>
              </w:rPr>
            </w:pPr>
          </w:p>
        </w:tc>
        <w:tc>
          <w:tcPr>
            <w:tcW w:w="116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spacing w:after="0"/>
              <w:rPr>
                <w:sz w:val="21"/>
                <w:szCs w:val="21"/>
                <w:color w:val="auto"/>
              </w:rPr>
            </w:pP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Cash and due from banks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5"/>
              <w:spacing w:after="0"/>
              <w:rPr>
                <w:sz w:val="20"/>
                <w:szCs w:val="20"/>
                <w:color w:val="auto"/>
              </w:rPr>
            </w:pPr>
            <w:r>
              <w:rPr>
                <w:rFonts w:ascii="Arial" w:cs="Arial" w:eastAsia="Arial" w:hAnsi="Arial"/>
                <w:sz w:val="18"/>
                <w:szCs w:val="18"/>
                <w:color w:val="auto"/>
              </w:rPr>
              <w:t>156,535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109,776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5"/>
              <w:spacing w:after="0"/>
              <w:rPr>
                <w:sz w:val="20"/>
                <w:szCs w:val="20"/>
                <w:color w:val="auto"/>
              </w:rPr>
            </w:pPr>
            <w:r>
              <w:rPr>
                <w:rFonts w:ascii="Arial" w:cs="Arial" w:eastAsia="Arial" w:hAnsi="Arial"/>
                <w:sz w:val="18"/>
                <w:szCs w:val="18"/>
                <w:color w:val="auto"/>
              </w:rPr>
              <w:t>164,617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107,679</w:t>
            </w:r>
          </w:p>
        </w:tc>
      </w:tr>
      <w:tr>
        <w:trPr>
          <w:trHeight w:val="23"/>
        </w:trPr>
        <w:tc>
          <w:tcPr>
            <w:tcW w:w="5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Interest-bearing bank deposits</w:t>
            </w:r>
          </w:p>
        </w:tc>
        <w:tc>
          <w:tcPr>
            <w:tcW w:w="320" w:type="dxa"/>
            <w:vAlign w:val="bottom"/>
            <w:tcBorders>
              <w:bottom w:val="single" w:sz="8" w:color="E0E7ED"/>
            </w:tcBorders>
            <w:shd w:val="clear" w:color="auto" w:fill="E0E7ED"/>
          </w:tcPr>
          <w:p>
            <w:pPr>
              <w:spacing w:after="0"/>
              <w:rPr>
                <w:sz w:val="21"/>
                <w:szCs w:val="21"/>
                <w:color w:val="auto"/>
              </w:rPr>
            </w:pPr>
          </w:p>
        </w:tc>
        <w:tc>
          <w:tcPr>
            <w:tcW w:w="1160" w:type="dxa"/>
            <w:vAlign w:val="bottom"/>
            <w:tcBorders>
              <w:bottom w:val="single" w:sz="8" w:color="E0E7ED"/>
            </w:tcBorders>
            <w:shd w:val="clear" w:color="auto" w:fill="E0E7ED"/>
          </w:tcPr>
          <w:p>
            <w:pPr>
              <w:jc w:val="right"/>
              <w:ind w:right="155"/>
              <w:spacing w:after="0"/>
              <w:rPr>
                <w:sz w:val="20"/>
                <w:szCs w:val="20"/>
                <w:color w:val="auto"/>
              </w:rPr>
            </w:pPr>
            <w:r>
              <w:rPr>
                <w:rFonts w:ascii="Arial" w:cs="Arial" w:eastAsia="Arial" w:hAnsi="Arial"/>
                <w:sz w:val="18"/>
                <w:szCs w:val="18"/>
                <w:color w:val="auto"/>
              </w:rPr>
              <w:t>711,629</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236,605</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5"/>
              <w:spacing w:after="0"/>
              <w:rPr>
                <w:sz w:val="20"/>
                <w:szCs w:val="20"/>
                <w:color w:val="auto"/>
              </w:rPr>
            </w:pPr>
            <w:r>
              <w:rPr>
                <w:rFonts w:ascii="Arial" w:cs="Arial" w:eastAsia="Arial" w:hAnsi="Arial"/>
                <w:sz w:val="18"/>
                <w:szCs w:val="18"/>
                <w:color w:val="auto"/>
              </w:rPr>
              <w:t>699,996</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spacing w:after="0"/>
              <w:rPr>
                <w:sz w:val="21"/>
                <w:szCs w:val="21"/>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362,608</w:t>
            </w:r>
          </w:p>
        </w:tc>
      </w:tr>
      <w:tr>
        <w:trPr>
          <w:trHeight w:val="247"/>
        </w:trPr>
        <w:tc>
          <w:tcPr>
            <w:tcW w:w="5020" w:type="dxa"/>
            <w:vAlign w:val="bottom"/>
          </w:tcPr>
          <w:p>
            <w:pPr>
              <w:ind w:left="180"/>
              <w:spacing w:after="0"/>
              <w:rPr>
                <w:sz w:val="20"/>
                <w:szCs w:val="20"/>
                <w:color w:val="auto"/>
              </w:rPr>
            </w:pPr>
            <w:r>
              <w:rPr>
                <w:rFonts w:ascii="Arial" w:cs="Arial" w:eastAsia="Arial" w:hAnsi="Arial"/>
                <w:sz w:val="18"/>
                <w:szCs w:val="18"/>
                <w:color w:val="auto"/>
              </w:rPr>
              <w:t>Less: Restricted and pledged cash and bank deposits</w:t>
            </w:r>
          </w:p>
        </w:tc>
        <w:tc>
          <w:tcPr>
            <w:tcW w:w="320" w:type="dxa"/>
            <w:vAlign w:val="bottom"/>
          </w:tcPr>
          <w:p>
            <w:pPr>
              <w:spacing w:after="0"/>
              <w:rPr>
                <w:sz w:val="21"/>
                <w:szCs w:val="21"/>
                <w:color w:val="auto"/>
              </w:rPr>
            </w:pPr>
          </w:p>
        </w:tc>
        <w:tc>
          <w:tcPr>
            <w:tcW w:w="1160" w:type="dxa"/>
            <w:vAlign w:val="bottom"/>
          </w:tcPr>
          <w:p>
            <w:pPr>
              <w:jc w:val="right"/>
              <w:ind w:right="95"/>
              <w:spacing w:after="0"/>
              <w:rPr>
                <w:sz w:val="20"/>
                <w:szCs w:val="20"/>
                <w:color w:val="auto"/>
              </w:rPr>
            </w:pPr>
            <w:r>
              <w:rPr>
                <w:rFonts w:ascii="Arial" w:cs="Arial" w:eastAsia="Arial" w:hAnsi="Arial"/>
                <w:sz w:val="18"/>
                <w:szCs w:val="18"/>
                <w:color w:val="auto"/>
              </w:rPr>
              <w:t>(78,659)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(34,210)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95"/>
              <w:spacing w:after="0"/>
              <w:rPr>
                <w:sz w:val="20"/>
                <w:szCs w:val="20"/>
                <w:color w:val="auto"/>
              </w:rPr>
            </w:pPr>
            <w:r>
              <w:rPr>
                <w:rFonts w:ascii="Arial" w:cs="Arial" w:eastAsia="Arial" w:hAnsi="Arial"/>
                <w:sz w:val="18"/>
                <w:szCs w:val="18"/>
                <w:color w:val="auto"/>
              </w:rPr>
              <w:t>(74,740)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93"/>
              <w:spacing w:after="0"/>
              <w:rPr>
                <w:sz w:val="20"/>
                <w:szCs w:val="20"/>
                <w:color w:val="auto"/>
              </w:rPr>
            </w:pPr>
            <w:r>
              <w:rPr>
                <w:rFonts w:ascii="Arial" w:cs="Arial" w:eastAsia="Arial" w:hAnsi="Arial"/>
                <w:sz w:val="18"/>
                <w:szCs w:val="18"/>
                <w:color w:val="auto"/>
              </w:rPr>
              <w:t>(34,210)</w:t>
            </w:r>
          </w:p>
        </w:tc>
      </w:tr>
      <w:tr>
        <w:trPr>
          <w:trHeight w:val="23"/>
        </w:trPr>
        <w:tc>
          <w:tcPr>
            <w:tcW w:w="5020" w:type="dxa"/>
            <w:vAlign w:val="bottom"/>
            <w:tcBorders>
              <w:bottom w:val="single" w:sz="8" w:color="E0E7ED"/>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8"/>
        </w:trPr>
        <w:tc>
          <w:tcPr>
            <w:tcW w:w="502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average liquid assets</w:t>
            </w:r>
          </w:p>
        </w:tc>
        <w:tc>
          <w:tcPr>
            <w:tcW w:w="320" w:type="dxa"/>
            <w:vAlign w:val="bottom"/>
            <w:tcBorders>
              <w:bottom w:val="single" w:sz="8" w:color="auto"/>
            </w:tcBorders>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E0E7ED"/>
          </w:tcPr>
          <w:p>
            <w:pPr>
              <w:jc w:val="right"/>
              <w:ind w:right="155"/>
              <w:spacing w:after="0"/>
              <w:rPr>
                <w:sz w:val="20"/>
                <w:szCs w:val="20"/>
                <w:color w:val="auto"/>
              </w:rPr>
            </w:pPr>
            <w:r>
              <w:rPr>
                <w:rFonts w:ascii="Arial" w:cs="Arial" w:eastAsia="Arial" w:hAnsi="Arial"/>
                <w:sz w:val="18"/>
                <w:szCs w:val="18"/>
                <w:color w:val="auto"/>
              </w:rPr>
              <w:t>789,505</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312,171</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ind w:right="155"/>
              <w:spacing w:after="0"/>
              <w:rPr>
                <w:sz w:val="20"/>
                <w:szCs w:val="20"/>
                <w:color w:val="auto"/>
              </w:rPr>
            </w:pPr>
            <w:r>
              <w:rPr>
                <w:rFonts w:ascii="Arial" w:cs="Arial" w:eastAsia="Arial" w:hAnsi="Arial"/>
                <w:sz w:val="18"/>
                <w:szCs w:val="18"/>
                <w:color w:val="auto"/>
              </w:rPr>
              <w:t>789,873</w:t>
            </w:r>
          </w:p>
        </w:tc>
        <w:tc>
          <w:tcPr>
            <w:tcW w:w="100" w:type="dxa"/>
            <w:vAlign w:val="bottom"/>
            <w:tcBorders>
              <w:bottom w:val="single" w:sz="8" w:color="E0E7ED"/>
            </w:tcBorders>
            <w:shd w:val="clear" w:color="auto" w:fill="E0E7ED"/>
          </w:tcPr>
          <w:p>
            <w:pPr>
              <w:spacing w:after="0"/>
              <w:rPr>
                <w:sz w:val="24"/>
                <w:szCs w:val="24"/>
                <w:color w:val="auto"/>
              </w:rPr>
            </w:pPr>
          </w:p>
        </w:tc>
        <w:tc>
          <w:tcPr>
            <w:tcW w:w="340" w:type="dxa"/>
            <w:vAlign w:val="bottom"/>
            <w:tcBorders>
              <w:bottom w:val="single" w:sz="8" w:color="auto"/>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436,077</w:t>
            </w:r>
          </w:p>
        </w:tc>
      </w:tr>
      <w:tr>
        <w:trPr>
          <w:trHeight w:val="20"/>
        </w:trPr>
        <w:tc>
          <w:tcPr>
            <w:tcW w:w="5020" w:type="dxa"/>
            <w:vAlign w:val="bottom"/>
            <w:tcBorders>
              <w:top w:val="single" w:sz="8" w:color="E0E7ED"/>
            </w:tcBorders>
          </w:tcPr>
          <w:p>
            <w:pPr>
              <w:spacing w:after="0" w:line="20" w:lineRule="exact"/>
              <w:rPr>
                <w:sz w:val="1"/>
                <w:szCs w:val="1"/>
                <w:color w:val="auto"/>
              </w:rPr>
            </w:pPr>
          </w:p>
        </w:tc>
        <w:tc>
          <w:tcPr>
            <w:tcW w:w="320" w:type="dxa"/>
            <w:vAlign w:val="bottom"/>
            <w:tcBorders>
              <w:top w:val="single" w:sz="8" w:color="E0E7ED"/>
              <w:bottom w:val="single" w:sz="8" w:color="auto"/>
            </w:tcBorders>
          </w:tcPr>
          <w:p>
            <w:pPr>
              <w:spacing w:after="0" w:line="20" w:lineRule="exact"/>
              <w:rPr>
                <w:sz w:val="1"/>
                <w:szCs w:val="1"/>
                <w:color w:val="auto"/>
              </w:rPr>
            </w:pPr>
          </w:p>
        </w:tc>
        <w:tc>
          <w:tcPr>
            <w:tcW w:w="116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340" w:type="dxa"/>
            <w:vAlign w:val="bottom"/>
            <w:tcBorders>
              <w:top w:val="single" w:sz="8" w:color="E0E7ED"/>
              <w:bottom w:val="single" w:sz="8" w:color="auto"/>
            </w:tcBorders>
          </w:tcPr>
          <w:p>
            <w:pPr>
              <w:spacing w:after="0" w:line="20" w:lineRule="exact"/>
              <w:rPr>
                <w:sz w:val="1"/>
                <w:szCs w:val="1"/>
                <w:color w:val="auto"/>
              </w:rPr>
            </w:pPr>
          </w:p>
        </w:tc>
        <w:tc>
          <w:tcPr>
            <w:tcW w:w="1140" w:type="dxa"/>
            <w:vAlign w:val="bottom"/>
            <w:tcBorders>
              <w:top w:val="single" w:sz="8" w:color="E0E7ED"/>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7"/>
        </w:trPr>
        <w:tc>
          <w:tcPr>
            <w:tcW w:w="5020" w:type="dxa"/>
            <w:vAlign w:val="bottom"/>
            <w:shd w:val="clear" w:color="auto" w:fill="E0E7ED"/>
          </w:tcPr>
          <w:p>
            <w:pPr>
              <w:ind w:left="20"/>
              <w:spacing w:after="0"/>
              <w:rPr>
                <w:sz w:val="20"/>
                <w:szCs w:val="20"/>
                <w:color w:val="auto"/>
              </w:rPr>
            </w:pPr>
            <w:r>
              <w:rPr>
                <w:rFonts w:ascii="Arial" w:cs="Arial" w:eastAsia="Arial" w:hAnsi="Arial"/>
                <w:sz w:val="18"/>
                <w:szCs w:val="18"/>
                <w:color w:val="auto"/>
              </w:rPr>
              <w:t>Average liquid assets as a percent of average total assets</w:t>
            </w:r>
          </w:p>
        </w:tc>
        <w:tc>
          <w:tcPr>
            <w:tcW w:w="320" w:type="dxa"/>
            <w:vAlign w:val="bottom"/>
            <w:shd w:val="clear" w:color="auto" w:fill="E0E7ED"/>
          </w:tcPr>
          <w:p>
            <w:pPr>
              <w:spacing w:after="0"/>
              <w:rPr>
                <w:sz w:val="21"/>
                <w:szCs w:val="21"/>
                <w:color w:val="auto"/>
              </w:rPr>
            </w:pPr>
          </w:p>
        </w:tc>
        <w:tc>
          <w:tcPr>
            <w:tcW w:w="11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E0E7ED"/>
          </w:tcPr>
          <w:p>
            <w:pPr>
              <w:spacing w:after="0"/>
              <w:rPr>
                <w:sz w:val="21"/>
                <w:szCs w:val="21"/>
                <w:color w:val="auto"/>
              </w:rPr>
            </w:pPr>
          </w:p>
        </w:tc>
        <w:tc>
          <w:tcPr>
            <w:tcW w:w="340" w:type="dxa"/>
            <w:vAlign w:val="bottom"/>
            <w:shd w:val="clear" w:color="auto" w:fill="E0E7ED"/>
          </w:tcPr>
          <w:p>
            <w:pPr>
              <w:spacing w:after="0"/>
              <w:rPr>
                <w:sz w:val="21"/>
                <w:szCs w:val="21"/>
                <w:color w:val="auto"/>
              </w:rPr>
            </w:pPr>
          </w:p>
        </w:tc>
        <w:tc>
          <w:tcPr>
            <w:tcW w:w="11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3.6 %</w:t>
            </w:r>
          </w:p>
        </w:tc>
      </w:tr>
      <w:tr>
        <w:trPr>
          <w:trHeight w:val="23"/>
        </w:trPr>
        <w:tc>
          <w:tcPr>
            <w:tcW w:w="5020" w:type="dxa"/>
            <w:vAlign w:val="bottom"/>
            <w:shd w:val="clear" w:color="auto" w:fill="E0E7ED"/>
          </w:tcPr>
          <w:p>
            <w:pPr>
              <w:spacing w:after="0"/>
              <w:rPr>
                <w:sz w:val="2"/>
                <w:szCs w:val="2"/>
                <w:color w:val="auto"/>
              </w:rPr>
            </w:pPr>
          </w:p>
        </w:tc>
        <w:tc>
          <w:tcPr>
            <w:tcW w:w="320" w:type="dxa"/>
            <w:vAlign w:val="bottom"/>
            <w:shd w:val="clear" w:color="auto" w:fill="E0E7ED"/>
          </w:tcPr>
          <w:p>
            <w:pPr>
              <w:spacing w:after="0"/>
              <w:rPr>
                <w:sz w:val="2"/>
                <w:szCs w:val="2"/>
                <w:color w:val="auto"/>
              </w:rPr>
            </w:pPr>
          </w:p>
        </w:tc>
        <w:tc>
          <w:tcPr>
            <w:tcW w:w="116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40" w:type="dxa"/>
            <w:vAlign w:val="bottom"/>
            <w:shd w:val="clear" w:color="auto" w:fill="E0E7ED"/>
          </w:tcPr>
          <w:p>
            <w:pPr>
              <w:spacing w:after="0"/>
              <w:rPr>
                <w:sz w:val="2"/>
                <w:szCs w:val="2"/>
                <w:color w:val="auto"/>
              </w:rPr>
            </w:pPr>
          </w:p>
        </w:tc>
        <w:tc>
          <w:tcPr>
            <w:tcW w:w="11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40" w:type="dxa"/>
            <w:vAlign w:val="bottom"/>
            <w:shd w:val="clear" w:color="auto" w:fill="E0E7ED"/>
          </w:tcPr>
          <w:p>
            <w:pPr>
              <w:spacing w:after="0"/>
              <w:rPr>
                <w:sz w:val="2"/>
                <w:szCs w:val="2"/>
                <w:color w:val="auto"/>
              </w:rPr>
            </w:pPr>
          </w:p>
        </w:tc>
        <w:tc>
          <w:tcPr>
            <w:tcW w:w="114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340" w:type="dxa"/>
            <w:vAlign w:val="bottom"/>
            <w:shd w:val="clear" w:color="auto" w:fill="E0E7ED"/>
          </w:tcPr>
          <w:p>
            <w:pPr>
              <w:spacing w:after="0"/>
              <w:rPr>
                <w:sz w:val="2"/>
                <w:szCs w:val="2"/>
                <w:color w:val="auto"/>
              </w:rPr>
            </w:pPr>
          </w:p>
        </w:tc>
        <w:tc>
          <w:tcPr>
            <w:tcW w:w="1140" w:type="dxa"/>
            <w:vAlign w:val="bottom"/>
            <w:shd w:val="clear" w:color="auto" w:fill="E0E7ED"/>
          </w:tcPr>
          <w:p>
            <w:pPr>
              <w:spacing w:after="0"/>
              <w:rPr>
                <w:sz w:val="2"/>
                <w:szCs w:val="2"/>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Unencumbered cash and securities on Busey’s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are summarized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Unencumbered cash and securities</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752,352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697,659</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Restricted and pledged cash and bank deposits</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(106,499)</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(65,830)</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Debt securities available for sale</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2,217,788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1,810,221</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Debt securities available for sale pledged as collateral</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(566,150)</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(653,454)</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Cash and unencumbered securities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2,297,491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1,788,596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Busey’s primary sources of funds consist of deposits, investment maturities and sales, loan principal repayments, and capital funds. Additional liquidity is provided by the ability to borrow from the FHLB, the Federal Reserve Bank, and Busey’s revolving credit facility, as summarized in the table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4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2"/>
                <w:szCs w:val="12"/>
                <w:color w:val="auto"/>
              </w:rPr>
            </w:pPr>
          </w:p>
        </w:tc>
        <w:tc>
          <w:tcPr>
            <w:tcW w:w="12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2"/>
                <w:szCs w:val="12"/>
                <w:color w:val="auto"/>
              </w:rPr>
            </w:pPr>
          </w:p>
        </w:tc>
        <w:tc>
          <w:tcPr>
            <w:tcW w:w="1200" w:type="dxa"/>
            <w:vAlign w:val="bottom"/>
          </w:tcPr>
          <w:p>
            <w:pPr>
              <w:jc w:val="right"/>
              <w:ind w:right="135"/>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8400" w:type="dxa"/>
            <w:vAlign w:val="bottom"/>
            <w:tcBorders>
              <w:bottom w:val="single" w:sz="8" w:color="E0E7ED"/>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50"/>
        </w:trPr>
        <w:tc>
          <w:tcPr>
            <w:tcW w:w="840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Additional available borrowing capacity</w:t>
            </w:r>
          </w:p>
        </w:tc>
        <w:tc>
          <w:tcPr>
            <w:tcW w:w="260" w:type="dxa"/>
            <w:vAlign w:val="bottom"/>
            <w:shd w:val="clear" w:color="auto" w:fill="E0E7ED"/>
          </w:tcPr>
          <w:p>
            <w:pPr>
              <w:spacing w:after="0"/>
              <w:rPr>
                <w:sz w:val="21"/>
                <w:szCs w:val="21"/>
                <w:color w:val="auto"/>
              </w:rPr>
            </w:pPr>
          </w:p>
        </w:tc>
        <w:tc>
          <w:tcPr>
            <w:tcW w:w="1100" w:type="dxa"/>
            <w:vAlign w:val="bottom"/>
            <w:shd w:val="clear" w:color="auto" w:fill="E0E7ED"/>
          </w:tcPr>
          <w:p>
            <w:pPr>
              <w:spacing w:after="0"/>
              <w:rPr>
                <w:sz w:val="21"/>
                <w:szCs w:val="21"/>
                <w:color w:val="auto"/>
              </w:rPr>
            </w:pPr>
          </w:p>
        </w:tc>
        <w:tc>
          <w:tcPr>
            <w:tcW w:w="100" w:type="dxa"/>
            <w:vAlign w:val="bottom"/>
            <w:shd w:val="clear" w:color="auto" w:fill="E0E7ED"/>
          </w:tcPr>
          <w:p>
            <w:pPr>
              <w:spacing w:after="0"/>
              <w:rPr>
                <w:sz w:val="21"/>
                <w:szCs w:val="21"/>
                <w:color w:val="auto"/>
              </w:rPr>
            </w:pPr>
          </w:p>
        </w:tc>
        <w:tc>
          <w:tcPr>
            <w:tcW w:w="180" w:type="dxa"/>
            <w:vAlign w:val="bottom"/>
            <w:shd w:val="clear" w:color="auto" w:fill="E0E7ED"/>
          </w:tcPr>
          <w:p>
            <w:pPr>
              <w:spacing w:after="0"/>
              <w:rPr>
                <w:sz w:val="21"/>
                <w:szCs w:val="21"/>
                <w:color w:val="auto"/>
              </w:rPr>
            </w:pPr>
          </w:p>
        </w:tc>
        <w:tc>
          <w:tcPr>
            <w:tcW w:w="1200" w:type="dxa"/>
            <w:vAlign w:val="bottom"/>
            <w:shd w:val="clear" w:color="auto" w:fill="E0E7ED"/>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FHLB</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1,915,607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1,679,463</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Federal Reserve Bank</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1,369,913</w:t>
            </w:r>
          </w:p>
        </w:tc>
        <w:tc>
          <w:tcPr>
            <w:tcW w:w="10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shd w:val="clear" w:color="auto" w:fill="E0E7ED"/>
          </w:tcPr>
          <w:p>
            <w:pPr>
              <w:spacing w:after="0"/>
              <w:rPr>
                <w:sz w:val="21"/>
                <w:szCs w:val="21"/>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664,083</w:t>
            </w:r>
          </w:p>
        </w:tc>
        <w:tc>
          <w:tcPr>
            <w:tcW w:w="0" w:type="dxa"/>
            <w:vAlign w:val="bottom"/>
          </w:tcPr>
          <w:p>
            <w:pPr>
              <w:spacing w:after="0"/>
              <w:rPr>
                <w:sz w:val="1"/>
                <w:szCs w:val="1"/>
                <w:color w:val="auto"/>
              </w:rPr>
            </w:pPr>
          </w:p>
        </w:tc>
      </w:tr>
      <w:tr>
        <w:trPr>
          <w:trHeight w:val="247"/>
        </w:trPr>
        <w:tc>
          <w:tcPr>
            <w:tcW w:w="8400" w:type="dxa"/>
            <w:vAlign w:val="bottom"/>
          </w:tcPr>
          <w:p>
            <w:pPr>
              <w:ind w:left="180"/>
              <w:spacing w:after="0"/>
              <w:rPr>
                <w:sz w:val="20"/>
                <w:szCs w:val="20"/>
                <w:color w:val="auto"/>
              </w:rPr>
            </w:pPr>
            <w:r>
              <w:rPr>
                <w:rFonts w:ascii="Arial" w:cs="Arial" w:eastAsia="Arial" w:hAnsi="Arial"/>
                <w:sz w:val="18"/>
                <w:szCs w:val="18"/>
                <w:color w:val="auto"/>
              </w:rPr>
              <w:t>Federal funds purchased</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477,500</w:t>
            </w:r>
          </w:p>
        </w:tc>
        <w:tc>
          <w:tcPr>
            <w:tcW w:w="0" w:type="dxa"/>
            <w:vAlign w:val="bottom"/>
          </w:tcPr>
          <w:p>
            <w:pPr>
              <w:spacing w:after="0"/>
              <w:rPr>
                <w:sz w:val="1"/>
                <w:szCs w:val="1"/>
                <w:color w:val="auto"/>
              </w:rPr>
            </w:pPr>
          </w:p>
        </w:tc>
      </w:tr>
      <w:tr>
        <w:trPr>
          <w:trHeight w:val="23"/>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Revolving credit facility</w:t>
            </w:r>
          </w:p>
        </w:tc>
        <w:tc>
          <w:tcPr>
            <w:tcW w:w="260" w:type="dxa"/>
            <w:vAlign w:val="bottom"/>
            <w:tcBorders>
              <w:bottom w:val="single" w:sz="8" w:color="E0E7ED"/>
            </w:tcBorders>
            <w:shd w:val="clear" w:color="auto" w:fill="E0E7ED"/>
          </w:tcPr>
          <w:p>
            <w:pPr>
              <w:spacing w:after="0"/>
              <w:rPr>
                <w:sz w:val="23"/>
                <w:szCs w:val="23"/>
                <w:color w:val="auto"/>
              </w:rPr>
            </w:pP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E0E7ED"/>
            </w:tcBorders>
            <w:shd w:val="clear" w:color="auto" w:fill="E0E7ED"/>
          </w:tcPr>
          <w:p>
            <w:pPr>
              <w:spacing w:after="0"/>
              <w:rPr>
                <w:sz w:val="23"/>
                <w:szCs w:val="23"/>
                <w:color w:val="auto"/>
              </w:rPr>
            </w:pPr>
          </w:p>
        </w:tc>
        <w:tc>
          <w:tcPr>
            <w:tcW w:w="180" w:type="dxa"/>
            <w:vAlign w:val="bottom"/>
            <w:tcBorders>
              <w:bottom w:val="single" w:sz="8" w:color="E0E7ED"/>
            </w:tcBorders>
            <w:shd w:val="clear" w:color="auto" w:fill="E0E7ED"/>
          </w:tcPr>
          <w:p>
            <w:pPr>
              <w:spacing w:after="0"/>
              <w:rPr>
                <w:sz w:val="23"/>
                <w:szCs w:val="23"/>
                <w:color w:val="auto"/>
              </w:rPr>
            </w:pP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64"/>
        </w:trPr>
        <w:tc>
          <w:tcPr>
            <w:tcW w:w="8400" w:type="dxa"/>
            <w:vAlign w:val="bottom"/>
          </w:tcPr>
          <w:p>
            <w:pPr>
              <w:ind w:left="20"/>
              <w:spacing w:after="0"/>
              <w:rPr>
                <w:sz w:val="20"/>
                <w:szCs w:val="20"/>
                <w:color w:val="auto"/>
              </w:rPr>
            </w:pPr>
            <w:r>
              <w:rPr>
                <w:rFonts w:ascii="Arial" w:cs="Arial" w:eastAsia="Arial" w:hAnsi="Arial"/>
                <w:sz w:val="18"/>
                <w:szCs w:val="18"/>
                <w:color w:val="auto"/>
              </w:rPr>
              <w:t>Additional borrowing capacity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3,810,520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2,861,046</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Further, Busey could utilize brokered deposits as additional sources of liquidity, as needed.</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June 30, 2025, management believed that adequate liquidity existed to meet all projected cash flow obligations. Busey seeks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Busey Bank routinely enters into commitments to extend credit and standby letters of credit in the normal course of business to meet the financing needs of its customers. The balance of commitments to extend credit represents future cash requirements and some of these commitments may expire without being drawn upon.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Busey’s outstanding commitments and reserves for unfunded commitments: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9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right"/>
              <w:ind w:right="139"/>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3940" w:type="dxa"/>
            <w:vAlign w:val="bottom"/>
            <w:tcBorders>
              <w:bottom w:val="single" w:sz="8" w:color="E0E7ED"/>
            </w:tcBorders>
            <w:vMerge w:val="continue"/>
          </w:tcPr>
          <w:p>
            <w:pPr>
              <w:spacing w:after="0"/>
              <w:rPr>
                <w:sz w:val="15"/>
                <w:szCs w:val="15"/>
                <w:color w:val="auto"/>
              </w:rPr>
            </w:pPr>
          </w:p>
        </w:tc>
        <w:tc>
          <w:tcPr>
            <w:tcW w:w="1460" w:type="dxa"/>
            <w:vAlign w:val="bottom"/>
            <w:tcBorders>
              <w:bottom w:val="single" w:sz="8" w:color="E0E7ED"/>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260" w:type="dxa"/>
            <w:vAlign w:val="bottom"/>
            <w:tcBorders>
              <w:bottom w:val="single" w:sz="8" w:color="E0E7ED"/>
            </w:tcBorders>
          </w:tcPr>
          <w:p>
            <w:pPr>
              <w:spacing w:after="0"/>
              <w:rPr>
                <w:sz w:val="15"/>
                <w:szCs w:val="15"/>
                <w:color w:val="auto"/>
              </w:rPr>
            </w:pPr>
          </w:p>
        </w:tc>
        <w:tc>
          <w:tcPr>
            <w:tcW w:w="1100" w:type="dxa"/>
            <w:vAlign w:val="bottom"/>
            <w:tcBorders>
              <w:bottom w:val="single" w:sz="8" w:color="E0E7ED"/>
            </w:tcBorders>
          </w:tcPr>
          <w:p>
            <w:pPr>
              <w:spacing w:after="0"/>
              <w:rPr>
                <w:sz w:val="15"/>
                <w:szCs w:val="15"/>
                <w:color w:val="auto"/>
              </w:rPr>
            </w:pPr>
          </w:p>
        </w:tc>
        <w:tc>
          <w:tcPr>
            <w:tcW w:w="100" w:type="dxa"/>
            <w:vAlign w:val="bottom"/>
            <w:tcBorders>
              <w:bottom w:val="single" w:sz="8" w:color="E0E7ED"/>
            </w:tcBorders>
          </w:tcPr>
          <w:p>
            <w:pPr>
              <w:spacing w:after="0"/>
              <w:rPr>
                <w:sz w:val="15"/>
                <w:szCs w:val="15"/>
                <w:color w:val="auto"/>
              </w:rPr>
            </w:pPr>
          </w:p>
        </w:tc>
        <w:tc>
          <w:tcPr>
            <w:tcW w:w="320" w:type="dxa"/>
            <w:vAlign w:val="bottom"/>
            <w:tcBorders>
              <w:bottom w:val="single" w:sz="8" w:color="E0E7ED"/>
            </w:tcBorders>
          </w:tcPr>
          <w:p>
            <w:pPr>
              <w:spacing w:after="0"/>
              <w:rPr>
                <w:sz w:val="15"/>
                <w:szCs w:val="15"/>
                <w:color w:val="auto"/>
              </w:rPr>
            </w:pPr>
          </w:p>
        </w:tc>
        <w:tc>
          <w:tcPr>
            <w:tcW w:w="104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E0E7ED"/>
            </w:tcBorders>
          </w:tcPr>
          <w:p>
            <w:pPr>
              <w:spacing w:after="0"/>
              <w:rPr>
                <w:sz w:val="15"/>
                <w:szCs w:val="15"/>
                <w:color w:val="auto"/>
              </w:rPr>
            </w:pP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E0E7ED"/>
            </w:tcBorders>
            <w:gridSpan w:val="3"/>
            <w:shd w:val="clear" w:color="auto" w:fill="E0E7ED"/>
          </w:tcPr>
          <w:p>
            <w:pPr>
              <w:ind w:left="20"/>
              <w:spacing w:after="0"/>
              <w:rPr>
                <w:sz w:val="20"/>
                <w:szCs w:val="20"/>
                <w:color w:val="auto"/>
              </w:rPr>
            </w:pPr>
            <w:r>
              <w:rPr>
                <w:rFonts w:ascii="Arial" w:cs="Arial" w:eastAsia="Arial" w:hAnsi="Arial"/>
                <w:sz w:val="18"/>
                <w:szCs w:val="18"/>
                <w:color w:val="auto"/>
              </w:rPr>
              <w:t>Outstanding loan commitments and standby letters of credit</w:t>
            </w:r>
          </w:p>
        </w:tc>
        <w:tc>
          <w:tcPr>
            <w:tcW w:w="260" w:type="dxa"/>
            <w:vAlign w:val="bottom"/>
            <w:tcBorders>
              <w:bottom w:val="single" w:sz="8" w:color="E0E7ED"/>
            </w:tcBorders>
            <w:shd w:val="clear" w:color="auto" w:fill="E0E7ED"/>
          </w:tcPr>
          <w:p>
            <w:pPr>
              <w:spacing w:after="0"/>
              <w:rPr>
                <w:sz w:val="21"/>
                <w:szCs w:val="21"/>
                <w:color w:val="auto"/>
              </w:rPr>
            </w:pPr>
          </w:p>
        </w:tc>
        <w:tc>
          <w:tcPr>
            <w:tcW w:w="1100" w:type="dxa"/>
            <w:vAlign w:val="bottom"/>
            <w:tcBorders>
              <w:bottom w:val="single" w:sz="8" w:color="E0E7ED"/>
            </w:tcBorders>
            <w:shd w:val="clear" w:color="auto" w:fill="E0E7ED"/>
          </w:tcPr>
          <w:p>
            <w:pPr>
              <w:spacing w:after="0"/>
              <w:rPr>
                <w:sz w:val="21"/>
                <w:szCs w:val="21"/>
                <w:color w:val="auto"/>
              </w:rPr>
            </w:pPr>
          </w:p>
        </w:tc>
        <w:tc>
          <w:tcPr>
            <w:tcW w:w="100" w:type="dxa"/>
            <w:vAlign w:val="bottom"/>
            <w:tcBorders>
              <w:bottom w:val="single" w:sz="8" w:color="E0E7ED"/>
            </w:tcBorders>
            <w:shd w:val="clear" w:color="auto" w:fill="E0E7ED"/>
          </w:tcPr>
          <w:p>
            <w:pPr>
              <w:spacing w:after="0"/>
              <w:rPr>
                <w:sz w:val="21"/>
                <w:szCs w:val="21"/>
                <w:color w:val="auto"/>
              </w:rPr>
            </w:pPr>
          </w:p>
        </w:tc>
        <w:tc>
          <w:tcPr>
            <w:tcW w:w="320" w:type="dxa"/>
            <w:vAlign w:val="bottom"/>
            <w:tcBorders>
              <w:bottom w:val="single" w:sz="8" w:color="E0E7ED"/>
            </w:tcBorders>
            <w:shd w:val="clear" w:color="auto" w:fill="E0E7ED"/>
          </w:tcPr>
          <w:p>
            <w:pPr>
              <w:spacing w:after="0"/>
              <w:rPr>
                <w:sz w:val="21"/>
                <w:szCs w:val="21"/>
                <w:color w:val="auto"/>
              </w:rPr>
            </w:pPr>
          </w:p>
        </w:tc>
        <w:tc>
          <w:tcPr>
            <w:tcW w:w="104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260" w:type="dxa"/>
            <w:vAlign w:val="bottom"/>
            <w:tcBorders>
              <w:bottom w:val="single" w:sz="8" w:color="E0E7ED"/>
            </w:tcBorders>
            <w:gridSpan w:val="2"/>
            <w:shd w:val="clear" w:color="auto" w:fill="E0E7ED"/>
          </w:tcPr>
          <w:p>
            <w:pPr>
              <w:jc w:val="right"/>
              <w:ind w:right="16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4,406,199</w:t>
            </w:r>
          </w:p>
        </w:tc>
        <w:tc>
          <w:tcPr>
            <w:tcW w:w="20" w:type="dxa"/>
            <w:vAlign w:val="bottom"/>
            <w:tcBorders>
              <w:bottom w:val="single" w:sz="8" w:color="E0E7ED"/>
            </w:tcBorders>
            <w:shd w:val="clear" w:color="auto" w:fill="E0E7ED"/>
          </w:tcPr>
          <w:p>
            <w:pPr>
              <w:spacing w:after="0"/>
              <w:rPr>
                <w:sz w:val="21"/>
                <w:szCs w:val="21"/>
                <w:color w:val="auto"/>
              </w:rPr>
            </w:pPr>
          </w:p>
        </w:tc>
        <w:tc>
          <w:tcPr>
            <w:tcW w:w="80" w:type="dxa"/>
            <w:vAlign w:val="bottom"/>
            <w:tcBorders>
              <w:bottom w:val="single" w:sz="8" w:color="E0E7ED"/>
            </w:tcBorders>
            <w:shd w:val="clear" w:color="auto" w:fill="E0E7ED"/>
          </w:tcPr>
          <w:p>
            <w:pPr>
              <w:spacing w:after="0"/>
              <w:rPr>
                <w:sz w:val="21"/>
                <w:szCs w:val="21"/>
                <w:color w:val="auto"/>
              </w:rPr>
            </w:pPr>
          </w:p>
        </w:tc>
        <w:tc>
          <w:tcPr>
            <w:tcW w:w="180" w:type="dxa"/>
            <w:vAlign w:val="bottom"/>
            <w:tcBorders>
              <w:bottom w:val="single" w:sz="8" w:color="E0E7ED"/>
            </w:tcBorders>
            <w:gridSpan w:val="2"/>
            <w:shd w:val="clear" w:color="auto" w:fill="E0E7ED"/>
          </w:tcPr>
          <w:p>
            <w:pPr>
              <w:jc w:val="right"/>
              <w:ind w:right="6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2,548,178</w:t>
            </w:r>
          </w:p>
        </w:tc>
        <w:tc>
          <w:tcPr>
            <w:tcW w:w="0" w:type="dxa"/>
            <w:vAlign w:val="bottom"/>
          </w:tcPr>
          <w:p>
            <w:pPr>
              <w:spacing w:after="0"/>
              <w:rPr>
                <w:sz w:val="1"/>
                <w:szCs w:val="1"/>
                <w:color w:val="auto"/>
              </w:rPr>
            </w:pPr>
          </w:p>
        </w:tc>
      </w:tr>
      <w:tr>
        <w:trPr>
          <w:trHeight w:val="247"/>
        </w:trPr>
        <w:tc>
          <w:tcPr>
            <w:tcW w:w="3940" w:type="dxa"/>
            <w:vAlign w:val="bottom"/>
          </w:tcPr>
          <w:p>
            <w:pPr>
              <w:ind w:left="20"/>
              <w:spacing w:after="0"/>
              <w:rPr>
                <w:sz w:val="20"/>
                <w:szCs w:val="20"/>
                <w:color w:val="auto"/>
              </w:rPr>
            </w:pPr>
            <w:r>
              <w:rPr>
                <w:rFonts w:ascii="Arial" w:cs="Arial" w:eastAsia="Arial" w:hAnsi="Arial"/>
                <w:sz w:val="18"/>
                <w:szCs w:val="18"/>
                <w:color w:val="auto"/>
              </w:rPr>
              <w:t>Reserve for unfunded commitments</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13,803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5,967</w:t>
            </w:r>
          </w:p>
        </w:tc>
        <w:tc>
          <w:tcPr>
            <w:tcW w:w="0" w:type="dxa"/>
            <w:vAlign w:val="bottom"/>
          </w:tcPr>
          <w:p>
            <w:pPr>
              <w:spacing w:after="0"/>
              <w:rPr>
                <w:sz w:val="1"/>
                <w:szCs w:val="1"/>
                <w:color w:val="auto"/>
              </w:rPr>
            </w:pPr>
          </w:p>
        </w:tc>
      </w:tr>
      <w:tr>
        <w:trPr>
          <w:trHeight w:val="513"/>
        </w:trPr>
        <w:tc>
          <w:tcPr>
            <w:tcW w:w="8400" w:type="dxa"/>
            <w:vAlign w:val="bottom"/>
            <w:gridSpan w:val="9"/>
          </w:tcPr>
          <w:p>
            <w:pPr>
              <w:spacing w:after="0"/>
              <w:rPr>
                <w:sz w:val="20"/>
                <w:szCs w:val="20"/>
                <w:color w:val="auto"/>
              </w:rPr>
            </w:pPr>
            <w:r>
              <w:rPr>
                <w:rFonts w:ascii="Arial" w:cs="Arial" w:eastAsia="Arial" w:hAnsi="Arial"/>
                <w:sz w:val="18"/>
                <w:szCs w:val="18"/>
                <w:color w:val="auto"/>
              </w:rPr>
              <w:t>The following table summarizes Busey’s provision for unfunded commitments expenses (releases):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3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gridSpan w:val="6"/>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4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E0E7ED"/>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E0E7ED"/>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5"/>
                <w:szCs w:val="15"/>
                <w:color w:val="auto"/>
              </w:rPr>
            </w:pPr>
          </w:p>
        </w:tc>
        <w:tc>
          <w:tcPr>
            <w:tcW w:w="20" w:type="dxa"/>
            <w:vAlign w:val="bottom"/>
            <w:tcBorders>
              <w:bottom w:val="single" w:sz="8" w:color="E0E7ED"/>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E0E7ED"/>
            </w:tcBorders>
          </w:tcPr>
          <w:p>
            <w:pPr>
              <w:spacing w:after="0"/>
              <w:rPr>
                <w:sz w:val="15"/>
                <w:szCs w:val="15"/>
                <w:color w:val="auto"/>
              </w:rPr>
            </w:pPr>
          </w:p>
        </w:tc>
        <w:tc>
          <w:tcPr>
            <w:tcW w:w="20" w:type="dxa"/>
            <w:vAlign w:val="bottom"/>
            <w:tcBorders>
              <w:top w:val="single" w:sz="8" w:color="auto"/>
              <w:bottom w:val="single" w:sz="8" w:color="E0E7ED"/>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2"/>
        </w:trPr>
        <w:tc>
          <w:tcPr>
            <w:tcW w:w="3940" w:type="dxa"/>
            <w:vAlign w:val="bottom"/>
            <w:shd w:val="clear" w:color="auto" w:fill="E0E7ED"/>
          </w:tcPr>
          <w:p>
            <w:pPr>
              <w:ind w:left="20"/>
              <w:spacing w:after="0" w:line="201" w:lineRule="exact"/>
              <w:rPr>
                <w:sz w:val="20"/>
                <w:szCs w:val="20"/>
                <w:color w:val="auto"/>
              </w:rPr>
            </w:pPr>
            <w:r>
              <w:rPr>
                <w:rFonts w:ascii="Arial" w:cs="Arial" w:eastAsia="Arial" w:hAnsi="Arial"/>
                <w:sz w:val="18"/>
                <w:szCs w:val="18"/>
                <w:color w:val="auto"/>
              </w:rPr>
              <w:t>Provision for unfunded commitments expense</w:t>
            </w:r>
          </w:p>
        </w:tc>
        <w:tc>
          <w:tcPr>
            <w:tcW w:w="1560" w:type="dxa"/>
            <w:vAlign w:val="bottom"/>
            <w:gridSpan w:val="2"/>
            <w:shd w:val="clear" w:color="auto" w:fill="E0E7ED"/>
          </w:tcPr>
          <w:p>
            <w:pPr>
              <w:ind w:left="20"/>
              <w:spacing w:after="0" w:line="201" w:lineRule="exact"/>
              <w:rPr>
                <w:sz w:val="20"/>
                <w:szCs w:val="20"/>
                <w:color w:val="auto"/>
              </w:rPr>
            </w:pPr>
            <w:r>
              <w:rPr>
                <w:rFonts w:ascii="Arial" w:cs="Arial" w:eastAsia="Arial" w:hAnsi="Arial"/>
                <w:sz w:val="18"/>
                <w:szCs w:val="18"/>
                <w:color w:val="auto"/>
              </w:rPr>
              <w:t>Provision for</w:t>
            </w:r>
          </w:p>
        </w:tc>
        <w:tc>
          <w:tcPr>
            <w:tcW w:w="26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320" w:type="dxa"/>
            <w:vAlign w:val="bottom"/>
            <w:shd w:val="clear" w:color="auto" w:fill="E0E7ED"/>
          </w:tcPr>
          <w:p>
            <w:pPr>
              <w:spacing w:after="0"/>
              <w:rPr>
                <w:sz w:val="17"/>
                <w:szCs w:val="17"/>
                <w:color w:val="auto"/>
              </w:rPr>
            </w:pPr>
          </w:p>
        </w:tc>
        <w:tc>
          <w:tcPr>
            <w:tcW w:w="104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 w:type="dxa"/>
            <w:vAlign w:val="bottom"/>
            <w:shd w:val="clear" w:color="auto" w:fill="E0E7ED"/>
          </w:tcPr>
          <w:p>
            <w:pPr>
              <w:spacing w:after="0"/>
              <w:rPr>
                <w:sz w:val="17"/>
                <w:szCs w:val="17"/>
                <w:color w:val="auto"/>
              </w:rPr>
            </w:pPr>
          </w:p>
        </w:tc>
        <w:tc>
          <w:tcPr>
            <w:tcW w:w="240" w:type="dxa"/>
            <w:vAlign w:val="bottom"/>
            <w:shd w:val="clear" w:color="auto" w:fill="E0E7ED"/>
          </w:tcPr>
          <w:p>
            <w:pPr>
              <w:spacing w:after="0"/>
              <w:rPr>
                <w:sz w:val="17"/>
                <w:szCs w:val="17"/>
                <w:color w:val="auto"/>
              </w:rPr>
            </w:pPr>
          </w:p>
        </w:tc>
        <w:tc>
          <w:tcPr>
            <w:tcW w:w="1100" w:type="dxa"/>
            <w:vAlign w:val="bottom"/>
            <w:shd w:val="clear" w:color="auto" w:fill="E0E7ED"/>
          </w:tcPr>
          <w:p>
            <w:pPr>
              <w:spacing w:after="0"/>
              <w:rPr>
                <w:sz w:val="17"/>
                <w:szCs w:val="17"/>
                <w:color w:val="auto"/>
              </w:rPr>
            </w:pPr>
          </w:p>
        </w:tc>
        <w:tc>
          <w:tcPr>
            <w:tcW w:w="2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20" w:type="dxa"/>
            <w:vAlign w:val="bottom"/>
            <w:shd w:val="clear" w:color="auto" w:fill="E0E7ED"/>
          </w:tcPr>
          <w:p>
            <w:pPr>
              <w:spacing w:after="0"/>
              <w:rPr>
                <w:sz w:val="17"/>
                <w:szCs w:val="17"/>
                <w:color w:val="auto"/>
              </w:rPr>
            </w:pPr>
          </w:p>
        </w:tc>
        <w:tc>
          <w:tcPr>
            <w:tcW w:w="160" w:type="dxa"/>
            <w:vAlign w:val="bottom"/>
            <w:shd w:val="clear" w:color="auto" w:fill="E0E7ED"/>
          </w:tcPr>
          <w:p>
            <w:pPr>
              <w:spacing w:after="0"/>
              <w:rPr>
                <w:sz w:val="17"/>
                <w:szCs w:val="17"/>
                <w:color w:val="auto"/>
              </w:rPr>
            </w:pPr>
          </w:p>
        </w:tc>
        <w:tc>
          <w:tcPr>
            <w:tcW w:w="120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3940" w:type="dxa"/>
            <w:vAlign w:val="bottom"/>
            <w:shd w:val="clear" w:color="auto" w:fill="E0E7ED"/>
          </w:tcPr>
          <w:p>
            <w:pPr>
              <w:ind w:left="20"/>
              <w:spacing w:after="0"/>
              <w:rPr>
                <w:sz w:val="20"/>
                <w:szCs w:val="20"/>
                <w:color w:val="auto"/>
              </w:rPr>
            </w:pPr>
            <w:r>
              <w:rPr>
                <w:rFonts w:ascii="Arial" w:cs="Arial" w:eastAsia="Arial" w:hAnsi="Arial"/>
                <w:sz w:val="18"/>
                <w:szCs w:val="18"/>
                <w:color w:val="auto"/>
              </w:rPr>
              <w:t>(release)</w:t>
            </w:r>
            <w:r>
              <w:rPr>
                <w:rFonts w:ascii="Arial" w:cs="Arial" w:eastAsia="Arial" w:hAnsi="Arial"/>
                <w:sz w:val="23"/>
                <w:szCs w:val="23"/>
                <w:color w:val="auto"/>
                <w:vertAlign w:val="superscript"/>
              </w:rPr>
              <w:t>1</w:t>
            </w:r>
          </w:p>
        </w:tc>
        <w:tc>
          <w:tcPr>
            <w:tcW w:w="1560" w:type="dxa"/>
            <w:vAlign w:val="bottom"/>
            <w:gridSpan w:val="2"/>
            <w:shd w:val="clear" w:color="auto" w:fill="E0E7ED"/>
          </w:tcPr>
          <w:p>
            <w:pPr>
              <w:ind w:left="20"/>
              <w:spacing w:after="0"/>
              <w:rPr>
                <w:sz w:val="20"/>
                <w:szCs w:val="20"/>
                <w:color w:val="auto"/>
              </w:rPr>
            </w:pPr>
            <w:r>
              <w:rPr>
                <w:rFonts w:ascii="Arial" w:cs="Arial" w:eastAsia="Arial" w:hAnsi="Arial"/>
                <w:sz w:val="18"/>
                <w:szCs w:val="18"/>
                <w:color w:val="auto"/>
              </w:rPr>
              <w:t>credit losses</w:t>
            </w:r>
          </w:p>
        </w:tc>
        <w:tc>
          <w:tcPr>
            <w:tcW w:w="260" w:type="dxa"/>
            <w:vAlign w:val="bottom"/>
            <w:shd w:val="clear" w:color="auto" w:fill="E0E7ED"/>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E0E7ED"/>
          </w:tcPr>
          <w:p>
            <w:pPr>
              <w:jc w:val="right"/>
              <w:ind w:right="2"/>
              <w:spacing w:after="0"/>
              <w:rPr>
                <w:sz w:val="20"/>
                <w:szCs w:val="20"/>
                <w:color w:val="auto"/>
              </w:rPr>
            </w:pPr>
            <w:r>
              <w:rPr>
                <w:rFonts w:ascii="Arial" w:cs="Arial" w:eastAsia="Arial" w:hAnsi="Arial"/>
                <w:sz w:val="18"/>
                <w:szCs w:val="18"/>
                <w:color w:val="auto"/>
              </w:rPr>
              <w:t>4,695</w:t>
            </w:r>
          </w:p>
        </w:tc>
        <w:tc>
          <w:tcPr>
            <w:tcW w:w="100" w:type="dxa"/>
            <w:vAlign w:val="bottom"/>
            <w:shd w:val="clear" w:color="auto" w:fill="E0E7ED"/>
          </w:tcPr>
          <w:p>
            <w:pPr>
              <w:spacing w:after="0"/>
              <w:rPr>
                <w:sz w:val="24"/>
                <w:szCs w:val="24"/>
                <w:color w:val="auto"/>
              </w:rPr>
            </w:pPr>
          </w:p>
        </w:tc>
        <w:tc>
          <w:tcPr>
            <w:tcW w:w="320" w:type="dxa"/>
            <w:vAlign w:val="bottom"/>
            <w:shd w:val="clear" w:color="auto" w:fill="E0E7ED"/>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E0E7ED"/>
          </w:tcPr>
          <w:p>
            <w:pPr>
              <w:spacing w:after="0"/>
              <w:rPr>
                <w:sz w:val="24"/>
                <w:szCs w:val="24"/>
                <w:color w:val="auto"/>
              </w:rPr>
            </w:pPr>
          </w:p>
        </w:tc>
        <w:tc>
          <w:tcPr>
            <w:tcW w:w="260" w:type="dxa"/>
            <w:vAlign w:val="bottom"/>
            <w:gridSpan w:val="2"/>
            <w:shd w:val="clear" w:color="auto" w:fill="E0E7ED"/>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7,836</w:t>
            </w:r>
          </w:p>
        </w:tc>
        <w:tc>
          <w:tcPr>
            <w:tcW w:w="20" w:type="dxa"/>
            <w:vAlign w:val="bottom"/>
            <w:shd w:val="clear" w:color="auto" w:fill="E0E7ED"/>
          </w:tcPr>
          <w:p>
            <w:pPr>
              <w:spacing w:after="0"/>
              <w:rPr>
                <w:sz w:val="24"/>
                <w:szCs w:val="24"/>
                <w:color w:val="auto"/>
              </w:rPr>
            </w:pPr>
          </w:p>
        </w:tc>
        <w:tc>
          <w:tcPr>
            <w:tcW w:w="80" w:type="dxa"/>
            <w:vAlign w:val="bottom"/>
            <w:shd w:val="clear" w:color="auto" w:fill="E0E7ED"/>
          </w:tcPr>
          <w:p>
            <w:pPr>
              <w:spacing w:after="0"/>
              <w:rPr>
                <w:sz w:val="24"/>
                <w:szCs w:val="24"/>
                <w:color w:val="auto"/>
              </w:rPr>
            </w:pPr>
          </w:p>
        </w:tc>
        <w:tc>
          <w:tcPr>
            <w:tcW w:w="180" w:type="dxa"/>
            <w:vAlign w:val="bottom"/>
            <w:gridSpan w:val="2"/>
            <w:shd w:val="clear" w:color="auto" w:fill="E0E7ED"/>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jc w:val="both"/>
        <w:ind w:left="500" w:hanging="330"/>
        <w:spacing w:after="0" w:line="272" w:lineRule="auto"/>
        <w:tabs>
          <w:tab w:leader="none" w:pos="525" w:val="left"/>
        </w:tabs>
        <w:numPr>
          <w:ilvl w:val="0"/>
          <w:numId w:val="44"/>
        </w:numPr>
        <w:rPr>
          <w:rFonts w:ascii="Arial" w:cs="Arial" w:eastAsia="Arial" w:hAnsi="Arial"/>
          <w:sz w:val="14"/>
          <w:szCs w:val="14"/>
          <w:color w:val="auto"/>
        </w:rPr>
      </w:pPr>
      <w:r>
        <w:rPr>
          <w:rFonts w:ascii="Arial" w:cs="Arial" w:eastAsia="Arial" w:hAnsi="Arial"/>
          <w:sz w:val="14"/>
          <w:szCs w:val="14"/>
          <w:color w:val="auto"/>
        </w:rPr>
        <w:t>During the three months ended June 30, 2025, an additional $4.0 million adjustment to the initial provision for unfunded commitments was recorded, resulting from the adoption of a new CECL model. The six months ended June 30, 2025, also included $3.1 million to establish an initial allowance for unfunded commitments following the close of the CrossFirst acquisition.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anticipates that it will have sufficient funds available to meet current loan commitments, including loan applications received and in process prior to the issuance of firm commitments.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Busey’s capital ratios are in excess of those required to be considered “well-capitalized” pursuant to applicable regulatory guidelines. The Federal Reserve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its subsidiary bank as of June 30, 2025:</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560" w:type="dxa"/>
            <w:vAlign w:val="bottom"/>
          </w:tcPr>
          <w:p>
            <w:pPr>
              <w:spacing w:after="0"/>
              <w:rPr>
                <w:sz w:val="16"/>
                <w:szCs w:val="16"/>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Minimum Capital</w:t>
            </w:r>
          </w:p>
        </w:tc>
        <w:tc>
          <w:tcPr>
            <w:tcW w:w="3060" w:type="dxa"/>
            <w:vAlign w:val="bottom"/>
            <w:tcBorders>
              <w:bottom w:val="single" w:sz="8" w:color="auto"/>
            </w:tcBorders>
            <w:gridSpan w:val="3"/>
          </w:tcPr>
          <w:p>
            <w:pPr>
              <w:jc w:val="right"/>
              <w:ind w:right="776"/>
              <w:spacing w:after="0"/>
              <w:rPr>
                <w:sz w:val="20"/>
                <w:szCs w:val="20"/>
                <w:color w:val="auto"/>
              </w:rPr>
            </w:pPr>
            <w:r>
              <w:rPr>
                <w:rFonts w:ascii="Arial" w:cs="Arial" w:eastAsia="Arial" w:hAnsi="Arial"/>
                <w:sz w:val="14"/>
                <w:szCs w:val="14"/>
                <w:b w:val="1"/>
                <w:bCs w:val="1"/>
                <w:color w:val="auto"/>
              </w:rPr>
              <w:t>As of June 30, 2025</w:t>
            </w:r>
          </w:p>
        </w:tc>
        <w:tc>
          <w:tcPr>
            <w:tcW w:w="0" w:type="dxa"/>
            <w:vAlign w:val="bottom"/>
          </w:tcPr>
          <w:p>
            <w:pPr>
              <w:spacing w:after="0"/>
              <w:rPr>
                <w:sz w:val="1"/>
                <w:szCs w:val="1"/>
                <w:color w:val="auto"/>
              </w:rPr>
            </w:pPr>
          </w:p>
        </w:tc>
      </w:tr>
      <w:tr>
        <w:trPr>
          <w:trHeight w:val="47"/>
        </w:trPr>
        <w:tc>
          <w:tcPr>
            <w:tcW w:w="6560" w:type="dxa"/>
            <w:vAlign w:val="bottom"/>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First</w:t>
            </w:r>
          </w:p>
        </w:tc>
        <w:tc>
          <w:tcPr>
            <w:tcW w:w="148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Busey</w:t>
            </w:r>
          </w:p>
        </w:tc>
        <w:tc>
          <w:tcPr>
            <w:tcW w:w="0" w:type="dxa"/>
            <w:vAlign w:val="bottom"/>
          </w:tcPr>
          <w:p>
            <w:pPr>
              <w:spacing w:after="0"/>
              <w:rPr>
                <w:sz w:val="1"/>
                <w:szCs w:val="1"/>
                <w:color w:val="auto"/>
              </w:rPr>
            </w:pPr>
          </w:p>
        </w:tc>
      </w:tr>
      <w:tr>
        <w:trPr>
          <w:trHeight w:val="135"/>
        </w:trPr>
        <w:tc>
          <w:tcPr>
            <w:tcW w:w="6560" w:type="dxa"/>
            <w:vAlign w:val="bottom"/>
          </w:tcPr>
          <w:p>
            <w:pPr>
              <w:spacing w:after="0"/>
              <w:rPr>
                <w:sz w:val="11"/>
                <w:szCs w:val="11"/>
                <w:color w:val="auto"/>
              </w:rPr>
            </w:pPr>
          </w:p>
        </w:tc>
        <w:tc>
          <w:tcPr>
            <w:tcW w:w="16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Requirements with</w:t>
            </w:r>
          </w:p>
        </w:tc>
        <w:tc>
          <w:tcPr>
            <w:tcW w:w="15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560" w:type="dxa"/>
            <w:vAlign w:val="bottom"/>
          </w:tcPr>
          <w:p>
            <w:pPr>
              <w:spacing w:after="0"/>
              <w:rPr>
                <w:sz w:val="15"/>
                <w:szCs w:val="15"/>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Capital Buffer</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Busey</w:t>
            </w:r>
          </w:p>
        </w:tc>
        <w:tc>
          <w:tcPr>
            <w:tcW w:w="1480" w:type="dxa"/>
            <w:vAlign w:val="bottom"/>
          </w:tcPr>
          <w:p>
            <w:pPr>
              <w:jc w:val="right"/>
              <w:ind w:right="476"/>
              <w:spacing w:after="0"/>
              <w:rPr>
                <w:sz w:val="20"/>
                <w:szCs w:val="20"/>
                <w:color w:val="auto"/>
              </w:rPr>
            </w:pPr>
            <w:r>
              <w:rPr>
                <w:rFonts w:ascii="Arial" w:cs="Arial" w:eastAsia="Arial" w:hAnsi="Arial"/>
                <w:sz w:val="14"/>
                <w:szCs w:val="14"/>
                <w:b w:val="1"/>
                <w:bCs w:val="1"/>
                <w:color w:val="auto"/>
              </w:rPr>
              <w:t>Bank</w:t>
            </w:r>
          </w:p>
        </w:tc>
        <w:tc>
          <w:tcPr>
            <w:tcW w:w="0" w:type="dxa"/>
            <w:vAlign w:val="bottom"/>
          </w:tcPr>
          <w:p>
            <w:pPr>
              <w:spacing w:after="0"/>
              <w:rPr>
                <w:sz w:val="1"/>
                <w:szCs w:val="1"/>
                <w:color w:val="auto"/>
              </w:rPr>
            </w:pPr>
          </w:p>
        </w:tc>
      </w:tr>
      <w:tr>
        <w:trPr>
          <w:trHeight w:val="243"/>
        </w:trPr>
        <w:tc>
          <w:tcPr>
            <w:tcW w:w="6560" w:type="dxa"/>
            <w:vAlign w:val="bottom"/>
            <w:tcBorders>
              <w:top w:val="single" w:sz="8" w:color="E0E7ED"/>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52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7.00 %</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48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12.22 %</w:t>
            </w:r>
          </w:p>
        </w:tc>
        <w:tc>
          <w:tcPr>
            <w:tcW w:w="100" w:type="dxa"/>
            <w:vAlign w:val="bottom"/>
            <w:tcBorders>
              <w:top w:val="single" w:sz="8" w:color="E0E7ED"/>
              <w:bottom w:val="single" w:sz="8" w:color="E0E7ED"/>
            </w:tcBorders>
            <w:shd w:val="clear" w:color="auto" w:fill="E0E7ED"/>
          </w:tcPr>
          <w:p>
            <w:pPr>
              <w:spacing w:after="0"/>
              <w:rPr>
                <w:sz w:val="21"/>
                <w:szCs w:val="21"/>
                <w:color w:val="auto"/>
              </w:rPr>
            </w:pPr>
          </w:p>
        </w:tc>
        <w:tc>
          <w:tcPr>
            <w:tcW w:w="1480" w:type="dxa"/>
            <w:vAlign w:val="bottom"/>
            <w:tcBorders>
              <w:top w:val="single" w:sz="8" w:color="auto"/>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13.62 %</w:t>
            </w: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13.62 %</w:t>
            </w: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Total Capital to Risk Weighted Assets</w:t>
            </w:r>
          </w:p>
        </w:tc>
        <w:tc>
          <w:tcPr>
            <w:tcW w:w="15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10.50 %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15.75 %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14.53 %</w:t>
            </w:r>
          </w:p>
        </w:tc>
        <w:tc>
          <w:tcPr>
            <w:tcW w:w="0" w:type="dxa"/>
            <w:vAlign w:val="bottom"/>
          </w:tcPr>
          <w:p>
            <w:pPr>
              <w:spacing w:after="0"/>
              <w:rPr>
                <w:sz w:val="1"/>
                <w:szCs w:val="1"/>
                <w:color w:val="auto"/>
              </w:rPr>
            </w:pPr>
          </w:p>
        </w:tc>
      </w:tr>
      <w:tr>
        <w:trPr>
          <w:trHeight w:val="247"/>
        </w:trPr>
        <w:tc>
          <w:tcPr>
            <w:tcW w:w="6560" w:type="dxa"/>
            <w:vAlign w:val="bottom"/>
          </w:tcPr>
          <w:p>
            <w:pPr>
              <w:ind w:left="20"/>
              <w:spacing w:after="0"/>
              <w:rPr>
                <w:sz w:val="20"/>
                <w:szCs w:val="20"/>
                <w:color w:val="auto"/>
              </w:rPr>
            </w:pPr>
            <w:r>
              <w:rPr>
                <w:rFonts w:ascii="Arial" w:cs="Arial" w:eastAsia="Arial" w:hAnsi="Arial"/>
                <w:sz w:val="18"/>
                <w:szCs w:val="18"/>
                <w:color w:val="auto"/>
              </w:rPr>
              <w:t>Leverage Ratio of Tier 1 Capital to Average Assets</w:t>
            </w:r>
          </w:p>
        </w:tc>
        <w:tc>
          <w:tcPr>
            <w:tcW w:w="1520" w:type="dxa"/>
            <w:vAlign w:val="bottom"/>
          </w:tcPr>
          <w:p>
            <w:pPr>
              <w:jc w:val="right"/>
              <w:spacing w:after="0"/>
              <w:rPr>
                <w:sz w:val="20"/>
                <w:szCs w:val="20"/>
                <w:color w:val="auto"/>
              </w:rPr>
            </w:pPr>
            <w:r>
              <w:rPr>
                <w:rFonts w:ascii="Arial" w:cs="Arial" w:eastAsia="Arial" w:hAnsi="Arial"/>
                <w:sz w:val="18"/>
                <w:szCs w:val="18"/>
                <w:color w:val="auto"/>
              </w:rPr>
              <w:t>6.50 %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11.22 %</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further discussion of capital resources and requirements, see </w:t>
      </w:r>
      <w:r>
        <w:rPr>
          <w:rFonts w:ascii="Arial" w:cs="Arial" w:eastAsia="Arial" w:hAnsi="Arial"/>
          <w:sz w:val="18"/>
          <w:szCs w:val="18"/>
          <w:i w:val="1"/>
          <w:iCs w:val="1"/>
          <w:color w:val="0000FF"/>
        </w:rPr>
        <w:t>“Note 8: Regulatory Capital.”</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3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Quarterly Report contains certain financial information determined by methods other than in accordance with GAAP. Management uses these non-GAAP financial measures and non-GAAP ratios, together with the related GAAP financial measures, in analysis of Busey’s performance and in making business decisions, as well as for comparison to Busey’s peers. Busey believes the adjusted measures are useful for investors and management to understand the effects of certain non-core and non-recurring noninterest items and provide additional perspective on Busey’s performance over time.</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estimated federal income tax rates, or effective tax rates as noted with the tables below.</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tables present reconciliations between these non-GAAP measures and what management believes to be the most directly comparable GAAP financial measures.</w:t>
      </w:r>
    </w:p>
    <w:p>
      <w:pPr>
        <w:spacing w:after="0" w:line="200" w:lineRule="exact"/>
        <w:rPr>
          <w:sz w:val="20"/>
          <w:szCs w:val="20"/>
          <w:color w:val="auto"/>
        </w:rPr>
      </w:pPr>
    </w:p>
    <w:p>
      <w:pPr>
        <w:spacing w:after="0" w:line="33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0" w:name="page101"/>
    <w:bookmarkEnd w:id="100"/>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Pre-Provision Net Revenue and Related Measures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86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37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63"/>
        </w:trPr>
        <w:tc>
          <w:tcPr>
            <w:tcW w:w="37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 (GAAP)</w:t>
            </w:r>
          </w:p>
        </w:tc>
        <w:tc>
          <w:tcPr>
            <w:tcW w:w="1200" w:type="dxa"/>
            <w:vAlign w:val="bottom"/>
            <w:shd w:val="clear" w:color="auto" w:fill="E0E7ED"/>
          </w:tcPr>
          <w:p>
            <w:pPr>
              <w:spacing w:after="0"/>
              <w:rPr>
                <w:sz w:val="22"/>
                <w:szCs w:val="22"/>
                <w:color w:val="auto"/>
              </w:rPr>
            </w:pP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153,183</w:t>
            </w: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0E7ED"/>
          </w:tcPr>
          <w:p>
            <w:pPr>
              <w:jc w:val="right"/>
              <w:ind w:right="152"/>
              <w:spacing w:after="0"/>
              <w:rPr>
                <w:sz w:val="20"/>
                <w:szCs w:val="20"/>
                <w:color w:val="auto"/>
              </w:rPr>
            </w:pPr>
            <w:r>
              <w:rPr>
                <w:rFonts w:ascii="Arial" w:cs="Arial" w:eastAsia="Arial" w:hAnsi="Arial"/>
                <w:sz w:val="18"/>
                <w:szCs w:val="18"/>
                <w:color w:val="auto"/>
              </w:rPr>
              <w:t>82,532</w:t>
            </w: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256,914</w:t>
            </w:r>
          </w:p>
        </w:tc>
        <w:tc>
          <w:tcPr>
            <w:tcW w:w="100" w:type="dxa"/>
            <w:vAlign w:val="bottom"/>
            <w:shd w:val="clear" w:color="auto" w:fill="E0E7ED"/>
          </w:tcPr>
          <w:p>
            <w:pPr>
              <w:spacing w:after="0"/>
              <w:rPr>
                <w:sz w:val="22"/>
                <w:szCs w:val="22"/>
                <w:color w:val="auto"/>
              </w:rPr>
            </w:pP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E0E7ED"/>
          </w:tcPr>
          <w:p>
            <w:pPr>
              <w:jc w:val="right"/>
              <w:ind w:right="152"/>
              <w:spacing w:after="0"/>
              <w:rPr>
                <w:sz w:val="20"/>
                <w:szCs w:val="20"/>
                <w:color w:val="auto"/>
              </w:rPr>
            </w:pPr>
            <w:r>
              <w:rPr>
                <w:rFonts w:ascii="Arial" w:cs="Arial" w:eastAsia="Arial" w:hAnsi="Arial"/>
                <w:sz w:val="18"/>
                <w:szCs w:val="18"/>
                <w:color w:val="auto"/>
              </w:rPr>
              <w:t>158,386</w:t>
            </w:r>
          </w:p>
        </w:tc>
        <w:tc>
          <w:tcPr>
            <w:tcW w:w="0" w:type="dxa"/>
            <w:vAlign w:val="bottom"/>
          </w:tcPr>
          <w:p>
            <w:pPr>
              <w:spacing w:after="0"/>
              <w:rPr>
                <w:sz w:val="1"/>
                <w:szCs w:val="1"/>
                <w:color w:val="auto"/>
              </w:rPr>
            </w:pPr>
          </w:p>
        </w:tc>
      </w:tr>
      <w:tr>
        <w:trPr>
          <w:trHeight w:val="263"/>
        </w:trPr>
        <w:tc>
          <w:tcPr>
            <w:tcW w:w="3760" w:type="dxa"/>
            <w:vAlign w:val="bottom"/>
          </w:tcPr>
          <w:p>
            <w:pPr>
              <w:ind w:left="20"/>
              <w:spacing w:after="0"/>
              <w:rPr>
                <w:sz w:val="20"/>
                <w:szCs w:val="20"/>
                <w:color w:val="auto"/>
              </w:rPr>
            </w:pPr>
            <w:r>
              <w:rPr>
                <w:rFonts w:ascii="Arial" w:cs="Arial" w:eastAsia="Arial" w:hAnsi="Arial"/>
                <w:sz w:val="18"/>
                <w:szCs w:val="18"/>
                <w:b w:val="1"/>
                <w:bCs w:val="1"/>
                <w:color w:val="auto"/>
              </w:rPr>
              <w:t>Total noninterest income (GAAP)</w:t>
            </w:r>
          </w:p>
        </w:tc>
        <w:tc>
          <w:tcPr>
            <w:tcW w:w="12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44,863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33,703</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66,086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78"/>
        </w:trPr>
        <w:tc>
          <w:tcPr>
            <w:tcW w:w="376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Net security (gains) losses (GAAP)</w:t>
            </w:r>
          </w:p>
        </w:tc>
        <w:tc>
          <w:tcPr>
            <w:tcW w:w="12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93"/>
              <w:spacing w:after="0"/>
              <w:rPr>
                <w:sz w:val="20"/>
                <w:szCs w:val="20"/>
                <w:color w:val="auto"/>
              </w:rPr>
            </w:pPr>
            <w:r>
              <w:rPr>
                <w:rFonts w:ascii="Arial" w:cs="Arial" w:eastAsia="Arial" w:hAnsi="Arial"/>
                <w:sz w:val="18"/>
                <w:szCs w:val="18"/>
                <w:color w:val="auto"/>
              </w:rPr>
              <w:t>(5,997)</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2"/>
              <w:spacing w:after="0"/>
              <w:rPr>
                <w:sz w:val="20"/>
                <w:szCs w:val="20"/>
                <w:color w:val="auto"/>
              </w:rPr>
            </w:pPr>
            <w:r>
              <w:rPr>
                <w:rFonts w:ascii="Arial" w:cs="Arial" w:eastAsia="Arial" w:hAnsi="Arial"/>
                <w:sz w:val="18"/>
                <w:szCs w:val="18"/>
                <w:color w:val="auto"/>
              </w:rPr>
              <w:t>353</w:t>
            </w:r>
          </w:p>
        </w:tc>
        <w:tc>
          <w:tcPr>
            <w:tcW w:w="8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9,771</w:t>
            </w:r>
          </w:p>
        </w:tc>
        <w:tc>
          <w:tcPr>
            <w:tcW w:w="100" w:type="dxa"/>
            <w:vAlign w:val="bottom"/>
            <w:shd w:val="clear" w:color="auto" w:fill="E0E7ED"/>
          </w:tcPr>
          <w:p>
            <w:pPr>
              <w:spacing w:after="0"/>
              <w:rPr>
                <w:sz w:val="24"/>
                <w:szCs w:val="24"/>
                <w:color w:val="auto"/>
              </w:rPr>
            </w:pPr>
          </w:p>
        </w:tc>
        <w:tc>
          <w:tcPr>
            <w:tcW w:w="240" w:type="dxa"/>
            <w:vAlign w:val="bottom"/>
            <w:shd w:val="clear" w:color="auto" w:fill="E0E7ED"/>
          </w:tcPr>
          <w:p>
            <w:pPr>
              <w:spacing w:after="0"/>
              <w:rPr>
                <w:sz w:val="24"/>
                <w:szCs w:val="24"/>
                <w:color w:val="auto"/>
              </w:rPr>
            </w:pPr>
          </w:p>
        </w:tc>
        <w:tc>
          <w:tcPr>
            <w:tcW w:w="1260" w:type="dxa"/>
            <w:vAlign w:val="bottom"/>
            <w:shd w:val="clear" w:color="auto" w:fill="E0E7ED"/>
          </w:tcPr>
          <w:p>
            <w:pPr>
              <w:jc w:val="right"/>
              <w:ind w:right="152"/>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70"/>
        </w:trPr>
        <w:tc>
          <w:tcPr>
            <w:tcW w:w="3760" w:type="dxa"/>
            <w:vAlign w:val="bottom"/>
            <w:tcBorders>
              <w:bottom w:val="single" w:sz="8" w:color="E0E7ED"/>
            </w:tcBorders>
          </w:tcPr>
          <w:p>
            <w:pPr>
              <w:ind w:left="20"/>
              <w:spacing w:after="0"/>
              <w:rPr>
                <w:sz w:val="20"/>
                <w:szCs w:val="20"/>
                <w:color w:val="auto"/>
              </w:rPr>
            </w:pPr>
            <w:r>
              <w:rPr>
                <w:rFonts w:ascii="Arial" w:cs="Arial" w:eastAsia="Arial" w:hAnsi="Arial"/>
                <w:sz w:val="18"/>
                <w:szCs w:val="18"/>
                <w:b w:val="1"/>
                <w:bCs w:val="1"/>
                <w:color w:val="auto"/>
              </w:rPr>
              <w:t>Total noninterest expense (GAAP)</w:t>
            </w:r>
            <w:r>
              <w:rPr>
                <w:rFonts w:ascii="Arial" w:cs="Arial" w:eastAsia="Arial" w:hAnsi="Arial"/>
                <w:sz w:val="23"/>
                <w:szCs w:val="23"/>
                <w:b w:val="1"/>
                <w:bCs w:val="1"/>
                <w:color w:val="auto"/>
                <w:vertAlign w:val="superscript"/>
              </w:rPr>
              <w:t>1</w:t>
            </w:r>
          </w:p>
        </w:tc>
        <w:tc>
          <w:tcPr>
            <w:tcW w:w="1200" w:type="dxa"/>
            <w:vAlign w:val="bottom"/>
            <w:tcBorders>
              <w:bottom w:val="single" w:sz="8" w:color="E0E7E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(127,833)</w:t>
            </w:r>
          </w:p>
        </w:tc>
        <w:tc>
          <w:tcPr>
            <w:tcW w:w="100" w:type="dxa"/>
            <w:vAlign w:val="bottom"/>
            <w:tcBorders>
              <w:bottom w:val="single" w:sz="8" w:color="E0E7E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(75,906)</w:t>
            </w:r>
          </w:p>
        </w:tc>
        <w:tc>
          <w:tcPr>
            <w:tcW w:w="80" w:type="dxa"/>
            <w:vAlign w:val="bottom"/>
            <w:tcBorders>
              <w:bottom w:val="single" w:sz="8" w:color="E0E7E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(239,863)</w:t>
            </w:r>
          </w:p>
        </w:tc>
        <w:tc>
          <w:tcPr>
            <w:tcW w:w="100" w:type="dxa"/>
            <w:vAlign w:val="bottom"/>
            <w:tcBorders>
              <w:bottom w:val="single" w:sz="8" w:color="E0E7E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(147,353)</w:t>
            </w:r>
          </w:p>
        </w:tc>
        <w:tc>
          <w:tcPr>
            <w:tcW w:w="0" w:type="dxa"/>
            <w:vAlign w:val="bottom"/>
          </w:tcPr>
          <w:p>
            <w:pPr>
              <w:spacing w:after="0"/>
              <w:rPr>
                <w:sz w:val="1"/>
                <w:szCs w:val="1"/>
                <w:color w:val="auto"/>
              </w:rPr>
            </w:pPr>
          </w:p>
        </w:tc>
      </w:tr>
      <w:tr>
        <w:trPr>
          <w:trHeight w:val="243"/>
        </w:trPr>
        <w:tc>
          <w:tcPr>
            <w:tcW w:w="37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Pre-provision net revenue (Non-GAAP)</w:t>
            </w:r>
          </w:p>
        </w:tc>
        <w:tc>
          <w:tcPr>
            <w:tcW w:w="1200" w:type="dxa"/>
            <w:vAlign w:val="bottom"/>
            <w:tcBorders>
              <w:bottom w:val="single" w:sz="8" w:color="E0E7ED"/>
            </w:tcBorders>
            <w:shd w:val="clear" w:color="auto" w:fill="E0E7ED"/>
          </w:tcPr>
          <w:p>
            <w:pPr>
              <w:ind w:left="26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64,216</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40,682</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92,908</w:t>
            </w:r>
          </w:p>
        </w:tc>
        <w:tc>
          <w:tcPr>
            <w:tcW w:w="10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86,377</w:t>
            </w:r>
          </w:p>
        </w:tc>
        <w:tc>
          <w:tcPr>
            <w:tcW w:w="0" w:type="dxa"/>
            <w:vAlign w:val="bottom"/>
          </w:tcPr>
          <w:p>
            <w:pPr>
              <w:spacing w:after="0"/>
              <w:rPr>
                <w:sz w:val="1"/>
                <w:szCs w:val="1"/>
                <w:color w:val="auto"/>
              </w:rPr>
            </w:pPr>
          </w:p>
        </w:tc>
      </w:tr>
      <w:tr>
        <w:trPr>
          <w:trHeight w:val="224"/>
        </w:trPr>
        <w:tc>
          <w:tcPr>
            <w:tcW w:w="3760" w:type="dxa"/>
            <w:vAlign w:val="bottom"/>
          </w:tcPr>
          <w:p>
            <w:pPr>
              <w:ind w:left="180"/>
              <w:spacing w:after="0"/>
              <w:rPr>
                <w:sz w:val="20"/>
                <w:szCs w:val="20"/>
                <w:color w:val="auto"/>
              </w:rPr>
            </w:pPr>
            <w:r>
              <w:rPr>
                <w:rFonts w:ascii="Arial" w:cs="Arial" w:eastAsia="Arial" w:hAnsi="Arial"/>
                <w:sz w:val="18"/>
                <w:szCs w:val="18"/>
                <w:color w:val="auto"/>
              </w:rPr>
              <w:t>Acquisition and restructuring expenses,</w:t>
            </w: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760" w:type="dxa"/>
            <w:vAlign w:val="bottom"/>
          </w:tcPr>
          <w:p>
            <w:pPr>
              <w:ind w:left="180"/>
              <w:spacing w:after="0"/>
              <w:rPr>
                <w:sz w:val="20"/>
                <w:szCs w:val="20"/>
                <w:color w:val="auto"/>
              </w:rPr>
            </w:pPr>
            <w:r>
              <w:rPr>
                <w:rFonts w:ascii="Arial" w:cs="Arial" w:eastAsia="Arial" w:hAnsi="Arial"/>
                <w:sz w:val="18"/>
                <w:szCs w:val="18"/>
                <w:color w:val="auto"/>
              </w:rPr>
              <w:t>excluding initial provision expenses</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2,212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42,626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760" w:type="dxa"/>
            <w:vAlign w:val="bottom"/>
            <w:shd w:val="clear" w:color="auto" w:fill="E0E7ED"/>
          </w:tcPr>
          <w:p>
            <w:pPr>
              <w:ind w:left="180"/>
              <w:spacing w:after="0"/>
              <w:rPr>
                <w:sz w:val="20"/>
                <w:szCs w:val="20"/>
                <w:color w:val="auto"/>
              </w:rPr>
            </w:pPr>
            <w:r>
              <w:rPr>
                <w:rFonts w:ascii="Arial" w:cs="Arial" w:eastAsia="Arial" w:hAnsi="Arial"/>
                <w:sz w:val="18"/>
                <w:szCs w:val="18"/>
                <w:color w:val="auto"/>
              </w:rPr>
              <w:t>Realized net (gains) losses on the sale of</w:t>
            </w:r>
          </w:p>
        </w:tc>
        <w:tc>
          <w:tcPr>
            <w:tcW w:w="12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7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mortgage service rights</w:t>
            </w:r>
          </w:p>
        </w:tc>
        <w:tc>
          <w:tcPr>
            <w:tcW w:w="120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360" w:type="dxa"/>
            <w:vAlign w:val="bottom"/>
            <w:tcBorders>
              <w:bottom w:val="single" w:sz="8" w:color="E0E7ED"/>
            </w:tcBorders>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260" w:type="dxa"/>
            <w:vAlign w:val="bottom"/>
            <w:tcBorders>
              <w:bottom w:val="single" w:sz="8" w:color="E0E7ED"/>
            </w:tcBorders>
            <w:shd w:val="clear" w:color="auto" w:fill="E0E7ED"/>
          </w:tcPr>
          <w:p>
            <w:pPr>
              <w:jc w:val="right"/>
              <w:ind w:right="112"/>
              <w:spacing w:after="0"/>
              <w:rPr>
                <w:sz w:val="20"/>
                <w:szCs w:val="20"/>
                <w:color w:val="auto"/>
              </w:rPr>
            </w:pPr>
            <w:r>
              <w:rPr>
                <w:rFonts w:ascii="Arial" w:cs="Arial" w:eastAsia="Arial" w:hAnsi="Arial"/>
                <w:sz w:val="18"/>
                <w:szCs w:val="18"/>
                <w:color w:val="auto"/>
              </w:rPr>
              <w:t>(277)</w:t>
            </w:r>
          </w:p>
        </w:tc>
        <w:tc>
          <w:tcPr>
            <w:tcW w:w="80" w:type="dxa"/>
            <w:vAlign w:val="bottom"/>
            <w:tcBorders>
              <w:bottom w:val="single" w:sz="8" w:color="E0E7ED"/>
            </w:tcBorders>
            <w:shd w:val="clear" w:color="auto" w:fill="E0E7ED"/>
          </w:tcPr>
          <w:p>
            <w:pPr>
              <w:spacing w:after="0"/>
              <w:rPr>
                <w:sz w:val="22"/>
                <w:szCs w:val="22"/>
                <w:color w:val="auto"/>
              </w:rPr>
            </w:pPr>
          </w:p>
        </w:tc>
        <w:tc>
          <w:tcPr>
            <w:tcW w:w="240" w:type="dxa"/>
            <w:vAlign w:val="bottom"/>
            <w:tcBorders>
              <w:bottom w:val="single" w:sz="8" w:color="E0E7ED"/>
            </w:tcBorders>
            <w:shd w:val="clear" w:color="auto" w:fill="E0E7ED"/>
          </w:tcPr>
          <w:p>
            <w:pPr>
              <w:spacing w:after="0"/>
              <w:rPr>
                <w:sz w:val="22"/>
                <w:szCs w:val="22"/>
                <w:color w:val="auto"/>
              </w:rPr>
            </w:pPr>
          </w:p>
        </w:tc>
        <w:tc>
          <w:tcPr>
            <w:tcW w:w="1360" w:type="dxa"/>
            <w:vAlign w:val="bottom"/>
            <w:tcBorders>
              <w:bottom w:val="single" w:sz="8" w:color="E0E7ED"/>
            </w:tcBorders>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E0E7ED"/>
            </w:tcBorders>
            <w:shd w:val="clear" w:color="auto" w:fill="E0E7ED"/>
          </w:tcPr>
          <w:p>
            <w:pPr>
              <w:spacing w:after="0"/>
              <w:rPr>
                <w:sz w:val="22"/>
                <w:szCs w:val="22"/>
                <w:color w:val="auto"/>
              </w:rPr>
            </w:pPr>
          </w:p>
        </w:tc>
        <w:tc>
          <w:tcPr>
            <w:tcW w:w="1260" w:type="dxa"/>
            <w:vAlign w:val="bottom"/>
            <w:tcBorders>
              <w:bottom w:val="single" w:sz="8" w:color="E0E7ED"/>
            </w:tcBorders>
            <w:shd w:val="clear" w:color="auto" w:fill="E0E7ED"/>
          </w:tcPr>
          <w:p>
            <w:pPr>
              <w:jc w:val="right"/>
              <w:ind w:right="92"/>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04"/>
        </w:trPr>
        <w:tc>
          <w:tcPr>
            <w:tcW w:w="3760" w:type="dxa"/>
            <w:vAlign w:val="bottom"/>
          </w:tcPr>
          <w:p>
            <w:pPr>
              <w:ind w:left="20"/>
              <w:spacing w:after="0" w:line="204" w:lineRule="exact"/>
              <w:rPr>
                <w:sz w:val="20"/>
                <w:szCs w:val="20"/>
                <w:color w:val="auto"/>
              </w:rPr>
            </w:pPr>
            <w:r>
              <w:rPr>
                <w:rFonts w:ascii="Arial" w:cs="Arial" w:eastAsia="Arial" w:hAnsi="Arial"/>
                <w:sz w:val="18"/>
                <w:szCs w:val="18"/>
                <w:color w:val="auto"/>
              </w:rPr>
              <w:t>Realized net (gains) losses on the sale of</w:t>
            </w:r>
          </w:p>
        </w:tc>
        <w:tc>
          <w:tcPr>
            <w:tcW w:w="12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80,816</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8"/>
                <w:szCs w:val="18"/>
                <w:color w:val="auto"/>
              </w:rPr>
              <w:t>42,617</w:t>
            </w:r>
          </w:p>
        </w:tc>
        <w:tc>
          <w:tcPr>
            <w:tcW w:w="8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135,534</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52"/>
              <w:spacing w:after="0"/>
              <w:rPr>
                <w:sz w:val="20"/>
                <w:szCs w:val="20"/>
                <w:color w:val="auto"/>
              </w:rPr>
            </w:pPr>
            <w:r>
              <w:rPr>
                <w:rFonts w:ascii="Arial" w:cs="Arial" w:eastAsia="Arial" w:hAnsi="Arial"/>
                <w:sz w:val="18"/>
                <w:szCs w:val="18"/>
                <w:color w:val="auto"/>
              </w:rPr>
              <w:t>81,255</w:t>
            </w:r>
          </w:p>
        </w:tc>
        <w:tc>
          <w:tcPr>
            <w:tcW w:w="0" w:type="dxa"/>
            <w:vAlign w:val="bottom"/>
          </w:tcPr>
          <w:p>
            <w:pPr>
              <w:spacing w:after="0"/>
              <w:rPr>
                <w:sz w:val="1"/>
                <w:szCs w:val="1"/>
                <w:color w:val="auto"/>
              </w:rPr>
            </w:pPr>
          </w:p>
        </w:tc>
      </w:tr>
      <w:tr>
        <w:trPr>
          <w:trHeight w:val="240"/>
        </w:trPr>
        <w:tc>
          <w:tcPr>
            <w:tcW w:w="3760" w:type="dxa"/>
            <w:vAlign w:val="bottom"/>
          </w:tcPr>
          <w:p>
            <w:pPr>
              <w:ind w:left="20"/>
              <w:spacing w:after="0"/>
              <w:rPr>
                <w:sz w:val="20"/>
                <w:szCs w:val="20"/>
                <w:color w:val="auto"/>
              </w:rPr>
            </w:pPr>
            <w:r>
              <w:rPr>
                <w:rFonts w:ascii="Arial" w:cs="Arial" w:eastAsia="Arial" w:hAnsi="Arial"/>
                <w:sz w:val="18"/>
                <w:szCs w:val="18"/>
                <w:color w:val="auto"/>
              </w:rPr>
              <w:t>mortgage service rights</w:t>
            </w:r>
          </w:p>
        </w:tc>
        <w:tc>
          <w:tcPr>
            <w:tcW w:w="1200" w:type="dxa"/>
            <w:vAlign w:val="bottom"/>
          </w:tcPr>
          <w:p>
            <w:pPr>
              <w:ind w:left="260"/>
              <w:spacing w:after="0"/>
              <w:rPr>
                <w:sz w:val="20"/>
                <w:szCs w:val="20"/>
                <w:color w:val="auto"/>
              </w:rPr>
            </w:pPr>
            <w:r>
              <w:rPr>
                <w:rFonts w:ascii="Arial" w:cs="Arial" w:eastAsia="Arial" w:hAnsi="Arial"/>
                <w:sz w:val="18"/>
                <w:szCs w:val="18"/>
                <w:color w:val="auto"/>
              </w:rPr>
              <w:t>[b]</w:t>
            </w:r>
          </w:p>
        </w:tc>
        <w:tc>
          <w:tcPr>
            <w:tcW w:w="2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60" w:type="dxa"/>
            <w:vAlign w:val="bottom"/>
            <w:tcBorders>
              <w:bottom w:val="single" w:sz="8" w:color="E0E7ED"/>
            </w:tcBorders>
          </w:tcPr>
          <w:p>
            <w:pPr>
              <w:spacing w:after="0" w:line="20" w:lineRule="exact"/>
              <w:rPr>
                <w:sz w:val="1"/>
                <w:szCs w:val="1"/>
                <w:color w:val="auto"/>
              </w:rPr>
            </w:pPr>
          </w:p>
        </w:tc>
        <w:tc>
          <w:tcPr>
            <w:tcW w:w="12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E0E7ED"/>
          </w:tcPr>
          <w:p>
            <w:pPr>
              <w:spacing w:after="0"/>
              <w:rPr>
                <w:sz w:val="20"/>
                <w:szCs w:val="20"/>
                <w:color w:val="auto"/>
              </w:rPr>
            </w:pPr>
          </w:p>
        </w:tc>
        <w:tc>
          <w:tcPr>
            <w:tcW w:w="12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8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240" w:type="dxa"/>
            <w:vAlign w:val="bottom"/>
            <w:shd w:val="clear" w:color="auto" w:fill="E0E7ED"/>
          </w:tcPr>
          <w:p>
            <w:pPr>
              <w:spacing w:after="0"/>
              <w:rPr>
                <w:sz w:val="20"/>
                <w:szCs w:val="20"/>
                <w:color w:val="auto"/>
              </w:rPr>
            </w:pPr>
          </w:p>
        </w:tc>
        <w:tc>
          <w:tcPr>
            <w:tcW w:w="12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760" w:type="dxa"/>
            <w:vAlign w:val="bottom"/>
          </w:tcPr>
          <w:p>
            <w:pPr>
              <w:ind w:left="20"/>
              <w:spacing w:after="0"/>
              <w:rPr>
                <w:sz w:val="20"/>
                <w:szCs w:val="20"/>
                <w:color w:val="auto"/>
              </w:rPr>
            </w:pPr>
            <w:r>
              <w:rPr>
                <w:rFonts w:ascii="Arial" w:cs="Arial" w:eastAsia="Arial" w:hAnsi="Arial"/>
                <w:sz w:val="18"/>
                <w:szCs w:val="18"/>
                <w:color w:val="auto"/>
              </w:rPr>
              <w:t>Average total assets</w:t>
            </w:r>
          </w:p>
        </w:tc>
        <w:tc>
          <w:tcPr>
            <w:tcW w:w="1200" w:type="dxa"/>
            <w:vAlign w:val="bottom"/>
          </w:tcPr>
          <w:p>
            <w:pPr>
              <w:ind w:left="260"/>
              <w:spacing w:after="0"/>
              <w:rPr>
                <w:sz w:val="20"/>
                <w:szCs w:val="20"/>
                <w:color w:val="auto"/>
              </w:rPr>
            </w:pPr>
            <w:r>
              <w:rPr>
                <w:rFonts w:ascii="Arial" w:cs="Arial" w:eastAsia="Arial" w:hAnsi="Arial"/>
                <w:sz w:val="18"/>
                <w:szCs w:val="18"/>
                <w:color w:val="auto"/>
              </w:rPr>
              <w:t>[c]</w:t>
            </w:r>
          </w:p>
        </w:tc>
        <w:tc>
          <w:tcPr>
            <w:tcW w:w="24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19,068,086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12,089,692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53"/>
              <w:spacing w:after="0"/>
              <w:rPr>
                <w:sz w:val="20"/>
                <w:szCs w:val="20"/>
                <w:color w:val="auto"/>
              </w:rPr>
            </w:pPr>
            <w:r>
              <w:rPr>
                <w:rFonts w:ascii="Arial" w:cs="Arial" w:eastAsia="Arial" w:hAnsi="Arial"/>
                <w:sz w:val="18"/>
                <w:szCs w:val="18"/>
                <w:color w:val="auto"/>
              </w:rPr>
              <w:t>16,961,396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12,056,950</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shd w:val="clear" w:color="auto" w:fill="E0E7ED"/>
          </w:tcPr>
          <w:p>
            <w:pPr>
              <w:spacing w:after="0"/>
              <w:rPr>
                <w:sz w:val="23"/>
                <w:szCs w:val="23"/>
                <w:color w:val="auto"/>
              </w:rPr>
            </w:pPr>
          </w:p>
        </w:tc>
        <w:tc>
          <w:tcPr>
            <w:tcW w:w="12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10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60" w:type="dxa"/>
            <w:vAlign w:val="bottom"/>
            <w:shd w:val="clear" w:color="auto" w:fill="E0E7ED"/>
          </w:tcPr>
          <w:p>
            <w:pPr>
              <w:spacing w:after="0"/>
              <w:rPr>
                <w:sz w:val="23"/>
                <w:szCs w:val="23"/>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296" w:right="339" w:bottom="1440" w:gutter="0" w:footer="0" w:header="0"/>
        </w:sectPr>
      </w:pPr>
    </w:p>
    <w:p>
      <w:pPr>
        <w:ind w:left="20"/>
        <w:spacing w:after="0"/>
        <w:rPr>
          <w:sz w:val="20"/>
          <w:szCs w:val="20"/>
          <w:color w:val="auto"/>
        </w:rPr>
      </w:pPr>
      <w:r>
        <w:rPr>
          <w:rFonts w:ascii="Arial" w:cs="Arial" w:eastAsia="Arial" w:hAnsi="Arial"/>
          <w:sz w:val="18"/>
          <w:szCs w:val="18"/>
          <w:color w:val="auto"/>
        </w:rPr>
        <w:t>Pre-provision net revenue to average total assets</w:t>
      </w:r>
    </w:p>
    <w:p>
      <w:pPr>
        <w:spacing w:after="0" w:line="27"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8"/>
          <w:szCs w:val="18"/>
          <w:color w:val="auto"/>
        </w:rPr>
        <w:t>(Non-GAAP)</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8"/>
          <w:szCs w:val="18"/>
          <w:color w:val="auto"/>
        </w:rPr>
        <w:t>[a÷c]</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pre-provision net revenue to average</w:t>
      </w:r>
    </w:p>
    <w:p>
      <w:pPr>
        <w:spacing w:after="0" w:line="9" w:lineRule="exact"/>
        <w:rPr>
          <w:sz w:val="20"/>
          <w:szCs w:val="20"/>
          <w:color w:val="auto"/>
        </w:rPr>
      </w:pPr>
    </w:p>
    <w:p>
      <w:pPr>
        <w:ind w:left="20"/>
        <w:spacing w:after="0"/>
        <w:tabs>
          <w:tab w:leader="none" w:pos="4000" w:val="left"/>
        </w:tabs>
        <w:rPr>
          <w:sz w:val="20"/>
          <w:szCs w:val="20"/>
          <w:color w:val="auto"/>
        </w:rPr>
      </w:pPr>
      <w:r>
        <w:rPr>
          <w:rFonts w:ascii="Arial" w:cs="Arial" w:eastAsia="Arial" w:hAnsi="Arial"/>
          <w:sz w:val="18"/>
          <w:szCs w:val="18"/>
          <w:color w:val="auto"/>
        </w:rPr>
        <w:t>total assets (Non-GAAP)</w:t>
      </w:r>
      <w:r>
        <w:rPr>
          <w:rFonts w:ascii="Arial" w:cs="Arial" w:eastAsia="Arial" w:hAnsi="Arial"/>
          <w:sz w:val="23"/>
          <w:szCs w:val="23"/>
          <w:color w:val="auto"/>
          <w:vertAlign w:val="superscript"/>
        </w:rPr>
        <w:t>2</w:t>
      </w:r>
      <w:r>
        <w:rPr>
          <w:sz w:val="20"/>
          <w:szCs w:val="20"/>
          <w:color w:val="auto"/>
        </w:rPr>
        <w:tab/>
      </w:r>
      <w:r>
        <w:rPr>
          <w:rFonts w:ascii="Arial" w:cs="Arial" w:eastAsia="Arial" w:hAnsi="Arial"/>
          <w:sz w:val="18"/>
          <w:szCs w:val="18"/>
          <w:color w:val="auto"/>
        </w:rPr>
        <w:t>[b÷c]</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80" w:type="dxa"/>
            <w:vAlign w:val="bottom"/>
          </w:tcPr>
          <w:p>
            <w:pPr>
              <w:jc w:val="right"/>
              <w:ind w:right="430"/>
              <w:spacing w:after="0"/>
              <w:rPr>
                <w:sz w:val="20"/>
                <w:szCs w:val="20"/>
                <w:color w:val="auto"/>
              </w:rPr>
            </w:pPr>
            <w:r>
              <w:rPr>
                <w:rFonts w:ascii="Arial" w:cs="Arial" w:eastAsia="Arial" w:hAnsi="Arial"/>
                <w:sz w:val="18"/>
                <w:szCs w:val="18"/>
                <w:color w:val="auto"/>
                <w:w w:val="96"/>
              </w:rPr>
              <w:t>1.35 %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1.35 %</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1.10 %</w:t>
            </w:r>
          </w:p>
        </w:tc>
        <w:tc>
          <w:tcPr>
            <w:tcW w:w="108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486"/>
        </w:trPr>
        <w:tc>
          <w:tcPr>
            <w:tcW w:w="1080" w:type="dxa"/>
            <w:vAlign w:val="bottom"/>
          </w:tcPr>
          <w:p>
            <w:pPr>
              <w:jc w:val="right"/>
              <w:ind w:right="430"/>
              <w:spacing w:after="0"/>
              <w:rPr>
                <w:sz w:val="20"/>
                <w:szCs w:val="20"/>
                <w:color w:val="auto"/>
              </w:rPr>
            </w:pPr>
            <w:r>
              <w:rPr>
                <w:rFonts w:ascii="Arial" w:cs="Arial" w:eastAsia="Arial" w:hAnsi="Arial"/>
                <w:sz w:val="18"/>
                <w:szCs w:val="18"/>
                <w:color w:val="auto"/>
                <w:w w:val="96"/>
              </w:rPr>
              <w:t>1.70 %</w:t>
            </w:r>
          </w:p>
        </w:tc>
        <w:tc>
          <w:tcPr>
            <w:tcW w:w="1580" w:type="dxa"/>
            <w:vAlign w:val="bottom"/>
          </w:tcPr>
          <w:p>
            <w:pPr>
              <w:jc w:val="right"/>
              <w:ind w:right="410"/>
              <w:spacing w:after="0"/>
              <w:rPr>
                <w:sz w:val="20"/>
                <w:szCs w:val="20"/>
                <w:color w:val="auto"/>
              </w:rPr>
            </w:pPr>
            <w:r>
              <w:rPr>
                <w:rFonts w:ascii="Arial" w:cs="Arial" w:eastAsia="Arial" w:hAnsi="Arial"/>
                <w:sz w:val="18"/>
                <w:szCs w:val="18"/>
                <w:color w:val="auto"/>
              </w:rPr>
              <w:t>1.42 %</w:t>
            </w:r>
          </w:p>
        </w:tc>
        <w:tc>
          <w:tcPr>
            <w:tcW w:w="1600" w:type="dxa"/>
            <w:vAlign w:val="bottom"/>
          </w:tcPr>
          <w:p>
            <w:pPr>
              <w:jc w:val="right"/>
              <w:ind w:right="430"/>
              <w:spacing w:after="0"/>
              <w:rPr>
                <w:sz w:val="20"/>
                <w:szCs w:val="20"/>
                <w:color w:val="auto"/>
              </w:rPr>
            </w:pPr>
            <w:r>
              <w:rPr>
                <w:rFonts w:ascii="Arial" w:cs="Arial" w:eastAsia="Arial" w:hAnsi="Arial"/>
                <w:sz w:val="18"/>
                <w:szCs w:val="18"/>
                <w:color w:val="auto"/>
              </w:rPr>
              <w:t>1.61 %</w:t>
            </w:r>
          </w:p>
        </w:tc>
        <w:tc>
          <w:tcPr>
            <w:tcW w:w="1080" w:type="dxa"/>
            <w:vAlign w:val="bottom"/>
          </w:tcPr>
          <w:p>
            <w:pPr>
              <w:jc w:val="right"/>
              <w:spacing w:after="0"/>
              <w:rPr>
                <w:sz w:val="20"/>
                <w:szCs w:val="20"/>
                <w:color w:val="auto"/>
              </w:rPr>
            </w:pPr>
            <w:r>
              <w:rPr>
                <w:rFonts w:ascii="Arial" w:cs="Arial" w:eastAsia="Arial" w:hAnsi="Arial"/>
                <w:sz w:val="18"/>
                <w:szCs w:val="18"/>
                <w:color w:val="auto"/>
              </w:rPr>
              <w:t>1.36 %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-224790</wp:posOffset>
            </wp:positionV>
            <wp:extent cx="713232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406" w:lineRule="exact"/>
        <w:rPr>
          <w:sz w:val="20"/>
          <w:szCs w:val="20"/>
          <w:color w:val="auto"/>
        </w:rPr>
      </w:pPr>
    </w:p>
    <w:p>
      <w:pPr>
        <w:sectPr>
          <w:pgSz w:w="11900" w:h="16838" w:orient="portrait"/>
          <w:cols w:equalWidth="0" w:num="2">
            <w:col w:w="5160" w:space="720"/>
            <w:col w:w="5360"/>
          </w:cols>
          <w:pgMar w:left="320" w:top="296" w:right="339" w:bottom="1440" w:gutter="0" w:footer="0" w:header="0"/>
          <w:type w:val="continuous"/>
        </w:sectPr>
      </w:pPr>
    </w:p>
    <w:p>
      <w:pPr>
        <w:ind w:left="500" w:hanging="330"/>
        <w:spacing w:after="0" w:line="261" w:lineRule="auto"/>
        <w:tabs>
          <w:tab w:leader="none" w:pos="525" w:val="left"/>
        </w:tabs>
        <w:numPr>
          <w:ilvl w:val="0"/>
          <w:numId w:val="45"/>
        </w:numPr>
        <w:rPr>
          <w:rFonts w:ascii="Arial" w:cs="Arial" w:eastAsia="Arial" w:hAnsi="Arial"/>
          <w:sz w:val="14"/>
          <w:szCs w:val="14"/>
          <w:color w:val="auto"/>
        </w:rPr>
      </w:pPr>
      <w:r>
        <w:rPr>
          <w:rFonts w:ascii="Arial" w:cs="Arial" w:eastAsia="Arial" w:hAnsi="Arial"/>
          <w:sz w:val="14"/>
          <w:szCs w:val="14"/>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w:t>
      </w:r>
    </w:p>
    <w:p>
      <w:pPr>
        <w:ind w:left="500" w:hanging="330"/>
        <w:spacing w:after="0"/>
        <w:tabs>
          <w:tab w:leader="none" w:pos="5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1" w:name="page102"/>
    <w:bookmarkEnd w:id="101"/>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Net Income, Average Tangible Common Equity, and Related Ratios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7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394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1140" w:type="dxa"/>
            <w:vAlign w:val="bottom"/>
            <w:tcBorders>
              <w:bottom w:val="single" w:sz="8" w:color="E0E7ED"/>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3"/>
        </w:trPr>
        <w:tc>
          <w:tcPr>
            <w:tcW w:w="39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Net income (loss) (GAAP)</w:t>
            </w:r>
          </w:p>
        </w:tc>
        <w:tc>
          <w:tcPr>
            <w:tcW w:w="1140" w:type="dxa"/>
            <w:vAlign w:val="bottom"/>
            <w:tcBorders>
              <w:bottom w:val="single" w:sz="8" w:color="E0E7ED"/>
            </w:tcBorders>
            <w:shd w:val="clear" w:color="auto" w:fill="E0E7ED"/>
          </w:tcPr>
          <w:p>
            <w:pPr>
              <w:ind w:left="200"/>
              <w:spacing w:after="0"/>
              <w:rPr>
                <w:sz w:val="20"/>
                <w:szCs w:val="20"/>
                <w:color w:val="auto"/>
              </w:rPr>
            </w:pPr>
            <w:r>
              <w:rPr>
                <w:rFonts w:ascii="Arial" w:cs="Arial" w:eastAsia="Arial" w:hAnsi="Arial"/>
                <w:sz w:val="18"/>
                <w:szCs w:val="18"/>
                <w:color w:val="auto"/>
              </w:rPr>
              <w:t>[a]</w:t>
            </w:r>
          </w:p>
        </w:tc>
        <w:tc>
          <w:tcPr>
            <w:tcW w:w="30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47,404</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27,357</w:t>
            </w:r>
          </w:p>
        </w:tc>
        <w:tc>
          <w:tcPr>
            <w:tcW w:w="100" w:type="dxa"/>
            <w:vAlign w:val="bottom"/>
            <w:tcBorders>
              <w:bottom w:val="single" w:sz="8" w:color="E0E7ED"/>
            </w:tcBorders>
            <w:shd w:val="clear" w:color="auto" w:fill="E0E7ED"/>
          </w:tcPr>
          <w:p>
            <w:pPr>
              <w:spacing w:after="0"/>
              <w:rPr>
                <w:sz w:val="21"/>
                <w:szCs w:val="21"/>
                <w:color w:val="auto"/>
              </w:rPr>
            </w:pPr>
          </w:p>
        </w:tc>
        <w:tc>
          <w:tcPr>
            <w:tcW w:w="340" w:type="dxa"/>
            <w:vAlign w:val="bottom"/>
            <w:tcBorders>
              <w:bottom w:val="single" w:sz="8" w:color="E0E7ED"/>
            </w:tcBorders>
            <w:shd w:val="clear" w:color="auto" w:fill="E0E7ED"/>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17,414</w:t>
            </w:r>
          </w:p>
        </w:tc>
        <w:tc>
          <w:tcPr>
            <w:tcW w:w="80" w:type="dxa"/>
            <w:vAlign w:val="bottom"/>
            <w:tcBorders>
              <w:bottom w:val="single" w:sz="8" w:color="E0E7ED"/>
            </w:tcBorders>
            <w:shd w:val="clear" w:color="auto" w:fill="E0E7ED"/>
          </w:tcPr>
          <w:p>
            <w:pPr>
              <w:spacing w:after="0"/>
              <w:rPr>
                <w:sz w:val="21"/>
                <w:szCs w:val="21"/>
                <w:color w:val="auto"/>
              </w:rPr>
            </w:pPr>
          </w:p>
        </w:tc>
        <w:tc>
          <w:tcPr>
            <w:tcW w:w="36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53,582</w:t>
            </w: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Day 2 provision for credit losses</w:t>
            </w:r>
            <w:r>
              <w:rPr>
                <w:rFonts w:ascii="Arial" w:cs="Arial" w:eastAsia="Arial" w:hAnsi="Arial"/>
                <w:sz w:val="23"/>
                <w:szCs w:val="23"/>
                <w:color w:val="auto"/>
                <w:vertAlign w:val="superscript"/>
              </w:rPr>
              <w:t>1</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45,572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9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Adjustment of initial provision for unfunded</w:t>
            </w:r>
          </w:p>
        </w:tc>
        <w:tc>
          <w:tcPr>
            <w:tcW w:w="114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16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14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360" w:type="dxa"/>
            <w:vAlign w:val="bottom"/>
            <w:shd w:val="clear" w:color="auto" w:fill="E0E7ED"/>
          </w:tcPr>
          <w:p>
            <w:pPr>
              <w:spacing w:after="0"/>
              <w:rPr>
                <w:sz w:val="19"/>
                <w:szCs w:val="19"/>
                <w:color w:val="auto"/>
              </w:rPr>
            </w:pPr>
          </w:p>
        </w:tc>
        <w:tc>
          <w:tcPr>
            <w:tcW w:w="112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3940" w:type="dxa"/>
            <w:vAlign w:val="bottom"/>
            <w:shd w:val="clear" w:color="auto" w:fill="E0E7ED"/>
          </w:tcPr>
          <w:p>
            <w:pPr>
              <w:ind w:left="180"/>
              <w:spacing w:after="0" w:line="262" w:lineRule="exact"/>
              <w:rPr>
                <w:sz w:val="20"/>
                <w:szCs w:val="20"/>
                <w:color w:val="auto"/>
              </w:rPr>
            </w:pPr>
            <w:r>
              <w:rPr>
                <w:rFonts w:ascii="Arial" w:cs="Arial" w:eastAsia="Arial" w:hAnsi="Arial"/>
                <w:sz w:val="18"/>
                <w:szCs w:val="18"/>
                <w:color w:val="auto"/>
              </w:rPr>
              <w:t>commitments due to adoption of new model</w:t>
            </w:r>
            <w:r>
              <w:rPr>
                <w:rFonts w:ascii="Arial" w:cs="Arial" w:eastAsia="Arial" w:hAnsi="Arial"/>
                <w:sz w:val="23"/>
                <w:szCs w:val="23"/>
                <w:color w:val="auto"/>
                <w:vertAlign w:val="superscript"/>
              </w:rPr>
              <w:t>2</w:t>
            </w:r>
          </w:p>
        </w:tc>
        <w:tc>
          <w:tcPr>
            <w:tcW w:w="1140" w:type="dxa"/>
            <w:vAlign w:val="bottom"/>
            <w:shd w:val="clear" w:color="auto" w:fill="E0E7ED"/>
          </w:tcPr>
          <w:p>
            <w:pPr>
              <w:spacing w:after="0"/>
              <w:rPr>
                <w:sz w:val="22"/>
                <w:szCs w:val="22"/>
                <w:color w:val="auto"/>
              </w:rPr>
            </w:pPr>
          </w:p>
        </w:tc>
        <w:tc>
          <w:tcPr>
            <w:tcW w:w="300" w:type="dxa"/>
            <w:vAlign w:val="bottom"/>
            <w:shd w:val="clear" w:color="auto" w:fill="E0E7ED"/>
          </w:tcPr>
          <w:p>
            <w:pPr>
              <w:spacing w:after="0"/>
              <w:rPr>
                <w:sz w:val="22"/>
                <w:szCs w:val="22"/>
                <w:color w:val="auto"/>
              </w:rPr>
            </w:pPr>
          </w:p>
        </w:tc>
        <w:tc>
          <w:tcPr>
            <w:tcW w:w="116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4,030</w:t>
            </w:r>
          </w:p>
        </w:tc>
        <w:tc>
          <w:tcPr>
            <w:tcW w:w="100" w:type="dxa"/>
            <w:vAlign w:val="bottom"/>
            <w:shd w:val="clear" w:color="auto" w:fill="E0E7ED"/>
          </w:tcPr>
          <w:p>
            <w:pPr>
              <w:spacing w:after="0"/>
              <w:rPr>
                <w:sz w:val="22"/>
                <w:szCs w:val="22"/>
                <w:color w:val="auto"/>
              </w:rPr>
            </w:pPr>
          </w:p>
        </w:tc>
        <w:tc>
          <w:tcPr>
            <w:tcW w:w="340" w:type="dxa"/>
            <w:vAlign w:val="bottom"/>
            <w:shd w:val="clear" w:color="auto" w:fill="E0E7ED"/>
          </w:tcPr>
          <w:p>
            <w:pPr>
              <w:spacing w:after="0"/>
              <w:rPr>
                <w:sz w:val="22"/>
                <w:szCs w:val="22"/>
                <w:color w:val="auto"/>
              </w:rPr>
            </w:pPr>
          </w:p>
        </w:tc>
        <w:tc>
          <w:tcPr>
            <w:tcW w:w="1220" w:type="dxa"/>
            <w:vAlign w:val="bottom"/>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0E7ED"/>
          </w:tcPr>
          <w:p>
            <w:pPr>
              <w:spacing w:after="0"/>
              <w:rPr>
                <w:sz w:val="22"/>
                <w:szCs w:val="22"/>
                <w:color w:val="auto"/>
              </w:rPr>
            </w:pPr>
          </w:p>
        </w:tc>
        <w:tc>
          <w:tcPr>
            <w:tcW w:w="114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4,030</w:t>
            </w:r>
          </w:p>
        </w:tc>
        <w:tc>
          <w:tcPr>
            <w:tcW w:w="80" w:type="dxa"/>
            <w:vAlign w:val="bottom"/>
            <w:shd w:val="clear" w:color="auto" w:fill="E0E7ED"/>
          </w:tcPr>
          <w:p>
            <w:pPr>
              <w:spacing w:after="0"/>
              <w:rPr>
                <w:sz w:val="22"/>
                <w:szCs w:val="22"/>
                <w:color w:val="auto"/>
              </w:rPr>
            </w:pPr>
          </w:p>
        </w:tc>
        <w:tc>
          <w:tcPr>
            <w:tcW w:w="360" w:type="dxa"/>
            <w:vAlign w:val="bottom"/>
            <w:shd w:val="clear" w:color="auto" w:fill="E0E7ED"/>
          </w:tcPr>
          <w:p>
            <w:pPr>
              <w:spacing w:after="0"/>
              <w:rPr>
                <w:sz w:val="22"/>
                <w:szCs w:val="22"/>
                <w:color w:val="auto"/>
              </w:rPr>
            </w:pPr>
          </w:p>
        </w:tc>
        <w:tc>
          <w:tcPr>
            <w:tcW w:w="1120" w:type="dxa"/>
            <w:vAlign w:val="bottom"/>
            <w:shd w:val="clear" w:color="auto" w:fill="E0E7ED"/>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3940" w:type="dxa"/>
            <w:vAlign w:val="bottom"/>
          </w:tcPr>
          <w:p>
            <w:pPr>
              <w:ind w:left="180"/>
              <w:spacing w:after="0"/>
              <w:rPr>
                <w:sz w:val="20"/>
                <w:szCs w:val="20"/>
                <w:color w:val="auto"/>
              </w:rPr>
            </w:pPr>
            <w:r>
              <w:rPr>
                <w:rFonts w:ascii="Arial" w:cs="Arial" w:eastAsia="Arial" w:hAnsi="Arial"/>
                <w:sz w:val="18"/>
                <w:szCs w:val="18"/>
                <w:color w:val="auto"/>
              </w:rPr>
              <w:t>Other acquisition expenses</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42,626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2,497</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Restructuring expenses</w:t>
            </w:r>
          </w:p>
        </w:tc>
        <w:tc>
          <w:tcPr>
            <w:tcW w:w="1140" w:type="dxa"/>
            <w:vAlign w:val="bottom"/>
            <w:tcBorders>
              <w:bottom w:val="single" w:sz="8" w:color="E0E7ED"/>
            </w:tcBorders>
            <w:shd w:val="clear" w:color="auto" w:fill="E0E7ED"/>
          </w:tcPr>
          <w:p>
            <w:pPr>
              <w:spacing w:after="0"/>
              <w:rPr>
                <w:sz w:val="21"/>
                <w:szCs w:val="21"/>
                <w:color w:val="auto"/>
              </w:rPr>
            </w:pPr>
          </w:p>
        </w:tc>
        <w:tc>
          <w:tcPr>
            <w:tcW w:w="30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0E7ED"/>
            </w:tcBorders>
            <w:shd w:val="clear" w:color="auto" w:fill="E0E7ED"/>
          </w:tcPr>
          <w:p>
            <w:pPr>
              <w:spacing w:after="0"/>
              <w:rPr>
                <w:sz w:val="21"/>
                <w:szCs w:val="21"/>
                <w:color w:val="auto"/>
              </w:rPr>
            </w:pPr>
          </w:p>
        </w:tc>
        <w:tc>
          <w:tcPr>
            <w:tcW w:w="1220" w:type="dxa"/>
            <w:vAlign w:val="bottom"/>
            <w:tcBorders>
              <w:bottom w:val="single" w:sz="8" w:color="E0E7ED"/>
            </w:tcBorders>
            <w:gridSpan w:val="2"/>
            <w:shd w:val="clear" w:color="auto" w:fill="E0E7ED"/>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E0E7ED"/>
            </w:tcBorders>
            <w:shd w:val="clear" w:color="auto" w:fill="E0E7ED"/>
          </w:tcPr>
          <w:p>
            <w:pPr>
              <w:spacing w:after="0"/>
              <w:rPr>
                <w:sz w:val="21"/>
                <w:szCs w:val="21"/>
                <w:color w:val="auto"/>
              </w:rPr>
            </w:pP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7"/>
        </w:trPr>
        <w:tc>
          <w:tcPr>
            <w:tcW w:w="3940" w:type="dxa"/>
            <w:vAlign w:val="bottom"/>
          </w:tcPr>
          <w:p>
            <w:pPr>
              <w:ind w:left="180"/>
              <w:spacing w:after="0"/>
              <w:rPr>
                <w:sz w:val="20"/>
                <w:szCs w:val="20"/>
                <w:color w:val="auto"/>
              </w:rPr>
            </w:pPr>
            <w:r>
              <w:rPr>
                <w:rFonts w:ascii="Arial" w:cs="Arial" w:eastAsia="Arial" w:hAnsi="Arial"/>
                <w:sz w:val="18"/>
                <w:szCs w:val="18"/>
                <w:color w:val="auto"/>
              </w:rPr>
              <w:t>Net securities (gains) losses</w:t>
            </w: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9,771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3"/>
        </w:trPr>
        <w:tc>
          <w:tcPr>
            <w:tcW w:w="39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39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Realized net (gains) losses on the sale of</w:t>
            </w:r>
          </w:p>
        </w:tc>
        <w:tc>
          <w:tcPr>
            <w:tcW w:w="1140" w:type="dxa"/>
            <w:vAlign w:val="bottom"/>
            <w:shd w:val="clear" w:color="auto" w:fill="E0E7ED"/>
          </w:tcPr>
          <w:p>
            <w:pPr>
              <w:spacing w:after="0"/>
              <w:rPr>
                <w:sz w:val="19"/>
                <w:szCs w:val="19"/>
                <w:color w:val="auto"/>
              </w:rPr>
            </w:pPr>
          </w:p>
        </w:tc>
        <w:tc>
          <w:tcPr>
            <w:tcW w:w="300" w:type="dxa"/>
            <w:vAlign w:val="bottom"/>
            <w:shd w:val="clear" w:color="auto" w:fill="E0E7ED"/>
          </w:tcPr>
          <w:p>
            <w:pPr>
              <w:spacing w:after="0"/>
              <w:rPr>
                <w:sz w:val="19"/>
                <w:szCs w:val="19"/>
                <w:color w:val="auto"/>
              </w:rPr>
            </w:pPr>
          </w:p>
        </w:tc>
        <w:tc>
          <w:tcPr>
            <w:tcW w:w="1260" w:type="dxa"/>
            <w:vAlign w:val="bottom"/>
            <w:gridSpan w:val="2"/>
            <w:vMerge w:val="restart"/>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E0E7ED"/>
          </w:tcPr>
          <w:p>
            <w:pPr>
              <w:spacing w:after="0"/>
              <w:rPr>
                <w:sz w:val="19"/>
                <w:szCs w:val="19"/>
                <w:color w:val="auto"/>
              </w:rPr>
            </w:pPr>
          </w:p>
        </w:tc>
        <w:tc>
          <w:tcPr>
            <w:tcW w:w="1120" w:type="dxa"/>
            <w:vAlign w:val="bottom"/>
            <w:vMerge w:val="restart"/>
            <w:shd w:val="clear" w:color="auto" w:fill="E0E7ED"/>
          </w:tcPr>
          <w:p>
            <w:pPr>
              <w:jc w:val="right"/>
              <w:ind w:right="91"/>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E0E7ED"/>
          </w:tcPr>
          <w:p>
            <w:pPr>
              <w:spacing w:after="0"/>
              <w:rPr>
                <w:sz w:val="19"/>
                <w:szCs w:val="19"/>
                <w:color w:val="auto"/>
              </w:rPr>
            </w:pPr>
          </w:p>
        </w:tc>
        <w:tc>
          <w:tcPr>
            <w:tcW w:w="340" w:type="dxa"/>
            <w:vAlign w:val="bottom"/>
            <w:shd w:val="clear" w:color="auto" w:fill="E0E7ED"/>
          </w:tcPr>
          <w:p>
            <w:pPr>
              <w:spacing w:after="0"/>
              <w:rPr>
                <w:sz w:val="19"/>
                <w:szCs w:val="19"/>
                <w:color w:val="auto"/>
              </w:rPr>
            </w:pPr>
          </w:p>
        </w:tc>
        <w:tc>
          <w:tcPr>
            <w:tcW w:w="1220" w:type="dxa"/>
            <w:vAlign w:val="bottom"/>
            <w:gridSpan w:val="2"/>
            <w:vMerge w:val="restart"/>
            <w:shd w:val="clear" w:color="auto" w:fill="E0E7ED"/>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shd w:val="clear" w:color="auto" w:fill="E0E7ED"/>
          </w:tcPr>
          <w:p>
            <w:pPr>
              <w:spacing w:after="0"/>
              <w:rPr>
                <w:sz w:val="19"/>
                <w:szCs w:val="19"/>
                <w:color w:val="auto"/>
              </w:rPr>
            </w:pPr>
          </w:p>
        </w:tc>
        <w:tc>
          <w:tcPr>
            <w:tcW w:w="1120" w:type="dxa"/>
            <w:vAlign w:val="bottom"/>
            <w:vMerge w:val="restart"/>
            <w:shd w:val="clear" w:color="auto" w:fill="E0E7ED"/>
          </w:tcPr>
          <w:p>
            <w:pPr>
              <w:jc w:val="right"/>
              <w:ind w:right="91"/>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131"/>
        </w:trPr>
        <w:tc>
          <w:tcPr>
            <w:tcW w:w="3940" w:type="dxa"/>
            <w:vAlign w:val="bottom"/>
            <w:vMerge w:val="restart"/>
            <w:shd w:val="clear" w:color="auto" w:fill="E0E7ED"/>
          </w:tcPr>
          <w:p>
            <w:pPr>
              <w:ind w:left="180"/>
              <w:spacing w:after="0"/>
              <w:rPr>
                <w:sz w:val="20"/>
                <w:szCs w:val="20"/>
                <w:color w:val="auto"/>
              </w:rPr>
            </w:pPr>
            <w:r>
              <w:rPr>
                <w:rFonts w:ascii="Arial" w:cs="Arial" w:eastAsia="Arial" w:hAnsi="Arial"/>
                <w:sz w:val="18"/>
                <w:szCs w:val="18"/>
                <w:color w:val="auto"/>
              </w:rPr>
              <w:t>mortgage servicing rights</w:t>
            </w:r>
          </w:p>
        </w:tc>
        <w:tc>
          <w:tcPr>
            <w:tcW w:w="1140" w:type="dxa"/>
            <w:vAlign w:val="bottom"/>
            <w:shd w:val="clear" w:color="auto" w:fill="E0E7ED"/>
          </w:tcPr>
          <w:p>
            <w:pPr>
              <w:spacing w:after="0"/>
              <w:rPr>
                <w:sz w:val="11"/>
                <w:szCs w:val="11"/>
                <w:color w:val="auto"/>
              </w:rPr>
            </w:pPr>
          </w:p>
        </w:tc>
        <w:tc>
          <w:tcPr>
            <w:tcW w:w="300" w:type="dxa"/>
            <w:vAlign w:val="bottom"/>
            <w:shd w:val="clear" w:color="auto" w:fill="E0E7ED"/>
          </w:tcPr>
          <w:p>
            <w:pPr>
              <w:spacing w:after="0"/>
              <w:rPr>
                <w:sz w:val="11"/>
                <w:szCs w:val="11"/>
                <w:color w:val="auto"/>
              </w:rPr>
            </w:pPr>
          </w:p>
        </w:tc>
        <w:tc>
          <w:tcPr>
            <w:tcW w:w="1260" w:type="dxa"/>
            <w:vAlign w:val="bottom"/>
            <w:gridSpan w:val="2"/>
            <w:vMerge w:val="continue"/>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120" w:type="dxa"/>
            <w:vAlign w:val="bottom"/>
            <w:vMerge w:val="continue"/>
            <w:shd w:val="clear" w:color="auto" w:fill="E0E7ED"/>
          </w:tcPr>
          <w:p>
            <w:pPr>
              <w:spacing w:after="0"/>
              <w:rPr>
                <w:sz w:val="11"/>
                <w:szCs w:val="11"/>
                <w:color w:val="auto"/>
              </w:rPr>
            </w:pPr>
          </w:p>
        </w:tc>
        <w:tc>
          <w:tcPr>
            <w:tcW w:w="100" w:type="dxa"/>
            <w:vAlign w:val="bottom"/>
            <w:shd w:val="clear" w:color="auto" w:fill="E0E7ED"/>
          </w:tcPr>
          <w:p>
            <w:pPr>
              <w:spacing w:after="0"/>
              <w:rPr>
                <w:sz w:val="11"/>
                <w:szCs w:val="11"/>
                <w:color w:val="auto"/>
              </w:rPr>
            </w:pPr>
          </w:p>
        </w:tc>
        <w:tc>
          <w:tcPr>
            <w:tcW w:w="340" w:type="dxa"/>
            <w:vAlign w:val="bottom"/>
            <w:shd w:val="clear" w:color="auto" w:fill="E0E7ED"/>
          </w:tcPr>
          <w:p>
            <w:pPr>
              <w:spacing w:after="0"/>
              <w:rPr>
                <w:sz w:val="11"/>
                <w:szCs w:val="11"/>
                <w:color w:val="auto"/>
              </w:rPr>
            </w:pPr>
          </w:p>
        </w:tc>
        <w:tc>
          <w:tcPr>
            <w:tcW w:w="1220" w:type="dxa"/>
            <w:vAlign w:val="bottom"/>
            <w:gridSpan w:val="2"/>
            <w:vMerge w:val="continue"/>
            <w:shd w:val="clear" w:color="auto" w:fill="E0E7ED"/>
          </w:tcPr>
          <w:p>
            <w:pPr>
              <w:spacing w:after="0"/>
              <w:rPr>
                <w:sz w:val="11"/>
                <w:szCs w:val="11"/>
                <w:color w:val="auto"/>
              </w:rPr>
            </w:pPr>
          </w:p>
        </w:tc>
        <w:tc>
          <w:tcPr>
            <w:tcW w:w="360" w:type="dxa"/>
            <w:vAlign w:val="bottom"/>
            <w:shd w:val="clear" w:color="auto" w:fill="E0E7ED"/>
          </w:tcPr>
          <w:p>
            <w:pPr>
              <w:spacing w:after="0"/>
              <w:rPr>
                <w:sz w:val="11"/>
                <w:szCs w:val="11"/>
                <w:color w:val="auto"/>
              </w:rPr>
            </w:pPr>
          </w:p>
        </w:tc>
        <w:tc>
          <w:tcPr>
            <w:tcW w:w="1120" w:type="dxa"/>
            <w:vAlign w:val="bottom"/>
            <w:vMerge w:val="continue"/>
            <w:shd w:val="clear" w:color="auto" w:fill="E0E7ED"/>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940" w:type="dxa"/>
            <w:vAlign w:val="bottom"/>
            <w:tcBorders>
              <w:bottom w:val="single" w:sz="8" w:color="E0E7ED"/>
            </w:tcBorders>
            <w:vMerge w:val="continue"/>
            <w:shd w:val="clear" w:color="auto" w:fill="E0E7ED"/>
          </w:tcPr>
          <w:p>
            <w:pPr>
              <w:spacing w:after="0"/>
              <w:rPr>
                <w:sz w:val="9"/>
                <w:szCs w:val="9"/>
                <w:color w:val="auto"/>
              </w:rPr>
            </w:pPr>
          </w:p>
        </w:tc>
        <w:tc>
          <w:tcPr>
            <w:tcW w:w="1140" w:type="dxa"/>
            <w:vAlign w:val="bottom"/>
            <w:tcBorders>
              <w:bottom w:val="single" w:sz="8" w:color="E0E7ED"/>
            </w:tcBorders>
            <w:shd w:val="clear" w:color="auto" w:fill="E0E7ED"/>
          </w:tcPr>
          <w:p>
            <w:pPr>
              <w:spacing w:after="0"/>
              <w:rPr>
                <w:sz w:val="9"/>
                <w:szCs w:val="9"/>
                <w:color w:val="auto"/>
              </w:rPr>
            </w:pPr>
          </w:p>
        </w:tc>
        <w:tc>
          <w:tcPr>
            <w:tcW w:w="300" w:type="dxa"/>
            <w:vAlign w:val="bottom"/>
            <w:tcBorders>
              <w:bottom w:val="single" w:sz="8" w:color="E0E7ED"/>
            </w:tcBorders>
            <w:shd w:val="clear" w:color="auto" w:fill="E0E7ED"/>
          </w:tcPr>
          <w:p>
            <w:pPr>
              <w:spacing w:after="0"/>
              <w:rPr>
                <w:sz w:val="9"/>
                <w:szCs w:val="9"/>
                <w:color w:val="auto"/>
              </w:rPr>
            </w:pPr>
          </w:p>
        </w:tc>
        <w:tc>
          <w:tcPr>
            <w:tcW w:w="1160" w:type="dxa"/>
            <w:vAlign w:val="bottom"/>
            <w:tcBorders>
              <w:bottom w:val="single" w:sz="8" w:color="E0E7E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40" w:type="dxa"/>
            <w:vAlign w:val="bottom"/>
            <w:tcBorders>
              <w:bottom w:val="single" w:sz="8" w:color="E0E7ED"/>
            </w:tcBorders>
            <w:shd w:val="clear" w:color="auto" w:fill="E0E7ED"/>
          </w:tcPr>
          <w:p>
            <w:pPr>
              <w:spacing w:after="0"/>
              <w:rPr>
                <w:sz w:val="9"/>
                <w:szCs w:val="9"/>
                <w:color w:val="auto"/>
              </w:rPr>
            </w:pPr>
          </w:p>
        </w:tc>
        <w:tc>
          <w:tcPr>
            <w:tcW w:w="1120" w:type="dxa"/>
            <w:vAlign w:val="bottom"/>
            <w:tcBorders>
              <w:bottom w:val="single" w:sz="8" w:color="E0E7ED"/>
            </w:tcBorders>
            <w:shd w:val="clear" w:color="auto" w:fill="E0E7ED"/>
          </w:tcPr>
          <w:p>
            <w:pPr>
              <w:spacing w:after="0"/>
              <w:rPr>
                <w:sz w:val="9"/>
                <w:szCs w:val="9"/>
                <w:color w:val="auto"/>
              </w:rPr>
            </w:pPr>
          </w:p>
        </w:tc>
        <w:tc>
          <w:tcPr>
            <w:tcW w:w="100" w:type="dxa"/>
            <w:vAlign w:val="bottom"/>
            <w:tcBorders>
              <w:bottom w:val="single" w:sz="8" w:color="E0E7ED"/>
            </w:tcBorders>
            <w:shd w:val="clear" w:color="auto" w:fill="E0E7ED"/>
          </w:tcPr>
          <w:p>
            <w:pPr>
              <w:spacing w:after="0"/>
              <w:rPr>
                <w:sz w:val="9"/>
                <w:szCs w:val="9"/>
                <w:color w:val="auto"/>
              </w:rPr>
            </w:pPr>
          </w:p>
        </w:tc>
        <w:tc>
          <w:tcPr>
            <w:tcW w:w="340" w:type="dxa"/>
            <w:vAlign w:val="bottom"/>
            <w:tcBorders>
              <w:bottom w:val="single" w:sz="8" w:color="E0E7ED"/>
            </w:tcBorders>
            <w:shd w:val="clear" w:color="auto" w:fill="E0E7ED"/>
          </w:tcPr>
          <w:p>
            <w:pPr>
              <w:spacing w:after="0"/>
              <w:rPr>
                <w:sz w:val="9"/>
                <w:szCs w:val="9"/>
                <w:color w:val="auto"/>
              </w:rPr>
            </w:pPr>
          </w:p>
        </w:tc>
        <w:tc>
          <w:tcPr>
            <w:tcW w:w="1140" w:type="dxa"/>
            <w:vAlign w:val="bottom"/>
            <w:tcBorders>
              <w:bottom w:val="single" w:sz="8" w:color="E0E7ED"/>
            </w:tcBorders>
            <w:shd w:val="clear" w:color="auto" w:fill="E0E7ED"/>
          </w:tcPr>
          <w:p>
            <w:pPr>
              <w:spacing w:after="0"/>
              <w:rPr>
                <w:sz w:val="9"/>
                <w:szCs w:val="9"/>
                <w:color w:val="auto"/>
              </w:rPr>
            </w:pPr>
          </w:p>
        </w:tc>
        <w:tc>
          <w:tcPr>
            <w:tcW w:w="80" w:type="dxa"/>
            <w:vAlign w:val="bottom"/>
            <w:tcBorders>
              <w:bottom w:val="single" w:sz="8" w:color="E0E7ED"/>
            </w:tcBorders>
            <w:shd w:val="clear" w:color="auto" w:fill="E0E7ED"/>
          </w:tcPr>
          <w:p>
            <w:pPr>
              <w:spacing w:after="0"/>
              <w:rPr>
                <w:sz w:val="9"/>
                <w:szCs w:val="9"/>
                <w:color w:val="auto"/>
              </w:rPr>
            </w:pPr>
          </w:p>
        </w:tc>
        <w:tc>
          <w:tcPr>
            <w:tcW w:w="360" w:type="dxa"/>
            <w:vAlign w:val="bottom"/>
            <w:tcBorders>
              <w:bottom w:val="single" w:sz="8" w:color="E0E7ED"/>
            </w:tcBorders>
            <w:shd w:val="clear" w:color="auto" w:fill="E0E7ED"/>
          </w:tcPr>
          <w:p>
            <w:pPr>
              <w:spacing w:after="0"/>
              <w:rPr>
                <w:sz w:val="9"/>
                <w:szCs w:val="9"/>
                <w:color w:val="auto"/>
              </w:rPr>
            </w:pPr>
          </w:p>
        </w:tc>
        <w:tc>
          <w:tcPr>
            <w:tcW w:w="1120" w:type="dxa"/>
            <w:vAlign w:val="bottom"/>
            <w:tcBorders>
              <w:bottom w:val="single" w:sz="8" w:color="E0E7ED"/>
            </w:tcBorders>
            <w:shd w:val="clear" w:color="auto" w:fill="E0E7ED"/>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3940" w:type="dxa"/>
            <w:vAlign w:val="bottom"/>
          </w:tcPr>
          <w:p>
            <w:pPr>
              <w:ind w:left="180"/>
              <w:spacing w:after="0"/>
              <w:rPr>
                <w:sz w:val="20"/>
                <w:szCs w:val="20"/>
                <w:color w:val="auto"/>
              </w:rPr>
            </w:pPr>
            <w:r>
              <w:rPr>
                <w:rFonts w:ascii="Arial" w:cs="Arial" w:eastAsia="Arial" w:hAnsi="Arial"/>
                <w:sz w:val="18"/>
                <w:szCs w:val="18"/>
                <w:color w:val="auto"/>
              </w:rPr>
              <w:t>Related tax (benefit) expense</w:t>
            </w:r>
            <w:r>
              <w:rPr>
                <w:rFonts w:ascii="Arial" w:cs="Arial" w:eastAsia="Arial" w:hAnsi="Arial"/>
                <w:sz w:val="23"/>
                <w:szCs w:val="23"/>
                <w:color w:val="auto"/>
                <w:vertAlign w:val="superscript"/>
              </w:rPr>
              <w:t>3</w:t>
            </w:r>
          </w:p>
        </w:tc>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(4,971)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(572)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ind w:left="280"/>
              <w:spacing w:after="0"/>
              <w:rPr>
                <w:sz w:val="20"/>
                <w:szCs w:val="20"/>
                <w:color w:val="auto"/>
              </w:rPr>
            </w:pPr>
            <w:r>
              <w:rPr>
                <w:rFonts w:ascii="Arial" w:cs="Arial" w:eastAsia="Arial" w:hAnsi="Arial"/>
                <w:sz w:val="18"/>
                <w:szCs w:val="18"/>
                <w:color w:val="auto"/>
              </w:rPr>
              <w:t>(27,040)</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70"/>
        </w:trPr>
        <w:tc>
          <w:tcPr>
            <w:tcW w:w="3940" w:type="dxa"/>
            <w:vAlign w:val="bottom"/>
            <w:shd w:val="clear" w:color="auto" w:fill="E0E7ED"/>
          </w:tcPr>
          <w:p>
            <w:pPr>
              <w:ind w:left="180"/>
              <w:spacing w:after="0"/>
              <w:rPr>
                <w:sz w:val="20"/>
                <w:szCs w:val="20"/>
                <w:color w:val="auto"/>
              </w:rPr>
            </w:pPr>
            <w:r>
              <w:rPr>
                <w:rFonts w:ascii="Arial" w:cs="Arial" w:eastAsia="Arial" w:hAnsi="Arial"/>
                <w:sz w:val="18"/>
                <w:szCs w:val="18"/>
                <w:color w:val="auto"/>
              </w:rPr>
              <w:t>Non-recurring deferred tax adjustment</w:t>
            </w:r>
            <w:r>
              <w:rPr>
                <w:rFonts w:ascii="Arial" w:cs="Arial" w:eastAsia="Arial" w:hAnsi="Arial"/>
                <w:sz w:val="23"/>
                <w:szCs w:val="23"/>
                <w:color w:val="auto"/>
                <w:vertAlign w:val="superscript"/>
              </w:rPr>
              <w:t>4</w:t>
            </w:r>
          </w:p>
        </w:tc>
        <w:tc>
          <w:tcPr>
            <w:tcW w:w="1140" w:type="dxa"/>
            <w:vAlign w:val="bottom"/>
            <w:shd w:val="clear" w:color="auto" w:fill="E0E7ED"/>
          </w:tcPr>
          <w:p>
            <w:pPr>
              <w:spacing w:after="0"/>
              <w:rPr>
                <w:sz w:val="23"/>
                <w:szCs w:val="23"/>
                <w:color w:val="auto"/>
              </w:rPr>
            </w:pPr>
          </w:p>
        </w:tc>
        <w:tc>
          <w:tcPr>
            <w:tcW w:w="300" w:type="dxa"/>
            <w:vAlign w:val="bottom"/>
            <w:tcBorders>
              <w:bottom w:val="single" w:sz="8" w:color="auto"/>
            </w:tcBorders>
            <w:shd w:val="clear" w:color="auto" w:fill="E0E7ED"/>
          </w:tcPr>
          <w:p>
            <w:pPr>
              <w:spacing w:after="0"/>
              <w:rPr>
                <w:sz w:val="23"/>
                <w:szCs w:val="23"/>
                <w:color w:val="auto"/>
              </w:rPr>
            </w:pPr>
          </w:p>
        </w:tc>
        <w:tc>
          <w:tcPr>
            <w:tcW w:w="116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20" w:type="dxa"/>
            <w:vAlign w:val="bottom"/>
            <w:tcBorders>
              <w:bottom w:val="single" w:sz="8" w:color="auto"/>
            </w:tcBorders>
            <w:shd w:val="clear" w:color="auto" w:fill="E0E7ED"/>
          </w:tcPr>
          <w:p>
            <w:pPr>
              <w:jc w:val="right"/>
              <w:ind w:right="151"/>
              <w:spacing w:after="0"/>
              <w:rPr>
                <w:sz w:val="20"/>
                <w:szCs w:val="20"/>
                <w:color w:val="auto"/>
              </w:rPr>
            </w:pPr>
            <w:r>
              <w:rPr>
                <w:rFonts w:ascii="Arial" w:cs="Arial" w:eastAsia="Arial" w:hAnsi="Arial"/>
                <w:sz w:val="18"/>
                <w:szCs w:val="18"/>
                <w:color w:val="auto"/>
              </w:rPr>
              <w:t>1,446</w:t>
            </w:r>
          </w:p>
        </w:tc>
        <w:tc>
          <w:tcPr>
            <w:tcW w:w="100" w:type="dxa"/>
            <w:vAlign w:val="bottom"/>
            <w:shd w:val="clear" w:color="auto" w:fill="E0E7ED"/>
          </w:tcPr>
          <w:p>
            <w:pPr>
              <w:spacing w:after="0"/>
              <w:rPr>
                <w:sz w:val="23"/>
                <w:szCs w:val="23"/>
                <w:color w:val="auto"/>
              </w:rPr>
            </w:pPr>
          </w:p>
        </w:tc>
        <w:tc>
          <w:tcPr>
            <w:tcW w:w="340" w:type="dxa"/>
            <w:vAlign w:val="bottom"/>
            <w:tcBorders>
              <w:bottom w:val="single" w:sz="8" w:color="auto"/>
            </w:tcBorders>
            <w:shd w:val="clear" w:color="auto" w:fill="E0E7ED"/>
          </w:tcPr>
          <w:p>
            <w:pPr>
              <w:spacing w:after="0"/>
              <w:rPr>
                <w:sz w:val="23"/>
                <w:szCs w:val="23"/>
                <w:color w:val="auto"/>
              </w:rPr>
            </w:pPr>
          </w:p>
        </w:tc>
        <w:tc>
          <w:tcPr>
            <w:tcW w:w="114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4,919</w:t>
            </w:r>
          </w:p>
        </w:tc>
        <w:tc>
          <w:tcPr>
            <w:tcW w:w="80" w:type="dxa"/>
            <w:vAlign w:val="bottom"/>
            <w:shd w:val="clear" w:color="auto" w:fill="E0E7ED"/>
          </w:tcPr>
          <w:p>
            <w:pPr>
              <w:spacing w:after="0"/>
              <w:rPr>
                <w:sz w:val="23"/>
                <w:szCs w:val="23"/>
                <w:color w:val="auto"/>
              </w:rPr>
            </w:pPr>
          </w:p>
        </w:tc>
        <w:tc>
          <w:tcPr>
            <w:tcW w:w="360" w:type="dxa"/>
            <w:vAlign w:val="bottom"/>
            <w:tcBorders>
              <w:bottom w:val="single" w:sz="8" w:color="auto"/>
            </w:tcBorders>
            <w:shd w:val="clear" w:color="auto" w:fill="E0E7ED"/>
          </w:tcPr>
          <w:p>
            <w:pPr>
              <w:spacing w:after="0"/>
              <w:rPr>
                <w:sz w:val="23"/>
                <w:szCs w:val="23"/>
                <w:color w:val="auto"/>
              </w:rPr>
            </w:pPr>
          </w:p>
        </w:tc>
        <w:tc>
          <w:tcPr>
            <w:tcW w:w="1120" w:type="dxa"/>
            <w:vAlign w:val="bottom"/>
            <w:tcBorders>
              <w:bottom w:val="single" w:sz="8" w:color="auto"/>
            </w:tcBorders>
            <w:shd w:val="clear" w:color="auto" w:fill="E0E7ED"/>
          </w:tcPr>
          <w:p>
            <w:pPr>
              <w:jc w:val="right"/>
              <w:ind w:right="151"/>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64"/>
        </w:trPr>
        <w:tc>
          <w:tcPr>
            <w:tcW w:w="3940" w:type="dxa"/>
            <w:vAlign w:val="bottom"/>
          </w:tcPr>
          <w:p>
            <w:pPr>
              <w:ind w:left="20"/>
              <w:spacing w:after="0"/>
              <w:rPr>
                <w:sz w:val="20"/>
                <w:szCs w:val="20"/>
                <w:color w:val="auto"/>
              </w:rPr>
            </w:pPr>
            <w:r>
              <w:rPr>
                <w:rFonts w:ascii="Arial" w:cs="Arial" w:eastAsia="Arial" w:hAnsi="Arial"/>
                <w:sz w:val="18"/>
                <w:szCs w:val="18"/>
                <w:color w:val="auto"/>
              </w:rPr>
              <w:t>Adjusted net income (Non-GAAP)</w:t>
            </w:r>
            <w:r>
              <w:rPr>
                <w:rFonts w:ascii="Arial" w:cs="Arial" w:eastAsia="Arial" w:hAnsi="Arial"/>
                <w:sz w:val="23"/>
                <w:szCs w:val="23"/>
                <w:color w:val="auto"/>
                <w:vertAlign w:val="superscript"/>
              </w:rPr>
              <w:t>5</w:t>
            </w:r>
          </w:p>
        </w:tc>
        <w:tc>
          <w:tcPr>
            <w:tcW w:w="1140" w:type="dxa"/>
            <w:vAlign w:val="bottom"/>
          </w:tcPr>
          <w:p>
            <w:pPr>
              <w:ind w:left="20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2"/>
                <w:szCs w:val="22"/>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color w:val="auto"/>
              </w:rPr>
              <w:t>57,394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30,519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53"/>
              <w:spacing w:after="0"/>
              <w:rPr>
                <w:sz w:val="20"/>
                <w:szCs w:val="20"/>
                <w:color w:val="auto"/>
              </w:rPr>
            </w:pPr>
            <w:r>
              <w:rPr>
                <w:rFonts w:ascii="Arial" w:cs="Arial" w:eastAsia="Arial" w:hAnsi="Arial"/>
                <w:sz w:val="18"/>
                <w:szCs w:val="18"/>
                <w:color w:val="auto"/>
              </w:rPr>
              <w:t>97,292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70"/>
        </w:trPr>
        <w:tc>
          <w:tcPr>
            <w:tcW w:w="394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Preferred dividends</w:t>
            </w:r>
          </w:p>
        </w:tc>
        <w:tc>
          <w:tcPr>
            <w:tcW w:w="1140" w:type="dxa"/>
            <w:vAlign w:val="bottom"/>
            <w:tcBorders>
              <w:bottom w:val="single" w:sz="8" w:color="E0E7ED"/>
            </w:tcBorders>
            <w:shd w:val="clear" w:color="auto" w:fill="E0E7ED"/>
          </w:tcPr>
          <w:p>
            <w:pPr>
              <w:ind w:left="200"/>
              <w:spacing w:after="0"/>
              <w:rPr>
                <w:sz w:val="20"/>
                <w:szCs w:val="20"/>
                <w:color w:val="auto"/>
              </w:rPr>
            </w:pPr>
            <w:r>
              <w:rPr>
                <w:rFonts w:ascii="Arial" w:cs="Arial" w:eastAsia="Arial" w:hAnsi="Arial"/>
                <w:sz w:val="18"/>
                <w:szCs w:val="18"/>
                <w:color w:val="auto"/>
              </w:rPr>
              <w:t>[c]</w:t>
            </w:r>
          </w:p>
        </w:tc>
        <w:tc>
          <w:tcPr>
            <w:tcW w:w="300" w:type="dxa"/>
            <w:vAlign w:val="bottom"/>
            <w:tcBorders>
              <w:bottom w:val="single" w:sz="8" w:color="E0E7ED"/>
            </w:tcBorders>
            <w:shd w:val="clear" w:color="auto" w:fill="E0E7ED"/>
          </w:tcPr>
          <w:p>
            <w:pPr>
              <w:spacing w:after="0"/>
              <w:rPr>
                <w:sz w:val="23"/>
                <w:szCs w:val="23"/>
                <w:color w:val="auto"/>
              </w:rPr>
            </w:pPr>
          </w:p>
        </w:tc>
        <w:tc>
          <w:tcPr>
            <w:tcW w:w="116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E0E7ED"/>
            </w:tcBorders>
            <w:shd w:val="clear" w:color="auto" w:fill="E0E7ED"/>
          </w:tcPr>
          <w:p>
            <w:pPr>
              <w:spacing w:after="0"/>
              <w:rPr>
                <w:sz w:val="23"/>
                <w:szCs w:val="23"/>
                <w:color w:val="auto"/>
              </w:rPr>
            </w:pPr>
          </w:p>
        </w:tc>
        <w:tc>
          <w:tcPr>
            <w:tcW w:w="340" w:type="dxa"/>
            <w:vAlign w:val="bottom"/>
            <w:tcBorders>
              <w:bottom w:val="single" w:sz="8" w:color="E0E7ED"/>
            </w:tcBorders>
            <w:shd w:val="clear" w:color="auto" w:fill="E0E7ED"/>
          </w:tcPr>
          <w:p>
            <w:pPr>
              <w:spacing w:after="0"/>
              <w:rPr>
                <w:sz w:val="23"/>
                <w:szCs w:val="23"/>
                <w:color w:val="auto"/>
              </w:rPr>
            </w:pPr>
          </w:p>
        </w:tc>
        <w:tc>
          <w:tcPr>
            <w:tcW w:w="1220" w:type="dxa"/>
            <w:vAlign w:val="bottom"/>
            <w:tcBorders>
              <w:bottom w:val="single" w:sz="8" w:color="E0E7ED"/>
            </w:tcBorders>
            <w:gridSpan w:val="2"/>
            <w:shd w:val="clear" w:color="auto" w:fill="E0E7ED"/>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E0E7ED"/>
            </w:tcBorders>
            <w:shd w:val="clear" w:color="auto" w:fill="E0E7ED"/>
          </w:tcPr>
          <w:p>
            <w:pPr>
              <w:spacing w:after="0"/>
              <w:rPr>
                <w:sz w:val="23"/>
                <w:szCs w:val="23"/>
                <w:color w:val="auto"/>
              </w:rPr>
            </w:pPr>
          </w:p>
        </w:tc>
        <w:tc>
          <w:tcPr>
            <w:tcW w:w="114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155</w:t>
            </w:r>
          </w:p>
        </w:tc>
        <w:tc>
          <w:tcPr>
            <w:tcW w:w="80" w:type="dxa"/>
            <w:vAlign w:val="bottom"/>
            <w:tcBorders>
              <w:bottom w:val="single" w:sz="8" w:color="E0E7ED"/>
            </w:tcBorders>
            <w:shd w:val="clear" w:color="auto" w:fill="E0E7ED"/>
          </w:tcPr>
          <w:p>
            <w:pPr>
              <w:spacing w:after="0"/>
              <w:rPr>
                <w:sz w:val="23"/>
                <w:szCs w:val="23"/>
                <w:color w:val="auto"/>
              </w:rPr>
            </w:pPr>
          </w:p>
        </w:tc>
        <w:tc>
          <w:tcPr>
            <w:tcW w:w="360" w:type="dxa"/>
            <w:vAlign w:val="bottom"/>
            <w:tcBorders>
              <w:bottom w:val="single" w:sz="8" w:color="E0E7ED"/>
            </w:tcBorders>
            <w:shd w:val="clear" w:color="auto" w:fill="E0E7ED"/>
          </w:tcPr>
          <w:p>
            <w:pPr>
              <w:spacing w:after="0"/>
              <w:rPr>
                <w:sz w:val="23"/>
                <w:szCs w:val="23"/>
                <w:color w:val="auto"/>
              </w:rPr>
            </w:pPr>
          </w:p>
        </w:tc>
        <w:tc>
          <w:tcPr>
            <w:tcW w:w="1120" w:type="dxa"/>
            <w:vAlign w:val="bottom"/>
            <w:tcBorders>
              <w:bottom w:val="single" w:sz="8" w:color="E0E7ED"/>
            </w:tcBorders>
            <w:shd w:val="clear" w:color="auto" w:fill="E0E7ED"/>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4"/>
        </w:trPr>
        <w:tc>
          <w:tcPr>
            <w:tcW w:w="3940" w:type="dxa"/>
            <w:vAlign w:val="bottom"/>
          </w:tcPr>
          <w:p>
            <w:pPr>
              <w:ind w:left="20"/>
              <w:spacing w:after="0" w:line="204" w:lineRule="exact"/>
              <w:rPr>
                <w:sz w:val="20"/>
                <w:szCs w:val="20"/>
                <w:color w:val="auto"/>
              </w:rPr>
            </w:pPr>
            <w:r>
              <w:rPr>
                <w:rFonts w:ascii="Arial" w:cs="Arial" w:eastAsia="Arial" w:hAnsi="Arial"/>
                <w:sz w:val="18"/>
                <w:szCs w:val="18"/>
                <w:color w:val="auto"/>
              </w:rPr>
              <w:t>Adjusted net income available to common</w:t>
            </w:r>
          </w:p>
        </w:tc>
        <w:tc>
          <w:tcPr>
            <w:tcW w:w="1140" w:type="dxa"/>
            <w:vAlign w:val="bottom"/>
          </w:tcPr>
          <w:p>
            <w:pPr>
              <w:spacing w:after="0"/>
              <w:rPr>
                <w:sz w:val="17"/>
                <w:szCs w:val="17"/>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57,239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30,519</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153"/>
              <w:spacing w:after="0"/>
              <w:rPr>
                <w:sz w:val="20"/>
                <w:szCs w:val="20"/>
                <w:color w:val="auto"/>
              </w:rPr>
            </w:pPr>
            <w:r>
              <w:rPr>
                <w:rFonts w:ascii="Arial" w:cs="Arial" w:eastAsia="Arial" w:hAnsi="Arial"/>
                <w:sz w:val="18"/>
                <w:szCs w:val="18"/>
                <w:color w:val="auto"/>
              </w:rPr>
              <w:t>97,137</w:t>
            </w:r>
          </w:p>
        </w:tc>
        <w:tc>
          <w:tcPr>
            <w:tcW w:w="80" w:type="dxa"/>
            <w:vAlign w:val="bottom"/>
          </w:tcPr>
          <w:p>
            <w:pPr>
              <w:spacing w:after="0"/>
              <w:rPr>
                <w:sz w:val="17"/>
                <w:szCs w:val="17"/>
                <w:color w:val="auto"/>
              </w:rPr>
            </w:pPr>
          </w:p>
        </w:tc>
        <w:tc>
          <w:tcPr>
            <w:tcW w:w="3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vMerge w:val="restart"/>
          </w:tcPr>
          <w:p>
            <w:pPr>
              <w:jc w:val="right"/>
              <w:ind w:right="151"/>
              <w:spacing w:after="0"/>
              <w:rPr>
                <w:sz w:val="20"/>
                <w:szCs w:val="20"/>
                <w:color w:val="auto"/>
              </w:rPr>
            </w:pPr>
            <w:r>
              <w:rPr>
                <w:rFonts w:ascii="Arial" w:cs="Arial" w:eastAsia="Arial" w:hAnsi="Arial"/>
                <w:sz w:val="18"/>
                <w:szCs w:val="18"/>
                <w:color w:val="auto"/>
              </w:rPr>
              <w:t>56,232</w:t>
            </w:r>
          </w:p>
        </w:tc>
        <w:tc>
          <w:tcPr>
            <w:tcW w:w="0" w:type="dxa"/>
            <w:vAlign w:val="bottom"/>
          </w:tcPr>
          <w:p>
            <w:pPr>
              <w:spacing w:after="0"/>
              <w:rPr>
                <w:sz w:val="1"/>
                <w:szCs w:val="1"/>
                <w:color w:val="auto"/>
              </w:rPr>
            </w:pPr>
          </w:p>
        </w:tc>
      </w:tr>
      <w:tr>
        <w:trPr>
          <w:trHeight w:val="240"/>
        </w:trPr>
        <w:tc>
          <w:tcPr>
            <w:tcW w:w="3940" w:type="dxa"/>
            <w:vAlign w:val="bottom"/>
          </w:tcPr>
          <w:p>
            <w:pPr>
              <w:ind w:left="20"/>
              <w:spacing w:after="0"/>
              <w:rPr>
                <w:sz w:val="20"/>
                <w:szCs w:val="20"/>
                <w:color w:val="auto"/>
              </w:rPr>
            </w:pPr>
            <w:r>
              <w:rPr>
                <w:rFonts w:ascii="Arial" w:cs="Arial" w:eastAsia="Arial" w:hAnsi="Arial"/>
                <w:sz w:val="18"/>
                <w:szCs w:val="18"/>
                <w:color w:val="auto"/>
              </w:rPr>
              <w:t>stockholders (Non-GAAP)</w:t>
            </w:r>
          </w:p>
        </w:tc>
        <w:tc>
          <w:tcPr>
            <w:tcW w:w="1140" w:type="dxa"/>
            <w:vAlign w:val="bottom"/>
          </w:tcPr>
          <w:p>
            <w:pPr>
              <w:ind w:left="200"/>
              <w:spacing w:after="0"/>
              <w:rPr>
                <w:sz w:val="20"/>
                <w:szCs w:val="20"/>
                <w:color w:val="auto"/>
              </w:rPr>
            </w:pPr>
            <w:r>
              <w:rPr>
                <w:rFonts w:ascii="Arial" w:cs="Arial" w:eastAsia="Arial" w:hAnsi="Arial"/>
                <w:sz w:val="18"/>
                <w:szCs w:val="18"/>
                <w:color w:val="auto"/>
              </w:rPr>
              <w:t>[d]</w:t>
            </w: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E0E7ED"/>
            </w:tcBorders>
          </w:tcPr>
          <w:p>
            <w:pPr>
              <w:spacing w:after="0" w:line="20" w:lineRule="exact"/>
              <w:rPr>
                <w:sz w:val="1"/>
                <w:szCs w:val="1"/>
                <w:color w:val="auto"/>
              </w:rPr>
            </w:pPr>
          </w:p>
        </w:tc>
        <w:tc>
          <w:tcPr>
            <w:tcW w:w="1140" w:type="dxa"/>
            <w:vAlign w:val="bottom"/>
            <w:tcBorders>
              <w:bottom w:val="single" w:sz="8" w:color="E0E7ED"/>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300" w:type="dxa"/>
            <w:vAlign w:val="bottom"/>
            <w:shd w:val="clear" w:color="auto" w:fill="E0E7ED"/>
          </w:tcPr>
          <w:p>
            <w:pPr>
              <w:spacing w:after="0"/>
              <w:rPr>
                <w:sz w:val="15"/>
                <w:szCs w:val="15"/>
                <w:color w:val="auto"/>
              </w:rPr>
            </w:pPr>
          </w:p>
        </w:tc>
        <w:tc>
          <w:tcPr>
            <w:tcW w:w="116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340" w:type="dxa"/>
            <w:vAlign w:val="bottom"/>
            <w:shd w:val="clear" w:color="auto" w:fill="E0E7ED"/>
          </w:tcPr>
          <w:p>
            <w:pPr>
              <w:spacing w:after="0"/>
              <w:rPr>
                <w:sz w:val="15"/>
                <w:szCs w:val="15"/>
                <w:color w:val="auto"/>
              </w:rPr>
            </w:pPr>
          </w:p>
        </w:tc>
        <w:tc>
          <w:tcPr>
            <w:tcW w:w="114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360" w:type="dxa"/>
            <w:vAlign w:val="bottom"/>
            <w:shd w:val="clear" w:color="auto" w:fill="E0E7ED"/>
          </w:tcPr>
          <w:p>
            <w:pPr>
              <w:spacing w:after="0"/>
              <w:rPr>
                <w:sz w:val="15"/>
                <w:szCs w:val="15"/>
                <w:color w:val="auto"/>
              </w:rPr>
            </w:pPr>
          </w:p>
        </w:tc>
        <w:tc>
          <w:tcPr>
            <w:tcW w:w="1120" w:type="dxa"/>
            <w:vAlign w:val="bottom"/>
            <w:shd w:val="clear" w:color="auto" w:fill="E0E7ED"/>
          </w:tcPr>
          <w:p>
            <w:pPr>
              <w:spacing w:after="0"/>
              <w:rPr>
                <w:sz w:val="15"/>
                <w:szCs w:val="15"/>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ectPr>
          <w:pgSz w:w="11900" w:h="16838" w:orient="portrait"/>
          <w:cols w:equalWidth="0" w:num="1">
            <w:col w:w="11240"/>
          </w:cols>
          <w:pgMar w:left="320" w:top="296" w:right="339" w:bottom="1440" w:gutter="0" w:footer="0" w:header="0"/>
        </w:sectPr>
      </w:pPr>
    </w:p>
    <w:tbl>
      <w:tblPr>
        <w:tblLayout w:type="fixed"/>
        <w:tblInd w:w="20" w:type="dxa"/>
        <w:tblCellMar>
          <w:top w:w="0" w:type="dxa"/>
          <w:left w:w="0" w:type="dxa"/>
          <w:bottom w:w="0" w:type="dxa"/>
          <w:right w:w="0" w:type="dxa"/>
        </w:tblCellMar>
      </w:tblPr>
      <w:tr>
        <w:trPr>
          <w:trHeight w:val="216"/>
        </w:trPr>
        <w:tc>
          <w:tcPr>
            <w:tcW w:w="410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[e]</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100" w:type="dxa"/>
            <w:vAlign w:val="bottom"/>
            <w:vMerge w:val="restart"/>
          </w:tcPr>
          <w:p>
            <w:pPr>
              <w:spacing w:after="0"/>
              <w:rPr>
                <w:sz w:val="20"/>
                <w:szCs w:val="20"/>
                <w:color w:val="auto"/>
              </w:rPr>
            </w:pPr>
            <w:r>
              <w:rPr>
                <w:rFonts w:ascii="Arial" w:cs="Arial" w:eastAsia="Arial" w:hAnsi="Arial"/>
                <w:sz w:val="18"/>
                <w:szCs w:val="18"/>
                <w:b w:val="1"/>
                <w:bCs w:val="1"/>
                <w:color w:val="auto"/>
              </w:rPr>
              <w:t>outstanding, diluted (GAAP)</w:t>
            </w:r>
          </w:p>
        </w:tc>
        <w:tc>
          <w:tcPr>
            <w:tcW w:w="70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410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10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(GAAP)</w:t>
            </w:r>
          </w:p>
        </w:tc>
        <w:tc>
          <w:tcPr>
            <w:tcW w:w="1080" w:type="dxa"/>
            <w:vAlign w:val="bottom"/>
            <w:gridSpan w:val="2"/>
          </w:tcPr>
          <w:p>
            <w:pPr>
              <w:ind w:left="20"/>
              <w:spacing w:after="0"/>
              <w:rPr>
                <w:sz w:val="20"/>
                <w:szCs w:val="20"/>
                <w:color w:val="auto"/>
              </w:rPr>
            </w:pPr>
            <w:r>
              <w:rPr>
                <w:rFonts w:ascii="Arial" w:cs="Arial" w:eastAsia="Arial" w:hAnsi="Arial"/>
                <w:sz w:val="18"/>
                <w:szCs w:val="18"/>
                <w:color w:val="auto"/>
              </w:rPr>
              <w:t>[(a-c)÷e]   $</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Arial" w:cs="Arial" w:eastAsia="Arial" w:hAnsi="Arial"/>
                <w:sz w:val="18"/>
                <w:szCs w:val="18"/>
                <w:color w:val="auto"/>
              </w:rPr>
              <w:t>Adjusted diluted earnings per common share (Non-</w:t>
            </w:r>
          </w:p>
        </w:tc>
        <w:tc>
          <w:tcPr>
            <w:tcW w:w="700" w:type="dxa"/>
            <w:vAlign w:val="bottom"/>
          </w:tcPr>
          <w:p>
            <w:pPr>
              <w:spacing w:after="0"/>
              <w:rPr>
                <w:sz w:val="20"/>
                <w:szCs w:val="20"/>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1"/>
        </w:trPr>
        <w:tc>
          <w:tcPr>
            <w:tcW w:w="4100" w:type="dxa"/>
            <w:vAlign w:val="bottom"/>
            <w:vMerge w:val="restart"/>
          </w:tcPr>
          <w:p>
            <w:pPr>
              <w:spacing w:after="0"/>
              <w:rPr>
                <w:sz w:val="20"/>
                <w:szCs w:val="20"/>
                <w:color w:val="auto"/>
              </w:rPr>
            </w:pPr>
            <w:r>
              <w:rPr>
                <w:rFonts w:ascii="Arial" w:cs="Arial" w:eastAsia="Arial" w:hAnsi="Arial"/>
                <w:sz w:val="18"/>
                <w:szCs w:val="18"/>
                <w:color w:val="auto"/>
              </w:rPr>
              <w:t>GAAP)</w:t>
            </w:r>
            <w:r>
              <w:rPr>
                <w:rFonts w:ascii="Arial" w:cs="Arial" w:eastAsia="Arial" w:hAnsi="Arial"/>
                <w:sz w:val="23"/>
                <w:szCs w:val="23"/>
                <w:color w:val="auto"/>
                <w:vertAlign w:val="superscript"/>
              </w:rPr>
              <w:t>6</w:t>
            </w:r>
          </w:p>
        </w:tc>
        <w:tc>
          <w:tcPr>
            <w:tcW w:w="700" w:type="dxa"/>
            <w:vAlign w:val="bottom"/>
            <w:vMerge w:val="restart"/>
          </w:tcPr>
          <w:p>
            <w:pPr>
              <w:ind w:left="20"/>
              <w:spacing w:after="0"/>
              <w:rPr>
                <w:sz w:val="20"/>
                <w:szCs w:val="20"/>
                <w:color w:val="auto"/>
              </w:rPr>
            </w:pPr>
            <w:r>
              <w:rPr>
                <w:rFonts w:ascii="Arial" w:cs="Arial" w:eastAsia="Arial" w:hAnsi="Arial"/>
                <w:sz w:val="18"/>
                <w:szCs w:val="18"/>
                <w:color w:val="auto"/>
              </w:rPr>
              <w:t>[d÷e]</w:t>
            </w:r>
          </w:p>
        </w:tc>
        <w:tc>
          <w:tcPr>
            <w:tcW w:w="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10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060" w:type="dxa"/>
            <w:vAlign w:val="bottom"/>
          </w:tcPr>
          <w:p>
            <w:pPr>
              <w:jc w:val="right"/>
              <w:ind w:right="90"/>
              <w:spacing w:after="0"/>
              <w:rPr>
                <w:sz w:val="20"/>
                <w:szCs w:val="20"/>
                <w:color w:val="auto"/>
              </w:rPr>
            </w:pPr>
            <w:r>
              <w:rPr>
                <w:rFonts w:ascii="Arial" w:cs="Arial" w:eastAsia="Arial" w:hAnsi="Arial"/>
                <w:sz w:val="18"/>
                <w:szCs w:val="18"/>
                <w:color w:val="auto"/>
                <w:w w:val="95"/>
              </w:rPr>
              <w:t>90,883,711</w:t>
            </w:r>
          </w:p>
        </w:tc>
        <w:tc>
          <w:tcPr>
            <w:tcW w:w="38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57,853,231</w:t>
            </w:r>
          </w:p>
        </w:tc>
        <w:tc>
          <w:tcPr>
            <w:tcW w:w="380" w:type="dxa"/>
            <w:vAlign w:val="bottom"/>
          </w:tcPr>
          <w:p>
            <w:pPr>
              <w:spacing w:after="0"/>
              <w:rPr>
                <w:sz w:val="20"/>
                <w:szCs w:val="20"/>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80,251,577</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57,129,865</w:t>
            </w:r>
          </w:p>
        </w:tc>
      </w:tr>
      <w:tr>
        <w:trPr>
          <w:trHeight w:val="270"/>
        </w:trPr>
        <w:tc>
          <w:tcPr>
            <w:tcW w:w="1060" w:type="dxa"/>
            <w:vAlign w:val="bottom"/>
          </w:tcPr>
          <w:p>
            <w:pPr>
              <w:jc w:val="right"/>
              <w:ind w:right="90"/>
              <w:spacing w:after="0"/>
              <w:rPr>
                <w:sz w:val="20"/>
                <w:szCs w:val="20"/>
                <w:color w:val="auto"/>
              </w:rPr>
            </w:pPr>
            <w:r>
              <w:rPr>
                <w:rFonts w:ascii="Arial" w:cs="Arial" w:eastAsia="Arial" w:hAnsi="Arial"/>
                <w:sz w:val="18"/>
                <w:szCs w:val="18"/>
                <w:color w:val="auto"/>
              </w:rPr>
              <w:t>0.52</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0.47</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0.22</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0.94</w:t>
            </w:r>
          </w:p>
        </w:tc>
      </w:tr>
      <w:tr>
        <w:trPr>
          <w:trHeight w:val="378"/>
        </w:trPr>
        <w:tc>
          <w:tcPr>
            <w:tcW w:w="1060" w:type="dxa"/>
            <w:vAlign w:val="bottom"/>
          </w:tcPr>
          <w:p>
            <w:pPr>
              <w:jc w:val="right"/>
              <w:ind w:right="90"/>
              <w:spacing w:after="0"/>
              <w:rPr>
                <w:sz w:val="20"/>
                <w:szCs w:val="20"/>
                <w:color w:val="auto"/>
              </w:rPr>
            </w:pPr>
            <w:r>
              <w:rPr>
                <w:rFonts w:ascii="Arial" w:cs="Arial" w:eastAsia="Arial" w:hAnsi="Arial"/>
                <w:sz w:val="18"/>
                <w:szCs w:val="18"/>
                <w:color w:val="auto"/>
              </w:rPr>
              <w:t>0.63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0.53</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1.21</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-396240</wp:posOffset>
            </wp:positionV>
            <wp:extent cx="71323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83185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54" w:lineRule="exact"/>
        <w:rPr>
          <w:sz w:val="20"/>
          <w:szCs w:val="20"/>
          <w:color w:val="auto"/>
        </w:rPr>
      </w:pPr>
    </w:p>
    <w:p>
      <w:pPr>
        <w:sectPr>
          <w:pgSz w:w="11900" w:h="16838" w:orient="portrait"/>
          <w:cols w:equalWidth="0" w:num="2">
            <w:col w:w="5200" w:space="220"/>
            <w:col w:w="5820"/>
          </w:cols>
          <w:pgMar w:left="320" w:top="296" w:right="33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4120" w:type="dxa"/>
            <w:vAlign w:val="bottom"/>
          </w:tcPr>
          <w:p>
            <w:pPr>
              <w:ind w:left="20"/>
              <w:spacing w:after="0"/>
              <w:rPr>
                <w:sz w:val="20"/>
                <w:szCs w:val="20"/>
                <w:color w:val="auto"/>
              </w:rPr>
            </w:pPr>
            <w:r>
              <w:rPr>
                <w:rFonts w:ascii="Arial" w:cs="Arial" w:eastAsia="Arial" w:hAnsi="Arial"/>
                <w:sz w:val="18"/>
                <w:szCs w:val="18"/>
                <w:color w:val="auto"/>
              </w:rPr>
              <w:t>Average total assets</w:t>
            </w:r>
          </w:p>
        </w:tc>
        <w:tc>
          <w:tcPr>
            <w:tcW w:w="960" w:type="dxa"/>
            <w:vAlign w:val="bottom"/>
          </w:tcPr>
          <w:p>
            <w:pPr>
              <w:ind w:left="20"/>
              <w:spacing w:after="0"/>
              <w:rPr>
                <w:sz w:val="20"/>
                <w:szCs w:val="20"/>
                <w:color w:val="auto"/>
              </w:rPr>
            </w:pPr>
            <w:r>
              <w:rPr>
                <w:rFonts w:ascii="Arial" w:cs="Arial" w:eastAsia="Arial" w:hAnsi="Arial"/>
                <w:sz w:val="18"/>
                <w:szCs w:val="18"/>
                <w:color w:val="auto"/>
              </w:rPr>
              <w:t>[f]</w:t>
            </w: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19,068,086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12,089,692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16,961,396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12,056,950</w:t>
            </w:r>
          </w:p>
        </w:tc>
      </w:tr>
      <w:tr>
        <w:trPr>
          <w:trHeight w:val="23"/>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20" w:type="dxa"/>
            <w:vAlign w:val="bottom"/>
            <w:shd w:val="clear" w:color="auto" w:fill="E0E7ED"/>
          </w:tcPr>
          <w:p>
            <w:pPr>
              <w:ind w:left="20"/>
              <w:spacing w:after="0"/>
              <w:rPr>
                <w:sz w:val="20"/>
                <w:szCs w:val="20"/>
                <w:color w:val="auto"/>
              </w:rPr>
            </w:pPr>
            <w:r>
              <w:rPr>
                <w:rFonts w:ascii="Arial" w:cs="Arial" w:eastAsia="Arial" w:hAnsi="Arial"/>
                <w:sz w:val="18"/>
                <w:szCs w:val="18"/>
                <w:color w:val="auto"/>
              </w:rPr>
              <w:t>Return on average assets (Non-GAAP)</w:t>
            </w:r>
            <w:r>
              <w:rPr>
                <w:rFonts w:ascii="Arial" w:cs="Arial" w:eastAsia="Arial" w:hAnsi="Arial"/>
                <w:sz w:val="23"/>
                <w:szCs w:val="23"/>
                <w:color w:val="auto"/>
                <w:vertAlign w:val="superscript"/>
              </w:rPr>
              <w:t>6</w:t>
            </w:r>
          </w:p>
        </w:tc>
        <w:tc>
          <w:tcPr>
            <w:tcW w:w="960" w:type="dxa"/>
            <w:vAlign w:val="bottom"/>
            <w:shd w:val="clear" w:color="auto" w:fill="E0E7ED"/>
          </w:tcPr>
          <w:p>
            <w:pPr>
              <w:ind w:left="20"/>
              <w:spacing w:after="0"/>
              <w:rPr>
                <w:sz w:val="20"/>
                <w:szCs w:val="20"/>
                <w:color w:val="auto"/>
              </w:rPr>
            </w:pPr>
            <w:r>
              <w:rPr>
                <w:rFonts w:ascii="Arial" w:cs="Arial" w:eastAsia="Arial" w:hAnsi="Arial"/>
                <w:sz w:val="18"/>
                <w:szCs w:val="18"/>
                <w:color w:val="auto"/>
              </w:rPr>
              <w:t>[a÷f]</w:t>
            </w:r>
          </w:p>
        </w:tc>
        <w:tc>
          <w:tcPr>
            <w:tcW w:w="22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0.91 %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0.21 %</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0.89 %</w:t>
            </w:r>
          </w:p>
        </w:tc>
      </w:tr>
      <w:tr>
        <w:trPr>
          <w:trHeight w:val="270"/>
        </w:trPr>
        <w:tc>
          <w:tcPr>
            <w:tcW w:w="4120" w:type="dxa"/>
            <w:vAlign w:val="bottom"/>
          </w:tcPr>
          <w:p>
            <w:pPr>
              <w:ind w:left="20"/>
              <w:spacing w:after="0"/>
              <w:rPr>
                <w:sz w:val="20"/>
                <w:szCs w:val="20"/>
                <w:color w:val="auto"/>
              </w:rPr>
            </w:pPr>
            <w:r>
              <w:rPr>
                <w:rFonts w:ascii="Arial" w:cs="Arial" w:eastAsia="Arial" w:hAnsi="Arial"/>
                <w:sz w:val="18"/>
                <w:szCs w:val="18"/>
                <w:color w:val="auto"/>
              </w:rPr>
              <w:t>Adjusted return on average assets (Non-GAAP)</w:t>
            </w:r>
            <w:r>
              <w:rPr>
                <w:rFonts w:ascii="Arial" w:cs="Arial" w:eastAsia="Arial" w:hAnsi="Arial"/>
                <w:sz w:val="23"/>
                <w:szCs w:val="23"/>
                <w:color w:val="auto"/>
                <w:vertAlign w:val="superscript"/>
              </w:rPr>
              <w:t>5, 6</w:t>
            </w:r>
          </w:p>
        </w:tc>
        <w:tc>
          <w:tcPr>
            <w:tcW w:w="960" w:type="dxa"/>
            <w:vAlign w:val="bottom"/>
          </w:tcPr>
          <w:p>
            <w:pPr>
              <w:ind w:left="20"/>
              <w:spacing w:after="0"/>
              <w:rPr>
                <w:sz w:val="20"/>
                <w:szCs w:val="20"/>
                <w:color w:val="auto"/>
              </w:rPr>
            </w:pPr>
            <w:r>
              <w:rPr>
                <w:rFonts w:ascii="Arial" w:cs="Arial" w:eastAsia="Arial" w:hAnsi="Arial"/>
                <w:sz w:val="18"/>
                <w:szCs w:val="18"/>
                <w:color w:val="auto"/>
              </w:rPr>
              <w:t>[b÷f]</w:t>
            </w: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1.16 %</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0.94 %</w:t>
            </w:r>
          </w:p>
        </w:tc>
      </w:tr>
      <w:tr>
        <w:trPr>
          <w:trHeight w:val="216"/>
        </w:trPr>
        <w:tc>
          <w:tcPr>
            <w:tcW w:w="4120" w:type="dxa"/>
            <w:vAlign w:val="bottom"/>
            <w:shd w:val="clear" w:color="auto" w:fill="E0E7ED"/>
          </w:tcPr>
          <w:p>
            <w:pPr>
              <w:spacing w:after="0"/>
              <w:rPr>
                <w:sz w:val="18"/>
                <w:szCs w:val="18"/>
                <w:color w:val="auto"/>
              </w:rPr>
            </w:pPr>
          </w:p>
        </w:tc>
        <w:tc>
          <w:tcPr>
            <w:tcW w:w="96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220" w:type="dxa"/>
            <w:vAlign w:val="bottom"/>
            <w:shd w:val="clear" w:color="auto" w:fill="E0E7ED"/>
          </w:tcPr>
          <w:p>
            <w:pPr>
              <w:spacing w:after="0"/>
              <w:rPr>
                <w:sz w:val="18"/>
                <w:szCs w:val="18"/>
                <w:color w:val="auto"/>
              </w:rPr>
            </w:pPr>
          </w:p>
        </w:tc>
        <w:tc>
          <w:tcPr>
            <w:tcW w:w="126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240" w:type="dxa"/>
            <w:vAlign w:val="bottom"/>
            <w:shd w:val="clear" w:color="auto" w:fill="E0E7ED"/>
          </w:tcPr>
          <w:p>
            <w:pPr>
              <w:spacing w:after="0"/>
              <w:rPr>
                <w:sz w:val="18"/>
                <w:szCs w:val="18"/>
                <w:color w:val="auto"/>
              </w:rPr>
            </w:pPr>
          </w:p>
        </w:tc>
        <w:tc>
          <w:tcPr>
            <w:tcW w:w="1240" w:type="dxa"/>
            <w:vAlign w:val="bottom"/>
            <w:shd w:val="clear" w:color="auto" w:fill="E0E7ED"/>
          </w:tcPr>
          <w:p>
            <w:pPr>
              <w:spacing w:after="0"/>
              <w:rPr>
                <w:sz w:val="18"/>
                <w:szCs w:val="18"/>
                <w:color w:val="auto"/>
              </w:rPr>
            </w:pPr>
          </w:p>
        </w:tc>
      </w:tr>
      <w:tr>
        <w:trPr>
          <w:trHeight w:val="247"/>
        </w:trPr>
        <w:tc>
          <w:tcPr>
            <w:tcW w:w="4120" w:type="dxa"/>
            <w:vAlign w:val="bottom"/>
          </w:tcPr>
          <w:p>
            <w:pPr>
              <w:ind w:left="20"/>
              <w:spacing w:after="0"/>
              <w:rPr>
                <w:sz w:val="20"/>
                <w:szCs w:val="20"/>
                <w:color w:val="auto"/>
              </w:rPr>
            </w:pPr>
            <w:r>
              <w:rPr>
                <w:rFonts w:ascii="Arial" w:cs="Arial" w:eastAsia="Arial" w:hAnsi="Arial"/>
                <w:sz w:val="18"/>
                <w:szCs w:val="18"/>
                <w:color w:val="auto"/>
              </w:rPr>
              <w:t>Average common equity</w:t>
            </w:r>
          </w:p>
        </w:tc>
        <w:tc>
          <w:tcPr>
            <w:tcW w:w="9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2,180,963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1,331,815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2,057,372</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1,303,770</w:t>
            </w:r>
          </w:p>
        </w:tc>
      </w:tr>
      <w:tr>
        <w:trPr>
          <w:trHeight w:val="23"/>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12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w w:val="99"/>
              </w:rPr>
              <w:t>Average goodwill and other intangible assets, net</w:t>
            </w:r>
          </w:p>
        </w:tc>
        <w:tc>
          <w:tcPr>
            <w:tcW w:w="96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24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rPr>
              <w:t>(494,473)</w:t>
            </w:r>
          </w:p>
        </w:tc>
        <w:tc>
          <w:tcPr>
            <w:tcW w:w="10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24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rPr>
              <w:t>(376,224)</w:t>
            </w:r>
          </w:p>
        </w:tc>
        <w:tc>
          <w:tcPr>
            <w:tcW w:w="100" w:type="dxa"/>
            <w:vAlign w:val="bottom"/>
            <w:tcBorders>
              <w:bottom w:val="single" w:sz="8" w:color="E0E7ED"/>
            </w:tcBorders>
            <w:shd w:val="clear" w:color="auto" w:fill="E0E7ED"/>
          </w:tcPr>
          <w:p>
            <w:pPr>
              <w:spacing w:after="0"/>
              <w:rPr>
                <w:sz w:val="23"/>
                <w:szCs w:val="23"/>
                <w:color w:val="auto"/>
              </w:rPr>
            </w:pPr>
          </w:p>
        </w:tc>
        <w:tc>
          <w:tcPr>
            <w:tcW w:w="220" w:type="dxa"/>
            <w:vAlign w:val="bottom"/>
            <w:tcBorders>
              <w:bottom w:val="single" w:sz="8" w:color="E0E7ED"/>
            </w:tcBorders>
            <w:shd w:val="clear" w:color="auto" w:fill="E0E7ED"/>
          </w:tcPr>
          <w:p>
            <w:pPr>
              <w:spacing w:after="0"/>
              <w:rPr>
                <w:sz w:val="23"/>
                <w:szCs w:val="23"/>
                <w:color w:val="auto"/>
              </w:rPr>
            </w:pPr>
          </w:p>
        </w:tc>
        <w:tc>
          <w:tcPr>
            <w:tcW w:w="1260" w:type="dxa"/>
            <w:vAlign w:val="bottom"/>
            <w:tcBorders>
              <w:bottom w:val="single" w:sz="8" w:color="E0E7ED"/>
            </w:tcBorders>
            <w:shd w:val="clear" w:color="auto" w:fill="E0E7ED"/>
          </w:tcPr>
          <w:p>
            <w:pPr>
              <w:jc w:val="right"/>
              <w:ind w:right="110"/>
              <w:spacing w:after="0"/>
              <w:rPr>
                <w:sz w:val="20"/>
                <w:szCs w:val="20"/>
                <w:color w:val="auto"/>
              </w:rPr>
            </w:pPr>
            <w:r>
              <w:rPr>
                <w:rFonts w:ascii="Arial" w:cs="Arial" w:eastAsia="Arial" w:hAnsi="Arial"/>
                <w:sz w:val="18"/>
                <w:szCs w:val="18"/>
                <w:color w:val="auto"/>
              </w:rPr>
              <w:t>(452,978)</w:t>
            </w:r>
          </w:p>
        </w:tc>
        <w:tc>
          <w:tcPr>
            <w:tcW w:w="80" w:type="dxa"/>
            <w:vAlign w:val="bottom"/>
            <w:tcBorders>
              <w:bottom w:val="single" w:sz="8" w:color="E0E7ED"/>
            </w:tcBorders>
            <w:shd w:val="clear" w:color="auto" w:fill="E0E7ED"/>
          </w:tcPr>
          <w:p>
            <w:pPr>
              <w:spacing w:after="0"/>
              <w:rPr>
                <w:sz w:val="23"/>
                <w:szCs w:val="23"/>
                <w:color w:val="auto"/>
              </w:rPr>
            </w:pPr>
          </w:p>
        </w:tc>
        <w:tc>
          <w:tcPr>
            <w:tcW w:w="240" w:type="dxa"/>
            <w:vAlign w:val="bottom"/>
            <w:tcBorders>
              <w:bottom w:val="single" w:sz="8" w:color="E0E7ED"/>
            </w:tcBorders>
            <w:shd w:val="clear" w:color="auto" w:fill="E0E7ED"/>
          </w:tcPr>
          <w:p>
            <w:pPr>
              <w:spacing w:after="0"/>
              <w:rPr>
                <w:sz w:val="23"/>
                <w:szCs w:val="23"/>
                <w:color w:val="auto"/>
              </w:rPr>
            </w:pPr>
          </w:p>
        </w:tc>
        <w:tc>
          <w:tcPr>
            <w:tcW w:w="1240" w:type="dxa"/>
            <w:vAlign w:val="bottom"/>
            <w:tcBorders>
              <w:bottom w:val="single" w:sz="8" w:color="E0E7ED"/>
            </w:tcBorders>
            <w:shd w:val="clear" w:color="auto" w:fill="E0E7ED"/>
          </w:tcPr>
          <w:p>
            <w:pPr>
              <w:jc w:val="right"/>
              <w:ind w:right="90"/>
              <w:spacing w:after="0"/>
              <w:rPr>
                <w:sz w:val="20"/>
                <w:szCs w:val="20"/>
                <w:color w:val="auto"/>
              </w:rPr>
            </w:pPr>
            <w:r>
              <w:rPr>
                <w:rFonts w:ascii="Arial" w:cs="Arial" w:eastAsia="Arial" w:hAnsi="Arial"/>
                <w:sz w:val="18"/>
                <w:szCs w:val="18"/>
                <w:color w:val="auto"/>
              </w:rPr>
              <w:t>(364,620)</w:t>
            </w:r>
          </w:p>
        </w:tc>
      </w:tr>
      <w:tr>
        <w:trPr>
          <w:trHeight w:val="263"/>
        </w:trPr>
        <w:tc>
          <w:tcPr>
            <w:tcW w:w="4120" w:type="dxa"/>
            <w:vAlign w:val="bottom"/>
          </w:tcPr>
          <w:p>
            <w:pPr>
              <w:ind w:left="20"/>
              <w:spacing w:after="0"/>
              <w:rPr>
                <w:sz w:val="20"/>
                <w:szCs w:val="20"/>
                <w:color w:val="auto"/>
              </w:rPr>
            </w:pPr>
            <w:r>
              <w:rPr>
                <w:rFonts w:ascii="Arial" w:cs="Arial" w:eastAsia="Arial" w:hAnsi="Arial"/>
                <w:sz w:val="18"/>
                <w:szCs w:val="18"/>
                <w:color w:val="auto"/>
              </w:rPr>
              <w:t>Average tangible common equity (Non-GAAP)</w:t>
            </w:r>
          </w:p>
        </w:tc>
        <w:tc>
          <w:tcPr>
            <w:tcW w:w="960" w:type="dxa"/>
            <w:vAlign w:val="bottom"/>
          </w:tcPr>
          <w:p>
            <w:pPr>
              <w:ind w:left="20"/>
              <w:spacing w:after="0"/>
              <w:rPr>
                <w:sz w:val="20"/>
                <w:szCs w:val="20"/>
                <w:color w:val="auto"/>
              </w:rPr>
            </w:pPr>
            <w:r>
              <w:rPr>
                <w:rFonts w:ascii="Arial" w:cs="Arial" w:eastAsia="Arial" w:hAnsi="Arial"/>
                <w:sz w:val="18"/>
                <w:szCs w:val="18"/>
                <w:color w:val="auto"/>
              </w:rPr>
              <w:t>[g]</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1,686,490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955,591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1,604,394</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939,150</w:t>
            </w:r>
          </w:p>
        </w:tc>
      </w:tr>
      <w:tr>
        <w:trPr>
          <w:trHeight w:val="20"/>
        </w:trPr>
        <w:tc>
          <w:tcPr>
            <w:tcW w:w="4120" w:type="dxa"/>
            <w:vAlign w:val="bottom"/>
            <w:tcBorders>
              <w:bottom w:val="single" w:sz="8" w:color="E0E7ED"/>
            </w:tcBorders>
          </w:tcPr>
          <w:p>
            <w:pPr>
              <w:spacing w:after="0" w:line="20" w:lineRule="exact"/>
              <w:rPr>
                <w:sz w:val="1"/>
                <w:szCs w:val="1"/>
                <w:color w:val="auto"/>
              </w:rPr>
            </w:pPr>
          </w:p>
        </w:tc>
        <w:tc>
          <w:tcPr>
            <w:tcW w:w="96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0E7ED"/>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4120" w:type="dxa"/>
            <w:vAlign w:val="bottom"/>
            <w:shd w:val="clear" w:color="auto" w:fill="E0E7ED"/>
          </w:tcPr>
          <w:p>
            <w:pPr>
              <w:spacing w:after="0"/>
              <w:rPr>
                <w:sz w:val="15"/>
                <w:szCs w:val="15"/>
                <w:color w:val="auto"/>
              </w:rPr>
            </w:pPr>
          </w:p>
        </w:tc>
        <w:tc>
          <w:tcPr>
            <w:tcW w:w="96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c>
          <w:tcPr>
            <w:tcW w:w="100" w:type="dxa"/>
            <w:vAlign w:val="bottom"/>
            <w:shd w:val="clear" w:color="auto" w:fill="E0E7ED"/>
          </w:tcPr>
          <w:p>
            <w:pPr>
              <w:spacing w:after="0"/>
              <w:rPr>
                <w:sz w:val="15"/>
                <w:szCs w:val="15"/>
                <w:color w:val="auto"/>
              </w:rPr>
            </w:pPr>
          </w:p>
        </w:tc>
        <w:tc>
          <w:tcPr>
            <w:tcW w:w="220" w:type="dxa"/>
            <w:vAlign w:val="bottom"/>
            <w:shd w:val="clear" w:color="auto" w:fill="E0E7ED"/>
          </w:tcPr>
          <w:p>
            <w:pPr>
              <w:spacing w:after="0"/>
              <w:rPr>
                <w:sz w:val="15"/>
                <w:szCs w:val="15"/>
                <w:color w:val="auto"/>
              </w:rPr>
            </w:pPr>
          </w:p>
        </w:tc>
        <w:tc>
          <w:tcPr>
            <w:tcW w:w="1260" w:type="dxa"/>
            <w:vAlign w:val="bottom"/>
            <w:shd w:val="clear" w:color="auto" w:fill="E0E7ED"/>
          </w:tcPr>
          <w:p>
            <w:pPr>
              <w:spacing w:after="0"/>
              <w:rPr>
                <w:sz w:val="15"/>
                <w:szCs w:val="15"/>
                <w:color w:val="auto"/>
              </w:rPr>
            </w:pPr>
          </w:p>
        </w:tc>
        <w:tc>
          <w:tcPr>
            <w:tcW w:w="80" w:type="dxa"/>
            <w:vAlign w:val="bottom"/>
            <w:shd w:val="clear" w:color="auto" w:fill="E0E7ED"/>
          </w:tcPr>
          <w:p>
            <w:pPr>
              <w:spacing w:after="0"/>
              <w:rPr>
                <w:sz w:val="15"/>
                <w:szCs w:val="15"/>
                <w:color w:val="auto"/>
              </w:rPr>
            </w:pPr>
          </w:p>
        </w:tc>
        <w:tc>
          <w:tcPr>
            <w:tcW w:w="240" w:type="dxa"/>
            <w:vAlign w:val="bottom"/>
            <w:shd w:val="clear" w:color="auto" w:fill="E0E7ED"/>
          </w:tcPr>
          <w:p>
            <w:pPr>
              <w:spacing w:after="0"/>
              <w:rPr>
                <w:sz w:val="15"/>
                <w:szCs w:val="15"/>
                <w:color w:val="auto"/>
              </w:rPr>
            </w:pPr>
          </w:p>
        </w:tc>
        <w:tc>
          <w:tcPr>
            <w:tcW w:w="1240" w:type="dxa"/>
            <w:vAlign w:val="bottom"/>
            <w:shd w:val="clear" w:color="auto" w:fill="E0E7ED"/>
          </w:tcPr>
          <w:p>
            <w:pPr>
              <w:spacing w:after="0"/>
              <w:rPr>
                <w:sz w:val="15"/>
                <w:szCs w:val="15"/>
                <w:color w:val="auto"/>
              </w:rPr>
            </w:pPr>
          </w:p>
        </w:tc>
      </w:tr>
      <w:tr>
        <w:trPr>
          <w:trHeight w:val="224"/>
        </w:trPr>
        <w:tc>
          <w:tcPr>
            <w:tcW w:w="4120" w:type="dxa"/>
            <w:vAlign w:val="bottom"/>
          </w:tcPr>
          <w:p>
            <w:pPr>
              <w:ind w:left="20"/>
              <w:spacing w:after="0"/>
              <w:rPr>
                <w:sz w:val="20"/>
                <w:szCs w:val="20"/>
                <w:color w:val="auto"/>
              </w:rPr>
            </w:pPr>
            <w:r>
              <w:rPr>
                <w:rFonts w:ascii="Arial" w:cs="Arial" w:eastAsia="Arial" w:hAnsi="Arial"/>
                <w:sz w:val="18"/>
                <w:szCs w:val="18"/>
                <w:color w:val="auto"/>
              </w:rPr>
              <w:t>Return on average tangible common equity (Non-</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62"/>
        </w:trPr>
        <w:tc>
          <w:tcPr>
            <w:tcW w:w="4120" w:type="dxa"/>
            <w:vAlign w:val="bottom"/>
          </w:tcPr>
          <w:p>
            <w:pPr>
              <w:ind w:left="20"/>
              <w:spacing w:after="0" w:line="262" w:lineRule="exact"/>
              <w:rPr>
                <w:sz w:val="20"/>
                <w:szCs w:val="20"/>
                <w:color w:val="auto"/>
              </w:rPr>
            </w:pPr>
            <w:r>
              <w:rPr>
                <w:rFonts w:ascii="Arial" w:cs="Arial" w:eastAsia="Arial" w:hAnsi="Arial"/>
                <w:sz w:val="18"/>
                <w:szCs w:val="18"/>
                <w:color w:val="auto"/>
              </w:rPr>
              <w:t>GAAP)</w:t>
            </w:r>
            <w:r>
              <w:rPr>
                <w:rFonts w:ascii="Arial" w:cs="Arial" w:eastAsia="Arial" w:hAnsi="Arial"/>
                <w:sz w:val="23"/>
                <w:szCs w:val="23"/>
                <w:color w:val="auto"/>
                <w:vertAlign w:val="superscript"/>
              </w:rPr>
              <w:t>6</w:t>
            </w:r>
          </w:p>
        </w:tc>
        <w:tc>
          <w:tcPr>
            <w:tcW w:w="960" w:type="dxa"/>
            <w:vAlign w:val="bottom"/>
          </w:tcPr>
          <w:p>
            <w:pPr>
              <w:ind w:left="20"/>
              <w:spacing w:after="0"/>
              <w:rPr>
                <w:sz w:val="20"/>
                <w:szCs w:val="20"/>
                <w:color w:val="auto"/>
              </w:rPr>
            </w:pPr>
            <w:r>
              <w:rPr>
                <w:rFonts w:ascii="Arial" w:cs="Arial" w:eastAsia="Arial" w:hAnsi="Arial"/>
                <w:sz w:val="18"/>
                <w:szCs w:val="18"/>
                <w:color w:val="auto"/>
              </w:rPr>
              <w:t>[(a-c)÷g]</w:t>
            </w: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11.24 %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2.17 %</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11.47 %</w:t>
            </w:r>
          </w:p>
        </w:tc>
      </w:tr>
      <w:tr>
        <w:trPr>
          <w:trHeight w:val="224"/>
        </w:trPr>
        <w:tc>
          <w:tcPr>
            <w:tcW w:w="412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return on average tangible common</w:t>
            </w:r>
          </w:p>
        </w:tc>
        <w:tc>
          <w:tcPr>
            <w:tcW w:w="96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220" w:type="dxa"/>
            <w:vAlign w:val="bottom"/>
            <w:shd w:val="clear" w:color="auto" w:fill="E0E7ED"/>
          </w:tcPr>
          <w:p>
            <w:pPr>
              <w:spacing w:after="0"/>
              <w:rPr>
                <w:sz w:val="19"/>
                <w:szCs w:val="19"/>
                <w:color w:val="auto"/>
              </w:rPr>
            </w:pPr>
          </w:p>
        </w:tc>
        <w:tc>
          <w:tcPr>
            <w:tcW w:w="126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240" w:type="dxa"/>
            <w:vAlign w:val="bottom"/>
            <w:shd w:val="clear" w:color="auto" w:fill="E0E7ED"/>
          </w:tcPr>
          <w:p>
            <w:pPr>
              <w:spacing w:after="0"/>
              <w:rPr>
                <w:sz w:val="19"/>
                <w:szCs w:val="19"/>
                <w:color w:val="auto"/>
              </w:rPr>
            </w:pPr>
          </w:p>
        </w:tc>
        <w:tc>
          <w:tcPr>
            <w:tcW w:w="1240" w:type="dxa"/>
            <w:vAlign w:val="bottom"/>
            <w:shd w:val="clear" w:color="auto" w:fill="E0E7ED"/>
          </w:tcPr>
          <w:p>
            <w:pPr>
              <w:spacing w:after="0"/>
              <w:rPr>
                <w:sz w:val="19"/>
                <w:szCs w:val="19"/>
                <w:color w:val="auto"/>
              </w:rPr>
            </w:pPr>
          </w:p>
        </w:tc>
      </w:tr>
      <w:tr>
        <w:trPr>
          <w:trHeight w:val="262"/>
        </w:trPr>
        <w:tc>
          <w:tcPr>
            <w:tcW w:w="4120" w:type="dxa"/>
            <w:vAlign w:val="bottom"/>
            <w:shd w:val="clear" w:color="auto" w:fill="E0E7ED"/>
          </w:tcPr>
          <w:p>
            <w:pPr>
              <w:ind w:left="20"/>
              <w:spacing w:after="0" w:line="262" w:lineRule="exact"/>
              <w:rPr>
                <w:sz w:val="20"/>
                <w:szCs w:val="20"/>
                <w:color w:val="auto"/>
              </w:rPr>
            </w:pPr>
            <w:r>
              <w:rPr>
                <w:rFonts w:ascii="Arial" w:cs="Arial" w:eastAsia="Arial" w:hAnsi="Arial"/>
                <w:sz w:val="18"/>
                <w:szCs w:val="18"/>
                <w:color w:val="auto"/>
              </w:rPr>
              <w:t>equity (Non-GAAP)</w:t>
            </w:r>
            <w:r>
              <w:rPr>
                <w:rFonts w:ascii="Arial" w:cs="Arial" w:eastAsia="Arial" w:hAnsi="Arial"/>
                <w:sz w:val="23"/>
                <w:szCs w:val="23"/>
                <w:color w:val="auto"/>
                <w:vertAlign w:val="superscript"/>
              </w:rPr>
              <w:t>6</w:t>
            </w:r>
          </w:p>
        </w:tc>
        <w:tc>
          <w:tcPr>
            <w:tcW w:w="960" w:type="dxa"/>
            <w:vAlign w:val="bottom"/>
            <w:shd w:val="clear" w:color="auto" w:fill="E0E7ED"/>
          </w:tcPr>
          <w:p>
            <w:pPr>
              <w:ind w:left="20"/>
              <w:spacing w:after="0"/>
              <w:rPr>
                <w:sz w:val="20"/>
                <w:szCs w:val="20"/>
                <w:color w:val="auto"/>
              </w:rPr>
            </w:pPr>
            <w:r>
              <w:rPr>
                <w:rFonts w:ascii="Arial" w:cs="Arial" w:eastAsia="Arial" w:hAnsi="Arial"/>
                <w:sz w:val="18"/>
                <w:szCs w:val="18"/>
                <w:color w:val="auto"/>
              </w:rPr>
              <w:t>[d÷g]</w:t>
            </w:r>
          </w:p>
        </w:tc>
        <w:tc>
          <w:tcPr>
            <w:tcW w:w="220" w:type="dxa"/>
            <w:vAlign w:val="bottom"/>
            <w:shd w:val="clear" w:color="auto" w:fill="E0E7ED"/>
          </w:tcPr>
          <w:p>
            <w:pPr>
              <w:spacing w:after="0"/>
              <w:rPr>
                <w:sz w:val="22"/>
                <w:szCs w:val="22"/>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13.61 %</w:t>
            </w: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12.85 %</w:t>
            </w:r>
          </w:p>
        </w:tc>
        <w:tc>
          <w:tcPr>
            <w:tcW w:w="100" w:type="dxa"/>
            <w:vAlign w:val="bottom"/>
            <w:shd w:val="clear" w:color="auto" w:fill="E0E7ED"/>
          </w:tcPr>
          <w:p>
            <w:pPr>
              <w:spacing w:after="0"/>
              <w:rPr>
                <w:sz w:val="22"/>
                <w:szCs w:val="22"/>
                <w:color w:val="auto"/>
              </w:rPr>
            </w:pPr>
          </w:p>
        </w:tc>
        <w:tc>
          <w:tcPr>
            <w:tcW w:w="220" w:type="dxa"/>
            <w:vAlign w:val="bottom"/>
            <w:shd w:val="clear" w:color="auto" w:fill="E0E7ED"/>
          </w:tcPr>
          <w:p>
            <w:pPr>
              <w:spacing w:after="0"/>
              <w:rPr>
                <w:sz w:val="22"/>
                <w:szCs w:val="22"/>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12.21 %</w:t>
            </w:r>
          </w:p>
        </w:tc>
        <w:tc>
          <w:tcPr>
            <w:tcW w:w="8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12.04 %</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340" w:right="20" w:hanging="332"/>
        <w:spacing w:after="0" w:line="261" w:lineRule="auto"/>
        <w:tabs>
          <w:tab w:leader="none" w:pos="365"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Day 2 provision represents the initial provision for credit losses recorded in connection with the CrossFirst acquisition to establish an allowance on non-PCD loans and unfunded commitments and is reflected within the provision for credit losses line on the Statement of Income.</w:t>
      </w:r>
    </w:p>
    <w:p>
      <w:pPr>
        <w:ind w:left="340" w:hanging="332"/>
        <w:spacing w:after="0" w:line="251"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Busey recorded an adjustment to the initial provision for unfunded commitments for CrossFirst acquisition-date balances based on revised estimates resulting from implementation of a new CECL model.</w:t>
      </w:r>
    </w:p>
    <w:p>
      <w:pPr>
        <w:ind w:left="340" w:hanging="332"/>
        <w:spacing w:after="0" w:line="261"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Tax benefits were calculated for the year-to-date periods using tax rates of 26.51% and 25.03% for the six months ended June 30, 2025 and 2024, respectively. Tax benefits for the quarterly periods were calculated as the year-to-date tax amounts less the tax reported for previous quarters during the year.</w:t>
      </w:r>
    </w:p>
    <w:p>
      <w:pPr>
        <w:jc w:val="both"/>
        <w:ind w:left="340" w:hanging="332"/>
        <w:spacing w:after="0" w:line="256"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A deferred valuation tax adjustment in 2025 was recorded in connection with the CrossFirst acquisition and the expansion of Busey’s footprint into new states. Additionally, 2025 includes a write-off of deferred tax assets related to non-deductible compensation and acquisition-related expenses. A deferred tax valuation adjustment in 2024 resulted from a change to Busey’s Illinois apportionment rate due to recently enacted regulations. Deferred tax adjustments are reflected within the income taxes line on the Statement of Income.</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38" w:val="left"/>
        </w:tabs>
        <w:numPr>
          <w:ilvl w:val="0"/>
          <w:numId w:val="46"/>
        </w:numPr>
        <w:rPr>
          <w:rFonts w:ascii="Arial" w:cs="Arial" w:eastAsia="Arial" w:hAnsi="Arial"/>
          <w:sz w:val="14"/>
          <w:szCs w:val="14"/>
          <w:color w:val="auto"/>
        </w:rPr>
      </w:pPr>
      <w:r>
        <w:rPr>
          <w:rFonts w:ascii="Arial" w:cs="Arial" w:eastAsia="Arial" w:hAnsi="Arial"/>
          <w:sz w:val="14"/>
          <w:szCs w:val="14"/>
          <w:color w:val="auto"/>
        </w:rPr>
        <w:t>Beginning in 2025, Busey revised its calculation of adjusted net income for all periods presented to include, as applicable, adjustments for net securities gains and losses, realized net gains and losses on the sale of mortgage servicing rights, and one-time deferred tax valuation adjustments. In 2024, these adjusting items were presented as further adjustments to adjusted net income.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Annualized measure.</w:t>
      </w:r>
    </w:p>
    <w:p>
      <w:pPr>
        <w:sectPr>
          <w:pgSz w:w="11900" w:h="16838" w:orient="portrait"/>
          <w:cols w:equalWidth="0" w:num="1">
            <w:col w:w="11240"/>
          </w:cols>
          <w:pgMar w:left="320" w:top="296" w:right="3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8240"/>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2" w:name="page103"/>
    <w:bookmarkEnd w:id="102"/>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Tax-Equivalent Net Interest Income, Adjusted Net Interest Income, Net Interest Margin, and Adjusted Net Interest Margin</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82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4060" w:type="dxa"/>
            <w:vAlign w:val="bottom"/>
            <w:tcBorders>
              <w:bottom w:val="single" w:sz="8" w:color="E0E7ED"/>
            </w:tcBorders>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2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r>
      <w:tr>
        <w:trPr>
          <w:trHeight w:val="243"/>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b w:val="1"/>
                <w:bCs w:val="1"/>
                <w:color w:val="auto"/>
              </w:rPr>
              <w:t>Net interest income (GAAP)</w:t>
            </w:r>
          </w:p>
        </w:tc>
        <w:tc>
          <w:tcPr>
            <w:tcW w:w="102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153,183</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82,532</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256,914</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158,386</w:t>
            </w:r>
          </w:p>
        </w:tc>
      </w:tr>
      <w:tr>
        <w:trPr>
          <w:trHeight w:val="270"/>
        </w:trPr>
        <w:tc>
          <w:tcPr>
            <w:tcW w:w="4060" w:type="dxa"/>
            <w:vAlign w:val="bottom"/>
            <w:tcBorders>
              <w:bottom w:val="single" w:sz="8" w:color="E0E7ED"/>
            </w:tcBorders>
          </w:tcPr>
          <w:p>
            <w:pPr>
              <w:ind w:left="180"/>
              <w:spacing w:after="0"/>
              <w:rPr>
                <w:sz w:val="20"/>
                <w:szCs w:val="20"/>
                <w:color w:val="auto"/>
              </w:rPr>
            </w:pPr>
            <w:r>
              <w:rPr>
                <w:rFonts w:ascii="Arial" w:cs="Arial" w:eastAsia="Arial" w:hAnsi="Arial"/>
                <w:sz w:val="18"/>
                <w:szCs w:val="18"/>
                <w:color w:val="auto"/>
              </w:rPr>
              <w:t>Tax-equivalent adjustment</w:t>
            </w:r>
            <w:r>
              <w:rPr>
                <w:rFonts w:ascii="Arial" w:cs="Arial" w:eastAsia="Arial" w:hAnsi="Arial"/>
                <w:sz w:val="23"/>
                <w:szCs w:val="23"/>
                <w:color w:val="auto"/>
                <w:vertAlign w:val="superscript"/>
              </w:rPr>
              <w:t>1</w:t>
            </w:r>
          </w:p>
        </w:tc>
        <w:tc>
          <w:tcPr>
            <w:tcW w:w="1020" w:type="dxa"/>
            <w:vAlign w:val="bottom"/>
            <w:tcBorders>
              <w:bottom w:val="single" w:sz="8" w:color="E0E7E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E0E7E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402</w:t>
            </w:r>
          </w:p>
        </w:tc>
        <w:tc>
          <w:tcPr>
            <w:tcW w:w="100" w:type="dxa"/>
            <w:vAlign w:val="bottom"/>
            <w:tcBorders>
              <w:bottom w:val="single" w:sz="8" w:color="E0E7ED"/>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1,328</w:t>
            </w:r>
          </w:p>
        </w:tc>
        <w:tc>
          <w:tcPr>
            <w:tcW w:w="80" w:type="dxa"/>
            <w:vAlign w:val="bottom"/>
            <w:tcBorders>
              <w:bottom w:val="single" w:sz="8" w:color="E0E7ED"/>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851</w:t>
            </w:r>
          </w:p>
        </w:tc>
      </w:tr>
      <w:tr>
        <w:trPr>
          <w:trHeight w:val="243"/>
        </w:trPr>
        <w:tc>
          <w:tcPr>
            <w:tcW w:w="406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Tax-equivalent net interest income (Non-GAAP)</w:t>
            </w:r>
          </w:p>
        </w:tc>
        <w:tc>
          <w:tcPr>
            <w:tcW w:w="1020" w:type="dxa"/>
            <w:vAlign w:val="bottom"/>
            <w:tcBorders>
              <w:bottom w:val="single" w:sz="8" w:color="E0E7ED"/>
            </w:tcBorders>
            <w:shd w:val="clear" w:color="auto" w:fill="E0E7ED"/>
          </w:tcPr>
          <w:p>
            <w:pPr>
              <w:ind w:left="80"/>
              <w:spacing w:after="0"/>
              <w:rPr>
                <w:sz w:val="20"/>
                <w:szCs w:val="20"/>
                <w:color w:val="auto"/>
              </w:rPr>
            </w:pPr>
            <w:r>
              <w:rPr>
                <w:rFonts w:ascii="Arial" w:cs="Arial" w:eastAsia="Arial" w:hAnsi="Arial"/>
                <w:sz w:val="18"/>
                <w:szCs w:val="18"/>
                <w:color w:val="auto"/>
              </w:rPr>
              <w:t>[a]</w:t>
            </w:r>
          </w:p>
        </w:tc>
        <w:tc>
          <w:tcPr>
            <w:tcW w:w="22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153,974</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82,934</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258,242</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159,237</w:t>
            </w:r>
          </w:p>
        </w:tc>
      </w:tr>
      <w:tr>
        <w:trPr>
          <w:trHeight w:val="224"/>
        </w:trPr>
        <w:tc>
          <w:tcPr>
            <w:tcW w:w="4060" w:type="dxa"/>
            <w:vAlign w:val="bottom"/>
          </w:tcPr>
          <w:p>
            <w:pPr>
              <w:ind w:left="180"/>
              <w:spacing w:after="0"/>
              <w:rPr>
                <w:sz w:val="20"/>
                <w:szCs w:val="20"/>
                <w:color w:val="auto"/>
              </w:rPr>
            </w:pPr>
            <w:r>
              <w:rPr>
                <w:rFonts w:ascii="Arial" w:cs="Arial" w:eastAsia="Arial" w:hAnsi="Arial"/>
                <w:sz w:val="18"/>
                <w:szCs w:val="18"/>
                <w:color w:val="auto"/>
              </w:rPr>
              <w:t>Purchase accounting accretion related to</w:t>
            </w: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4060" w:type="dxa"/>
            <w:vAlign w:val="bottom"/>
          </w:tcPr>
          <w:p>
            <w:pPr>
              <w:ind w:left="180"/>
              <w:spacing w:after="0"/>
              <w:rPr>
                <w:sz w:val="20"/>
                <w:szCs w:val="20"/>
                <w:color w:val="auto"/>
              </w:rPr>
            </w:pPr>
            <w:r>
              <w:rPr>
                <w:rFonts w:ascii="Arial" w:cs="Arial" w:eastAsia="Arial" w:hAnsi="Arial"/>
                <w:sz w:val="18"/>
                <w:szCs w:val="18"/>
                <w:color w:val="auto"/>
              </w:rPr>
              <w:t>business combinations</w:t>
            </w: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4"/>
              <w:spacing w:after="0"/>
              <w:rPr>
                <w:sz w:val="20"/>
                <w:szCs w:val="20"/>
                <w:color w:val="auto"/>
              </w:rPr>
            </w:pPr>
            <w:r>
              <w:rPr>
                <w:rFonts w:ascii="Arial" w:cs="Arial" w:eastAsia="Arial" w:hAnsi="Arial"/>
                <w:sz w:val="18"/>
                <w:szCs w:val="18"/>
                <w:color w:val="auto"/>
              </w:rPr>
              <w:t>(7,119)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4"/>
              <w:spacing w:after="0"/>
              <w:rPr>
                <w:sz w:val="20"/>
                <w:szCs w:val="20"/>
                <w:color w:val="auto"/>
              </w:rPr>
            </w:pPr>
            <w:r>
              <w:rPr>
                <w:rFonts w:ascii="Arial" w:cs="Arial" w:eastAsia="Arial" w:hAnsi="Arial"/>
                <w:sz w:val="18"/>
                <w:szCs w:val="18"/>
                <w:color w:val="auto"/>
              </w:rPr>
              <w:t>(9,847)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(1,016)</w:t>
            </w:r>
          </w:p>
        </w:tc>
      </w:tr>
      <w:tr>
        <w:trPr>
          <w:trHeight w:val="23"/>
        </w:trPr>
        <w:tc>
          <w:tcPr>
            <w:tcW w:w="4060" w:type="dxa"/>
            <w:vAlign w:val="bottom"/>
            <w:tcBorders>
              <w:bottom w:val="single" w:sz="8" w:color="E0E7ED"/>
            </w:tcBorders>
          </w:tcPr>
          <w:p>
            <w:pPr>
              <w:spacing w:after="0"/>
              <w:rPr>
                <w:sz w:val="2"/>
                <w:szCs w:val="2"/>
                <w:color w:val="auto"/>
              </w:rPr>
            </w:pPr>
          </w:p>
        </w:tc>
        <w:tc>
          <w:tcPr>
            <w:tcW w:w="102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Adjusted net interest income (Non-GAAP)</w:t>
            </w:r>
          </w:p>
        </w:tc>
        <w:tc>
          <w:tcPr>
            <w:tcW w:w="1020" w:type="dxa"/>
            <w:vAlign w:val="bottom"/>
            <w:tcBorders>
              <w:bottom w:val="single" w:sz="8" w:color="E0E7ED"/>
            </w:tcBorders>
            <w:shd w:val="clear" w:color="auto" w:fill="E0E7ED"/>
          </w:tcPr>
          <w:p>
            <w:pPr>
              <w:ind w:left="80"/>
              <w:spacing w:after="0"/>
              <w:rPr>
                <w:sz w:val="20"/>
                <w:szCs w:val="20"/>
                <w:color w:val="auto"/>
              </w:rPr>
            </w:pPr>
            <w:r>
              <w:rPr>
                <w:rFonts w:ascii="Arial" w:cs="Arial" w:eastAsia="Arial" w:hAnsi="Arial"/>
                <w:sz w:val="18"/>
                <w:szCs w:val="18"/>
                <w:color w:val="auto"/>
              </w:rPr>
              <w:t>[b]</w:t>
            </w:r>
          </w:p>
        </w:tc>
        <w:tc>
          <w:tcPr>
            <w:tcW w:w="22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146,855</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82,122</w:t>
            </w:r>
          </w:p>
        </w:tc>
        <w:tc>
          <w:tcPr>
            <w:tcW w:w="100" w:type="dxa"/>
            <w:vAlign w:val="bottom"/>
            <w:tcBorders>
              <w:bottom w:val="single" w:sz="8" w:color="E0E7ED"/>
            </w:tcBorders>
            <w:shd w:val="clear" w:color="auto" w:fill="E0E7ED"/>
          </w:tcPr>
          <w:p>
            <w:pPr>
              <w:spacing w:after="0"/>
              <w:rPr>
                <w:sz w:val="24"/>
                <w:szCs w:val="24"/>
                <w:color w:val="auto"/>
              </w:rPr>
            </w:pPr>
          </w:p>
        </w:tc>
        <w:tc>
          <w:tcPr>
            <w:tcW w:w="220" w:type="dxa"/>
            <w:vAlign w:val="bottom"/>
            <w:tcBorders>
              <w:bottom w:val="single" w:sz="8" w:color="E0E7ED"/>
            </w:tcBorders>
            <w:shd w:val="clear" w:color="auto" w:fill="E0E7ED"/>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248,395</w:t>
            </w:r>
          </w:p>
        </w:tc>
        <w:tc>
          <w:tcPr>
            <w:tcW w:w="80" w:type="dxa"/>
            <w:vAlign w:val="bottom"/>
            <w:tcBorders>
              <w:bottom w:val="single" w:sz="8" w:color="E0E7ED"/>
            </w:tcBorders>
            <w:shd w:val="clear" w:color="auto" w:fill="E0E7ED"/>
          </w:tcPr>
          <w:p>
            <w:pPr>
              <w:spacing w:after="0"/>
              <w:rPr>
                <w:sz w:val="24"/>
                <w:szCs w:val="24"/>
                <w:color w:val="auto"/>
              </w:rPr>
            </w:pPr>
          </w:p>
        </w:tc>
        <w:tc>
          <w:tcPr>
            <w:tcW w:w="240" w:type="dxa"/>
            <w:vAlign w:val="bottom"/>
            <w:tcBorders>
              <w:bottom w:val="single" w:sz="8" w:color="E0E7ED"/>
            </w:tcBorders>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158,221</w:t>
            </w:r>
          </w:p>
        </w:tc>
      </w:tr>
      <w:tr>
        <w:trPr>
          <w:trHeight w:val="20"/>
        </w:trPr>
        <w:tc>
          <w:tcPr>
            <w:tcW w:w="4060" w:type="dxa"/>
            <w:vAlign w:val="bottom"/>
            <w:tcBorders>
              <w:top w:val="single" w:sz="8" w:color="E0E7ED"/>
            </w:tcBorders>
          </w:tcPr>
          <w:p>
            <w:pPr>
              <w:spacing w:after="0" w:line="20" w:lineRule="exact"/>
              <w:rPr>
                <w:sz w:val="1"/>
                <w:szCs w:val="1"/>
                <w:color w:val="auto"/>
              </w:rPr>
            </w:pPr>
          </w:p>
        </w:tc>
        <w:tc>
          <w:tcPr>
            <w:tcW w:w="102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0"/>
        </w:trPr>
        <w:tc>
          <w:tcPr>
            <w:tcW w:w="406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Average interest-earning assets (Non-GAAP)</w:t>
            </w:r>
          </w:p>
        </w:tc>
        <w:tc>
          <w:tcPr>
            <w:tcW w:w="1020" w:type="dxa"/>
            <w:vAlign w:val="bottom"/>
            <w:tcBorders>
              <w:bottom w:val="single" w:sz="8" w:color="E0E7ED"/>
            </w:tcBorders>
            <w:shd w:val="clear" w:color="auto" w:fill="E0E7ED"/>
          </w:tcPr>
          <w:p>
            <w:pPr>
              <w:ind w:left="80"/>
              <w:spacing w:after="0"/>
              <w:rPr>
                <w:sz w:val="20"/>
                <w:szCs w:val="20"/>
                <w:color w:val="auto"/>
              </w:rPr>
            </w:pPr>
            <w:r>
              <w:rPr>
                <w:rFonts w:ascii="Arial" w:cs="Arial" w:eastAsia="Arial" w:hAnsi="Arial"/>
                <w:sz w:val="18"/>
                <w:szCs w:val="18"/>
                <w:color w:val="auto"/>
              </w:rPr>
              <w:t>[c]</w:t>
            </w:r>
          </w:p>
        </w:tc>
        <w:tc>
          <w:tcPr>
            <w:tcW w:w="22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17,700,356</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11,000,785</w:t>
            </w:r>
          </w:p>
        </w:tc>
        <w:tc>
          <w:tcPr>
            <w:tcW w:w="100" w:type="dxa"/>
            <w:vAlign w:val="bottom"/>
            <w:tcBorders>
              <w:bottom w:val="single" w:sz="8" w:color="E0E7ED"/>
            </w:tcBorders>
            <w:shd w:val="clear" w:color="auto" w:fill="E0E7ED"/>
          </w:tcPr>
          <w:p>
            <w:pPr>
              <w:spacing w:after="0"/>
              <w:rPr>
                <w:sz w:val="21"/>
                <w:szCs w:val="21"/>
                <w:color w:val="auto"/>
              </w:rPr>
            </w:pPr>
          </w:p>
        </w:tc>
        <w:tc>
          <w:tcPr>
            <w:tcW w:w="220" w:type="dxa"/>
            <w:vAlign w:val="bottom"/>
            <w:tcBorders>
              <w:bottom w:val="single" w:sz="8" w:color="E0E7ED"/>
            </w:tcBorders>
            <w:shd w:val="clear" w:color="auto" w:fill="E0E7ED"/>
          </w:tcPr>
          <w:p>
            <w:pPr>
              <w:spacing w:after="0"/>
              <w:rPr>
                <w:sz w:val="21"/>
                <w:szCs w:val="21"/>
                <w:color w:val="auto"/>
              </w:rPr>
            </w:pPr>
          </w:p>
        </w:tc>
        <w:tc>
          <w:tcPr>
            <w:tcW w:w="126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15,543,955</w:t>
            </w:r>
          </w:p>
        </w:tc>
        <w:tc>
          <w:tcPr>
            <w:tcW w:w="80" w:type="dxa"/>
            <w:vAlign w:val="bottom"/>
            <w:tcBorders>
              <w:bottom w:val="single" w:sz="8" w:color="E0E7ED"/>
            </w:tcBorders>
            <w:shd w:val="clear" w:color="auto" w:fill="E0E7ED"/>
          </w:tcPr>
          <w:p>
            <w:pPr>
              <w:spacing w:after="0"/>
              <w:rPr>
                <w:sz w:val="21"/>
                <w:szCs w:val="21"/>
                <w:color w:val="auto"/>
              </w:rPr>
            </w:pPr>
          </w:p>
        </w:tc>
        <w:tc>
          <w:tcPr>
            <w:tcW w:w="240" w:type="dxa"/>
            <w:vAlign w:val="bottom"/>
            <w:tcBorders>
              <w:bottom w:val="single" w:sz="8" w:color="E0E7ED"/>
            </w:tcBorders>
            <w:shd w:val="clear" w:color="auto" w:fill="E0E7ED"/>
          </w:tcPr>
          <w:p>
            <w:pPr>
              <w:spacing w:after="0"/>
              <w:rPr>
                <w:sz w:val="21"/>
                <w:szCs w:val="21"/>
                <w:color w:val="auto"/>
              </w:rPr>
            </w:pPr>
          </w:p>
        </w:tc>
        <w:tc>
          <w:tcPr>
            <w:tcW w:w="1240" w:type="dxa"/>
            <w:vAlign w:val="bottom"/>
            <w:tcBorders>
              <w:bottom w:val="single" w:sz="8" w:color="E0E7ED"/>
            </w:tcBorders>
            <w:shd w:val="clear" w:color="auto" w:fill="E0E7ED"/>
          </w:tcPr>
          <w:p>
            <w:pPr>
              <w:jc w:val="right"/>
              <w:ind w:right="152"/>
              <w:spacing w:after="0"/>
              <w:rPr>
                <w:sz w:val="20"/>
                <w:szCs w:val="20"/>
                <w:color w:val="auto"/>
              </w:rPr>
            </w:pPr>
            <w:r>
              <w:rPr>
                <w:rFonts w:ascii="Arial" w:cs="Arial" w:eastAsia="Arial" w:hAnsi="Arial"/>
                <w:sz w:val="18"/>
                <w:szCs w:val="18"/>
                <w:color w:val="auto"/>
              </w:rPr>
              <w:t>11,003,344</w:t>
            </w:r>
          </w:p>
        </w:tc>
      </w:tr>
      <w:tr>
        <w:trPr>
          <w:trHeight w:val="270"/>
        </w:trPr>
        <w:tc>
          <w:tcPr>
            <w:tcW w:w="4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4060" w:type="dxa"/>
            <w:vAlign w:val="bottom"/>
            <w:shd w:val="clear" w:color="auto" w:fill="E0E7ED"/>
          </w:tcPr>
          <w:p>
            <w:pPr>
              <w:ind w:left="20"/>
              <w:spacing w:after="0"/>
              <w:rPr>
                <w:sz w:val="20"/>
                <w:szCs w:val="20"/>
                <w:color w:val="auto"/>
              </w:rPr>
            </w:pPr>
            <w:r>
              <w:rPr>
                <w:rFonts w:ascii="Arial" w:cs="Arial" w:eastAsia="Arial" w:hAnsi="Arial"/>
                <w:sz w:val="18"/>
                <w:szCs w:val="18"/>
                <w:color w:val="auto"/>
              </w:rPr>
              <w:t>Net interest margin (Non-GAAP)</w:t>
            </w:r>
            <w:r>
              <w:rPr>
                <w:rFonts w:ascii="Arial" w:cs="Arial" w:eastAsia="Arial" w:hAnsi="Arial"/>
                <w:sz w:val="23"/>
                <w:szCs w:val="23"/>
                <w:color w:val="auto"/>
                <w:vertAlign w:val="superscript"/>
              </w:rPr>
              <w:t>2</w:t>
            </w:r>
          </w:p>
        </w:tc>
        <w:tc>
          <w:tcPr>
            <w:tcW w:w="1020" w:type="dxa"/>
            <w:vAlign w:val="bottom"/>
            <w:shd w:val="clear" w:color="auto" w:fill="E0E7ED"/>
          </w:tcPr>
          <w:p>
            <w:pPr>
              <w:ind w:left="80"/>
              <w:spacing w:after="0"/>
              <w:rPr>
                <w:sz w:val="20"/>
                <w:szCs w:val="20"/>
                <w:color w:val="auto"/>
              </w:rPr>
            </w:pPr>
            <w:r>
              <w:rPr>
                <w:rFonts w:ascii="Arial" w:cs="Arial" w:eastAsia="Arial" w:hAnsi="Arial"/>
                <w:sz w:val="18"/>
                <w:szCs w:val="18"/>
                <w:color w:val="auto"/>
              </w:rPr>
              <w:t>[a÷c]</w:t>
            </w:r>
          </w:p>
        </w:tc>
        <w:tc>
          <w:tcPr>
            <w:tcW w:w="22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3.49 %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3.03 %</w:t>
            </w:r>
          </w:p>
        </w:tc>
        <w:tc>
          <w:tcPr>
            <w:tcW w:w="100" w:type="dxa"/>
            <w:vAlign w:val="bottom"/>
            <w:shd w:val="clear" w:color="auto" w:fill="E0E7ED"/>
          </w:tcPr>
          <w:p>
            <w:pPr>
              <w:spacing w:after="0"/>
              <w:rPr>
                <w:sz w:val="23"/>
                <w:szCs w:val="23"/>
                <w:color w:val="auto"/>
              </w:rPr>
            </w:pPr>
          </w:p>
        </w:tc>
        <w:tc>
          <w:tcPr>
            <w:tcW w:w="220" w:type="dxa"/>
            <w:vAlign w:val="bottom"/>
            <w:shd w:val="clear" w:color="auto" w:fill="E0E7ED"/>
          </w:tcPr>
          <w:p>
            <w:pPr>
              <w:spacing w:after="0"/>
              <w:rPr>
                <w:sz w:val="23"/>
                <w:szCs w:val="23"/>
                <w:color w:val="auto"/>
              </w:rPr>
            </w:pPr>
          </w:p>
        </w:tc>
        <w:tc>
          <w:tcPr>
            <w:tcW w:w="1260" w:type="dxa"/>
            <w:vAlign w:val="bottom"/>
            <w:shd w:val="clear" w:color="auto" w:fill="E0E7ED"/>
          </w:tcPr>
          <w:p>
            <w:pPr>
              <w:jc w:val="right"/>
              <w:spacing w:after="0"/>
              <w:rPr>
                <w:sz w:val="20"/>
                <w:szCs w:val="20"/>
                <w:color w:val="auto"/>
              </w:rPr>
            </w:pPr>
            <w:r>
              <w:rPr>
                <w:rFonts w:ascii="Arial" w:cs="Arial" w:eastAsia="Arial" w:hAnsi="Arial"/>
                <w:sz w:val="18"/>
                <w:szCs w:val="18"/>
                <w:color w:val="auto"/>
              </w:rPr>
              <w:t>3.35 %</w:t>
            </w:r>
          </w:p>
        </w:tc>
        <w:tc>
          <w:tcPr>
            <w:tcW w:w="8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40" w:type="dxa"/>
            <w:vAlign w:val="bottom"/>
            <w:shd w:val="clear" w:color="auto" w:fill="E0E7ED"/>
          </w:tcPr>
          <w:p>
            <w:pPr>
              <w:jc w:val="right"/>
              <w:spacing w:after="0"/>
              <w:rPr>
                <w:sz w:val="20"/>
                <w:szCs w:val="20"/>
                <w:color w:val="auto"/>
              </w:rPr>
            </w:pPr>
            <w:r>
              <w:rPr>
                <w:rFonts w:ascii="Arial" w:cs="Arial" w:eastAsia="Arial" w:hAnsi="Arial"/>
                <w:sz w:val="18"/>
                <w:szCs w:val="18"/>
                <w:color w:val="auto"/>
              </w:rPr>
              <w:t>2.91 %</w:t>
            </w:r>
          </w:p>
        </w:tc>
      </w:tr>
      <w:tr>
        <w:trPr>
          <w:trHeight w:val="330"/>
        </w:trPr>
        <w:tc>
          <w:tcPr>
            <w:tcW w:w="4060" w:type="dxa"/>
            <w:vAlign w:val="bottom"/>
          </w:tcPr>
          <w:p>
            <w:pPr>
              <w:ind w:left="20"/>
              <w:spacing w:after="0"/>
              <w:rPr>
                <w:sz w:val="20"/>
                <w:szCs w:val="20"/>
                <w:color w:val="auto"/>
              </w:rPr>
            </w:pPr>
            <w:r>
              <w:rPr>
                <w:rFonts w:ascii="Arial" w:cs="Arial" w:eastAsia="Arial" w:hAnsi="Arial"/>
                <w:sz w:val="18"/>
                <w:szCs w:val="18"/>
                <w:color w:val="auto"/>
              </w:rPr>
              <w:t>Adjusted net interest margin (Non-GAAP)</w:t>
            </w:r>
            <w:r>
              <w:rPr>
                <w:rFonts w:ascii="Arial" w:cs="Arial" w:eastAsia="Arial" w:hAnsi="Arial"/>
                <w:sz w:val="23"/>
                <w:szCs w:val="23"/>
                <w:color w:val="auto"/>
                <w:vertAlign w:val="superscript"/>
              </w:rPr>
              <w:t>2</w:t>
            </w:r>
          </w:p>
        </w:tc>
        <w:tc>
          <w:tcPr>
            <w:tcW w:w="1020" w:type="dxa"/>
            <w:vAlign w:val="bottom"/>
          </w:tcPr>
          <w:p>
            <w:pPr>
              <w:ind w:left="80"/>
              <w:spacing w:after="0"/>
              <w:rPr>
                <w:sz w:val="20"/>
                <w:szCs w:val="20"/>
                <w:color w:val="auto"/>
              </w:rPr>
            </w:pPr>
            <w:r>
              <w:rPr>
                <w:rFonts w:ascii="Arial" w:cs="Arial" w:eastAsia="Arial" w:hAnsi="Arial"/>
                <w:sz w:val="18"/>
                <w:szCs w:val="18"/>
                <w:color w:val="auto"/>
              </w:rPr>
              <w:t>[b÷c]</w:t>
            </w: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3.22 %</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2.89 %</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360" w:hanging="352"/>
        <w:spacing w:after="0"/>
        <w:tabs>
          <w:tab w:leader="none" w:pos="3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Tax-equivalent adjustments were calculated using an estimated federal income tax rate of 21.0%, applied to non-taxable interest income on investments and loans.</w:t>
      </w:r>
    </w:p>
    <w:p>
      <w:pPr>
        <w:spacing w:after="0" w:line="14"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3" w:name="page104"/>
    <w:bookmarkEnd w:id="103"/>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Noninterest Income, Revenue Measures, Adjusted Noninterest Expense, Efficiency Ratios,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Noninterest Expense to Average Assets</w:t>
      </w:r>
    </w:p>
    <w:p>
      <w:pPr>
        <w:spacing w:after="0" w:line="298" w:lineRule="exact"/>
        <w:rPr>
          <w:sz w:val="20"/>
          <w:szCs w:val="20"/>
          <w:color w:val="auto"/>
        </w:rPr>
      </w:pPr>
    </w:p>
    <w:p>
      <w:pPr>
        <w:ind w:left="5200"/>
        <w:spacing w:after="0"/>
        <w:tabs>
          <w:tab w:leader="none" w:pos="8640" w:val="left"/>
        </w:tabs>
        <w:rPr>
          <w:sz w:val="20"/>
          <w:szCs w:val="20"/>
          <w:color w:val="auto"/>
        </w:rPr>
      </w:pPr>
      <w:r>
        <w:rPr>
          <w:rFonts w:ascii="Arial" w:cs="Arial" w:eastAsia="Arial" w:hAnsi="Arial"/>
          <w:sz w:val="14"/>
          <w:szCs w:val="14"/>
          <w:b w:val="1"/>
          <w:bCs w:val="1"/>
          <w:color w:val="auto"/>
        </w:rPr>
        <w:t>Three Months Ended June 30,</w:t>
      </w:r>
      <w:r>
        <w:rPr>
          <w:sz w:val="20"/>
          <w:szCs w:val="20"/>
          <w:color w:val="auto"/>
        </w:rPr>
        <w:tab/>
      </w:r>
      <w:r>
        <w:rPr>
          <w:rFonts w:ascii="Arial" w:cs="Arial" w:eastAsia="Arial" w:hAnsi="Arial"/>
          <w:sz w:val="14"/>
          <w:szCs w:val="14"/>
          <w:b w:val="1"/>
          <w:bCs w:val="1"/>
          <w:color w:val="auto"/>
        </w:rPr>
        <w:t>Six Months Ended June 30,</w:t>
      </w:r>
    </w:p>
    <w:p>
      <w:pPr>
        <w:spacing w:after="0" w:line="35" w:lineRule="exact"/>
        <w:rPr>
          <w:sz w:val="20"/>
          <w:szCs w:val="20"/>
          <w:color w:val="auto"/>
        </w:rPr>
      </w:pPr>
    </w:p>
    <w:p>
      <w:pPr>
        <w:ind w:left="20"/>
        <w:spacing w:after="0"/>
        <w:tabs>
          <w:tab w:leader="none" w:pos="5200" w:val="left"/>
          <w:tab w:leader="none" w:pos="6880" w:val="left"/>
          <w:tab w:leader="none" w:pos="8580" w:val="left"/>
          <w:tab w:leader="none" w:pos="10260" w:val="left"/>
        </w:tabs>
        <w:rPr>
          <w:sz w:val="20"/>
          <w:szCs w:val="20"/>
          <w:color w:val="auto"/>
        </w:rPr>
      </w:pPr>
      <w:r>
        <w:rPr>
          <w:rFonts w:ascii="Arial" w:cs="Arial" w:eastAsia="Arial" w:hAnsi="Arial"/>
          <w:sz w:val="14"/>
          <w:szCs w:val="14"/>
          <w:i w:val="1"/>
          <w:iCs w:val="1"/>
          <w:color w:val="auto"/>
        </w:rPr>
        <w:t>(dollars in thousands)</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97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p>
      <w:pPr>
        <w:spacing w:after="0" w:line="25" w:lineRule="exact"/>
        <w:rPr>
          <w:sz w:val="20"/>
          <w:szCs w:val="20"/>
          <w:color w:val="auto"/>
        </w:rPr>
      </w:pPr>
    </w:p>
    <w:p>
      <w:pPr>
        <w:jc w:val="right"/>
        <w:ind w:left="20" w:right="880"/>
        <w:spacing w:after="0" w:line="305" w:lineRule="auto"/>
        <w:rPr>
          <w:sz w:val="20"/>
          <w:szCs w:val="20"/>
          <w:color w:val="auto"/>
        </w:rPr>
      </w:pPr>
      <w:r>
        <w:rPr>
          <w:rFonts w:ascii="Arial" w:cs="Arial" w:eastAsia="Arial" w:hAnsi="Arial"/>
          <w:sz w:val="17"/>
          <w:szCs w:val="17"/>
          <w:b w:val="1"/>
          <w:bCs w:val="1"/>
          <w:color w:val="auto"/>
        </w:rPr>
        <w:t xml:space="preserve">Net interest income (GAAP) </w:t>
      </w:r>
      <w:r>
        <w:rPr>
          <w:rFonts w:ascii="Arial" w:cs="Arial" w:eastAsia="Arial" w:hAnsi="Arial"/>
          <w:sz w:val="17"/>
          <w:szCs w:val="17"/>
          <w:color w:val="auto"/>
        </w:rPr>
        <w:t>Tax-equivalent adjustment</w:t>
      </w:r>
      <w:r>
        <w:rPr>
          <w:rFonts w:ascii="Arial" w:cs="Arial" w:eastAsia="Arial" w:hAnsi="Arial"/>
          <w:sz w:val="22"/>
          <w:szCs w:val="22"/>
          <w:color w:val="auto"/>
          <w:vertAlign w:val="superscript"/>
        </w:rPr>
        <w:t>1</w:t>
      </w:r>
    </w:p>
    <w:p>
      <w:pPr>
        <w:spacing w:after="0" w:line="2"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Tax-equivalent net interest income (Non-GAAP)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940" w:type="dxa"/>
            <w:vAlign w:val="bottom"/>
          </w:tcPr>
          <w:p>
            <w:pPr>
              <w:spacing w:after="0"/>
              <w:rPr>
                <w:sz w:val="20"/>
                <w:szCs w:val="20"/>
                <w:color w:val="auto"/>
              </w:rPr>
            </w:pPr>
            <w:r>
              <w:rPr>
                <w:rFonts w:ascii="Arial" w:cs="Arial" w:eastAsia="Arial" w:hAnsi="Arial"/>
                <w:sz w:val="18"/>
                <w:szCs w:val="18"/>
                <w:color w:val="auto"/>
              </w:rPr>
              <w:t>[a]</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153,183</w:t>
            </w:r>
          </w:p>
        </w:tc>
        <w:tc>
          <w:tcPr>
            <w:tcW w:w="100" w:type="dxa"/>
            <w:vAlign w:val="bottom"/>
          </w:tcPr>
          <w:p>
            <w:pPr>
              <w:spacing w:after="0"/>
              <w:rPr>
                <w:sz w:val="22"/>
                <w:szCs w:val="22"/>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82,532</w:t>
            </w:r>
          </w:p>
        </w:tc>
        <w:tc>
          <w:tcPr>
            <w:tcW w:w="100" w:type="dxa"/>
            <w:vAlign w:val="bottom"/>
          </w:tcPr>
          <w:p>
            <w:pPr>
              <w:spacing w:after="0"/>
              <w:rPr>
                <w:sz w:val="22"/>
                <w:szCs w:val="22"/>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256,914</w:t>
            </w:r>
          </w:p>
        </w:tc>
        <w:tc>
          <w:tcPr>
            <w:tcW w:w="80" w:type="dxa"/>
            <w:vAlign w:val="bottom"/>
          </w:tcPr>
          <w:p>
            <w:pPr>
              <w:spacing w:after="0"/>
              <w:rPr>
                <w:sz w:val="22"/>
                <w:szCs w:val="22"/>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158,386</w:t>
            </w:r>
          </w:p>
        </w:tc>
        <w:tc>
          <w:tcPr>
            <w:tcW w:w="0" w:type="dxa"/>
            <w:vAlign w:val="bottom"/>
          </w:tcPr>
          <w:p>
            <w:pPr>
              <w:spacing w:after="0"/>
              <w:rPr>
                <w:sz w:val="1"/>
                <w:szCs w:val="1"/>
                <w:color w:val="auto"/>
              </w:rPr>
            </w:pPr>
          </w:p>
        </w:tc>
      </w:tr>
      <w:tr>
        <w:trPr>
          <w:trHeight w:val="252"/>
        </w:trPr>
        <w:tc>
          <w:tcPr>
            <w:tcW w:w="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791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1,328</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5"/>
        </w:trPr>
        <w:tc>
          <w:tcPr>
            <w:tcW w:w="9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153,974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vMerge w:val="restart"/>
          </w:tcPr>
          <w:p>
            <w:pPr>
              <w:jc w:val="right"/>
              <w:ind w:right="150"/>
              <w:spacing w:after="0"/>
              <w:rPr>
                <w:sz w:val="20"/>
                <w:szCs w:val="20"/>
                <w:color w:val="auto"/>
              </w:rPr>
            </w:pPr>
            <w:r>
              <w:rPr>
                <w:rFonts w:ascii="Arial" w:cs="Arial" w:eastAsia="Arial" w:hAnsi="Arial"/>
                <w:sz w:val="18"/>
                <w:szCs w:val="18"/>
                <w:color w:val="auto"/>
              </w:rPr>
              <w:t>82,934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258,242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159,237</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9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-316865</wp:posOffset>
            </wp:positionV>
            <wp:extent cx="7132320" cy="3086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60" w:space="380"/>
            <w:col w:w="7600"/>
          </w:cols>
          <w:pgMar w:left="320" w:top="296"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noninterest income (GAAP)</w:t>
            </w:r>
          </w:p>
        </w:tc>
        <w:tc>
          <w:tcPr>
            <w:tcW w:w="10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44,863</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33,703</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66,086</w:t>
            </w: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spacing w:after="0"/>
              <w:rPr>
                <w:sz w:val="23"/>
                <w:szCs w:val="23"/>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68,616</w:t>
            </w:r>
          </w:p>
        </w:tc>
        <w:tc>
          <w:tcPr>
            <w:tcW w:w="0" w:type="dxa"/>
            <w:vAlign w:val="bottom"/>
          </w:tcPr>
          <w:p>
            <w:pPr>
              <w:spacing w:after="0"/>
              <w:rPr>
                <w:sz w:val="1"/>
                <w:szCs w:val="1"/>
                <w:color w:val="auto"/>
              </w:rPr>
            </w:pPr>
          </w:p>
        </w:tc>
      </w:tr>
      <w:tr>
        <w:trPr>
          <w:trHeight w:val="247"/>
        </w:trPr>
        <w:tc>
          <w:tcPr>
            <w:tcW w:w="3580" w:type="dxa"/>
            <w:vAlign w:val="bottom"/>
          </w:tcPr>
          <w:p>
            <w:pPr>
              <w:ind w:left="180"/>
              <w:spacing w:after="0"/>
              <w:rPr>
                <w:sz w:val="20"/>
                <w:szCs w:val="20"/>
                <w:color w:val="auto"/>
              </w:rPr>
            </w:pPr>
            <w:r>
              <w:rPr>
                <w:rFonts w:ascii="Arial" w:cs="Arial" w:eastAsia="Arial" w:hAnsi="Arial"/>
                <w:sz w:val="18"/>
                <w:szCs w:val="18"/>
                <w:color w:val="auto"/>
              </w:rPr>
              <w:t>Net security (gains) losses</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(5,997)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9,771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50"/>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3"/>
        </w:trPr>
        <w:tc>
          <w:tcPr>
            <w:tcW w:w="3580" w:type="dxa"/>
            <w:vAlign w:val="bottom"/>
            <w:tcBorders>
              <w:bottom w:val="single" w:sz="8" w:color="E0E7ED"/>
            </w:tcBorders>
          </w:tcPr>
          <w:p>
            <w:pPr>
              <w:spacing w:after="0"/>
              <w:rPr>
                <w:sz w:val="2"/>
                <w:szCs w:val="2"/>
                <w:color w:val="auto"/>
              </w:rPr>
            </w:pPr>
          </w:p>
        </w:tc>
        <w:tc>
          <w:tcPr>
            <w:tcW w:w="10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shd w:val="clear" w:color="auto" w:fill="E0E7ED"/>
          </w:tcPr>
          <w:p>
            <w:pPr>
              <w:ind w:left="180"/>
              <w:spacing w:after="0" w:line="204" w:lineRule="exact"/>
              <w:rPr>
                <w:sz w:val="20"/>
                <w:szCs w:val="20"/>
                <w:color w:val="auto"/>
              </w:rPr>
            </w:pPr>
            <w:r>
              <w:rPr>
                <w:rFonts w:ascii="Arial" w:cs="Arial" w:eastAsia="Arial" w:hAnsi="Arial"/>
                <w:sz w:val="18"/>
                <w:szCs w:val="18"/>
                <w:color w:val="auto"/>
              </w:rPr>
              <w:t>Noninterest income excluding net</w:t>
            </w:r>
          </w:p>
        </w:tc>
        <w:tc>
          <w:tcPr>
            <w:tcW w:w="10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0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3580" w:type="dxa"/>
            <w:vAlign w:val="bottom"/>
            <w:tcBorders>
              <w:bottom w:val="single" w:sz="8" w:color="E0E7ED"/>
            </w:tcBorders>
            <w:shd w:val="clear" w:color="auto" w:fill="E0E7ED"/>
          </w:tcPr>
          <w:p>
            <w:pPr>
              <w:ind w:left="180"/>
              <w:spacing w:after="0"/>
              <w:rPr>
                <w:sz w:val="20"/>
                <w:szCs w:val="20"/>
                <w:color w:val="auto"/>
              </w:rPr>
            </w:pPr>
            <w:r>
              <w:rPr>
                <w:rFonts w:ascii="Arial" w:cs="Arial" w:eastAsia="Arial" w:hAnsi="Arial"/>
                <w:sz w:val="18"/>
                <w:szCs w:val="18"/>
                <w:color w:val="auto"/>
              </w:rPr>
              <w:t>securities gains and losses (Non-GAAP)</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[c]</w:t>
            </w: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E0E7ED"/>
            </w:tcBorders>
            <w:shd w:val="clear" w:color="auto" w:fill="E0E7ED"/>
          </w:tcPr>
          <w:p>
            <w:pPr>
              <w:spacing w:after="0"/>
              <w:rPr>
                <w:sz w:val="21"/>
                <w:szCs w:val="21"/>
                <w:color w:val="auto"/>
              </w:rPr>
            </w:pPr>
          </w:p>
        </w:tc>
        <w:tc>
          <w:tcPr>
            <w:tcW w:w="4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34,056</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75,857</w:t>
            </w:r>
          </w:p>
        </w:tc>
        <w:tc>
          <w:tcPr>
            <w:tcW w:w="8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75,344</w:t>
            </w:r>
          </w:p>
        </w:tc>
        <w:tc>
          <w:tcPr>
            <w:tcW w:w="0" w:type="dxa"/>
            <w:vAlign w:val="bottom"/>
          </w:tcPr>
          <w:p>
            <w:pPr>
              <w:spacing w:after="0"/>
              <w:rPr>
                <w:sz w:val="1"/>
                <w:szCs w:val="1"/>
                <w:color w:val="auto"/>
              </w:rPr>
            </w:pPr>
          </w:p>
        </w:tc>
      </w:tr>
      <w:tr>
        <w:trPr>
          <w:trHeight w:val="224"/>
        </w:trPr>
        <w:tc>
          <w:tcPr>
            <w:tcW w:w="3580" w:type="dxa"/>
            <w:vAlign w:val="bottom"/>
          </w:tcPr>
          <w:p>
            <w:pPr>
              <w:ind w:left="180"/>
              <w:spacing w:after="0"/>
              <w:rPr>
                <w:sz w:val="20"/>
                <w:szCs w:val="20"/>
                <w:color w:val="auto"/>
              </w:rPr>
            </w:pPr>
            <w:r>
              <w:rPr>
                <w:rFonts w:ascii="Arial" w:cs="Arial" w:eastAsia="Arial" w:hAnsi="Arial"/>
                <w:sz w:val="18"/>
                <w:szCs w:val="18"/>
                <w:color w:val="auto"/>
              </w:rPr>
              <w:t>Realized net (gains) losses on the sale of</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180"/>
              <w:spacing w:after="0"/>
              <w:rPr>
                <w:sz w:val="20"/>
                <w:szCs w:val="20"/>
                <w:color w:val="auto"/>
              </w:rPr>
            </w:pPr>
            <w:r>
              <w:rPr>
                <w:rFonts w:ascii="Arial" w:cs="Arial" w:eastAsia="Arial" w:hAnsi="Arial"/>
                <w:sz w:val="18"/>
                <w:szCs w:val="18"/>
                <w:color w:val="auto"/>
              </w:rPr>
              <w:t>mortgage service rights</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(7,742)</w:t>
            </w:r>
          </w:p>
        </w:tc>
        <w:tc>
          <w:tcPr>
            <w:tcW w:w="0" w:type="dxa"/>
            <w:vAlign w:val="bottom"/>
          </w:tcPr>
          <w:p>
            <w:pPr>
              <w:spacing w:after="0"/>
              <w:rPr>
                <w:sz w:val="1"/>
                <w:szCs w:val="1"/>
                <w:color w:val="auto"/>
              </w:rPr>
            </w:pPr>
          </w:p>
        </w:tc>
      </w:tr>
      <w:tr>
        <w:trPr>
          <w:trHeight w:val="23"/>
        </w:trPr>
        <w:tc>
          <w:tcPr>
            <w:tcW w:w="3580" w:type="dxa"/>
            <w:vAlign w:val="bottom"/>
            <w:tcBorders>
              <w:bottom w:val="single" w:sz="8" w:color="E0E7ED"/>
            </w:tcBorders>
          </w:tcPr>
          <w:p>
            <w:pPr>
              <w:spacing w:after="0"/>
              <w:rPr>
                <w:sz w:val="2"/>
                <w:szCs w:val="2"/>
                <w:color w:val="auto"/>
              </w:rPr>
            </w:pPr>
          </w:p>
        </w:tc>
        <w:tc>
          <w:tcPr>
            <w:tcW w:w="10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Adjusted noninterest income (Non-GAAP)</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[d]</w:t>
            </w:r>
          </w:p>
        </w:tc>
        <w:tc>
          <w:tcPr>
            <w:tcW w:w="42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38,866</w:t>
            </w:r>
          </w:p>
        </w:tc>
        <w:tc>
          <w:tcPr>
            <w:tcW w:w="100" w:type="dxa"/>
            <w:vAlign w:val="bottom"/>
            <w:tcBorders>
              <w:bottom w:val="single" w:sz="8" w:color="E0E7ED"/>
            </w:tcBorders>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33,779</w:t>
            </w:r>
          </w:p>
        </w:tc>
        <w:tc>
          <w:tcPr>
            <w:tcW w:w="100" w:type="dxa"/>
            <w:vAlign w:val="bottom"/>
            <w:tcBorders>
              <w:bottom w:val="single" w:sz="8" w:color="E0E7ED"/>
            </w:tcBorders>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75,857</w:t>
            </w:r>
          </w:p>
        </w:tc>
        <w:tc>
          <w:tcPr>
            <w:tcW w:w="80" w:type="dxa"/>
            <w:vAlign w:val="bottom"/>
            <w:tcBorders>
              <w:bottom w:val="single" w:sz="8" w:color="E0E7ED"/>
            </w:tcBorders>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spacing w:after="0"/>
              <w:rPr>
                <w:sz w:val="24"/>
                <w:szCs w:val="24"/>
                <w:color w:val="auto"/>
              </w:rPr>
            </w:pP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67,602</w:t>
            </w:r>
          </w:p>
        </w:tc>
        <w:tc>
          <w:tcPr>
            <w:tcW w:w="0" w:type="dxa"/>
            <w:vAlign w:val="bottom"/>
          </w:tcPr>
          <w:p>
            <w:pPr>
              <w:spacing w:after="0"/>
              <w:rPr>
                <w:sz w:val="1"/>
                <w:szCs w:val="1"/>
                <w:color w:val="auto"/>
              </w:rPr>
            </w:pPr>
          </w:p>
        </w:tc>
      </w:tr>
      <w:tr>
        <w:trPr>
          <w:trHeight w:val="20"/>
        </w:trPr>
        <w:tc>
          <w:tcPr>
            <w:tcW w:w="358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Tax-equivalent revenue (Non-GAAP)</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[e = b+c]</w:t>
            </w: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192,840</w:t>
            </w:r>
          </w:p>
        </w:tc>
        <w:tc>
          <w:tcPr>
            <w:tcW w:w="100" w:type="dxa"/>
            <w:vAlign w:val="bottom"/>
            <w:tcBorders>
              <w:bottom w:val="single" w:sz="8" w:color="E0E7ED"/>
            </w:tcBorders>
            <w:shd w:val="clear" w:color="auto" w:fill="E0E7ED"/>
          </w:tcPr>
          <w:p>
            <w:pPr>
              <w:spacing w:after="0"/>
              <w:rPr>
                <w:sz w:val="21"/>
                <w:szCs w:val="21"/>
                <w:color w:val="auto"/>
              </w:rPr>
            </w:pPr>
          </w:p>
        </w:tc>
        <w:tc>
          <w:tcPr>
            <w:tcW w:w="400" w:type="dxa"/>
            <w:vAlign w:val="bottom"/>
            <w:tcBorders>
              <w:bottom w:val="single" w:sz="8" w:color="E0E7ED"/>
            </w:tcBorders>
            <w:shd w:val="clear" w:color="auto" w:fill="E0E7ED"/>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116,990</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334,099</w:t>
            </w:r>
          </w:p>
        </w:tc>
        <w:tc>
          <w:tcPr>
            <w:tcW w:w="8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234,581</w:t>
            </w:r>
          </w:p>
        </w:tc>
        <w:tc>
          <w:tcPr>
            <w:tcW w:w="0" w:type="dxa"/>
            <w:vAlign w:val="bottom"/>
          </w:tcPr>
          <w:p>
            <w:pPr>
              <w:spacing w:after="0"/>
              <w:rPr>
                <w:sz w:val="1"/>
                <w:szCs w:val="1"/>
                <w:color w:val="auto"/>
              </w:rPr>
            </w:pPr>
          </w:p>
        </w:tc>
      </w:tr>
      <w:tr>
        <w:trPr>
          <w:trHeight w:val="224"/>
        </w:trPr>
        <w:tc>
          <w:tcPr>
            <w:tcW w:w="3580" w:type="dxa"/>
            <w:vAlign w:val="bottom"/>
          </w:tcPr>
          <w:p>
            <w:pPr>
              <w:ind w:left="20"/>
              <w:spacing w:after="0"/>
              <w:rPr>
                <w:sz w:val="20"/>
                <w:szCs w:val="20"/>
                <w:color w:val="auto"/>
              </w:rPr>
            </w:pPr>
            <w:r>
              <w:rPr>
                <w:rFonts w:ascii="Arial" w:cs="Arial" w:eastAsia="Arial" w:hAnsi="Arial"/>
                <w:sz w:val="18"/>
                <w:szCs w:val="18"/>
                <w:color w:val="auto"/>
              </w:rPr>
              <w:t>Adjusted tax-equivalent revenue (Non-</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[f = b+d]</w:t>
            </w: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3580" w:type="dxa"/>
            <w:vAlign w:val="bottom"/>
            <w:vMerge w:val="restart"/>
          </w:tcPr>
          <w:p>
            <w:pPr>
              <w:ind w:left="20"/>
              <w:spacing w:after="0"/>
              <w:rPr>
                <w:sz w:val="20"/>
                <w:szCs w:val="20"/>
                <w:color w:val="auto"/>
              </w:rPr>
            </w:pPr>
            <w:r>
              <w:rPr>
                <w:rFonts w:ascii="Arial" w:cs="Arial" w:eastAsia="Arial" w:hAnsi="Arial"/>
                <w:sz w:val="18"/>
                <w:szCs w:val="18"/>
                <w:color w:val="auto"/>
              </w:rPr>
              <w:t>GAAP)</w:t>
            </w:r>
          </w:p>
        </w:tc>
        <w:tc>
          <w:tcPr>
            <w:tcW w:w="1000" w:type="dxa"/>
            <w:vAlign w:val="bottom"/>
            <w:vMerge w:val="continue"/>
          </w:tcPr>
          <w:p>
            <w:pPr>
              <w:spacing w:after="0"/>
              <w:rPr>
                <w:sz w:val="11"/>
                <w:szCs w:val="1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192,840</w:t>
            </w:r>
          </w:p>
        </w:tc>
        <w:tc>
          <w:tcPr>
            <w:tcW w:w="100" w:type="dxa"/>
            <w:vAlign w:val="bottom"/>
          </w:tcPr>
          <w:p>
            <w:pPr>
              <w:spacing w:after="0"/>
              <w:rPr>
                <w:sz w:val="11"/>
                <w:szCs w:val="11"/>
                <w:color w:val="auto"/>
              </w:rPr>
            </w:pPr>
          </w:p>
        </w:tc>
        <w:tc>
          <w:tcPr>
            <w:tcW w:w="400" w:type="dxa"/>
            <w:vAlign w:val="bottom"/>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116,713</w:t>
            </w:r>
          </w:p>
        </w:tc>
        <w:tc>
          <w:tcPr>
            <w:tcW w:w="100" w:type="dxa"/>
            <w:vAlign w:val="bottom"/>
          </w:tcPr>
          <w:p>
            <w:pPr>
              <w:spacing w:after="0"/>
              <w:rPr>
                <w:sz w:val="11"/>
                <w:szCs w:val="1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334,099</w:t>
            </w:r>
          </w:p>
        </w:tc>
        <w:tc>
          <w:tcPr>
            <w:tcW w:w="80" w:type="dxa"/>
            <w:vAlign w:val="bottom"/>
          </w:tcPr>
          <w:p>
            <w:pPr>
              <w:spacing w:after="0"/>
              <w:rPr>
                <w:sz w:val="11"/>
                <w:szCs w:val="11"/>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right"/>
              <w:ind w:right="150"/>
              <w:spacing w:after="0"/>
              <w:rPr>
                <w:sz w:val="20"/>
                <w:szCs w:val="20"/>
                <w:color w:val="auto"/>
              </w:rPr>
            </w:pPr>
            <w:r>
              <w:rPr>
                <w:rFonts w:ascii="Arial" w:cs="Arial" w:eastAsia="Arial" w:hAnsi="Arial"/>
                <w:sz w:val="18"/>
                <w:szCs w:val="18"/>
                <w:color w:val="auto"/>
              </w:rPr>
              <w:t>226,839</w:t>
            </w:r>
          </w:p>
        </w:tc>
        <w:tc>
          <w:tcPr>
            <w:tcW w:w="0" w:type="dxa"/>
            <w:vAlign w:val="bottom"/>
          </w:tcPr>
          <w:p>
            <w:pPr>
              <w:spacing w:after="0"/>
              <w:rPr>
                <w:sz w:val="1"/>
                <w:szCs w:val="1"/>
                <w:color w:val="auto"/>
              </w:rPr>
            </w:pPr>
          </w:p>
        </w:tc>
      </w:tr>
      <w:tr>
        <w:trPr>
          <w:trHeight w:val="108"/>
        </w:trPr>
        <w:tc>
          <w:tcPr>
            <w:tcW w:w="35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Operating revenue (Non-GAAP)</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[g = a+d]</w:t>
            </w: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192,049</w:t>
            </w:r>
          </w:p>
        </w:tc>
        <w:tc>
          <w:tcPr>
            <w:tcW w:w="100" w:type="dxa"/>
            <w:vAlign w:val="bottom"/>
            <w:tcBorders>
              <w:bottom w:val="single" w:sz="8" w:color="E0E7ED"/>
            </w:tcBorders>
            <w:shd w:val="clear" w:color="auto" w:fill="E0E7ED"/>
          </w:tcPr>
          <w:p>
            <w:pPr>
              <w:spacing w:after="0"/>
              <w:rPr>
                <w:sz w:val="21"/>
                <w:szCs w:val="21"/>
                <w:color w:val="auto"/>
              </w:rPr>
            </w:pPr>
          </w:p>
        </w:tc>
        <w:tc>
          <w:tcPr>
            <w:tcW w:w="400" w:type="dxa"/>
            <w:vAlign w:val="bottom"/>
            <w:tcBorders>
              <w:bottom w:val="single" w:sz="8" w:color="E0E7ED"/>
            </w:tcBorders>
            <w:shd w:val="clear" w:color="auto" w:fill="E0E7ED"/>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116,311</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332,771</w:t>
            </w:r>
          </w:p>
        </w:tc>
        <w:tc>
          <w:tcPr>
            <w:tcW w:w="8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E0E7ED"/>
            </w:tcBorders>
            <w:shd w:val="clear" w:color="auto" w:fill="E0E7ED"/>
          </w:tcPr>
          <w:p>
            <w:pPr>
              <w:jc w:val="right"/>
              <w:ind w:right="150"/>
              <w:spacing w:after="0"/>
              <w:rPr>
                <w:sz w:val="20"/>
                <w:szCs w:val="20"/>
                <w:color w:val="auto"/>
              </w:rPr>
            </w:pPr>
            <w:r>
              <w:rPr>
                <w:rFonts w:ascii="Arial" w:cs="Arial" w:eastAsia="Arial" w:hAnsi="Arial"/>
                <w:sz w:val="18"/>
                <w:szCs w:val="18"/>
                <w:color w:val="auto"/>
              </w:rPr>
              <w:t>225,988</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580" w:type="dxa"/>
            <w:vAlign w:val="bottom"/>
            <w:shd w:val="clear" w:color="auto" w:fill="E0E7ED"/>
          </w:tcPr>
          <w:p>
            <w:pPr>
              <w:ind w:left="20"/>
              <w:spacing w:after="0"/>
              <w:rPr>
                <w:sz w:val="20"/>
                <w:szCs w:val="20"/>
                <w:color w:val="auto"/>
              </w:rPr>
            </w:pPr>
            <w:r>
              <w:rPr>
                <w:rFonts w:ascii="Arial" w:cs="Arial" w:eastAsia="Arial" w:hAnsi="Arial"/>
                <w:sz w:val="18"/>
                <w:szCs w:val="18"/>
                <w:color w:val="auto"/>
              </w:rPr>
              <w:t>Adjusted noninterest income to operating</w:t>
            </w:r>
          </w:p>
        </w:tc>
        <w:tc>
          <w:tcPr>
            <w:tcW w:w="1000" w:type="dxa"/>
            <w:vAlign w:val="bottom"/>
            <w:shd w:val="clear" w:color="auto" w:fill="E0E7ED"/>
          </w:tcPr>
          <w:p>
            <w:pPr>
              <w:spacing w:after="0"/>
              <w:rPr>
                <w:sz w:val="19"/>
                <w:szCs w:val="19"/>
                <w:color w:val="auto"/>
              </w:rPr>
            </w:pPr>
          </w:p>
        </w:tc>
        <w:tc>
          <w:tcPr>
            <w:tcW w:w="42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40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100" w:type="dxa"/>
            <w:vAlign w:val="bottom"/>
            <w:shd w:val="clear" w:color="auto" w:fill="E0E7ED"/>
          </w:tcPr>
          <w:p>
            <w:pPr>
              <w:spacing w:after="0"/>
              <w:rPr>
                <w:sz w:val="19"/>
                <w:szCs w:val="19"/>
                <w:color w:val="auto"/>
              </w:rPr>
            </w:pPr>
          </w:p>
        </w:tc>
        <w:tc>
          <w:tcPr>
            <w:tcW w:w="42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80" w:type="dxa"/>
            <w:vAlign w:val="bottom"/>
            <w:shd w:val="clear" w:color="auto" w:fill="E0E7ED"/>
          </w:tcPr>
          <w:p>
            <w:pPr>
              <w:spacing w:after="0"/>
              <w:rPr>
                <w:sz w:val="19"/>
                <w:szCs w:val="19"/>
                <w:color w:val="auto"/>
              </w:rPr>
            </w:pPr>
          </w:p>
        </w:tc>
        <w:tc>
          <w:tcPr>
            <w:tcW w:w="420" w:type="dxa"/>
            <w:vAlign w:val="bottom"/>
            <w:shd w:val="clear" w:color="auto" w:fill="E0E7ED"/>
          </w:tcPr>
          <w:p>
            <w:pPr>
              <w:spacing w:after="0"/>
              <w:rPr>
                <w:sz w:val="19"/>
                <w:szCs w:val="19"/>
                <w:color w:val="auto"/>
              </w:rPr>
            </w:pPr>
          </w:p>
        </w:tc>
        <w:tc>
          <w:tcPr>
            <w:tcW w:w="1180" w:type="dxa"/>
            <w:vAlign w:val="bottom"/>
            <w:shd w:val="clear" w:color="auto" w:fill="E0E7ED"/>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5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revenue (Non-GAAP)</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[d÷g]</w:t>
            </w: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20.24 %</w:t>
            </w:r>
          </w:p>
        </w:tc>
        <w:tc>
          <w:tcPr>
            <w:tcW w:w="100" w:type="dxa"/>
            <w:vAlign w:val="bottom"/>
            <w:tcBorders>
              <w:bottom w:val="single" w:sz="8" w:color="E0E7ED"/>
            </w:tcBorders>
            <w:shd w:val="clear" w:color="auto" w:fill="E0E7ED"/>
          </w:tcPr>
          <w:p>
            <w:pPr>
              <w:spacing w:after="0"/>
              <w:rPr>
                <w:sz w:val="21"/>
                <w:szCs w:val="21"/>
                <w:color w:val="auto"/>
              </w:rPr>
            </w:pPr>
          </w:p>
        </w:tc>
        <w:tc>
          <w:tcPr>
            <w:tcW w:w="40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29.04 %</w:t>
            </w:r>
          </w:p>
        </w:tc>
        <w:tc>
          <w:tcPr>
            <w:tcW w:w="10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22.80 %</w:t>
            </w:r>
          </w:p>
        </w:tc>
        <w:tc>
          <w:tcPr>
            <w:tcW w:w="80" w:type="dxa"/>
            <w:vAlign w:val="bottom"/>
            <w:tcBorders>
              <w:bottom w:val="single" w:sz="8" w:color="E0E7ED"/>
            </w:tcBorders>
            <w:shd w:val="clear" w:color="auto" w:fill="E0E7ED"/>
          </w:tcPr>
          <w:p>
            <w:pPr>
              <w:spacing w:after="0"/>
              <w:rPr>
                <w:sz w:val="21"/>
                <w:szCs w:val="21"/>
                <w:color w:val="auto"/>
              </w:rPr>
            </w:pPr>
          </w:p>
        </w:tc>
        <w:tc>
          <w:tcPr>
            <w:tcW w:w="420" w:type="dxa"/>
            <w:vAlign w:val="bottom"/>
            <w:tcBorders>
              <w:bottom w:val="single" w:sz="8" w:color="E0E7ED"/>
            </w:tcBorders>
            <w:shd w:val="clear" w:color="auto" w:fill="E0E7ED"/>
          </w:tcPr>
          <w:p>
            <w:pPr>
              <w:spacing w:after="0"/>
              <w:rPr>
                <w:sz w:val="21"/>
                <w:szCs w:val="21"/>
                <w:color w:val="auto"/>
              </w:rPr>
            </w:pPr>
          </w:p>
        </w:tc>
        <w:tc>
          <w:tcPr>
            <w:tcW w:w="11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29.91 %</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8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noninterest expense (GAAP)</w:t>
            </w:r>
            <w:r>
              <w:rPr>
                <w:rFonts w:ascii="Arial" w:cs="Arial" w:eastAsia="Arial" w:hAnsi="Arial"/>
                <w:sz w:val="23"/>
                <w:szCs w:val="23"/>
                <w:b w:val="1"/>
                <w:bCs w:val="1"/>
                <w:color w:val="auto"/>
                <w:vertAlign w:val="superscript"/>
              </w:rPr>
              <w:t>2</w:t>
            </w:r>
          </w:p>
        </w:tc>
        <w:tc>
          <w:tcPr>
            <w:tcW w:w="100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127,833</w:t>
            </w:r>
          </w:p>
        </w:tc>
        <w:tc>
          <w:tcPr>
            <w:tcW w:w="100" w:type="dxa"/>
            <w:vAlign w:val="bottom"/>
            <w:shd w:val="clear" w:color="auto" w:fill="E0E7ED"/>
          </w:tcPr>
          <w:p>
            <w:pPr>
              <w:spacing w:after="0"/>
              <w:rPr>
                <w:sz w:val="23"/>
                <w:szCs w:val="23"/>
                <w:color w:val="auto"/>
              </w:rPr>
            </w:pPr>
          </w:p>
        </w:tc>
        <w:tc>
          <w:tcPr>
            <w:tcW w:w="400" w:type="dxa"/>
            <w:vAlign w:val="bottom"/>
            <w:shd w:val="clear" w:color="auto" w:fill="E0E7ED"/>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75,906</w:t>
            </w:r>
          </w:p>
        </w:tc>
        <w:tc>
          <w:tcPr>
            <w:tcW w:w="10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239,863</w:t>
            </w:r>
          </w:p>
        </w:tc>
        <w:tc>
          <w:tcPr>
            <w:tcW w:w="80" w:type="dxa"/>
            <w:vAlign w:val="bottom"/>
            <w:shd w:val="clear" w:color="auto" w:fill="E0E7ED"/>
          </w:tcPr>
          <w:p>
            <w:pPr>
              <w:spacing w:after="0"/>
              <w:rPr>
                <w:sz w:val="23"/>
                <w:szCs w:val="23"/>
                <w:color w:val="auto"/>
              </w:rPr>
            </w:pPr>
          </w:p>
        </w:tc>
        <w:tc>
          <w:tcPr>
            <w:tcW w:w="420" w:type="dxa"/>
            <w:vAlign w:val="bottom"/>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147,353</w:t>
            </w:r>
          </w:p>
        </w:tc>
        <w:tc>
          <w:tcPr>
            <w:tcW w:w="0" w:type="dxa"/>
            <w:vAlign w:val="bottom"/>
          </w:tcPr>
          <w:p>
            <w:pPr>
              <w:spacing w:after="0"/>
              <w:rPr>
                <w:sz w:val="1"/>
                <w:szCs w:val="1"/>
                <w:color w:val="auto"/>
              </w:rPr>
            </w:pPr>
          </w:p>
        </w:tc>
      </w:tr>
      <w:tr>
        <w:trPr>
          <w:trHeight w:val="247"/>
        </w:trPr>
        <w:tc>
          <w:tcPr>
            <w:tcW w:w="35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(2,629)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(7,675)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(5,038)</w:t>
            </w:r>
          </w:p>
        </w:tc>
        <w:tc>
          <w:tcPr>
            <w:tcW w:w="0" w:type="dxa"/>
            <w:vAlign w:val="bottom"/>
          </w:tcPr>
          <w:p>
            <w:pPr>
              <w:spacing w:after="0"/>
              <w:rPr>
                <w:sz w:val="1"/>
                <w:szCs w:val="1"/>
                <w:color w:val="auto"/>
              </w:rPr>
            </w:pPr>
          </w:p>
        </w:tc>
      </w:tr>
      <w:tr>
        <w:trPr>
          <w:trHeight w:val="23"/>
        </w:trPr>
        <w:tc>
          <w:tcPr>
            <w:tcW w:w="3580" w:type="dxa"/>
            <w:vAlign w:val="bottom"/>
            <w:tcBorders>
              <w:bottom w:val="single" w:sz="8" w:color="E0E7ED"/>
            </w:tcBorders>
          </w:tcPr>
          <w:p>
            <w:pPr>
              <w:spacing w:after="0"/>
              <w:rPr>
                <w:sz w:val="2"/>
                <w:szCs w:val="2"/>
                <w:color w:val="auto"/>
              </w:rPr>
            </w:pPr>
          </w:p>
        </w:tc>
        <w:tc>
          <w:tcPr>
            <w:tcW w:w="10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3580" w:type="dxa"/>
            <w:vAlign w:val="bottom"/>
            <w:shd w:val="clear" w:color="auto" w:fill="E0E7ED"/>
          </w:tcPr>
          <w:p>
            <w:pPr>
              <w:ind w:left="180"/>
              <w:spacing w:after="0" w:line="204" w:lineRule="exact"/>
              <w:rPr>
                <w:sz w:val="20"/>
                <w:szCs w:val="20"/>
                <w:color w:val="auto"/>
              </w:rPr>
            </w:pPr>
            <w:r>
              <w:rPr>
                <w:rFonts w:ascii="Arial" w:cs="Arial" w:eastAsia="Arial" w:hAnsi="Arial"/>
                <w:sz w:val="18"/>
                <w:szCs w:val="18"/>
                <w:color w:val="auto"/>
              </w:rPr>
              <w:t>Noninterest expense excluding</w:t>
            </w:r>
          </w:p>
        </w:tc>
        <w:tc>
          <w:tcPr>
            <w:tcW w:w="10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0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10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80" w:type="dxa"/>
            <w:vAlign w:val="bottom"/>
            <w:shd w:val="clear" w:color="auto" w:fill="E0E7ED"/>
          </w:tcPr>
          <w:p>
            <w:pPr>
              <w:spacing w:after="0"/>
              <w:rPr>
                <w:sz w:val="17"/>
                <w:szCs w:val="17"/>
                <w:color w:val="auto"/>
              </w:rPr>
            </w:pPr>
          </w:p>
        </w:tc>
        <w:tc>
          <w:tcPr>
            <w:tcW w:w="420" w:type="dxa"/>
            <w:vAlign w:val="bottom"/>
            <w:shd w:val="clear" w:color="auto" w:fill="E0E7ED"/>
          </w:tcPr>
          <w:p>
            <w:pPr>
              <w:spacing w:after="0"/>
              <w:rPr>
                <w:sz w:val="17"/>
                <w:szCs w:val="17"/>
                <w:color w:val="auto"/>
              </w:rPr>
            </w:pPr>
          </w:p>
        </w:tc>
        <w:tc>
          <w:tcPr>
            <w:tcW w:w="1180" w:type="dxa"/>
            <w:vAlign w:val="bottom"/>
            <w:shd w:val="clear" w:color="auto" w:fill="E0E7ED"/>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E0E7ED"/>
          </w:tcPr>
          <w:p>
            <w:pPr>
              <w:ind w:left="180"/>
              <w:spacing w:after="0"/>
              <w:rPr>
                <w:sz w:val="20"/>
                <w:szCs w:val="20"/>
                <w:color w:val="auto"/>
              </w:rPr>
            </w:pPr>
            <w:r>
              <w:rPr>
                <w:rFonts w:ascii="Arial" w:cs="Arial" w:eastAsia="Arial" w:hAnsi="Arial"/>
                <w:sz w:val="18"/>
                <w:szCs w:val="18"/>
                <w:color w:val="auto"/>
              </w:rPr>
              <w:t>amortization of intangible assets (Non-</w:t>
            </w:r>
          </w:p>
        </w:tc>
        <w:tc>
          <w:tcPr>
            <w:tcW w:w="1000" w:type="dxa"/>
            <w:vAlign w:val="bottom"/>
            <w:shd w:val="clear" w:color="auto" w:fill="E0E7ED"/>
          </w:tcPr>
          <w:p>
            <w:pPr>
              <w:ind w:left="60"/>
              <w:spacing w:after="0"/>
              <w:rPr>
                <w:sz w:val="20"/>
                <w:szCs w:val="20"/>
                <w:color w:val="auto"/>
              </w:rPr>
            </w:pPr>
            <w:r>
              <w:rPr>
                <w:rFonts w:ascii="Arial" w:cs="Arial" w:eastAsia="Arial" w:hAnsi="Arial"/>
                <w:sz w:val="18"/>
                <w:szCs w:val="18"/>
                <w:color w:val="auto"/>
              </w:rPr>
              <w:t>[h]</w:t>
            </w:r>
          </w:p>
        </w:tc>
        <w:tc>
          <w:tcPr>
            <w:tcW w:w="42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40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10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80" w:type="dxa"/>
            <w:vAlign w:val="bottom"/>
            <w:shd w:val="clear" w:color="auto" w:fill="E0E7ED"/>
          </w:tcPr>
          <w:p>
            <w:pPr>
              <w:spacing w:after="0"/>
              <w:rPr>
                <w:sz w:val="18"/>
                <w:szCs w:val="18"/>
                <w:color w:val="auto"/>
              </w:rPr>
            </w:pPr>
          </w:p>
        </w:tc>
        <w:tc>
          <w:tcPr>
            <w:tcW w:w="420" w:type="dxa"/>
            <w:vAlign w:val="bottom"/>
            <w:shd w:val="clear" w:color="auto" w:fill="E0E7ED"/>
          </w:tcPr>
          <w:p>
            <w:pPr>
              <w:spacing w:after="0"/>
              <w:rPr>
                <w:sz w:val="18"/>
                <w:szCs w:val="18"/>
                <w:color w:val="auto"/>
              </w:rPr>
            </w:pPr>
          </w:p>
        </w:tc>
        <w:tc>
          <w:tcPr>
            <w:tcW w:w="118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3580" w:type="dxa"/>
            <w:vAlign w:val="bottom"/>
            <w:shd w:val="clear" w:color="auto" w:fill="E0E7ED"/>
          </w:tcPr>
          <w:p>
            <w:pPr>
              <w:ind w:left="180"/>
              <w:spacing w:after="0" w:line="262" w:lineRule="exact"/>
              <w:rPr>
                <w:sz w:val="20"/>
                <w:szCs w:val="20"/>
                <w:color w:val="auto"/>
              </w:rPr>
            </w:pPr>
            <w:r>
              <w:rPr>
                <w:rFonts w:ascii="Arial" w:cs="Arial" w:eastAsia="Arial" w:hAnsi="Arial"/>
                <w:sz w:val="18"/>
                <w:szCs w:val="18"/>
                <w:color w:val="auto"/>
              </w:rPr>
              <w:t>GAAP)</w:t>
            </w:r>
            <w:r>
              <w:rPr>
                <w:rFonts w:ascii="Arial" w:cs="Arial" w:eastAsia="Arial" w:hAnsi="Arial"/>
                <w:sz w:val="23"/>
                <w:szCs w:val="23"/>
                <w:color w:val="auto"/>
                <w:vertAlign w:val="superscript"/>
              </w:rPr>
              <w:t>2</w:t>
            </w:r>
          </w:p>
        </w:tc>
        <w:tc>
          <w:tcPr>
            <w:tcW w:w="10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123,241</w:t>
            </w:r>
          </w:p>
        </w:tc>
        <w:tc>
          <w:tcPr>
            <w:tcW w:w="100" w:type="dxa"/>
            <w:vAlign w:val="bottom"/>
            <w:shd w:val="clear" w:color="auto" w:fill="E0E7ED"/>
          </w:tcPr>
          <w:p>
            <w:pPr>
              <w:spacing w:after="0"/>
              <w:rPr>
                <w:sz w:val="22"/>
                <w:szCs w:val="22"/>
                <w:color w:val="auto"/>
              </w:rPr>
            </w:pPr>
          </w:p>
        </w:tc>
        <w:tc>
          <w:tcPr>
            <w:tcW w:w="400" w:type="dxa"/>
            <w:vAlign w:val="bottom"/>
            <w:shd w:val="clear" w:color="auto" w:fill="E0E7ED"/>
          </w:tcPr>
          <w:p>
            <w:pPr>
              <w:spacing w:after="0"/>
              <w:rPr>
                <w:sz w:val="22"/>
                <w:szCs w:val="22"/>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73,277</w:t>
            </w:r>
          </w:p>
        </w:tc>
        <w:tc>
          <w:tcPr>
            <w:tcW w:w="10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232,188</w:t>
            </w:r>
          </w:p>
        </w:tc>
        <w:tc>
          <w:tcPr>
            <w:tcW w:w="80" w:type="dxa"/>
            <w:vAlign w:val="bottom"/>
            <w:shd w:val="clear" w:color="auto" w:fill="E0E7ED"/>
          </w:tcPr>
          <w:p>
            <w:pPr>
              <w:spacing w:after="0"/>
              <w:rPr>
                <w:sz w:val="22"/>
                <w:szCs w:val="22"/>
                <w:color w:val="auto"/>
              </w:rPr>
            </w:pPr>
          </w:p>
        </w:tc>
        <w:tc>
          <w:tcPr>
            <w:tcW w:w="420" w:type="dxa"/>
            <w:vAlign w:val="bottom"/>
            <w:shd w:val="clear" w:color="auto" w:fill="E0E7ED"/>
          </w:tcPr>
          <w:p>
            <w:pPr>
              <w:spacing w:after="0"/>
              <w:rPr>
                <w:sz w:val="22"/>
                <w:szCs w:val="22"/>
                <w:color w:val="auto"/>
              </w:rPr>
            </w:pPr>
          </w:p>
        </w:tc>
        <w:tc>
          <w:tcPr>
            <w:tcW w:w="1180" w:type="dxa"/>
            <w:vAlign w:val="bottom"/>
            <w:shd w:val="clear" w:color="auto" w:fill="E0E7ED"/>
          </w:tcPr>
          <w:p>
            <w:pPr>
              <w:jc w:val="right"/>
              <w:ind w:right="150"/>
              <w:spacing w:after="0"/>
              <w:rPr>
                <w:sz w:val="20"/>
                <w:szCs w:val="20"/>
                <w:color w:val="auto"/>
              </w:rPr>
            </w:pPr>
            <w:r>
              <w:rPr>
                <w:rFonts w:ascii="Arial" w:cs="Arial" w:eastAsia="Arial" w:hAnsi="Arial"/>
                <w:sz w:val="18"/>
                <w:szCs w:val="18"/>
                <w:color w:val="auto"/>
              </w:rPr>
              <w:t>142,315</w:t>
            </w:r>
          </w:p>
        </w:tc>
        <w:tc>
          <w:tcPr>
            <w:tcW w:w="0" w:type="dxa"/>
            <w:vAlign w:val="bottom"/>
          </w:tcPr>
          <w:p>
            <w:pPr>
              <w:spacing w:after="0"/>
              <w:rPr>
                <w:sz w:val="1"/>
                <w:szCs w:val="1"/>
                <w:color w:val="auto"/>
              </w:rPr>
            </w:pPr>
          </w:p>
        </w:tc>
      </w:tr>
      <w:tr>
        <w:trPr>
          <w:trHeight w:val="224"/>
        </w:trPr>
        <w:tc>
          <w:tcPr>
            <w:tcW w:w="3580" w:type="dxa"/>
            <w:vAlign w:val="bottom"/>
          </w:tcPr>
          <w:p>
            <w:pPr>
              <w:ind w:left="180"/>
              <w:spacing w:after="0"/>
              <w:rPr>
                <w:sz w:val="20"/>
                <w:szCs w:val="20"/>
                <w:color w:val="auto"/>
              </w:rPr>
            </w:pPr>
            <w:r>
              <w:rPr>
                <w:rFonts w:ascii="Arial" w:cs="Arial" w:eastAsia="Arial" w:hAnsi="Arial"/>
                <w:sz w:val="18"/>
                <w:szCs w:val="18"/>
                <w:color w:val="auto"/>
              </w:rPr>
              <w:t>Acquisition and restructuring expenses,</w:t>
            </w: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80" w:type="dxa"/>
            <w:vAlign w:val="bottom"/>
          </w:tcPr>
          <w:p>
            <w:pPr>
              <w:ind w:left="180"/>
              <w:spacing w:after="0"/>
              <w:rPr>
                <w:sz w:val="20"/>
                <w:szCs w:val="20"/>
                <w:color w:val="auto"/>
              </w:rPr>
            </w:pPr>
            <w:r>
              <w:rPr>
                <w:rFonts w:ascii="Arial" w:cs="Arial" w:eastAsia="Arial" w:hAnsi="Arial"/>
                <w:sz w:val="18"/>
                <w:szCs w:val="18"/>
                <w:color w:val="auto"/>
              </w:rPr>
              <w:t>excluding initial provision expenses</w:t>
            </w: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(16,600)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(2,212)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(42,626)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3"/>
        </w:trPr>
        <w:tc>
          <w:tcPr>
            <w:tcW w:w="3580" w:type="dxa"/>
            <w:vAlign w:val="bottom"/>
            <w:tcBorders>
              <w:bottom w:val="single" w:sz="8" w:color="E0E7ED"/>
            </w:tcBorders>
          </w:tcPr>
          <w:p>
            <w:pPr>
              <w:spacing w:after="0"/>
              <w:rPr>
                <w:sz w:val="2"/>
                <w:szCs w:val="2"/>
                <w:color w:val="auto"/>
              </w:rPr>
            </w:pPr>
          </w:p>
        </w:tc>
        <w:tc>
          <w:tcPr>
            <w:tcW w:w="10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E0E7ED"/>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5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Adjusted noninterest expense (Non-GAAP)</w:t>
            </w:r>
            <w:r>
              <w:rPr>
                <w:rFonts w:ascii="Arial" w:cs="Arial" w:eastAsia="Arial" w:hAnsi="Arial"/>
                <w:sz w:val="23"/>
                <w:szCs w:val="23"/>
                <w:color w:val="auto"/>
                <w:vertAlign w:val="superscript"/>
              </w:rPr>
              <w:t>2</w:t>
            </w:r>
          </w:p>
        </w:tc>
        <w:tc>
          <w:tcPr>
            <w:tcW w:w="1000" w:type="dxa"/>
            <w:vAlign w:val="bottom"/>
            <w:tcBorders>
              <w:bottom w:val="single" w:sz="8" w:color="E0E7ED"/>
            </w:tcBorders>
            <w:shd w:val="clear" w:color="auto" w:fill="E0E7ED"/>
          </w:tcPr>
          <w:p>
            <w:pPr>
              <w:ind w:left="60"/>
              <w:spacing w:after="0"/>
              <w:rPr>
                <w:sz w:val="20"/>
                <w:szCs w:val="20"/>
                <w:color w:val="auto"/>
              </w:rPr>
            </w:pPr>
            <w:r>
              <w:rPr>
                <w:rFonts w:ascii="Arial" w:cs="Arial" w:eastAsia="Arial" w:hAnsi="Arial"/>
                <w:sz w:val="18"/>
                <w:szCs w:val="18"/>
                <w:color w:val="auto"/>
              </w:rPr>
              <w:t>[i]</w:t>
            </w:r>
          </w:p>
        </w:tc>
        <w:tc>
          <w:tcPr>
            <w:tcW w:w="420" w:type="dxa"/>
            <w:vAlign w:val="bottom"/>
            <w:tcBorders>
              <w:bottom w:val="single" w:sz="8" w:color="auto"/>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106,641</w:t>
            </w:r>
          </w:p>
        </w:tc>
        <w:tc>
          <w:tcPr>
            <w:tcW w:w="100" w:type="dxa"/>
            <w:vAlign w:val="bottom"/>
            <w:tcBorders>
              <w:bottom w:val="single" w:sz="8" w:color="E0E7ED"/>
            </w:tcBorders>
            <w:shd w:val="clear" w:color="auto" w:fill="E0E7ED"/>
          </w:tcPr>
          <w:p>
            <w:pPr>
              <w:spacing w:after="0"/>
              <w:rPr>
                <w:sz w:val="24"/>
                <w:szCs w:val="24"/>
                <w:color w:val="auto"/>
              </w:rPr>
            </w:pPr>
          </w:p>
        </w:tc>
        <w:tc>
          <w:tcPr>
            <w:tcW w:w="400" w:type="dxa"/>
            <w:vAlign w:val="bottom"/>
            <w:tcBorders>
              <w:bottom w:val="single" w:sz="8" w:color="auto"/>
            </w:tcBorders>
            <w:shd w:val="clear" w:color="auto" w:fill="E0E7ED"/>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71,065</w:t>
            </w:r>
          </w:p>
        </w:tc>
        <w:tc>
          <w:tcPr>
            <w:tcW w:w="100" w:type="dxa"/>
            <w:vAlign w:val="bottom"/>
            <w:tcBorders>
              <w:bottom w:val="single" w:sz="8" w:color="E0E7ED"/>
            </w:tcBorders>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189,562</w:t>
            </w:r>
          </w:p>
        </w:tc>
        <w:tc>
          <w:tcPr>
            <w:tcW w:w="80" w:type="dxa"/>
            <w:vAlign w:val="bottom"/>
            <w:tcBorders>
              <w:bottom w:val="single" w:sz="8" w:color="E0E7ED"/>
            </w:tcBorders>
            <w:shd w:val="clear" w:color="auto" w:fill="E0E7ED"/>
          </w:tcPr>
          <w:p>
            <w:pPr>
              <w:spacing w:after="0"/>
              <w:rPr>
                <w:sz w:val="24"/>
                <w:szCs w:val="24"/>
                <w:color w:val="auto"/>
              </w:rPr>
            </w:pPr>
          </w:p>
        </w:tc>
        <w:tc>
          <w:tcPr>
            <w:tcW w:w="420" w:type="dxa"/>
            <w:vAlign w:val="bottom"/>
            <w:tcBorders>
              <w:bottom w:val="single" w:sz="8" w:color="auto"/>
            </w:tcBorders>
            <w:shd w:val="clear" w:color="auto" w:fill="E0E7ED"/>
          </w:tcPr>
          <w:p>
            <w:pPr>
              <w:jc w:val="right"/>
              <w:ind w:right="2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E0E7ED"/>
          </w:tcPr>
          <w:p>
            <w:pPr>
              <w:jc w:val="right"/>
              <w:ind w:right="150"/>
              <w:spacing w:after="0"/>
              <w:rPr>
                <w:sz w:val="20"/>
                <w:szCs w:val="20"/>
                <w:color w:val="auto"/>
              </w:rPr>
            </w:pPr>
            <w:r>
              <w:rPr>
                <w:rFonts w:ascii="Arial" w:cs="Arial" w:eastAsia="Arial" w:hAnsi="Arial"/>
                <w:sz w:val="18"/>
                <w:szCs w:val="18"/>
                <w:color w:val="auto"/>
              </w:rPr>
              <w:t>139,695</w:t>
            </w:r>
          </w:p>
        </w:tc>
        <w:tc>
          <w:tcPr>
            <w:tcW w:w="0" w:type="dxa"/>
            <w:vAlign w:val="bottom"/>
          </w:tcPr>
          <w:p>
            <w:pPr>
              <w:spacing w:after="0"/>
              <w:rPr>
                <w:sz w:val="1"/>
                <w:szCs w:val="1"/>
                <w:color w:val="auto"/>
              </w:rPr>
            </w:pPr>
          </w:p>
        </w:tc>
      </w:tr>
      <w:tr>
        <w:trPr>
          <w:trHeight w:val="20"/>
        </w:trPr>
        <w:tc>
          <w:tcPr>
            <w:tcW w:w="3580" w:type="dxa"/>
            <w:vAlign w:val="bottom"/>
            <w:tcBorders>
              <w:top w:val="single" w:sz="8" w:color="E0E7ED"/>
            </w:tcBorders>
          </w:tcPr>
          <w:p>
            <w:pPr>
              <w:spacing w:after="0" w:line="20" w:lineRule="exact"/>
              <w:rPr>
                <w:sz w:val="1"/>
                <w:szCs w:val="1"/>
                <w:color w:val="auto"/>
              </w:rPr>
            </w:pPr>
          </w:p>
        </w:tc>
        <w:tc>
          <w:tcPr>
            <w:tcW w:w="100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0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80" w:type="dxa"/>
            <w:vAlign w:val="bottom"/>
            <w:tcBorders>
              <w:top w:val="single" w:sz="8" w:color="E0E7ED"/>
            </w:tcBorders>
          </w:tcPr>
          <w:p>
            <w:pPr>
              <w:spacing w:after="0" w:line="20" w:lineRule="exact"/>
              <w:rPr>
                <w:sz w:val="1"/>
                <w:szCs w:val="1"/>
                <w:color w:val="auto"/>
              </w:rPr>
            </w:pPr>
          </w:p>
        </w:tc>
        <w:tc>
          <w:tcPr>
            <w:tcW w:w="420" w:type="dxa"/>
            <w:vAlign w:val="bottom"/>
            <w:tcBorders>
              <w:top w:val="single" w:sz="8" w:color="E0E7ED"/>
              <w:bottom w:val="single" w:sz="8" w:color="auto"/>
            </w:tcBorders>
          </w:tcPr>
          <w:p>
            <w:pPr>
              <w:spacing w:after="0" w:line="20" w:lineRule="exact"/>
              <w:rPr>
                <w:sz w:val="1"/>
                <w:szCs w:val="1"/>
                <w:color w:val="auto"/>
              </w:rPr>
            </w:pPr>
          </w:p>
        </w:tc>
        <w:tc>
          <w:tcPr>
            <w:tcW w:w="118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p>
      <w:pPr>
        <w:spacing w:after="0" w:line="197" w:lineRule="exact"/>
        <w:rPr>
          <w:sz w:val="20"/>
          <w:szCs w:val="20"/>
          <w:color w:val="auto"/>
        </w:rPr>
      </w:pPr>
    </w:p>
    <w:p>
      <w:pPr>
        <w:ind w:left="20" w:right="400"/>
        <w:spacing w:after="0" w:line="321" w:lineRule="auto"/>
        <w:rPr>
          <w:sz w:val="20"/>
          <w:szCs w:val="20"/>
          <w:color w:val="auto"/>
        </w:rPr>
      </w:pPr>
      <w:r>
        <w:rPr>
          <w:rFonts w:ascii="Arial" w:cs="Arial" w:eastAsia="Arial" w:hAnsi="Arial"/>
          <w:sz w:val="17"/>
          <w:szCs w:val="17"/>
          <w:color w:val="auto"/>
        </w:rPr>
        <w:t>Efficiency ratio (Non-GAAP)</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Adjusted efficiency ratio (Non-GAAP)</w:t>
      </w:r>
      <w:r>
        <w:rPr>
          <w:rFonts w:ascii="Arial" w:cs="Arial" w:eastAsia="Arial" w:hAnsi="Arial"/>
          <w:sz w:val="22"/>
          <w:szCs w:val="22"/>
          <w:color w:val="auto"/>
          <w:vertAlign w:val="superscript"/>
        </w:rPr>
        <w:t>2</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total assets</w:t>
      </w:r>
    </w:p>
    <w:p>
      <w:pPr>
        <w:spacing w:after="0" w:line="63" w:lineRule="exact"/>
        <w:rPr>
          <w:sz w:val="20"/>
          <w:szCs w:val="20"/>
          <w:color w:val="auto"/>
        </w:rPr>
      </w:pPr>
    </w:p>
    <w:p>
      <w:pPr>
        <w:ind w:left="20" w:right="140"/>
        <w:spacing w:after="0" w:line="286" w:lineRule="auto"/>
        <w:rPr>
          <w:sz w:val="20"/>
          <w:szCs w:val="20"/>
          <w:color w:val="auto"/>
        </w:rPr>
      </w:pPr>
      <w:r>
        <w:rPr>
          <w:rFonts w:ascii="Arial" w:cs="Arial" w:eastAsia="Arial" w:hAnsi="Arial"/>
          <w:sz w:val="18"/>
          <w:szCs w:val="18"/>
          <w:color w:val="auto"/>
        </w:rPr>
        <w:t>Adjusted noninterest expense to average assets (Non-GAAP)</w:t>
      </w:r>
      <w:r>
        <w:rPr>
          <w:rFonts w:ascii="Arial" w:cs="Arial" w:eastAsia="Arial" w:hAnsi="Arial"/>
          <w:sz w:val="23"/>
          <w:szCs w:val="23"/>
          <w:color w:val="auto"/>
          <w:vertAlign w:val="superscript"/>
        </w:rPr>
        <w:t>2, 3</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40" w:type="dxa"/>
            <w:vAlign w:val="bottom"/>
          </w:tcPr>
          <w:p>
            <w:pPr>
              <w:spacing w:after="0"/>
              <w:rPr>
                <w:sz w:val="20"/>
                <w:szCs w:val="20"/>
                <w:color w:val="auto"/>
              </w:rPr>
            </w:pPr>
            <w:r>
              <w:rPr>
                <w:rFonts w:ascii="Arial" w:cs="Arial" w:eastAsia="Arial" w:hAnsi="Arial"/>
                <w:sz w:val="18"/>
                <w:szCs w:val="18"/>
                <w:color w:val="auto"/>
              </w:rPr>
              <w:t>[h÷e]</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63.91 %</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62.64 %</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69.50 %</w:t>
            </w:r>
          </w:p>
        </w:tc>
        <w:tc>
          <w:tcPr>
            <w:tcW w:w="1420" w:type="dxa"/>
            <w:vAlign w:val="bottom"/>
          </w:tcPr>
          <w:p>
            <w:pPr>
              <w:jc w:val="right"/>
              <w:spacing w:after="0"/>
              <w:rPr>
                <w:sz w:val="20"/>
                <w:szCs w:val="20"/>
                <w:color w:val="auto"/>
              </w:rPr>
            </w:pPr>
            <w:r>
              <w:rPr>
                <w:rFonts w:ascii="Arial" w:cs="Arial" w:eastAsia="Arial" w:hAnsi="Arial"/>
                <w:sz w:val="18"/>
                <w:szCs w:val="18"/>
                <w:color w:val="auto"/>
              </w:rPr>
              <w:t>60.67 %</w:t>
            </w:r>
          </w:p>
        </w:tc>
        <w:tc>
          <w:tcPr>
            <w:tcW w:w="0" w:type="dxa"/>
            <w:vAlign w:val="bottom"/>
          </w:tcPr>
          <w:p>
            <w:pPr>
              <w:spacing w:after="0"/>
              <w:rPr>
                <w:sz w:val="1"/>
                <w:szCs w:val="1"/>
                <w:color w:val="auto"/>
              </w:rPr>
            </w:pPr>
          </w:p>
        </w:tc>
      </w:tr>
      <w:tr>
        <w:trPr>
          <w:trHeight w:val="270"/>
        </w:trPr>
        <w:tc>
          <w:tcPr>
            <w:tcW w:w="940" w:type="dxa"/>
            <w:vAlign w:val="bottom"/>
          </w:tcPr>
          <w:p>
            <w:pPr>
              <w:spacing w:after="0"/>
              <w:rPr>
                <w:sz w:val="20"/>
                <w:szCs w:val="20"/>
                <w:color w:val="auto"/>
              </w:rPr>
            </w:pPr>
            <w:r>
              <w:rPr>
                <w:rFonts w:ascii="Arial" w:cs="Arial" w:eastAsia="Arial" w:hAnsi="Arial"/>
                <w:sz w:val="18"/>
                <w:szCs w:val="18"/>
                <w:color w:val="auto"/>
              </w:rPr>
              <w:t>[i÷f]</w:t>
            </w:r>
          </w:p>
        </w:tc>
        <w:tc>
          <w:tcPr>
            <w:tcW w:w="1860" w:type="dxa"/>
            <w:vAlign w:val="bottom"/>
          </w:tcPr>
          <w:p>
            <w:pPr>
              <w:jc w:val="right"/>
              <w:ind w:right="190"/>
              <w:spacing w:after="0"/>
              <w:rPr>
                <w:sz w:val="20"/>
                <w:szCs w:val="20"/>
                <w:color w:val="auto"/>
              </w:rPr>
            </w:pPr>
            <w:r>
              <w:rPr>
                <w:rFonts w:ascii="Arial" w:cs="Arial" w:eastAsia="Arial" w:hAnsi="Arial"/>
                <w:sz w:val="18"/>
                <w:szCs w:val="18"/>
                <w:color w:val="auto"/>
              </w:rPr>
              <w:t>55.30 %</w:t>
            </w:r>
          </w:p>
        </w:tc>
        <w:tc>
          <w:tcPr>
            <w:tcW w:w="1700" w:type="dxa"/>
            <w:vAlign w:val="bottom"/>
          </w:tcPr>
          <w:p>
            <w:pPr>
              <w:jc w:val="right"/>
              <w:ind w:right="210"/>
              <w:spacing w:after="0"/>
              <w:rPr>
                <w:sz w:val="20"/>
                <w:szCs w:val="20"/>
                <w:color w:val="auto"/>
              </w:rPr>
            </w:pPr>
            <w:r>
              <w:rPr>
                <w:rFonts w:ascii="Arial" w:cs="Arial" w:eastAsia="Arial" w:hAnsi="Arial"/>
                <w:sz w:val="18"/>
                <w:szCs w:val="18"/>
                <w:color w:val="auto"/>
              </w:rPr>
              <w:t>60.89 %</w:t>
            </w:r>
          </w:p>
        </w:tc>
        <w:tc>
          <w:tcPr>
            <w:tcW w:w="1680" w:type="dxa"/>
            <w:vAlign w:val="bottom"/>
          </w:tcPr>
          <w:p>
            <w:pPr>
              <w:jc w:val="right"/>
              <w:ind w:right="190"/>
              <w:spacing w:after="0"/>
              <w:rPr>
                <w:sz w:val="20"/>
                <w:szCs w:val="20"/>
                <w:color w:val="auto"/>
              </w:rPr>
            </w:pPr>
            <w:r>
              <w:rPr>
                <w:rFonts w:ascii="Arial" w:cs="Arial" w:eastAsia="Arial" w:hAnsi="Arial"/>
                <w:sz w:val="18"/>
                <w:szCs w:val="18"/>
                <w:color w:val="auto"/>
              </w:rPr>
              <w:t>56.74 %</w:t>
            </w:r>
          </w:p>
        </w:tc>
        <w:tc>
          <w:tcPr>
            <w:tcW w:w="1420" w:type="dxa"/>
            <w:vAlign w:val="bottom"/>
          </w:tcPr>
          <w:p>
            <w:pPr>
              <w:jc w:val="right"/>
              <w:spacing w:after="0"/>
              <w:rPr>
                <w:sz w:val="20"/>
                <w:szCs w:val="20"/>
                <w:color w:val="auto"/>
              </w:rPr>
            </w:pPr>
            <w:r>
              <w:rPr>
                <w:rFonts w:ascii="Arial" w:cs="Arial" w:eastAsia="Arial" w:hAnsi="Arial"/>
                <w:sz w:val="18"/>
                <w:szCs w:val="18"/>
                <w:color w:val="auto"/>
              </w:rPr>
              <w:t>61.58 %</w:t>
            </w:r>
          </w:p>
        </w:tc>
        <w:tc>
          <w:tcPr>
            <w:tcW w:w="0" w:type="dxa"/>
            <w:vAlign w:val="bottom"/>
          </w:tcPr>
          <w:p>
            <w:pPr>
              <w:spacing w:after="0"/>
              <w:rPr>
                <w:sz w:val="1"/>
                <w:szCs w:val="1"/>
                <w:color w:val="auto"/>
              </w:rPr>
            </w:pPr>
          </w:p>
        </w:tc>
      </w:tr>
      <w:tr>
        <w:trPr>
          <w:trHeight w:val="23"/>
        </w:trPr>
        <w:tc>
          <w:tcPr>
            <w:tcW w:w="940" w:type="dxa"/>
            <w:vAlign w:val="bottom"/>
            <w:vMerge w:val="restart"/>
          </w:tcPr>
          <w:p>
            <w:pPr>
              <w:spacing w:after="0"/>
              <w:rPr>
                <w:sz w:val="20"/>
                <w:szCs w:val="20"/>
                <w:color w:val="auto"/>
              </w:rPr>
            </w:pPr>
            <w:r>
              <w:rPr>
                <w:rFonts w:ascii="Arial" w:cs="Arial" w:eastAsia="Arial" w:hAnsi="Arial"/>
                <w:sz w:val="18"/>
                <w:szCs w:val="18"/>
                <w:color w:val="auto"/>
              </w:rPr>
              <w:t>[j]</w:t>
            </w:r>
          </w:p>
        </w:tc>
        <w:tc>
          <w:tcPr>
            <w:tcW w:w="18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vMerge w:val="continue"/>
          </w:tcPr>
          <w:p>
            <w:pPr>
              <w:spacing w:after="0"/>
              <w:rPr>
                <w:sz w:val="18"/>
                <w:szCs w:val="18"/>
                <w:color w:val="auto"/>
              </w:rPr>
            </w:pPr>
          </w:p>
        </w:tc>
        <w:tc>
          <w:tcPr>
            <w:tcW w:w="1860" w:type="dxa"/>
            <w:vAlign w:val="bottom"/>
            <w:shd w:val="clear" w:color="auto" w:fill="E0E7ED"/>
          </w:tcPr>
          <w:p>
            <w:pPr>
              <w:spacing w:after="0"/>
              <w:rPr>
                <w:sz w:val="18"/>
                <w:szCs w:val="18"/>
                <w:color w:val="auto"/>
              </w:rPr>
            </w:pPr>
          </w:p>
        </w:tc>
        <w:tc>
          <w:tcPr>
            <w:tcW w:w="1700" w:type="dxa"/>
            <w:vAlign w:val="bottom"/>
            <w:shd w:val="clear" w:color="auto" w:fill="E0E7ED"/>
          </w:tcPr>
          <w:p>
            <w:pPr>
              <w:spacing w:after="0"/>
              <w:rPr>
                <w:sz w:val="18"/>
                <w:szCs w:val="18"/>
                <w:color w:val="auto"/>
              </w:rPr>
            </w:pPr>
          </w:p>
        </w:tc>
        <w:tc>
          <w:tcPr>
            <w:tcW w:w="1680" w:type="dxa"/>
            <w:vAlign w:val="bottom"/>
            <w:shd w:val="clear" w:color="auto" w:fill="E0E7ED"/>
          </w:tcPr>
          <w:p>
            <w:pPr>
              <w:spacing w:after="0"/>
              <w:rPr>
                <w:sz w:val="18"/>
                <w:szCs w:val="18"/>
                <w:color w:val="auto"/>
              </w:rPr>
            </w:pPr>
          </w:p>
        </w:tc>
        <w:tc>
          <w:tcPr>
            <w:tcW w:w="1420" w:type="dxa"/>
            <w:vAlign w:val="bottom"/>
            <w:shd w:val="clear" w:color="auto" w:fill="E0E7ED"/>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940" w:type="dxa"/>
            <w:vAlign w:val="bottom"/>
            <w:vMerge w:val="continue"/>
          </w:tcPr>
          <w:p>
            <w:pPr>
              <w:spacing w:after="0"/>
              <w:rPr>
                <w:sz w:val="21"/>
                <w:szCs w:val="21"/>
                <w:color w:val="auto"/>
              </w:rPr>
            </w:pPr>
          </w:p>
        </w:tc>
        <w:tc>
          <w:tcPr>
            <w:tcW w:w="1860" w:type="dxa"/>
            <w:vAlign w:val="bottom"/>
          </w:tcPr>
          <w:p>
            <w:pPr>
              <w:jc w:val="right"/>
              <w:ind w:right="410"/>
              <w:spacing w:after="0"/>
              <w:rPr>
                <w:sz w:val="20"/>
                <w:szCs w:val="20"/>
                <w:color w:val="auto"/>
              </w:rPr>
            </w:pPr>
            <w:r>
              <w:rPr>
                <w:rFonts w:ascii="Arial" w:cs="Arial" w:eastAsia="Arial" w:hAnsi="Arial"/>
                <w:sz w:val="18"/>
                <w:szCs w:val="18"/>
                <w:color w:val="auto"/>
              </w:rPr>
              <w:t>19,068,086</w:t>
            </w:r>
          </w:p>
        </w:tc>
        <w:tc>
          <w:tcPr>
            <w:tcW w:w="1700" w:type="dxa"/>
            <w:vAlign w:val="bottom"/>
          </w:tcPr>
          <w:p>
            <w:pPr>
              <w:jc w:val="right"/>
              <w:ind w:right="430"/>
              <w:spacing w:after="0"/>
              <w:rPr>
                <w:sz w:val="20"/>
                <w:szCs w:val="20"/>
                <w:color w:val="auto"/>
              </w:rPr>
            </w:pPr>
            <w:r>
              <w:rPr>
                <w:rFonts w:ascii="Arial" w:cs="Arial" w:eastAsia="Arial" w:hAnsi="Arial"/>
                <w:sz w:val="18"/>
                <w:szCs w:val="18"/>
                <w:color w:val="auto"/>
              </w:rPr>
              <w:t>12,089,692</w:t>
            </w: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16,961,396</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12,056,950</w:t>
            </w:r>
          </w:p>
        </w:tc>
        <w:tc>
          <w:tcPr>
            <w:tcW w:w="0" w:type="dxa"/>
            <w:vAlign w:val="bottom"/>
          </w:tcPr>
          <w:p>
            <w:pPr>
              <w:spacing w:after="0"/>
              <w:rPr>
                <w:sz w:val="1"/>
                <w:szCs w:val="1"/>
                <w:color w:val="auto"/>
              </w:rPr>
            </w:pPr>
          </w:p>
        </w:tc>
      </w:tr>
      <w:tr>
        <w:trPr>
          <w:trHeight w:val="378"/>
        </w:trPr>
        <w:tc>
          <w:tcPr>
            <w:tcW w:w="940" w:type="dxa"/>
            <w:vAlign w:val="bottom"/>
          </w:tcPr>
          <w:p>
            <w:pPr>
              <w:spacing w:after="0"/>
              <w:rPr>
                <w:sz w:val="20"/>
                <w:szCs w:val="20"/>
                <w:color w:val="auto"/>
              </w:rPr>
            </w:pPr>
            <w:r>
              <w:rPr>
                <w:rFonts w:ascii="Arial" w:cs="Arial" w:eastAsia="Arial" w:hAnsi="Arial"/>
                <w:sz w:val="18"/>
                <w:szCs w:val="18"/>
                <w:color w:val="auto"/>
              </w:rPr>
              <w:t>[i÷j]</w:t>
            </w:r>
          </w:p>
        </w:tc>
        <w:tc>
          <w:tcPr>
            <w:tcW w:w="1860" w:type="dxa"/>
            <w:vAlign w:val="bottom"/>
            <w:vMerge w:val="restart"/>
          </w:tcPr>
          <w:p>
            <w:pPr>
              <w:jc w:val="right"/>
              <w:ind w:right="190"/>
              <w:spacing w:after="0"/>
              <w:rPr>
                <w:sz w:val="20"/>
                <w:szCs w:val="20"/>
                <w:color w:val="auto"/>
              </w:rPr>
            </w:pPr>
            <w:r>
              <w:rPr>
                <w:rFonts w:ascii="Arial" w:cs="Arial" w:eastAsia="Arial" w:hAnsi="Arial"/>
                <w:sz w:val="18"/>
                <w:szCs w:val="18"/>
                <w:color w:val="auto"/>
              </w:rPr>
              <w:t>2.24 %</w:t>
            </w:r>
          </w:p>
        </w:tc>
        <w:tc>
          <w:tcPr>
            <w:tcW w:w="1700" w:type="dxa"/>
            <w:vAlign w:val="bottom"/>
            <w:vMerge w:val="restart"/>
          </w:tcPr>
          <w:p>
            <w:pPr>
              <w:jc w:val="right"/>
              <w:ind w:right="210"/>
              <w:spacing w:after="0"/>
              <w:rPr>
                <w:sz w:val="20"/>
                <w:szCs w:val="20"/>
                <w:color w:val="auto"/>
              </w:rPr>
            </w:pPr>
            <w:r>
              <w:rPr>
                <w:rFonts w:ascii="Arial" w:cs="Arial" w:eastAsia="Arial" w:hAnsi="Arial"/>
                <w:sz w:val="18"/>
                <w:szCs w:val="18"/>
                <w:color w:val="auto"/>
              </w:rPr>
              <w:t>2.36 %</w:t>
            </w:r>
          </w:p>
        </w:tc>
        <w:tc>
          <w:tcPr>
            <w:tcW w:w="1680" w:type="dxa"/>
            <w:vAlign w:val="bottom"/>
            <w:vMerge w:val="restart"/>
          </w:tcPr>
          <w:p>
            <w:pPr>
              <w:jc w:val="right"/>
              <w:ind w:right="190"/>
              <w:spacing w:after="0"/>
              <w:rPr>
                <w:sz w:val="20"/>
                <w:szCs w:val="20"/>
                <w:color w:val="auto"/>
              </w:rPr>
            </w:pPr>
            <w:r>
              <w:rPr>
                <w:rFonts w:ascii="Arial" w:cs="Arial" w:eastAsia="Arial" w:hAnsi="Arial"/>
                <w:sz w:val="18"/>
                <w:szCs w:val="18"/>
                <w:color w:val="auto"/>
              </w:rPr>
              <w:t>2.25 %</w:t>
            </w: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108"/>
        </w:trPr>
        <w:tc>
          <w:tcPr>
            <w:tcW w:w="94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17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-293370</wp:posOffset>
            </wp:positionV>
            <wp:extent cx="713232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98" w:lineRule="exact"/>
        <w:rPr>
          <w:sz w:val="20"/>
          <w:szCs w:val="20"/>
          <w:color w:val="auto"/>
        </w:rPr>
      </w:pPr>
    </w:p>
    <w:p>
      <w:pPr>
        <w:sectPr>
          <w:pgSz w:w="11900" w:h="16838" w:orient="portrait"/>
          <w:cols w:equalWidth="0" w:num="2">
            <w:col w:w="3440" w:space="200"/>
            <w:col w:w="7600"/>
          </w:cols>
          <w:pgMar w:left="320" w:top="296" w:right="339" w:bottom="1440" w:gutter="0" w:footer="0" w:header="0"/>
          <w:type w:val="continuous"/>
        </w:sectPr>
      </w:pPr>
    </w:p>
    <w:p>
      <w:pPr>
        <w:ind w:left="520" w:hanging="350"/>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Tax-equivalent adjustments were calculated using an estimated federal income tax rate of 21.0%, applied to non-taxable interest income on investments and loans.</w:t>
      </w:r>
    </w:p>
    <w:p>
      <w:pPr>
        <w:spacing w:after="0" w:line="14" w:lineRule="exact"/>
        <w:rPr>
          <w:rFonts w:ascii="Arial" w:cs="Arial" w:eastAsia="Arial" w:hAnsi="Arial"/>
          <w:sz w:val="14"/>
          <w:szCs w:val="14"/>
          <w:color w:val="auto"/>
        </w:rPr>
      </w:pPr>
    </w:p>
    <w:p>
      <w:pPr>
        <w:jc w:val="both"/>
        <w:ind w:left="500" w:hanging="330"/>
        <w:spacing w:after="0" w:line="254" w:lineRule="auto"/>
        <w:tabs>
          <w:tab w:leader="none" w:pos="498" w:val="left"/>
        </w:tabs>
        <w:numPr>
          <w:ilvl w:val="0"/>
          <w:numId w:val="48"/>
        </w:numPr>
        <w:rPr>
          <w:rFonts w:ascii="Arial" w:cs="Arial" w:eastAsia="Arial" w:hAnsi="Arial"/>
          <w:sz w:val="14"/>
          <w:szCs w:val="14"/>
          <w:color w:val="auto"/>
        </w:rPr>
      </w:pPr>
      <w:r>
        <w:rPr>
          <w:rFonts w:ascii="Arial" w:cs="Arial" w:eastAsia="Arial" w:hAnsi="Arial"/>
          <w:sz w:val="14"/>
          <w:szCs w:val="14"/>
          <w:color w:val="auto"/>
        </w:rPr>
        <w:t>Beginning in the second quarter of 2025, Busey revised its presentation, for all periods presented, to reclassify the provision for unfunded commitments so that it is now included within the provision for credit losses; therefore, it is no longer included within total noninterest expense. This change affects all measures and ratios derived from total noninterest expense.</w:t>
      </w:r>
    </w:p>
    <w:p>
      <w:pPr>
        <w:spacing w:after="0" w:line="1" w:lineRule="exact"/>
        <w:rPr>
          <w:rFonts w:ascii="Arial" w:cs="Arial" w:eastAsia="Arial" w:hAnsi="Arial"/>
          <w:sz w:val="14"/>
          <w:szCs w:val="14"/>
          <w:color w:val="auto"/>
        </w:rPr>
      </w:pPr>
    </w:p>
    <w:p>
      <w:pPr>
        <w:ind w:left="500" w:hanging="330"/>
        <w:spacing w:after="0"/>
        <w:tabs>
          <w:tab w:leader="none" w:pos="50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4" w:name="page105"/>
    <w:bookmarkEnd w:id="104"/>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Tangible Assets, Tangible Common Equity, and Related Measures and Ratio</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As of</w:t>
            </w: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61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(dollars in thousands, except per share amounts)</w:t>
            </w: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ind w:left="220"/>
              <w:spacing w:after="0" w:line="147"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2"/>
                <w:szCs w:val="12"/>
                <w:color w:val="auto"/>
              </w:rPr>
            </w:pPr>
          </w:p>
        </w:tc>
        <w:tc>
          <w:tcPr>
            <w:tcW w:w="1320" w:type="dxa"/>
            <w:vAlign w:val="bottom"/>
          </w:tcPr>
          <w:p>
            <w:pPr>
              <w:jc w:val="right"/>
              <w:ind w:right="213"/>
              <w:spacing w:after="0" w:line="14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6140" w:type="dxa"/>
            <w:vAlign w:val="bottom"/>
            <w:tcBorders>
              <w:bottom w:val="single" w:sz="8" w:color="E0E7ED"/>
            </w:tcBorders>
            <w:vMerge w:val="continue"/>
          </w:tcPr>
          <w:p>
            <w:pPr>
              <w:spacing w:after="0"/>
              <w:rPr>
                <w:sz w:val="14"/>
                <w:szCs w:val="14"/>
                <w:color w:val="auto"/>
              </w:rPr>
            </w:pPr>
          </w:p>
        </w:tc>
        <w:tc>
          <w:tcPr>
            <w:tcW w:w="1960" w:type="dxa"/>
            <w:vAlign w:val="bottom"/>
            <w:tcBorders>
              <w:bottom w:val="single" w:sz="8" w:color="E0E7ED"/>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63"/>
        </w:trPr>
        <w:tc>
          <w:tcPr>
            <w:tcW w:w="614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assets (GAAP)</w:t>
            </w:r>
          </w:p>
        </w:tc>
        <w:tc>
          <w:tcPr>
            <w:tcW w:w="1960" w:type="dxa"/>
            <w:vAlign w:val="bottom"/>
            <w:shd w:val="clear" w:color="auto" w:fill="E0E7ED"/>
          </w:tcPr>
          <w:p>
            <w:pPr>
              <w:spacing w:after="0"/>
              <w:rPr>
                <w:sz w:val="22"/>
                <w:szCs w:val="22"/>
                <w:color w:val="auto"/>
              </w:rPr>
            </w:pPr>
          </w:p>
        </w:tc>
        <w:tc>
          <w:tcPr>
            <w:tcW w:w="240" w:type="dxa"/>
            <w:vAlign w:val="bottom"/>
            <w:shd w:val="clear" w:color="auto" w:fill="E0E7ED"/>
          </w:tcPr>
          <w:p>
            <w:pPr>
              <w:spacing w:after="0"/>
              <w:rPr>
                <w:sz w:val="22"/>
                <w:szCs w:val="22"/>
                <w:color w:val="auto"/>
              </w:rPr>
            </w:pPr>
          </w:p>
        </w:tc>
        <w:tc>
          <w:tcPr>
            <w:tcW w:w="1280" w:type="dxa"/>
            <w:vAlign w:val="bottom"/>
            <w:shd w:val="clear" w:color="auto" w:fill="E0E7ED"/>
          </w:tcPr>
          <w:p>
            <w:pPr>
              <w:jc w:val="right"/>
              <w:ind w:right="154"/>
              <w:spacing w:after="0"/>
              <w:rPr>
                <w:sz w:val="20"/>
                <w:szCs w:val="20"/>
                <w:color w:val="auto"/>
              </w:rPr>
            </w:pPr>
            <w:r>
              <w:rPr>
                <w:rFonts w:ascii="Arial" w:cs="Arial" w:eastAsia="Arial" w:hAnsi="Arial"/>
                <w:sz w:val="18"/>
                <w:szCs w:val="18"/>
                <w:color w:val="auto"/>
              </w:rPr>
              <w:t>18,918,740</w:t>
            </w:r>
          </w:p>
        </w:tc>
        <w:tc>
          <w:tcPr>
            <w:tcW w:w="100" w:type="dxa"/>
            <w:vAlign w:val="bottom"/>
            <w:shd w:val="clear" w:color="auto" w:fill="E0E7ED"/>
          </w:tcPr>
          <w:p>
            <w:pPr>
              <w:spacing w:after="0"/>
              <w:rPr>
                <w:sz w:val="22"/>
                <w:szCs w:val="22"/>
                <w:color w:val="auto"/>
              </w:rPr>
            </w:pPr>
          </w:p>
        </w:tc>
        <w:tc>
          <w:tcPr>
            <w:tcW w:w="200" w:type="dxa"/>
            <w:vAlign w:val="bottom"/>
            <w:shd w:val="clear" w:color="auto" w:fill="E0E7ED"/>
          </w:tcPr>
          <w:p>
            <w:pPr>
              <w:spacing w:after="0"/>
              <w:rPr>
                <w:sz w:val="22"/>
                <w:szCs w:val="22"/>
                <w:color w:val="auto"/>
              </w:rPr>
            </w:pPr>
          </w:p>
        </w:tc>
        <w:tc>
          <w:tcPr>
            <w:tcW w:w="132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12,046,722</w:t>
            </w:r>
          </w:p>
        </w:tc>
        <w:tc>
          <w:tcPr>
            <w:tcW w:w="0" w:type="dxa"/>
            <w:vAlign w:val="bottom"/>
          </w:tcPr>
          <w:p>
            <w:pPr>
              <w:spacing w:after="0"/>
              <w:rPr>
                <w:sz w:val="1"/>
                <w:szCs w:val="1"/>
                <w:color w:val="auto"/>
              </w:rPr>
            </w:pPr>
          </w:p>
        </w:tc>
      </w:tr>
      <w:tr>
        <w:trPr>
          <w:trHeight w:val="247"/>
        </w:trPr>
        <w:tc>
          <w:tcPr>
            <w:tcW w:w="6140" w:type="dxa"/>
            <w:vAlign w:val="bottom"/>
          </w:tcPr>
          <w:p>
            <w:pPr>
              <w:ind w:left="180"/>
              <w:spacing w:after="0"/>
              <w:rPr>
                <w:sz w:val="20"/>
                <w:szCs w:val="20"/>
                <w:color w:val="auto"/>
              </w:rPr>
            </w:pPr>
            <w:r>
              <w:rPr>
                <w:rFonts w:ascii="Arial" w:cs="Arial" w:eastAsia="Arial" w:hAnsi="Arial"/>
                <w:sz w:val="18"/>
                <w:szCs w:val="18"/>
                <w:color w:val="auto"/>
              </w:rPr>
              <w:t>Goodwill and other intangible assets, net</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(488,181)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(365,975)</w:t>
            </w:r>
          </w:p>
        </w:tc>
        <w:tc>
          <w:tcPr>
            <w:tcW w:w="0" w:type="dxa"/>
            <w:vAlign w:val="bottom"/>
          </w:tcPr>
          <w:p>
            <w:pPr>
              <w:spacing w:after="0"/>
              <w:rPr>
                <w:sz w:val="1"/>
                <w:szCs w:val="1"/>
                <w:color w:val="auto"/>
              </w:rPr>
            </w:pPr>
          </w:p>
        </w:tc>
      </w:tr>
      <w:tr>
        <w:trPr>
          <w:trHeight w:val="23"/>
        </w:trPr>
        <w:tc>
          <w:tcPr>
            <w:tcW w:w="6140" w:type="dxa"/>
            <w:vAlign w:val="bottom"/>
            <w:tcBorders>
              <w:bottom w:val="single" w:sz="8" w:color="E0E7ED"/>
            </w:tcBorders>
          </w:tcPr>
          <w:p>
            <w:pPr>
              <w:spacing w:after="0"/>
              <w:rPr>
                <w:sz w:val="2"/>
                <w:szCs w:val="2"/>
                <w:color w:val="auto"/>
              </w:rPr>
            </w:pPr>
          </w:p>
        </w:tc>
        <w:tc>
          <w:tcPr>
            <w:tcW w:w="196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Tangible assets (Non-GAAP)</w:t>
            </w:r>
            <w:r>
              <w:rPr>
                <w:rFonts w:ascii="Arial" w:cs="Arial" w:eastAsia="Arial" w:hAnsi="Arial"/>
                <w:sz w:val="23"/>
                <w:szCs w:val="23"/>
                <w:color w:val="auto"/>
                <w:vertAlign w:val="superscript"/>
              </w:rPr>
              <w:t>1</w:t>
            </w:r>
          </w:p>
        </w:tc>
        <w:tc>
          <w:tcPr>
            <w:tcW w:w="1960" w:type="dxa"/>
            <w:vAlign w:val="bottom"/>
            <w:tcBorders>
              <w:bottom w:val="single" w:sz="8" w:color="E0E7ED"/>
            </w:tcBorders>
            <w:shd w:val="clear" w:color="auto" w:fill="E0E7ED"/>
          </w:tcPr>
          <w:p>
            <w:pPr>
              <w:ind w:left="920"/>
              <w:spacing w:after="0"/>
              <w:rPr>
                <w:sz w:val="20"/>
                <w:szCs w:val="20"/>
                <w:color w:val="auto"/>
              </w:rPr>
            </w:pPr>
            <w:r>
              <w:rPr>
                <w:rFonts w:ascii="Arial" w:cs="Arial" w:eastAsia="Arial" w:hAnsi="Arial"/>
                <w:sz w:val="18"/>
                <w:szCs w:val="18"/>
                <w:color w:val="auto"/>
              </w:rPr>
              <w:t>[a]</w:t>
            </w:r>
          </w:p>
        </w:tc>
        <w:tc>
          <w:tcPr>
            <w:tcW w:w="24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54"/>
              <w:spacing w:after="0"/>
              <w:rPr>
                <w:sz w:val="20"/>
                <w:szCs w:val="20"/>
                <w:color w:val="auto"/>
              </w:rPr>
            </w:pPr>
            <w:r>
              <w:rPr>
                <w:rFonts w:ascii="Arial" w:cs="Arial" w:eastAsia="Arial" w:hAnsi="Arial"/>
                <w:sz w:val="18"/>
                <w:szCs w:val="18"/>
                <w:color w:val="auto"/>
              </w:rPr>
              <w:t>18,430,559</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11,680,747</w:t>
            </w:r>
          </w:p>
        </w:tc>
        <w:tc>
          <w:tcPr>
            <w:tcW w:w="0" w:type="dxa"/>
            <w:vAlign w:val="bottom"/>
          </w:tcPr>
          <w:p>
            <w:pPr>
              <w:spacing w:after="0"/>
              <w:rPr>
                <w:sz w:val="1"/>
                <w:szCs w:val="1"/>
                <w:color w:val="auto"/>
              </w:rPr>
            </w:pPr>
          </w:p>
        </w:tc>
      </w:tr>
      <w:tr>
        <w:trPr>
          <w:trHeight w:val="20"/>
        </w:trPr>
        <w:tc>
          <w:tcPr>
            <w:tcW w:w="6140" w:type="dxa"/>
            <w:vAlign w:val="bottom"/>
            <w:tcBorders>
              <w:top w:val="single" w:sz="8" w:color="E0E7ED"/>
            </w:tcBorders>
          </w:tcPr>
          <w:p>
            <w:pPr>
              <w:spacing w:after="0" w:line="20" w:lineRule="exact"/>
              <w:rPr>
                <w:sz w:val="1"/>
                <w:szCs w:val="1"/>
                <w:color w:val="auto"/>
              </w:rPr>
            </w:pPr>
          </w:p>
        </w:tc>
        <w:tc>
          <w:tcPr>
            <w:tcW w:w="19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Total stockholders' equity (GAAP)</w:t>
            </w:r>
          </w:p>
        </w:tc>
        <w:tc>
          <w:tcPr>
            <w:tcW w:w="1960" w:type="dxa"/>
            <w:vAlign w:val="bottom"/>
            <w:shd w:val="clear" w:color="auto" w:fill="E0E7ED"/>
          </w:tcPr>
          <w:p>
            <w:pPr>
              <w:spacing w:after="0"/>
              <w:rPr>
                <w:sz w:val="23"/>
                <w:szCs w:val="23"/>
                <w:color w:val="auto"/>
              </w:rPr>
            </w:pP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jc w:val="right"/>
              <w:ind w:right="154"/>
              <w:spacing w:after="0"/>
              <w:rPr>
                <w:sz w:val="20"/>
                <w:szCs w:val="20"/>
                <w:color w:val="auto"/>
              </w:rPr>
            </w:pPr>
            <w:r>
              <w:rPr>
                <w:rFonts w:ascii="Arial" w:cs="Arial" w:eastAsia="Arial" w:hAnsi="Arial"/>
                <w:sz w:val="18"/>
                <w:szCs w:val="18"/>
                <w:color w:val="auto"/>
              </w:rPr>
              <w:t>2,412,546</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1,383,269</w:t>
            </w:r>
          </w:p>
        </w:tc>
        <w:tc>
          <w:tcPr>
            <w:tcW w:w="0" w:type="dxa"/>
            <w:vAlign w:val="bottom"/>
          </w:tcPr>
          <w:p>
            <w:pPr>
              <w:spacing w:after="0"/>
              <w:rPr>
                <w:sz w:val="1"/>
                <w:szCs w:val="1"/>
                <w:color w:val="auto"/>
              </w:rPr>
            </w:pPr>
          </w:p>
        </w:tc>
      </w:tr>
      <w:tr>
        <w:trPr>
          <w:trHeight w:val="247"/>
        </w:trPr>
        <w:tc>
          <w:tcPr>
            <w:tcW w:w="6140" w:type="dxa"/>
            <w:vAlign w:val="bottom"/>
          </w:tcPr>
          <w:p>
            <w:pPr>
              <w:ind w:left="180"/>
              <w:spacing w:after="0"/>
              <w:rPr>
                <w:sz w:val="20"/>
                <w:szCs w:val="20"/>
                <w:color w:val="auto"/>
              </w:rPr>
            </w:pPr>
            <w:r>
              <w:rPr>
                <w:rFonts w:ascii="Arial" w:cs="Arial" w:eastAsia="Arial" w:hAnsi="Arial"/>
                <w:sz w:val="18"/>
                <w:szCs w:val="18"/>
                <w:color w:val="auto"/>
              </w:rPr>
              <w:t>Preferred stock and additional paid in capital on preferred stock</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(215,197)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6140" w:type="dxa"/>
            <w:vAlign w:val="bottom"/>
            <w:tcBorders>
              <w:bottom w:val="single" w:sz="8" w:color="E0E7ED"/>
            </w:tcBorders>
          </w:tcPr>
          <w:p>
            <w:pPr>
              <w:spacing w:after="0"/>
              <w:rPr>
                <w:sz w:val="2"/>
                <w:szCs w:val="2"/>
                <w:color w:val="auto"/>
              </w:rPr>
            </w:pPr>
          </w:p>
        </w:tc>
        <w:tc>
          <w:tcPr>
            <w:tcW w:w="196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Common equity</w:t>
            </w:r>
          </w:p>
        </w:tc>
        <w:tc>
          <w:tcPr>
            <w:tcW w:w="1960" w:type="dxa"/>
            <w:vAlign w:val="bottom"/>
            <w:tcBorders>
              <w:bottom w:val="single" w:sz="8" w:color="E0E7ED"/>
            </w:tcBorders>
            <w:shd w:val="clear" w:color="auto" w:fill="E0E7ED"/>
          </w:tcPr>
          <w:p>
            <w:pPr>
              <w:ind w:left="920"/>
              <w:spacing w:after="0"/>
              <w:rPr>
                <w:sz w:val="20"/>
                <w:szCs w:val="20"/>
                <w:color w:val="auto"/>
              </w:rPr>
            </w:pPr>
            <w:r>
              <w:rPr>
                <w:rFonts w:ascii="Arial" w:cs="Arial" w:eastAsia="Arial" w:hAnsi="Arial"/>
                <w:sz w:val="18"/>
                <w:szCs w:val="18"/>
                <w:color w:val="auto"/>
              </w:rPr>
              <w:t>[b]</w:t>
            </w:r>
          </w:p>
        </w:tc>
        <w:tc>
          <w:tcPr>
            <w:tcW w:w="240" w:type="dxa"/>
            <w:vAlign w:val="bottom"/>
            <w:tcBorders>
              <w:bottom w:val="single" w:sz="8" w:color="E0E7ED"/>
            </w:tcBorders>
            <w:shd w:val="clear" w:color="auto" w:fill="E0E7ED"/>
          </w:tcPr>
          <w:p>
            <w:pPr>
              <w:spacing w:after="0"/>
              <w:rPr>
                <w:sz w:val="21"/>
                <w:szCs w:val="21"/>
                <w:color w:val="auto"/>
              </w:rPr>
            </w:pPr>
          </w:p>
        </w:tc>
        <w:tc>
          <w:tcPr>
            <w:tcW w:w="1280" w:type="dxa"/>
            <w:vAlign w:val="bottom"/>
            <w:tcBorders>
              <w:bottom w:val="single" w:sz="8" w:color="E0E7ED"/>
            </w:tcBorders>
            <w:shd w:val="clear" w:color="auto" w:fill="E0E7ED"/>
          </w:tcPr>
          <w:p>
            <w:pPr>
              <w:jc w:val="right"/>
              <w:ind w:right="154"/>
              <w:spacing w:after="0"/>
              <w:rPr>
                <w:sz w:val="20"/>
                <w:szCs w:val="20"/>
                <w:color w:val="auto"/>
              </w:rPr>
            </w:pPr>
            <w:r>
              <w:rPr>
                <w:rFonts w:ascii="Arial" w:cs="Arial" w:eastAsia="Arial" w:hAnsi="Arial"/>
                <w:sz w:val="18"/>
                <w:szCs w:val="18"/>
                <w:color w:val="auto"/>
              </w:rPr>
              <w:t>2,197,349</w:t>
            </w:r>
          </w:p>
        </w:tc>
        <w:tc>
          <w:tcPr>
            <w:tcW w:w="100" w:type="dxa"/>
            <w:vAlign w:val="bottom"/>
            <w:tcBorders>
              <w:bottom w:val="single" w:sz="8" w:color="E0E7ED"/>
            </w:tcBorders>
            <w:shd w:val="clear" w:color="auto" w:fill="E0E7ED"/>
          </w:tcPr>
          <w:p>
            <w:pPr>
              <w:spacing w:after="0"/>
              <w:rPr>
                <w:sz w:val="21"/>
                <w:szCs w:val="21"/>
                <w:color w:val="auto"/>
              </w:rPr>
            </w:pPr>
          </w:p>
        </w:tc>
        <w:tc>
          <w:tcPr>
            <w:tcW w:w="200" w:type="dxa"/>
            <w:vAlign w:val="bottom"/>
            <w:tcBorders>
              <w:bottom w:val="single" w:sz="8" w:color="E0E7ED"/>
            </w:tcBorders>
            <w:shd w:val="clear" w:color="auto" w:fill="E0E7ED"/>
          </w:tcPr>
          <w:p>
            <w:pPr>
              <w:spacing w:after="0"/>
              <w:rPr>
                <w:sz w:val="21"/>
                <w:szCs w:val="21"/>
                <w:color w:val="auto"/>
              </w:rPr>
            </w:pPr>
          </w:p>
        </w:tc>
        <w:tc>
          <w:tcPr>
            <w:tcW w:w="1320" w:type="dxa"/>
            <w:vAlign w:val="bottom"/>
            <w:tcBorders>
              <w:bottom w:val="single" w:sz="8" w:color="E0E7ED"/>
            </w:tcBorders>
            <w:shd w:val="clear" w:color="auto" w:fill="E0E7ED"/>
          </w:tcPr>
          <w:p>
            <w:pPr>
              <w:jc w:val="right"/>
              <w:ind w:right="153"/>
              <w:spacing w:after="0"/>
              <w:rPr>
                <w:sz w:val="20"/>
                <w:szCs w:val="20"/>
                <w:color w:val="auto"/>
              </w:rPr>
            </w:pPr>
            <w:r>
              <w:rPr>
                <w:rFonts w:ascii="Arial" w:cs="Arial" w:eastAsia="Arial" w:hAnsi="Arial"/>
                <w:sz w:val="18"/>
                <w:szCs w:val="18"/>
                <w:color w:val="auto"/>
              </w:rPr>
              <w:t>1,383,269</w:t>
            </w:r>
          </w:p>
        </w:tc>
        <w:tc>
          <w:tcPr>
            <w:tcW w:w="0" w:type="dxa"/>
            <w:vAlign w:val="bottom"/>
          </w:tcPr>
          <w:p>
            <w:pPr>
              <w:spacing w:after="0"/>
              <w:rPr>
                <w:sz w:val="1"/>
                <w:szCs w:val="1"/>
                <w:color w:val="auto"/>
              </w:rPr>
            </w:pPr>
          </w:p>
        </w:tc>
      </w:tr>
      <w:tr>
        <w:trPr>
          <w:trHeight w:val="247"/>
        </w:trPr>
        <w:tc>
          <w:tcPr>
            <w:tcW w:w="6140" w:type="dxa"/>
            <w:vAlign w:val="bottom"/>
          </w:tcPr>
          <w:p>
            <w:pPr>
              <w:ind w:left="180"/>
              <w:spacing w:after="0"/>
              <w:rPr>
                <w:sz w:val="20"/>
                <w:szCs w:val="20"/>
                <w:color w:val="auto"/>
              </w:rPr>
            </w:pPr>
            <w:r>
              <w:rPr>
                <w:rFonts w:ascii="Arial" w:cs="Arial" w:eastAsia="Arial" w:hAnsi="Arial"/>
                <w:sz w:val="18"/>
                <w:szCs w:val="18"/>
                <w:color w:val="auto"/>
              </w:rPr>
              <w:t>Goodwill and other intangible assets, net</w:t>
            </w:r>
          </w:p>
        </w:tc>
        <w:tc>
          <w:tcPr>
            <w:tcW w:w="1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94"/>
              <w:spacing w:after="0"/>
              <w:rPr>
                <w:sz w:val="20"/>
                <w:szCs w:val="20"/>
                <w:color w:val="auto"/>
              </w:rPr>
            </w:pPr>
            <w:r>
              <w:rPr>
                <w:rFonts w:ascii="Arial" w:cs="Arial" w:eastAsia="Arial" w:hAnsi="Arial"/>
                <w:sz w:val="18"/>
                <w:szCs w:val="18"/>
                <w:color w:val="auto"/>
              </w:rPr>
              <w:t>(488,181)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(365,975)</w:t>
            </w:r>
          </w:p>
        </w:tc>
        <w:tc>
          <w:tcPr>
            <w:tcW w:w="0" w:type="dxa"/>
            <w:vAlign w:val="bottom"/>
          </w:tcPr>
          <w:p>
            <w:pPr>
              <w:spacing w:after="0"/>
              <w:rPr>
                <w:sz w:val="1"/>
                <w:szCs w:val="1"/>
                <w:color w:val="auto"/>
              </w:rPr>
            </w:pPr>
          </w:p>
        </w:tc>
      </w:tr>
      <w:tr>
        <w:trPr>
          <w:trHeight w:val="23"/>
        </w:trPr>
        <w:tc>
          <w:tcPr>
            <w:tcW w:w="6140" w:type="dxa"/>
            <w:vAlign w:val="bottom"/>
            <w:tcBorders>
              <w:bottom w:val="single" w:sz="8" w:color="E0E7ED"/>
            </w:tcBorders>
          </w:tcPr>
          <w:p>
            <w:pPr>
              <w:spacing w:after="0"/>
              <w:rPr>
                <w:sz w:val="2"/>
                <w:szCs w:val="2"/>
                <w:color w:val="auto"/>
              </w:rPr>
            </w:pPr>
          </w:p>
        </w:tc>
        <w:tc>
          <w:tcPr>
            <w:tcW w:w="1960" w:type="dxa"/>
            <w:vAlign w:val="bottom"/>
            <w:tcBorders>
              <w:bottom w:val="single" w:sz="8" w:color="E0E7E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E0E7ED"/>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14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Tangible common equity (Non-GAAP)</w:t>
            </w:r>
            <w:r>
              <w:rPr>
                <w:rFonts w:ascii="Arial" w:cs="Arial" w:eastAsia="Arial" w:hAnsi="Arial"/>
                <w:sz w:val="23"/>
                <w:szCs w:val="23"/>
                <w:color w:val="auto"/>
                <w:vertAlign w:val="superscript"/>
              </w:rPr>
              <w:t>1</w:t>
            </w:r>
          </w:p>
        </w:tc>
        <w:tc>
          <w:tcPr>
            <w:tcW w:w="1960" w:type="dxa"/>
            <w:vAlign w:val="bottom"/>
            <w:tcBorders>
              <w:bottom w:val="single" w:sz="8" w:color="E0E7ED"/>
            </w:tcBorders>
            <w:shd w:val="clear" w:color="auto" w:fill="E0E7ED"/>
          </w:tcPr>
          <w:p>
            <w:pPr>
              <w:ind w:left="920"/>
              <w:spacing w:after="0"/>
              <w:rPr>
                <w:sz w:val="20"/>
                <w:szCs w:val="20"/>
                <w:color w:val="auto"/>
              </w:rPr>
            </w:pPr>
            <w:r>
              <w:rPr>
                <w:rFonts w:ascii="Arial" w:cs="Arial" w:eastAsia="Arial" w:hAnsi="Arial"/>
                <w:sz w:val="18"/>
                <w:szCs w:val="18"/>
                <w:color w:val="auto"/>
              </w:rPr>
              <w:t>[c]</w:t>
            </w:r>
          </w:p>
        </w:tc>
        <w:tc>
          <w:tcPr>
            <w:tcW w:w="240" w:type="dxa"/>
            <w:vAlign w:val="bottom"/>
            <w:tcBorders>
              <w:bottom w:val="single" w:sz="8" w:color="auto"/>
            </w:tcBorders>
            <w:shd w:val="clear" w:color="auto" w:fill="E0E7ED"/>
          </w:tcPr>
          <w:p>
            <w:pPr>
              <w:spacing w:after="0"/>
              <w:rPr>
                <w:sz w:val="24"/>
                <w:szCs w:val="24"/>
                <w:color w:val="auto"/>
              </w:rPr>
            </w:pPr>
          </w:p>
        </w:tc>
        <w:tc>
          <w:tcPr>
            <w:tcW w:w="1280" w:type="dxa"/>
            <w:vAlign w:val="bottom"/>
            <w:tcBorders>
              <w:bottom w:val="single" w:sz="8" w:color="auto"/>
            </w:tcBorders>
            <w:shd w:val="clear" w:color="auto" w:fill="E0E7ED"/>
          </w:tcPr>
          <w:p>
            <w:pPr>
              <w:jc w:val="right"/>
              <w:ind w:right="154"/>
              <w:spacing w:after="0"/>
              <w:rPr>
                <w:sz w:val="20"/>
                <w:szCs w:val="20"/>
                <w:color w:val="auto"/>
              </w:rPr>
            </w:pPr>
            <w:r>
              <w:rPr>
                <w:rFonts w:ascii="Arial" w:cs="Arial" w:eastAsia="Arial" w:hAnsi="Arial"/>
                <w:sz w:val="18"/>
                <w:szCs w:val="18"/>
                <w:color w:val="auto"/>
              </w:rPr>
              <w:t>1,709,168</w:t>
            </w:r>
          </w:p>
        </w:tc>
        <w:tc>
          <w:tcPr>
            <w:tcW w:w="100" w:type="dxa"/>
            <w:vAlign w:val="bottom"/>
            <w:tcBorders>
              <w:bottom w:val="single" w:sz="8" w:color="E0E7ED"/>
            </w:tcBorders>
            <w:shd w:val="clear" w:color="auto" w:fill="E0E7ED"/>
          </w:tcPr>
          <w:p>
            <w:pPr>
              <w:spacing w:after="0"/>
              <w:rPr>
                <w:sz w:val="24"/>
                <w:szCs w:val="24"/>
                <w:color w:val="auto"/>
              </w:rPr>
            </w:pPr>
          </w:p>
        </w:tc>
        <w:tc>
          <w:tcPr>
            <w:tcW w:w="200" w:type="dxa"/>
            <w:vAlign w:val="bottom"/>
            <w:tcBorders>
              <w:bottom w:val="single" w:sz="8" w:color="auto"/>
            </w:tcBorders>
            <w:shd w:val="clear" w:color="auto" w:fill="E0E7ED"/>
          </w:tcPr>
          <w:p>
            <w:pPr>
              <w:spacing w:after="0"/>
              <w:rPr>
                <w:sz w:val="24"/>
                <w:szCs w:val="24"/>
                <w:color w:val="auto"/>
              </w:rPr>
            </w:pPr>
          </w:p>
        </w:tc>
        <w:tc>
          <w:tcPr>
            <w:tcW w:w="1320" w:type="dxa"/>
            <w:vAlign w:val="bottom"/>
            <w:tcBorders>
              <w:bottom w:val="single" w:sz="8" w:color="auto"/>
            </w:tcBorders>
            <w:shd w:val="clear" w:color="auto" w:fill="E0E7ED"/>
          </w:tcPr>
          <w:p>
            <w:pPr>
              <w:jc w:val="right"/>
              <w:ind w:right="153"/>
              <w:spacing w:after="0"/>
              <w:rPr>
                <w:sz w:val="20"/>
                <w:szCs w:val="20"/>
                <w:color w:val="auto"/>
              </w:rPr>
            </w:pPr>
            <w:r>
              <w:rPr>
                <w:rFonts w:ascii="Arial" w:cs="Arial" w:eastAsia="Arial" w:hAnsi="Arial"/>
                <w:sz w:val="18"/>
                <w:szCs w:val="18"/>
                <w:color w:val="auto"/>
              </w:rPr>
              <w:t>1,017,294</w:t>
            </w:r>
          </w:p>
        </w:tc>
        <w:tc>
          <w:tcPr>
            <w:tcW w:w="0" w:type="dxa"/>
            <w:vAlign w:val="bottom"/>
          </w:tcPr>
          <w:p>
            <w:pPr>
              <w:spacing w:after="0"/>
              <w:rPr>
                <w:sz w:val="1"/>
                <w:szCs w:val="1"/>
                <w:color w:val="auto"/>
              </w:rPr>
            </w:pPr>
          </w:p>
        </w:tc>
      </w:tr>
      <w:tr>
        <w:trPr>
          <w:trHeight w:val="20"/>
        </w:trPr>
        <w:tc>
          <w:tcPr>
            <w:tcW w:w="6140" w:type="dxa"/>
            <w:vAlign w:val="bottom"/>
            <w:tcBorders>
              <w:top w:val="single" w:sz="8" w:color="E0E7ED"/>
            </w:tcBorders>
          </w:tcPr>
          <w:p>
            <w:pPr>
              <w:spacing w:after="0" w:line="20" w:lineRule="exact"/>
              <w:rPr>
                <w:sz w:val="1"/>
                <w:szCs w:val="1"/>
                <w:color w:val="auto"/>
              </w:rPr>
            </w:pPr>
          </w:p>
        </w:tc>
        <w:tc>
          <w:tcPr>
            <w:tcW w:w="1960" w:type="dxa"/>
            <w:vAlign w:val="bottom"/>
            <w:tcBorders>
              <w:top w:val="single" w:sz="8" w:color="E0E7ED"/>
            </w:tcBorders>
          </w:tcPr>
          <w:p>
            <w:pPr>
              <w:spacing w:after="0" w:line="20" w:lineRule="exact"/>
              <w:rPr>
                <w:sz w:val="1"/>
                <w:szCs w:val="1"/>
                <w:color w:val="auto"/>
              </w:rPr>
            </w:pPr>
          </w:p>
        </w:tc>
        <w:tc>
          <w:tcPr>
            <w:tcW w:w="240" w:type="dxa"/>
            <w:vAlign w:val="bottom"/>
            <w:tcBorders>
              <w:top w:val="single" w:sz="8" w:color="E0E7ED"/>
              <w:bottom w:val="single" w:sz="8" w:color="auto"/>
            </w:tcBorders>
          </w:tcPr>
          <w:p>
            <w:pPr>
              <w:spacing w:after="0" w:line="20" w:lineRule="exact"/>
              <w:rPr>
                <w:sz w:val="1"/>
                <w:szCs w:val="1"/>
                <w:color w:val="auto"/>
              </w:rPr>
            </w:pPr>
          </w:p>
        </w:tc>
        <w:tc>
          <w:tcPr>
            <w:tcW w:w="1280" w:type="dxa"/>
            <w:vAlign w:val="bottom"/>
            <w:tcBorders>
              <w:top w:val="single" w:sz="8" w:color="E0E7ED"/>
              <w:bottom w:val="single" w:sz="8" w:color="auto"/>
            </w:tcBorders>
          </w:tcPr>
          <w:p>
            <w:pPr>
              <w:spacing w:after="0" w:line="20" w:lineRule="exact"/>
              <w:rPr>
                <w:sz w:val="1"/>
                <w:szCs w:val="1"/>
                <w:color w:val="auto"/>
              </w:rPr>
            </w:pPr>
          </w:p>
        </w:tc>
        <w:tc>
          <w:tcPr>
            <w:tcW w:w="100" w:type="dxa"/>
            <w:vAlign w:val="bottom"/>
            <w:tcBorders>
              <w:top w:val="single" w:sz="8" w:color="E0E7ED"/>
            </w:tcBorders>
          </w:tcPr>
          <w:p>
            <w:pPr>
              <w:spacing w:after="0" w:line="20" w:lineRule="exact"/>
              <w:rPr>
                <w:sz w:val="1"/>
                <w:szCs w:val="1"/>
                <w:color w:val="auto"/>
              </w:rPr>
            </w:pPr>
          </w:p>
        </w:tc>
        <w:tc>
          <w:tcPr>
            <w:tcW w:w="200" w:type="dxa"/>
            <w:vAlign w:val="bottom"/>
            <w:tcBorders>
              <w:top w:val="single" w:sz="8" w:color="E0E7ED"/>
              <w:bottom w:val="single" w:sz="8" w:color="auto"/>
            </w:tcBorders>
          </w:tcPr>
          <w:p>
            <w:pPr>
              <w:spacing w:after="0" w:line="20" w:lineRule="exact"/>
              <w:rPr>
                <w:sz w:val="1"/>
                <w:szCs w:val="1"/>
                <w:color w:val="auto"/>
              </w:rPr>
            </w:pPr>
          </w:p>
        </w:tc>
        <w:tc>
          <w:tcPr>
            <w:tcW w:w="1320" w:type="dxa"/>
            <w:vAlign w:val="bottom"/>
            <w:tcBorders>
              <w:top w:val="single" w:sz="8" w:color="E0E7ED"/>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E0E7ED"/>
          </w:tcPr>
          <w:p>
            <w:pPr>
              <w:ind w:left="20"/>
              <w:spacing w:after="0"/>
              <w:rPr>
                <w:sz w:val="20"/>
                <w:szCs w:val="20"/>
                <w:color w:val="auto"/>
              </w:rPr>
            </w:pPr>
            <w:r>
              <w:rPr>
                <w:rFonts w:ascii="Arial" w:cs="Arial" w:eastAsia="Arial" w:hAnsi="Arial"/>
                <w:sz w:val="18"/>
                <w:szCs w:val="18"/>
                <w:color w:val="auto"/>
              </w:rPr>
              <w:t>Tangible common equity to tangible assets (Non-GAAP)</w:t>
            </w:r>
            <w:r>
              <w:rPr>
                <w:rFonts w:ascii="Arial" w:cs="Arial" w:eastAsia="Arial" w:hAnsi="Arial"/>
                <w:sz w:val="23"/>
                <w:szCs w:val="23"/>
                <w:color w:val="auto"/>
                <w:vertAlign w:val="superscript"/>
              </w:rPr>
              <w:t>1</w:t>
            </w:r>
          </w:p>
        </w:tc>
        <w:tc>
          <w:tcPr>
            <w:tcW w:w="1960" w:type="dxa"/>
            <w:vAlign w:val="bottom"/>
            <w:shd w:val="clear" w:color="auto" w:fill="E0E7ED"/>
          </w:tcPr>
          <w:p>
            <w:pPr>
              <w:ind w:left="920"/>
              <w:spacing w:after="0"/>
              <w:rPr>
                <w:sz w:val="20"/>
                <w:szCs w:val="20"/>
                <w:color w:val="auto"/>
              </w:rPr>
            </w:pPr>
            <w:r>
              <w:rPr>
                <w:rFonts w:ascii="Arial" w:cs="Arial" w:eastAsia="Arial" w:hAnsi="Arial"/>
                <w:sz w:val="18"/>
                <w:szCs w:val="18"/>
                <w:color w:val="auto"/>
              </w:rPr>
              <w:t>[c÷a]</w:t>
            </w: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jc w:val="right"/>
              <w:spacing w:after="0"/>
              <w:rPr>
                <w:sz w:val="20"/>
                <w:szCs w:val="20"/>
                <w:color w:val="auto"/>
              </w:rPr>
            </w:pPr>
            <w:r>
              <w:rPr>
                <w:rFonts w:ascii="Arial" w:cs="Arial" w:eastAsia="Arial" w:hAnsi="Arial"/>
                <w:sz w:val="18"/>
                <w:szCs w:val="18"/>
                <w:color w:val="auto"/>
              </w:rPr>
              <w:t>9.27 %</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jc w:val="right"/>
              <w:spacing w:after="0"/>
              <w:rPr>
                <w:sz w:val="20"/>
                <w:szCs w:val="20"/>
                <w:color w:val="auto"/>
              </w:rPr>
            </w:pPr>
            <w:r>
              <w:rPr>
                <w:rFonts w:ascii="Arial" w:cs="Arial" w:eastAsia="Arial" w:hAnsi="Arial"/>
                <w:sz w:val="18"/>
                <w:szCs w:val="18"/>
                <w:color w:val="auto"/>
              </w:rPr>
              <w:t>8.71 %</w:t>
            </w:r>
          </w:p>
        </w:tc>
        <w:tc>
          <w:tcPr>
            <w:tcW w:w="0" w:type="dxa"/>
            <w:vAlign w:val="bottom"/>
          </w:tcPr>
          <w:p>
            <w:pPr>
              <w:spacing w:after="0"/>
              <w:rPr>
                <w:sz w:val="1"/>
                <w:szCs w:val="1"/>
                <w:color w:val="auto"/>
              </w:rPr>
            </w:pPr>
          </w:p>
        </w:tc>
      </w:tr>
      <w:tr>
        <w:trPr>
          <w:trHeight w:val="270"/>
        </w:trPr>
        <w:tc>
          <w:tcPr>
            <w:tcW w:w="614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40" w:type="dxa"/>
            <w:vAlign w:val="bottom"/>
            <w:shd w:val="clear" w:color="auto" w:fill="E0E7ED"/>
          </w:tcPr>
          <w:p>
            <w:pPr>
              <w:ind w:left="20"/>
              <w:spacing w:after="0"/>
              <w:rPr>
                <w:sz w:val="20"/>
                <w:szCs w:val="20"/>
                <w:color w:val="auto"/>
              </w:rPr>
            </w:pPr>
            <w:r>
              <w:rPr>
                <w:rFonts w:ascii="Arial" w:cs="Arial" w:eastAsia="Arial" w:hAnsi="Arial"/>
                <w:sz w:val="18"/>
                <w:szCs w:val="18"/>
                <w:b w:val="1"/>
                <w:bCs w:val="1"/>
                <w:color w:val="auto"/>
              </w:rPr>
              <w:t>Ending number of common shares outstanding (GAAP)</w:t>
            </w:r>
          </w:p>
        </w:tc>
        <w:tc>
          <w:tcPr>
            <w:tcW w:w="1960" w:type="dxa"/>
            <w:vAlign w:val="bottom"/>
            <w:shd w:val="clear" w:color="auto" w:fill="E0E7ED"/>
          </w:tcPr>
          <w:p>
            <w:pPr>
              <w:ind w:left="920"/>
              <w:spacing w:after="0"/>
              <w:rPr>
                <w:sz w:val="20"/>
                <w:szCs w:val="20"/>
                <w:color w:val="auto"/>
              </w:rPr>
            </w:pPr>
            <w:r>
              <w:rPr>
                <w:rFonts w:ascii="Arial" w:cs="Arial" w:eastAsia="Arial" w:hAnsi="Arial"/>
                <w:sz w:val="18"/>
                <w:szCs w:val="18"/>
                <w:color w:val="auto"/>
              </w:rPr>
              <w:t>[d]</w:t>
            </w:r>
          </w:p>
        </w:tc>
        <w:tc>
          <w:tcPr>
            <w:tcW w:w="240" w:type="dxa"/>
            <w:vAlign w:val="bottom"/>
            <w:shd w:val="clear" w:color="auto" w:fill="E0E7ED"/>
          </w:tcPr>
          <w:p>
            <w:pPr>
              <w:spacing w:after="0"/>
              <w:rPr>
                <w:sz w:val="23"/>
                <w:szCs w:val="23"/>
                <w:color w:val="auto"/>
              </w:rPr>
            </w:pPr>
          </w:p>
        </w:tc>
        <w:tc>
          <w:tcPr>
            <w:tcW w:w="1280" w:type="dxa"/>
            <w:vAlign w:val="bottom"/>
            <w:shd w:val="clear" w:color="auto" w:fill="E0E7ED"/>
          </w:tcPr>
          <w:p>
            <w:pPr>
              <w:ind w:left="360"/>
              <w:spacing w:after="0"/>
              <w:rPr>
                <w:sz w:val="20"/>
                <w:szCs w:val="20"/>
                <w:color w:val="auto"/>
              </w:rPr>
            </w:pPr>
            <w:r>
              <w:rPr>
                <w:rFonts w:ascii="Arial" w:cs="Arial" w:eastAsia="Arial" w:hAnsi="Arial"/>
                <w:sz w:val="18"/>
                <w:szCs w:val="18"/>
                <w:color w:val="auto"/>
                <w:w w:val="99"/>
              </w:rPr>
              <w:t>89,104,678</w:t>
            </w:r>
          </w:p>
        </w:tc>
        <w:tc>
          <w:tcPr>
            <w:tcW w:w="100" w:type="dxa"/>
            <w:vAlign w:val="bottom"/>
            <w:shd w:val="clear" w:color="auto" w:fill="E0E7ED"/>
          </w:tcPr>
          <w:p>
            <w:pPr>
              <w:spacing w:after="0"/>
              <w:rPr>
                <w:sz w:val="23"/>
                <w:szCs w:val="23"/>
                <w:color w:val="auto"/>
              </w:rPr>
            </w:pPr>
          </w:p>
        </w:tc>
        <w:tc>
          <w:tcPr>
            <w:tcW w:w="200" w:type="dxa"/>
            <w:vAlign w:val="bottom"/>
            <w:shd w:val="clear" w:color="auto" w:fill="E0E7ED"/>
          </w:tcPr>
          <w:p>
            <w:pPr>
              <w:spacing w:after="0"/>
              <w:rPr>
                <w:sz w:val="23"/>
                <w:szCs w:val="23"/>
                <w:color w:val="auto"/>
              </w:rPr>
            </w:pPr>
          </w:p>
        </w:tc>
        <w:tc>
          <w:tcPr>
            <w:tcW w:w="1320" w:type="dxa"/>
            <w:vAlign w:val="bottom"/>
            <w:shd w:val="clear" w:color="auto" w:fill="E0E7ED"/>
          </w:tcPr>
          <w:p>
            <w:pPr>
              <w:ind w:left="400"/>
              <w:spacing w:after="0"/>
              <w:rPr>
                <w:sz w:val="20"/>
                <w:szCs w:val="20"/>
                <w:color w:val="auto"/>
              </w:rPr>
            </w:pPr>
            <w:r>
              <w:rPr>
                <w:rFonts w:ascii="Arial" w:cs="Arial" w:eastAsia="Arial" w:hAnsi="Arial"/>
                <w:sz w:val="18"/>
                <w:szCs w:val="18"/>
                <w:color w:val="auto"/>
                <w:w w:val="99"/>
              </w:rPr>
              <w:t>56,895,981</w:t>
            </w:r>
          </w:p>
        </w:tc>
        <w:tc>
          <w:tcPr>
            <w:tcW w:w="0" w:type="dxa"/>
            <w:vAlign w:val="bottom"/>
          </w:tcPr>
          <w:p>
            <w:pPr>
              <w:spacing w:after="0"/>
              <w:rPr>
                <w:sz w:val="1"/>
                <w:szCs w:val="1"/>
                <w:color w:val="auto"/>
              </w:rPr>
            </w:pPr>
          </w:p>
        </w:tc>
      </w:tr>
      <w:tr>
        <w:trPr>
          <w:trHeight w:val="247"/>
        </w:trPr>
        <w:tc>
          <w:tcPr>
            <w:tcW w:w="6140" w:type="dxa"/>
            <w:vAlign w:val="bottom"/>
          </w:tcPr>
          <w:p>
            <w:pPr>
              <w:ind w:left="20"/>
              <w:spacing w:after="0"/>
              <w:rPr>
                <w:sz w:val="20"/>
                <w:szCs w:val="20"/>
                <w:color w:val="auto"/>
              </w:rPr>
            </w:pPr>
            <w:r>
              <w:rPr>
                <w:rFonts w:ascii="Arial" w:cs="Arial" w:eastAsia="Arial" w:hAnsi="Arial"/>
                <w:sz w:val="18"/>
                <w:szCs w:val="18"/>
                <w:color w:val="auto"/>
              </w:rPr>
              <w:t>Book value per common share (Non-GAAP)</w:t>
            </w:r>
          </w:p>
        </w:tc>
        <w:tc>
          <w:tcPr>
            <w:tcW w:w="1960" w:type="dxa"/>
            <w:vAlign w:val="bottom"/>
          </w:tcPr>
          <w:p>
            <w:pPr>
              <w:ind w:left="920"/>
              <w:spacing w:after="0"/>
              <w:rPr>
                <w:sz w:val="20"/>
                <w:szCs w:val="20"/>
                <w:color w:val="auto"/>
              </w:rPr>
            </w:pPr>
            <w:r>
              <w:rPr>
                <w:rFonts w:ascii="Arial" w:cs="Arial" w:eastAsia="Arial" w:hAnsi="Arial"/>
                <w:sz w:val="18"/>
                <w:szCs w:val="18"/>
                <w:color w:val="auto"/>
              </w:rPr>
              <w:t>[b÷d]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4"/>
              <w:spacing w:after="0"/>
              <w:rPr>
                <w:sz w:val="20"/>
                <w:szCs w:val="20"/>
                <w:color w:val="auto"/>
              </w:rPr>
            </w:pPr>
            <w:r>
              <w:rPr>
                <w:rFonts w:ascii="Arial" w:cs="Arial" w:eastAsia="Arial" w:hAnsi="Arial"/>
                <w:sz w:val="18"/>
                <w:szCs w:val="18"/>
                <w:color w:val="auto"/>
              </w:rPr>
              <w:t>24.66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3"/>
        </w:trPr>
        <w:tc>
          <w:tcPr>
            <w:tcW w:w="6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6140" w:type="dxa"/>
            <w:vAlign w:val="bottom"/>
            <w:shd w:val="clear" w:color="auto" w:fill="E0E7ED"/>
          </w:tcPr>
          <w:p>
            <w:pPr>
              <w:ind w:left="20"/>
              <w:spacing w:after="0"/>
              <w:rPr>
                <w:sz w:val="20"/>
                <w:szCs w:val="20"/>
                <w:color w:val="auto"/>
              </w:rPr>
            </w:pPr>
            <w:r>
              <w:rPr>
                <w:rFonts w:ascii="Arial" w:cs="Arial" w:eastAsia="Arial" w:hAnsi="Arial"/>
                <w:sz w:val="18"/>
                <w:szCs w:val="18"/>
                <w:color w:val="auto"/>
              </w:rPr>
              <w:t>Tangible book value per common share (Non-GAAP)</w:t>
            </w:r>
          </w:p>
        </w:tc>
        <w:tc>
          <w:tcPr>
            <w:tcW w:w="1960" w:type="dxa"/>
            <w:vAlign w:val="bottom"/>
            <w:shd w:val="clear" w:color="auto" w:fill="E0E7ED"/>
          </w:tcPr>
          <w:p>
            <w:pPr>
              <w:ind w:left="920"/>
              <w:spacing w:after="0"/>
              <w:rPr>
                <w:sz w:val="20"/>
                <w:szCs w:val="20"/>
                <w:color w:val="auto"/>
              </w:rPr>
            </w:pPr>
            <w:r>
              <w:rPr>
                <w:rFonts w:ascii="Arial" w:cs="Arial" w:eastAsia="Arial" w:hAnsi="Arial"/>
                <w:sz w:val="18"/>
                <w:szCs w:val="18"/>
                <w:color w:val="auto"/>
              </w:rPr>
              <w:t>[c÷d]</w:t>
            </w:r>
          </w:p>
        </w:tc>
        <w:tc>
          <w:tcPr>
            <w:tcW w:w="240" w:type="dxa"/>
            <w:vAlign w:val="bottom"/>
            <w:shd w:val="clear" w:color="auto" w:fill="E0E7ED"/>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E0E7ED"/>
          </w:tcPr>
          <w:p>
            <w:pPr>
              <w:jc w:val="right"/>
              <w:ind w:right="154"/>
              <w:spacing w:after="0"/>
              <w:rPr>
                <w:sz w:val="20"/>
                <w:szCs w:val="20"/>
                <w:color w:val="auto"/>
              </w:rPr>
            </w:pPr>
            <w:r>
              <w:rPr>
                <w:rFonts w:ascii="Arial" w:cs="Arial" w:eastAsia="Arial" w:hAnsi="Arial"/>
                <w:sz w:val="18"/>
                <w:szCs w:val="18"/>
                <w:color w:val="auto"/>
              </w:rPr>
              <w:t>19.18</w:t>
            </w:r>
          </w:p>
        </w:tc>
        <w:tc>
          <w:tcPr>
            <w:tcW w:w="100" w:type="dxa"/>
            <w:vAlign w:val="bottom"/>
            <w:shd w:val="clear" w:color="auto" w:fill="E0E7ED"/>
          </w:tcPr>
          <w:p>
            <w:pPr>
              <w:spacing w:after="0"/>
              <w:rPr>
                <w:sz w:val="21"/>
                <w:szCs w:val="21"/>
                <w:color w:val="auto"/>
              </w:rPr>
            </w:pPr>
          </w:p>
        </w:tc>
        <w:tc>
          <w:tcPr>
            <w:tcW w:w="200" w:type="dxa"/>
            <w:vAlign w:val="bottom"/>
            <w:shd w:val="clear" w:color="auto" w:fill="E0E7ED"/>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E0E7ED"/>
          </w:tcPr>
          <w:p>
            <w:pPr>
              <w:jc w:val="right"/>
              <w:ind w:right="153"/>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3"/>
        </w:trPr>
        <w:tc>
          <w:tcPr>
            <w:tcW w:w="6140" w:type="dxa"/>
            <w:vAlign w:val="bottom"/>
            <w:shd w:val="clear" w:color="auto" w:fill="E0E7ED"/>
          </w:tcPr>
          <w:p>
            <w:pPr>
              <w:spacing w:after="0"/>
              <w:rPr>
                <w:sz w:val="2"/>
                <w:szCs w:val="2"/>
                <w:color w:val="auto"/>
              </w:rPr>
            </w:pPr>
          </w:p>
        </w:tc>
        <w:tc>
          <w:tcPr>
            <w:tcW w:w="1960" w:type="dxa"/>
            <w:vAlign w:val="bottom"/>
            <w:shd w:val="clear" w:color="auto" w:fill="E0E7ED"/>
          </w:tcPr>
          <w:p>
            <w:pPr>
              <w:spacing w:after="0"/>
              <w:rPr>
                <w:sz w:val="2"/>
                <w:szCs w:val="2"/>
                <w:color w:val="auto"/>
              </w:rPr>
            </w:pPr>
          </w:p>
        </w:tc>
        <w:tc>
          <w:tcPr>
            <w:tcW w:w="240" w:type="dxa"/>
            <w:vAlign w:val="bottom"/>
            <w:shd w:val="clear" w:color="auto" w:fill="E0E7ED"/>
          </w:tcPr>
          <w:p>
            <w:pPr>
              <w:spacing w:after="0"/>
              <w:rPr>
                <w:sz w:val="2"/>
                <w:szCs w:val="2"/>
                <w:color w:val="auto"/>
              </w:rPr>
            </w:pPr>
          </w:p>
        </w:tc>
        <w:tc>
          <w:tcPr>
            <w:tcW w:w="1280" w:type="dxa"/>
            <w:vAlign w:val="bottom"/>
            <w:shd w:val="clear" w:color="auto" w:fill="E0E7ED"/>
          </w:tcPr>
          <w:p>
            <w:pPr>
              <w:spacing w:after="0"/>
              <w:rPr>
                <w:sz w:val="2"/>
                <w:szCs w:val="2"/>
                <w:color w:val="auto"/>
              </w:rPr>
            </w:pPr>
          </w:p>
        </w:tc>
        <w:tc>
          <w:tcPr>
            <w:tcW w:w="100" w:type="dxa"/>
            <w:vAlign w:val="bottom"/>
            <w:shd w:val="clear" w:color="auto" w:fill="E0E7ED"/>
          </w:tcPr>
          <w:p>
            <w:pPr>
              <w:spacing w:after="0"/>
              <w:rPr>
                <w:sz w:val="2"/>
                <w:szCs w:val="2"/>
                <w:color w:val="auto"/>
              </w:rPr>
            </w:pPr>
          </w:p>
        </w:tc>
        <w:tc>
          <w:tcPr>
            <w:tcW w:w="200" w:type="dxa"/>
            <w:vAlign w:val="bottom"/>
            <w:shd w:val="clear" w:color="auto" w:fill="E0E7ED"/>
          </w:tcPr>
          <w:p>
            <w:pPr>
              <w:spacing w:after="0"/>
              <w:rPr>
                <w:sz w:val="2"/>
                <w:szCs w:val="2"/>
                <w:color w:val="auto"/>
              </w:rPr>
            </w:pPr>
          </w:p>
        </w:tc>
        <w:tc>
          <w:tcPr>
            <w:tcW w:w="1320" w:type="dxa"/>
            <w:vAlign w:val="bottom"/>
            <w:shd w:val="clear" w:color="auto" w:fill="E0E7E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w:t>
      </w:r>
    </w:p>
    <w:p>
      <w:pPr>
        <w:spacing w:after="0" w:line="29" w:lineRule="exact"/>
        <w:rPr>
          <w:sz w:val="20"/>
          <w:szCs w:val="20"/>
          <w:color w:val="auto"/>
        </w:rPr>
      </w:pPr>
    </w:p>
    <w:p>
      <w:pPr>
        <w:ind w:left="520" w:hanging="350"/>
        <w:spacing w:after="0"/>
        <w:tabs>
          <w:tab w:leader="none" w:pos="5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Beginning in 2025, Busey revised its calculation of tangible assets and tangible common equity for all periods presented to exclude any tax adjustment.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Core Deposits and Related Ratio</w:t>
      </w:r>
    </w:p>
    <w:p>
      <w:pPr>
        <w:sectPr>
          <w:pgSz w:w="11900" w:h="16838" w:orient="portrait"/>
          <w:cols w:equalWidth="0" w:num="1">
            <w:col w:w="11240"/>
          </w:cols>
          <w:pgMar w:left="320" w:top="2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1797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deposits (GAAP)</w:t>
      </w:r>
    </w:p>
    <w:p>
      <w:pPr>
        <w:spacing w:after="0" w:line="63" w:lineRule="exact"/>
        <w:rPr>
          <w:sz w:val="20"/>
          <w:szCs w:val="20"/>
          <w:color w:val="auto"/>
        </w:rPr>
      </w:pPr>
    </w:p>
    <w:p>
      <w:pPr>
        <w:ind w:left="180" w:right="360"/>
        <w:spacing w:after="0" w:line="313" w:lineRule="auto"/>
        <w:rPr>
          <w:sz w:val="20"/>
          <w:szCs w:val="20"/>
          <w:color w:val="auto"/>
        </w:rPr>
      </w:pPr>
      <w:r>
        <w:rPr>
          <w:rFonts w:ascii="Arial" w:cs="Arial" w:eastAsia="Arial" w:hAnsi="Arial"/>
          <w:sz w:val="18"/>
          <w:szCs w:val="18"/>
          <w:color w:val="auto"/>
        </w:rPr>
        <w:t>Brokered deposits, excluding brokered time deposits of $250,000 or more Time deposits of $250,000 or 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right="1160" w:firstLine="162"/>
        <w:spacing w:after="0" w:line="396" w:lineRule="auto"/>
        <w:rPr>
          <w:sz w:val="20"/>
          <w:szCs w:val="20"/>
          <w:color w:val="auto"/>
        </w:rPr>
      </w:pPr>
      <w:r>
        <w:rPr>
          <w:rFonts w:ascii="Arial" w:cs="Arial" w:eastAsia="Arial" w:hAnsi="Arial"/>
          <w:sz w:val="18"/>
          <w:szCs w:val="18"/>
          <w:color w:val="auto"/>
        </w:rPr>
        <w:t>Deposits acquired in business combinations, prior to integration Core deposits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10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302"/>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36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jc w:val="right"/>
              <w:ind w:right="202"/>
              <w:spacing w:after="0" w:line="142"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1000" w:type="dxa"/>
            <w:vAlign w:val="bottom"/>
          </w:tcPr>
          <w:p>
            <w:pPr>
              <w:spacing w:after="0"/>
              <w:rPr>
                <w:sz w:val="15"/>
                <w:szCs w:val="15"/>
                <w:color w:val="auto"/>
              </w:rPr>
            </w:pPr>
          </w:p>
        </w:tc>
        <w:tc>
          <w:tcPr>
            <w:tcW w:w="136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40"/>
        </w:trPr>
        <w:tc>
          <w:tcPr>
            <w:tcW w:w="1000" w:type="dxa"/>
            <w:vAlign w:val="bottom"/>
          </w:tcPr>
          <w:p>
            <w:pPr>
              <w:spacing w:after="0"/>
              <w:rPr>
                <w:sz w:val="20"/>
                <w:szCs w:val="20"/>
                <w:color w:val="auto"/>
              </w:rPr>
            </w:pPr>
            <w:r>
              <w:rPr>
                <w:rFonts w:ascii="Arial" w:cs="Arial" w:eastAsia="Arial" w:hAnsi="Arial"/>
                <w:sz w:val="18"/>
                <w:szCs w:val="18"/>
                <w:color w:val="auto"/>
              </w:rPr>
              <w:t>[a]</w:t>
            </w:r>
          </w:p>
        </w:tc>
        <w:tc>
          <w:tcPr>
            <w:tcW w:w="1360" w:type="dxa"/>
            <w:vAlign w:val="bottom"/>
          </w:tcPr>
          <w:p>
            <w:pPr>
              <w:jc w:val="right"/>
              <w:spacing w:after="0"/>
              <w:rPr>
                <w:sz w:val="20"/>
                <w:szCs w:val="20"/>
                <w:color w:val="auto"/>
              </w:rPr>
            </w:pPr>
            <w:r>
              <w:rPr>
                <w:rFonts w:ascii="Arial" w:cs="Arial" w:eastAsia="Arial" w:hAnsi="Arial"/>
                <w:sz w:val="18"/>
                <w:szCs w:val="18"/>
                <w:color w:val="auto"/>
              </w:rPr>
              <w:t>15,801,772</w:t>
            </w:r>
          </w:p>
        </w:tc>
        <w:tc>
          <w:tcPr>
            <w:tcW w:w="1760" w:type="dxa"/>
            <w:vAlign w:val="bottom"/>
            <w:gridSpan w:val="3"/>
          </w:tcPr>
          <w:p>
            <w:pPr>
              <w:jc w:val="right"/>
              <w:ind w:right="162"/>
              <w:spacing w:after="0"/>
              <w:rPr>
                <w:sz w:val="20"/>
                <w:szCs w:val="20"/>
                <w:color w:val="auto"/>
              </w:rPr>
            </w:pPr>
            <w:r>
              <w:rPr>
                <w:rFonts w:ascii="Arial" w:cs="Arial" w:eastAsia="Arial" w:hAnsi="Arial"/>
                <w:sz w:val="18"/>
                <w:szCs w:val="18"/>
                <w:color w:val="auto"/>
              </w:rPr>
              <w:t>9,982,490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(353,614)</w:t>
            </w:r>
          </w:p>
        </w:tc>
        <w:tc>
          <w:tcPr>
            <w:tcW w:w="1760" w:type="dxa"/>
            <w:vAlign w:val="bottom"/>
            <w:gridSpan w:val="3"/>
          </w:tcPr>
          <w:p>
            <w:pPr>
              <w:jc w:val="right"/>
              <w:ind w:right="102"/>
              <w:spacing w:after="0"/>
              <w:rPr>
                <w:sz w:val="20"/>
                <w:szCs w:val="20"/>
                <w:color w:val="auto"/>
              </w:rPr>
            </w:pPr>
            <w:r>
              <w:rPr>
                <w:rFonts w:ascii="Arial" w:cs="Arial" w:eastAsia="Arial" w:hAnsi="Arial"/>
                <w:sz w:val="18"/>
                <w:szCs w:val="18"/>
                <w:color w:val="auto"/>
              </w:rPr>
              <w:t>(13,090)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(827,762)</w:t>
            </w:r>
          </w:p>
        </w:tc>
        <w:tc>
          <w:tcPr>
            <w:tcW w:w="1760" w:type="dxa"/>
            <w:vAlign w:val="bottom"/>
            <w:gridSpan w:val="3"/>
          </w:tcPr>
          <w:p>
            <w:pPr>
              <w:jc w:val="right"/>
              <w:ind w:right="102"/>
              <w:spacing w:after="0"/>
              <w:rPr>
                <w:sz w:val="20"/>
                <w:szCs w:val="20"/>
                <w:color w:val="auto"/>
              </w:rPr>
            </w:pPr>
            <w:r>
              <w:rPr>
                <w:rFonts w:ascii="Arial" w:cs="Arial" w:eastAsia="Arial" w:hAnsi="Arial"/>
                <w:sz w:val="18"/>
                <w:szCs w:val="18"/>
                <w:color w:val="auto"/>
              </w:rPr>
              <w:t>(334,503)</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520" w:type="dxa"/>
            <w:vAlign w:val="bottom"/>
          </w:tcPr>
          <w:p>
            <w:pPr>
              <w:jc w:val="right"/>
              <w:ind w:right="16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1000" w:type="dxa"/>
            <w:vAlign w:val="bottom"/>
            <w:vMerge w:val="restart"/>
          </w:tcPr>
          <w:p>
            <w:pPr>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1000" w:type="dxa"/>
            <w:vAlign w:val="bottom"/>
            <w:vMerge w:val="continue"/>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14,620,396</w:t>
            </w:r>
          </w:p>
        </w:tc>
        <w:tc>
          <w:tcPr>
            <w:tcW w:w="1760" w:type="dxa"/>
            <w:vAlign w:val="bottom"/>
            <w:gridSpan w:val="3"/>
          </w:tcPr>
          <w:p>
            <w:pPr>
              <w:jc w:val="right"/>
              <w:ind w:right="162"/>
              <w:spacing w:after="0"/>
              <w:rPr>
                <w:sz w:val="20"/>
                <w:szCs w:val="20"/>
                <w:color w:val="auto"/>
              </w:rPr>
            </w:pPr>
            <w:r>
              <w:rPr>
                <w:rFonts w:ascii="Arial" w:cs="Arial" w:eastAsia="Arial" w:hAnsi="Arial"/>
                <w:sz w:val="18"/>
                <w:szCs w:val="18"/>
                <w:color w:val="auto"/>
              </w:rPr>
              <w:t>9,634,897</w:t>
            </w:r>
          </w:p>
        </w:tc>
        <w:tc>
          <w:tcPr>
            <w:tcW w:w="0" w:type="dxa"/>
            <w:vAlign w:val="bottom"/>
          </w:tcPr>
          <w:p>
            <w:pPr>
              <w:spacing w:after="0"/>
              <w:rPr>
                <w:sz w:val="1"/>
                <w:szCs w:val="1"/>
                <w:color w:val="auto"/>
              </w:rPr>
            </w:pPr>
          </w:p>
        </w:tc>
      </w:tr>
      <w:tr>
        <w:trPr>
          <w:trHeight w:val="23"/>
        </w:trPr>
        <w:tc>
          <w:tcPr>
            <w:tcW w:w="10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1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sectPr>
          <w:pgSz w:w="11900" w:h="16838" w:orient="portrait"/>
          <w:cols w:equalWidth="0" w:num="2">
            <w:col w:w="6400" w:space="720"/>
            <w:col w:w="4120"/>
          </w:cols>
          <w:pgMar w:left="320" w:top="296" w:right="339" w:bottom="1440" w:gutter="0" w:footer="0" w:header="0"/>
          <w:type w:val="continuous"/>
        </w:sectPr>
      </w:pPr>
    </w:p>
    <w:p>
      <w:pPr>
        <w:ind w:left="20"/>
        <w:spacing w:after="0"/>
        <w:tabs>
          <w:tab w:leader="none" w:pos="7100" w:val="left"/>
          <w:tab w:leader="none" w:pos="8920" w:val="left"/>
          <w:tab w:leader="none" w:pos="10540" w:val="left"/>
        </w:tabs>
        <w:rPr>
          <w:sz w:val="20"/>
          <w:szCs w:val="20"/>
          <w:color w:val="auto"/>
        </w:rPr>
      </w:pPr>
      <w:r>
        <w:rPr>
          <w:rFonts w:ascii="Arial" w:cs="Arial" w:eastAsia="Arial" w:hAnsi="Arial"/>
          <w:sz w:val="18"/>
          <w:szCs w:val="18"/>
          <w:color w:val="auto"/>
        </w:rPr>
        <w:t>Core deposits to total deposits (Non-GAAP)</w:t>
      </w:r>
      <w:r>
        <w:rPr>
          <w:sz w:val="20"/>
          <w:szCs w:val="20"/>
          <w:color w:val="auto"/>
        </w:rPr>
        <w:tab/>
      </w:r>
      <w:r>
        <w:rPr>
          <w:rFonts w:ascii="Arial" w:cs="Arial" w:eastAsia="Arial" w:hAnsi="Arial"/>
          <w:sz w:val="18"/>
          <w:szCs w:val="18"/>
          <w:color w:val="auto"/>
        </w:rPr>
        <w:t>[b÷a]</w:t>
      </w:r>
      <w:r>
        <w:rPr>
          <w:sz w:val="20"/>
          <w:szCs w:val="20"/>
          <w:color w:val="auto"/>
        </w:rPr>
        <w:tab/>
      </w:r>
      <w:r>
        <w:rPr>
          <w:rFonts w:ascii="Arial" w:cs="Arial" w:eastAsia="Arial" w:hAnsi="Arial"/>
          <w:sz w:val="18"/>
          <w:szCs w:val="18"/>
          <w:color w:val="auto"/>
        </w:rPr>
        <w:t>92.52 %</w:t>
      </w:r>
      <w:r>
        <w:rPr>
          <w:sz w:val="20"/>
          <w:szCs w:val="20"/>
          <w:color w:val="auto"/>
        </w:rPr>
        <w:tab/>
      </w:r>
      <w:r>
        <w:rPr>
          <w:rFonts w:ascii="Arial" w:cs="Arial" w:eastAsia="Arial" w:hAnsi="Arial"/>
          <w:sz w:val="17"/>
          <w:szCs w:val="17"/>
          <w:color w:val="auto"/>
        </w:rPr>
        <w:t>96.52 %</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type w:val="continuous"/>
        </w:sectPr>
      </w:pPr>
    </w:p>
    <w:bookmarkStart w:id="105" w:name="page106"/>
    <w:bookmarkEnd w:id="105"/>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may contain “forward-looking statements” within the meaning of the Private Securities Litigation Reform Act of 1995 with respect to Busey’s financial condition, results of operations, plans, objectives, future performance, and business. Forward-looking statements, which may be based upon beliefs, expectations, and assumptions of Busey’s management and on information currently available to management, are generally identifiable by the use of words such as “believe,” “expect,” “anticipate,” “plan,” “intend,” “estimate,” “may,” “will,” “would,” “could,” “should,” “position,” or other similar expressions. Additionally, all statements in this document, including forward-looking statements, speak only as of the date they are made, and Busey undertakes no obligation to update any statement in light of new information or future events.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number of factors, many of which are beyond Busey’s ability to control or predict, could cause actual results to differ materially from those in any forward-looking statements. These factors include, among others, the following: (1) the strength of the local, state, national, and international economies and financial markets (including effects of inflationary pressures, the threat or implementation of tariffs, trade wars, and changes to immigration policy); (2) changes in, and the interpretation and prioritization of, local, state, and federal laws, regulations, and</w:t>
      </w:r>
    </w:p>
    <w:p>
      <w:pPr>
        <w:jc w:val="both"/>
        <w:spacing w:after="0" w:line="226" w:lineRule="auto"/>
        <w:rPr>
          <w:sz w:val="20"/>
          <w:szCs w:val="20"/>
          <w:color w:val="auto"/>
        </w:rPr>
      </w:pPr>
      <w:r>
        <w:rPr>
          <w:rFonts w:ascii="Arial" w:cs="Arial" w:eastAsia="Arial" w:hAnsi="Arial"/>
          <w:sz w:val="18"/>
          <w:szCs w:val="18"/>
          <w:color w:val="auto"/>
        </w:rPr>
        <w:t>governmental policies (including those concerning Busey's general business); (3) the economic impact of any future terrorist threats or attacks, widespread disease or pandemics, or other adverse external events that could cause economic deterioration or instability in credit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markets (including Russia’s invasion of Ukraine and the conflict in the Middle East); (4) unexpected results of acquisitions, including the acquisition of CrossFirst, which may include the failure to realize the anticipated benefits of the acquisitions and the possibility that the transaction and integration costs may be greater than anticipated; (5) the imposition of tariffs or other governmental policies impacting the value of products produced by Busey's commercial borrowers; (6) new or revised accounting policies and practices as may be adopted by state and federal regulatory banking agencies, the Financial Accounting Standards Board, the Securities and Exchange Commission, or the Public Company Accounting Oversight Board; (7) changes in interest rates and prepayment rates of Busey’s assets (including the impact of sustained elevated interest rates); (8) increased competition in the financial services sector (including from non-bank competitors such as credit unions and fintech companies) and the inability to attract new customers; (9) technological changes implemented by us and other parties, including our third-party vendors, which may have unforeseen consequences to us and our customers, including the development and implementation of tools incorporating artificial intelligence; (10) the loss of key executives or associates, talent shortages, and employee turnover; (11) unexpected outcomes and costs of existing or new litigation, investigations, or other legal proceedings, inquiries, and</w:t>
      </w:r>
    </w:p>
    <w:p>
      <w:pPr>
        <w:spacing w:after="0" w:line="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regulatory actions involving Busey (including with respect to Busey’s Illinois franchise taxes); (12) fluctuations in the value of securities held in Busey’s securities portfolio, including as a result of changes in interest rates; (13) credit risk and risk from concentrations (by type of</w:t>
      </w:r>
    </w:p>
    <w:p>
      <w:pPr>
        <w:spacing w:after="0" w:line="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borrower, geographic area, collateral, and industry), within Busey's loan portfolio and large loans to certain borrowers (including commercial real estate loans); (14) the concentration of large deposits from certain clients who have balances above current Federal Deposit Insurance Corporation insurance limits and may withdraw deposits to diversify their exposure; (15) the level of non-performing assets on Busey’s balance sheets; (16) interruptions involving information technology and communications systems or third-party servicers; (17) breaches or failures of information security controls or cybersecurity-related incidents; (18) the economic impact on Busey and its customers of climate change, natural disasters, and exceptional weather occurrences such as tornadoes, hurricanes, floods, blizzards, and droughts; (19) the ability to successfully manage liquidity risk, which may increase dependence on non-core funding sources such as brokered deposits, and may negatively impact Busey's cost of funds; (20) the ability to maintain an adequate level of allowance for credit losses on loans; (21) the effectiveness of Busey’s risk management framework; and (22) the ability of Busey to manage the risks associated with the foregoing. These risks and uncertainties should be considered in evaluating forward-looking statements and undue reliance should not be placed on such statements.</w:t>
      </w:r>
    </w:p>
    <w:p>
      <w:pPr>
        <w:spacing w:after="0" w:line="160" w:lineRule="exact"/>
        <w:rPr>
          <w:sz w:val="20"/>
          <w:szCs w:val="20"/>
          <w:color w:val="auto"/>
        </w:rPr>
      </w:pPr>
    </w:p>
    <w:p>
      <w:pPr>
        <w:jc w:val="both"/>
        <w:spacing w:after="0" w:line="287" w:lineRule="auto"/>
        <w:rPr>
          <w:rFonts w:ascii="Arial" w:cs="Arial" w:eastAsia="Arial" w:hAnsi="Arial"/>
          <w:sz w:val="18"/>
          <w:szCs w:val="18"/>
          <w:color w:val="auto"/>
        </w:rPr>
      </w:pPr>
      <w:r>
        <w:rPr>
          <w:rFonts w:ascii="Arial" w:cs="Arial" w:eastAsia="Arial" w:hAnsi="Arial"/>
          <w:sz w:val="18"/>
          <w:szCs w:val="18"/>
          <w:color w:val="auto"/>
        </w:rPr>
        <w:t xml:space="preserve">Additional information concerning Busey and its business, including additional factors that could materially affect Busey’s financial results, is included in Busey’s filings with the Securities and Exchange Commission including </w:t>
      </w:r>
      <w:hyperlink r:id="rId93">
        <w:r>
          <w:rPr>
            <w:rFonts w:ascii="Arial" w:cs="Arial" w:eastAsia="Arial" w:hAnsi="Arial"/>
            <w:sz w:val="18"/>
            <w:szCs w:val="18"/>
            <w:u w:val="single" w:color="auto"/>
            <w:color w:val="0000FF"/>
          </w:rPr>
          <w:t>Busey’s 2024 Annual Report</w:t>
        </w:r>
      </w:hyperlink>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85" w:lineRule="exact"/>
        <w:rPr>
          <w:sz w:val="20"/>
          <w:szCs w:val="20"/>
          <w:color w:val="auto"/>
        </w:rPr>
      </w:pPr>
    </w:p>
    <w:p>
      <w:pPr>
        <w:jc w:val="both"/>
        <w:ind w:right="20"/>
        <w:spacing w:after="0" w:line="268" w:lineRule="auto"/>
        <w:rPr>
          <w:rFonts w:ascii="Arial" w:cs="Arial" w:eastAsia="Arial" w:hAnsi="Arial"/>
          <w:sz w:val="18"/>
          <w:szCs w:val="18"/>
          <w:color w:val="0000FF"/>
        </w:rPr>
      </w:pPr>
      <w:r>
        <w:rPr>
          <w:rFonts w:ascii="Arial" w:cs="Arial" w:eastAsia="Arial" w:hAnsi="Arial"/>
          <w:sz w:val="18"/>
          <w:szCs w:val="18"/>
          <w:color w:val="auto"/>
        </w:rPr>
        <w:t xml:space="preserve">Busey has established various accounting policies that govern the application of GAAP in the preparation of its unaudited consolidated </w:t>
      </w:r>
      <w:hyperlink r:id="rId93">
        <w:r>
          <w:rPr>
            <w:rFonts w:ascii="Arial" w:cs="Arial" w:eastAsia="Arial" w:hAnsi="Arial"/>
            <w:sz w:val="18"/>
            <w:szCs w:val="18"/>
            <w:color w:val="auto"/>
          </w:rPr>
          <w:t xml:space="preserve">financial statements. Significant accounting policies are described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FF"/>
          </w:rPr>
          <w:t>Note 1. Significant Accounting Policies</w:t>
        </w:r>
        <w:r>
          <w:rPr>
            <w:rFonts w:ascii="Arial" w:cs="Arial" w:eastAsia="Arial" w:hAnsi="Arial"/>
            <w:sz w:val="18"/>
            <w:szCs w:val="18"/>
            <w:i w:val="1"/>
            <w:iCs w:val="1"/>
            <w:color w:val="auto"/>
          </w:rPr>
          <w:t>”</w:t>
        </w:r>
        <w:r>
          <w:rPr>
            <w:rFonts w:ascii="Arial" w:cs="Arial" w:eastAsia="Arial" w:hAnsi="Arial"/>
            <w:sz w:val="18"/>
            <w:szCs w:val="18"/>
            <w:color w:val="auto"/>
          </w:rPr>
          <w:t xml:space="preserve"> of </w:t>
        </w:r>
        <w:r>
          <w:rPr>
            <w:rFonts w:ascii="Arial" w:cs="Arial" w:eastAsia="Arial" w:hAnsi="Arial"/>
            <w:sz w:val="18"/>
            <w:szCs w:val="18"/>
            <w:u w:val="single" w:color="auto"/>
            <w:color w:val="0000FF"/>
          </w:rPr>
          <w:t>Busey’s 2024 Annual</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FF"/>
          </w:rPr>
          <w:t>Report</w:t>
        </w:r>
        <w:r>
          <w:rPr>
            <w:rFonts w:ascii="Arial" w:cs="Arial" w:eastAsia="Arial" w:hAnsi="Arial"/>
            <w:sz w:val="18"/>
            <w:szCs w:val="18"/>
            <w:color w:val="000000"/>
          </w:rPr>
          <w:t>.</w:t>
        </w:r>
      </w:hyperlink>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6" w:name="page107"/>
    <w:bookmarkEnd w:id="106"/>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Critical accounting estimates are those that are critical to the portrayal and understanding of Busey’s financial condition and results of operations and require management to make assumptions that are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Busey’s critical accounting estimates. Management has reviewed these critical accounting estimates and related disclosures with Busey’s Audit Committee. The following estimates could be deemed critical: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“the price that would be received to sell an asset or paid to transfer a liability in an orderly transaction between market participants at the measurement date.” The determination of fair values is based on valuations using management’s assumptions of future growth rates, future attrition, discount rates, multiples of earnings or other relevant factors. In addition, Busey engages third party specialists to assist in the development of fair values.</w:t>
      </w:r>
    </w:p>
    <w:p>
      <w:pPr>
        <w:spacing w:after="0" w:line="1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fair value of a loan portfolio acquired in a business combination generally requires greater levels of management estimates and judgment than other assets acquired or liabilities assumed. Acquired loans are within the scope of ASC Topic 326 </w:t>
      </w:r>
      <w:r>
        <w:rPr>
          <w:rFonts w:ascii="Arial" w:cs="Arial" w:eastAsia="Arial" w:hAnsi="Arial"/>
          <w:sz w:val="18"/>
          <w:szCs w:val="18"/>
          <w:i w:val="1"/>
          <w:iCs w:val="1"/>
          <w:color w:val="auto"/>
        </w:rPr>
        <w:t xml:space="preserve">“Financial Instruments-Credit Losses.” </w:t>
      </w:r>
      <w:r>
        <w:rPr>
          <w:rFonts w:ascii="Arial" w:cs="Arial" w:eastAsia="Arial" w:hAnsi="Arial"/>
          <w:sz w:val="18"/>
          <w:szCs w:val="18"/>
          <w:color w:val="auto"/>
        </w:rPr>
        <w:t>However, the offset to record the allowance on acquired loans at the date of acquisition depends on whether or not the loan</w:t>
      </w:r>
      <w:r>
        <w:rPr>
          <w:rFonts w:ascii="Arial" w:cs="Arial" w:eastAsia="Arial" w:hAnsi="Arial"/>
          <w:sz w:val="18"/>
          <w:szCs w:val="18"/>
          <w:i w:val="1"/>
          <w:iCs w:val="1"/>
          <w:color w:val="auto"/>
        </w:rPr>
        <w:t xml:space="preserve"> </w:t>
      </w:r>
      <w:r>
        <w:rPr>
          <w:rFonts w:ascii="Arial" w:cs="Arial" w:eastAsia="Arial" w:hAnsi="Arial"/>
          <w:sz w:val="18"/>
          <w:szCs w:val="18"/>
          <w:color w:val="auto"/>
        </w:rPr>
        <w:t>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Goodwill is not amortized; instead, Busey assesses the potential for impairment on an annual basis or more frequently if events and circumstances indicate that goodwill might be impaired. Management applies significant judgement when testing goodwill for impairment, such as the valuation approach chosen, market multiples for competitors used in the calculation, and forecasts of business outlook.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 is subject to the income tax laws of U.S., as well as the tax laws of the individual states and municipalities in which the Company conducts its operations. These laws are often complex and subject to nuanced interpretations.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Income taxes are estimated for the tax effects of the transactions reported on Busey’s unaudited consolidated financial statements and consist of an expense for taxes currently due plus assets and/or liabilities for deferred taxes. Deferred taxes represent the future tax consequences of differences between the tax basis and accounting basis of certain assets and liabilities, which will either be taxable or deductible when the assets and liabilities are recovered or settled. Deferred tax assets and liabilities are estimates that are reflected at income tax rates applicable to the period in which the deferred tax assets or liabilities are expected to be realized or settled. Deferred taxes are reported in other assets or other liabilities on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auto"/>
        </w:rPr>
        <w:t xml:space="preserve">. Estimated income tax expense is reported on the </w:t>
      </w:r>
      <w:r>
        <w:rPr>
          <w:rFonts w:ascii="Arial" w:cs="Arial" w:eastAsia="Arial" w:hAnsi="Arial"/>
          <w:sz w:val="18"/>
          <w:szCs w:val="18"/>
          <w:u w:val="single" w:color="auto"/>
          <w:color w:val="0000FF"/>
        </w:rPr>
        <w:t>Consolidated Statements of Income (Unaudited)</w:t>
      </w:r>
      <w:r>
        <w:rPr>
          <w:rFonts w:ascii="Arial" w:cs="Arial" w:eastAsia="Arial" w:hAnsi="Arial"/>
          <w:sz w:val="18"/>
          <w:szCs w:val="18"/>
          <w:color w:val="auto"/>
        </w:rPr>
        <w:t>.</w:t>
      </w: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7" w:name="page108"/>
    <w:bookmarkEnd w:id="107"/>
    <w:p>
      <w:pPr>
        <w:spacing w:after="0"/>
        <w:tabs>
          <w:tab w:leader="none" w:pos="1580" w:val="left"/>
        </w:tabs>
        <w:rPr>
          <w:sz w:val="20"/>
          <w:szCs w:val="20"/>
          <w:color w:val="auto"/>
        </w:rPr>
      </w:pPr>
      <w:r>
        <w:rPr>
          <w:rFonts w:ascii="Arial" w:cs="Arial" w:eastAsia="Arial" w:hAnsi="Arial"/>
          <w:sz w:val="18"/>
          <w:szCs w:val="18"/>
          <w:u w:val="single" w:color="auto"/>
          <w:color w:val="0000FF"/>
        </w:rPr>
        <w:t>Table of Contents</w:t>
        <w:tab/>
        <w:t>Contents of Item 2. MD&amp;A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establishing its provision for income taxes and its estimates of deferred tax assets and liabilities, Busey must make judgments and interpretations about the application of inherently complex tax laws. Busey must also make estimates about when in the future certain items will affect taxable income. Disputes over interpretations of the tax laws may be subject to review and adjudication by the court systems of the various tax jurisdictions or may be settled with the taxing authority upon examination or audit. Although Busey’s management believes that its judgments are sound and its tax estimates are reasonable, interpretations of tax law applied by the taxing jurisdictions could differ. As such, Busey may be exposed to losses or gains, which could be material. An unfavorable tax settlement would result in an increase in Busey’s effective income tax rate in the period of resolution. A favorable tax settlement would result in a reduction in Busey’s effective income tax rate in the period of resolution.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Busey calculates the ACL at each reporting date. Busey recognizes an allowance for the lifetime expected credit losses for the amount it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Busey may not be able to make or obtain such forecasts for the entire life of the financial assets and requires a reversion to historical credit loss information.</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Busey’s credit exposure. The ACL must be determined on a collective (pool) basis when similar risk characteristics exist. On a case-by-case basis, Busey may conclude that a loan should be evaluated on an individual basis based on disparate risk characteristics.</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Loans deemed uncollectible are charged against and reduce the ACL. A provision for credit losses is charged to current expense and acts to replenish the ACL in order to maintain the ACL at a level that management deems adequate.</w:t>
      </w:r>
    </w:p>
    <w:p>
      <w:pPr>
        <w:spacing w:after="0" w:line="1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ACL involves significant judgments and assumptions. Macroeconomic forecasts provided by a third party and the economic indices sourced are significant judgments used in determining the allowance. Changes in these economic forecasts could significantly affect the ACL and lead to materially different amounts from one period to the next. Additionally, prepayment assumptions impact model output. Further, Busey completes a quarterly evaluation of several qualitative factors to determine if there should be adjustments made to the ACL. These factors include economic conditions, collateral, concentrations, delinquency trends, portfolio composition, underwriting, and certain other risks. Significant downturns relating to loan quality and economic conditions could result in a requirement for an additional allowance. Likewise, an upturn in loan quality and improved economic conditions may allow for a reduction in the required allowance. Because of the nature of the judgments and assumptions made by management, actual results may differ from these judgments and assumptions.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Busey as other types of market risk, such as foreign currency exchange rate risk and commodity price risk, have a minimal impact or do not arise in the normal course of Busey’s business activities.</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Busey has an asset-liability committee, whose policy is to meet at least quarterly, to review current market conditions and to structure the </w:t>
      </w:r>
      <w:r>
        <w:rPr>
          <w:rFonts w:ascii="Arial" w:cs="Arial" w:eastAsia="Arial" w:hAnsi="Arial"/>
          <w:sz w:val="18"/>
          <w:szCs w:val="18"/>
          <w:u w:val="single" w:color="auto"/>
          <w:color w:val="0000FF"/>
        </w:rPr>
        <w:t>Consolidated Balance Sheets (Unaudited)</w:t>
      </w:r>
      <w:r>
        <w:rPr>
          <w:rFonts w:ascii="Arial" w:cs="Arial" w:eastAsia="Arial" w:hAnsi="Arial"/>
          <w:sz w:val="18"/>
          <w:szCs w:val="18"/>
          <w:color w:val="0000FF"/>
        </w:rPr>
        <w:t xml:space="preserve"> </w:t>
      </w:r>
      <w:r>
        <w:rPr>
          <w:rFonts w:ascii="Arial" w:cs="Arial" w:eastAsia="Arial" w:hAnsi="Arial"/>
          <w:sz w:val="18"/>
          <w:szCs w:val="18"/>
          <w:color w:val="000000"/>
        </w:rPr>
        <w:t>to optimize stability in net interest income in consideration of projected future changes in interest</w:t>
      </w:r>
      <w:r>
        <w:rPr>
          <w:rFonts w:ascii="Arial" w:cs="Arial" w:eastAsia="Arial" w:hAnsi="Arial"/>
          <w:sz w:val="18"/>
          <w:szCs w:val="18"/>
          <w:color w:val="0000FF"/>
        </w:rPr>
        <w:t xml:space="preserve"> </w:t>
      </w:r>
      <w:r>
        <w:rPr>
          <w:rFonts w:ascii="Arial" w:cs="Arial" w:eastAsia="Arial" w:hAnsi="Arial"/>
          <w:sz w:val="18"/>
          <w:szCs w:val="18"/>
          <w:color w:val="000000"/>
        </w:rPr>
        <w:t>rates.</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+/-300, and +/-400 bps.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Busey’s interest rate risk resulting from immediate and sustained changes in interest rates, expressed as a change in net interest income as a percentage of the net interest income calculated in the constant base model, was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302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Year-One: Basis Point Changes</w:t>
            </w:r>
          </w:p>
        </w:tc>
        <w:tc>
          <w:tcPr>
            <w:tcW w:w="100" w:type="dxa"/>
            <w:vAlign w:val="bottom"/>
          </w:tcPr>
          <w:p>
            <w:pPr>
              <w:spacing w:after="0"/>
              <w:rPr>
                <w:sz w:val="16"/>
                <w:szCs w:val="16"/>
                <w:color w:val="auto"/>
              </w:rPr>
            </w:pPr>
          </w:p>
        </w:tc>
        <w:tc>
          <w:tcPr>
            <w:tcW w:w="30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Year-Two: Basis Point Changes</w:t>
            </w:r>
          </w:p>
        </w:tc>
      </w:tr>
      <w:tr>
        <w:trPr>
          <w:trHeight w:val="146"/>
        </w:trPr>
        <w:tc>
          <w:tcPr>
            <w:tcW w:w="5080" w:type="dxa"/>
            <w:vAlign w:val="bottom"/>
          </w:tcPr>
          <w:p>
            <w:pPr>
              <w:spacing w:after="0"/>
              <w:rPr>
                <w:sz w:val="12"/>
                <w:szCs w:val="12"/>
                <w:color w:val="auto"/>
              </w:rPr>
            </w:pPr>
          </w:p>
        </w:tc>
        <w:tc>
          <w:tcPr>
            <w:tcW w:w="1540" w:type="dxa"/>
            <w:vAlign w:val="bottom"/>
            <w:gridSpan w:val="2"/>
          </w:tcPr>
          <w:p>
            <w:pPr>
              <w:ind w:left="440"/>
              <w:spacing w:after="0" w:line="147" w:lineRule="exact"/>
              <w:rPr>
                <w:sz w:val="20"/>
                <w:szCs w:val="20"/>
                <w:color w:val="auto"/>
              </w:rPr>
            </w:pPr>
            <w:r>
              <w:rPr>
                <w:rFonts w:ascii="Arial" w:cs="Arial" w:eastAsia="Arial" w:hAnsi="Arial"/>
                <w:sz w:val="14"/>
                <w:szCs w:val="14"/>
                <w:b w:val="1"/>
                <w:bCs w:val="1"/>
                <w:color w:val="auto"/>
              </w:rPr>
              <w:t>June 30,</w:t>
            </w:r>
          </w:p>
        </w:tc>
        <w:tc>
          <w:tcPr>
            <w:tcW w:w="1580" w:type="dxa"/>
            <w:vAlign w:val="bottom"/>
            <w:gridSpan w:val="2"/>
          </w:tcPr>
          <w:p>
            <w:pPr>
              <w:ind w:left="280"/>
              <w:spacing w:after="0" w:line="147" w:lineRule="exact"/>
              <w:rPr>
                <w:sz w:val="20"/>
                <w:szCs w:val="20"/>
                <w:color w:val="auto"/>
              </w:rPr>
            </w:pPr>
            <w:r>
              <w:rPr>
                <w:rFonts w:ascii="Arial" w:cs="Arial" w:eastAsia="Arial" w:hAnsi="Arial"/>
                <w:sz w:val="14"/>
                <w:szCs w:val="14"/>
                <w:b w:val="1"/>
                <w:bCs w:val="1"/>
                <w:color w:val="auto"/>
              </w:rPr>
              <w:t>December 31,</w:t>
            </w:r>
          </w:p>
        </w:tc>
        <w:tc>
          <w:tcPr>
            <w:tcW w:w="1560" w:type="dxa"/>
            <w:vAlign w:val="bottom"/>
            <w:gridSpan w:val="2"/>
          </w:tcPr>
          <w:p>
            <w:pPr>
              <w:ind w:left="460"/>
              <w:spacing w:after="0" w:line="147" w:lineRule="exact"/>
              <w:rPr>
                <w:sz w:val="20"/>
                <w:szCs w:val="20"/>
                <w:color w:val="auto"/>
              </w:rPr>
            </w:pPr>
            <w:r>
              <w:rPr>
                <w:rFonts w:ascii="Arial" w:cs="Arial" w:eastAsia="Arial" w:hAnsi="Arial"/>
                <w:sz w:val="14"/>
                <w:szCs w:val="14"/>
                <w:b w:val="1"/>
                <w:bCs w:val="1"/>
                <w:color w:val="auto"/>
              </w:rPr>
              <w:t>June 30,</w:t>
            </w:r>
          </w:p>
        </w:tc>
        <w:tc>
          <w:tcPr>
            <w:tcW w:w="1480" w:type="dxa"/>
            <w:vAlign w:val="bottom"/>
          </w:tcPr>
          <w:p>
            <w:pPr>
              <w:jc w:val="right"/>
              <w:ind w:right="174"/>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080" w:type="dxa"/>
            <w:vAlign w:val="bottom"/>
            <w:tcBorders>
              <w:bottom w:val="single" w:sz="8" w:color="E0E7ED"/>
            </w:tcBorders>
          </w:tcPr>
          <w:p>
            <w:pPr>
              <w:spacing w:after="0"/>
              <w:rPr>
                <w:sz w:val="14"/>
                <w:szCs w:val="14"/>
                <w:color w:val="auto"/>
              </w:rPr>
            </w:pPr>
          </w:p>
        </w:tc>
        <w:tc>
          <w:tcPr>
            <w:tcW w:w="14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E0E7ED"/>
            </w:tcBorders>
          </w:tcPr>
          <w:p>
            <w:pPr>
              <w:spacing w:after="0"/>
              <w:rPr>
                <w:sz w:val="14"/>
                <w:szCs w:val="14"/>
                <w:color w:val="auto"/>
              </w:rPr>
            </w:pPr>
          </w:p>
        </w:tc>
        <w:tc>
          <w:tcPr>
            <w:tcW w:w="14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2024</w:t>
            </w:r>
          </w:p>
        </w:tc>
      </w:tr>
      <w:tr>
        <w:trPr>
          <w:trHeight w:val="243"/>
        </w:trPr>
        <w:tc>
          <w:tcPr>
            <w:tcW w:w="50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+400</w:t>
            </w: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11.28 %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12.30 %</w:t>
            </w:r>
          </w:p>
        </w:tc>
        <w:tc>
          <w:tcPr>
            <w:tcW w:w="8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10.85 %</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+300</w:t>
            </w:r>
          </w:p>
        </w:tc>
        <w:tc>
          <w:tcPr>
            <w:tcW w:w="1440" w:type="dxa"/>
            <w:vAlign w:val="bottom"/>
          </w:tcPr>
          <w:p>
            <w:pPr>
              <w:jc w:val="right"/>
              <w:spacing w:after="0"/>
              <w:rPr>
                <w:sz w:val="20"/>
                <w:szCs w:val="20"/>
                <w:color w:val="auto"/>
              </w:rPr>
            </w:pPr>
            <w:r>
              <w:rPr>
                <w:rFonts w:ascii="Arial" w:cs="Arial" w:eastAsia="Arial" w:hAnsi="Arial"/>
                <w:sz w:val="18"/>
                <w:szCs w:val="18"/>
                <w:color w:val="auto"/>
              </w:rPr>
              <w:t>8.41 %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6.26 %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9.14 %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8.01 %</w:t>
            </w:r>
          </w:p>
        </w:tc>
      </w:tr>
      <w:tr>
        <w:trPr>
          <w:trHeight w:val="23"/>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+200</w:t>
            </w: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5.57 %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4.05 %</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6.06 %</w:t>
            </w:r>
          </w:p>
        </w:tc>
        <w:tc>
          <w:tcPr>
            <w:tcW w:w="8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5.24 %</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+100</w:t>
            </w:r>
          </w:p>
        </w:tc>
        <w:tc>
          <w:tcPr>
            <w:tcW w:w="1440" w:type="dxa"/>
            <w:vAlign w:val="bottom"/>
          </w:tcPr>
          <w:p>
            <w:pPr>
              <w:jc w:val="right"/>
              <w:spacing w:after="0"/>
              <w:rPr>
                <w:sz w:val="20"/>
                <w:szCs w:val="20"/>
                <w:color w:val="auto"/>
              </w:rPr>
            </w:pPr>
            <w:r>
              <w:rPr>
                <w:rFonts w:ascii="Arial" w:cs="Arial" w:eastAsia="Arial" w:hAnsi="Arial"/>
                <w:sz w:val="18"/>
                <w:szCs w:val="18"/>
                <w:color w:val="auto"/>
              </w:rPr>
              <w:t>2.79 %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3.05 %</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2.59 %</w:t>
            </w:r>
          </w:p>
        </w:tc>
      </w:tr>
      <w:tr>
        <w:trPr>
          <w:trHeight w:val="23"/>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(3.35)%</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-200</w:t>
            </w:r>
          </w:p>
        </w:tc>
        <w:tc>
          <w:tcPr>
            <w:tcW w:w="1440" w:type="dxa"/>
            <w:vAlign w:val="bottom"/>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(6.37)%</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3"/>
        </w:trPr>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080" w:type="dxa"/>
            <w:vAlign w:val="bottom"/>
            <w:tcBorders>
              <w:bottom w:val="single" w:sz="8" w:color="E0E7ED"/>
            </w:tcBorders>
            <w:shd w:val="clear" w:color="auto" w:fill="E0E7ED"/>
          </w:tcPr>
          <w:p>
            <w:pPr>
              <w:ind w:left="20"/>
              <w:spacing w:after="0"/>
              <w:rPr>
                <w:sz w:val="20"/>
                <w:szCs w:val="20"/>
                <w:color w:val="auto"/>
              </w:rPr>
            </w:pPr>
            <w:r>
              <w:rPr>
                <w:rFonts w:ascii="Arial" w:cs="Arial" w:eastAsia="Arial" w:hAnsi="Arial"/>
                <w:sz w:val="18"/>
                <w:szCs w:val="18"/>
                <w:color w:val="auto"/>
              </w:rPr>
              <w:t>-300</w:t>
            </w:r>
          </w:p>
        </w:tc>
        <w:tc>
          <w:tcPr>
            <w:tcW w:w="144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(9.20)%</w:t>
            </w:r>
          </w:p>
        </w:tc>
        <w:tc>
          <w:tcPr>
            <w:tcW w:w="80" w:type="dxa"/>
            <w:vAlign w:val="bottom"/>
            <w:tcBorders>
              <w:bottom w:val="single" w:sz="8" w:color="E0E7ED"/>
            </w:tcBorders>
            <w:shd w:val="clear" w:color="auto" w:fill="E0E7ED"/>
          </w:tcPr>
          <w:p>
            <w:pPr>
              <w:spacing w:after="0"/>
              <w:rPr>
                <w:sz w:val="21"/>
                <w:szCs w:val="21"/>
                <w:color w:val="auto"/>
              </w:rPr>
            </w:pPr>
          </w:p>
        </w:tc>
        <w:tc>
          <w:tcPr>
            <w:tcW w:w="148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(9.47)%</w:t>
            </w:r>
          </w:p>
        </w:tc>
      </w:tr>
      <w:tr>
        <w:trPr>
          <w:trHeight w:val="247"/>
        </w:trPr>
        <w:tc>
          <w:tcPr>
            <w:tcW w:w="5080" w:type="dxa"/>
            <w:vAlign w:val="bottom"/>
          </w:tcPr>
          <w:p>
            <w:pPr>
              <w:ind w:left="20"/>
              <w:spacing w:after="0"/>
              <w:rPr>
                <w:sz w:val="20"/>
                <w:szCs w:val="20"/>
                <w:color w:val="auto"/>
              </w:rPr>
            </w:pPr>
            <w:r>
              <w:rPr>
                <w:rFonts w:ascii="Arial" w:cs="Arial" w:eastAsia="Arial" w:hAnsi="Arial"/>
                <w:sz w:val="18"/>
                <w:szCs w:val="18"/>
                <w:color w:val="auto"/>
              </w:rPr>
              <w:t>-400</w:t>
            </w:r>
          </w:p>
        </w:tc>
        <w:tc>
          <w:tcPr>
            <w:tcW w:w="14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(11.26)%</w:t>
            </w:r>
          </w:p>
        </w:tc>
        <w:tc>
          <w:tcPr>
            <w:tcW w:w="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(12.43)%</w:t>
            </w:r>
          </w:p>
        </w:tc>
      </w:tr>
    </w:tbl>
    <w:p>
      <w:pPr>
        <w:spacing w:after="0" w:line="2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4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An evaluation of Busey’s disclosure controls and procedures, as defined in Rule 13a-15(e) under the Exchange Act, was carried out as of June 30, 2025, under the supervision and with the participation of its Chief Executive Officer, Interim Chief Financial Officer, and several other members of senior management. Based on this evaluation, Busey’s Chief Executive Officer and Interim Chief Financial Officer concluded that, as of June 30, 2025, Busey’s disclosure controls and procedures were effective in ensuring that the information Busey is required to disclose in the reports Busey files or submits under the Exchange Act was (1) accumulated and communicated to Busey’s management (including the Chief Executive Officer and Chief Financial Officer) to allow timely decisions regarding required disclosure, and</w:t>
      </w:r>
    </w:p>
    <w:p>
      <w:pPr>
        <w:spacing w:after="0" w:line="5" w:lineRule="exact"/>
        <w:rPr>
          <w:sz w:val="20"/>
          <w:szCs w:val="20"/>
          <w:color w:val="auto"/>
        </w:rPr>
      </w:pPr>
    </w:p>
    <w:p>
      <w:pPr>
        <w:ind w:right="2140"/>
        <w:spacing w:after="0" w:line="451" w:lineRule="auto"/>
        <w:rPr>
          <w:sz w:val="20"/>
          <w:szCs w:val="20"/>
          <w:color w:val="auto"/>
        </w:rPr>
      </w:pPr>
      <w:r>
        <w:rPr>
          <w:rFonts w:ascii="Arial" w:cs="Arial" w:eastAsia="Arial" w:hAnsi="Arial"/>
          <w:sz w:val="18"/>
          <w:szCs w:val="18"/>
          <w:color w:val="auto"/>
        </w:rPr>
        <w:t xml:space="preserve">(2) recorded, processed, summarized, and reported within the time periods specified in the SEC’s rules and forms. </w:t>
      </w:r>
      <w:r>
        <w:rPr>
          <w:rFonts w:ascii="Arial" w:cs="Arial" w:eastAsia="Arial" w:hAnsi="Arial"/>
          <w:sz w:val="18"/>
          <w:szCs w:val="18"/>
          <w:b w:val="1"/>
          <w:bCs w:val="1"/>
          <w:color w:val="auto"/>
        </w:rPr>
        <w:t>CHANGES IN INTERNAL CONTROL OVER FINANCIAL REPORTING</w:t>
      </w: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three months ended June 30, 2025, no change occurred in Busey’s internal control over financial reporting that has materially affected, or is reasonably likely to materially affect, Busey’s internal control over financial reporting.</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18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As part of the ordinary course of business, First Busey Corporation and its subsidiaries are parties to litigation that is incidental to their regular business activities.</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Corporation or any of its subsidiaries is involved or of which any of their property is the subject. Furthermore, there is no pending legal proceeding that is adverse to Busey in which any director, officer, or affiliate of Busey, or any associate of any such director or officer, is a party, or has a material interest.</w:t>
      </w:r>
    </w:p>
    <w:p>
      <w:pPr>
        <w:spacing w:after="0" w:line="136"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ITEM 1A. RISK FACTORS</w:t>
      </w:r>
    </w:p>
    <w:p>
      <w:pPr>
        <w:spacing w:after="0" w:line="18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material changes to the factors discussed in </w:t>
      </w:r>
      <w:hyperlink r:id="rId153">
        <w:r>
          <w:rPr>
            <w:rFonts w:ascii="Arial" w:cs="Arial" w:eastAsia="Arial" w:hAnsi="Arial"/>
            <w:sz w:val="18"/>
            <w:szCs w:val="18"/>
            <w:u w:val="single" w:color="auto"/>
            <w:color w:val="0000FF"/>
          </w:rPr>
          <w:t>Part II—Item 1A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of </w:t>
      </w:r>
      <w:hyperlink r:id="rId93">
        <w:r>
          <w:rPr>
            <w:rFonts w:ascii="Arial" w:cs="Arial" w:eastAsia="Arial" w:hAnsi="Arial"/>
            <w:sz w:val="18"/>
            <w:szCs w:val="18"/>
            <w:u w:val="single" w:color="auto"/>
            <w:color w:val="0000FF"/>
          </w:rPr>
          <w:t>Busey’s 2024 Annual Report</w:t>
        </w:r>
      </w:hyperlink>
      <w:r>
        <w:rPr>
          <w:rFonts w:ascii="Arial" w:cs="Arial" w:eastAsia="Arial" w:hAnsi="Arial"/>
          <w:sz w:val="18"/>
          <w:szCs w:val="18"/>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2. UNREGISTERED SALES OF EQUITY SECURITIES, USE OF PROCEEDS, AND ISSUER PURCHASES OF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February 3, 2015, Busey's board of directors approved the Stock Repurchase Plan authorizing, but not obligating, Busey to repurchase shares of its common stock. The Stock Repurchase Plan may be terminated, or the number of shares authorized for repurchase may be increased or decreased by Busey's board of directors at its discretion at any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share repurchase activity during the second quarter of 2025.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Common Shares</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1"/>
                <w:szCs w:val="11"/>
                <w:color w:val="auto"/>
              </w:rPr>
            </w:pPr>
          </w:p>
        </w:tc>
        <w:tc>
          <w:tcPr>
            <w:tcW w:w="14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Purchased as Part</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5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 Publicly</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35"/>
        </w:trPr>
        <w:tc>
          <w:tcPr>
            <w:tcW w:w="5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0" w:type="dxa"/>
            <w:vAlign w:val="bottom"/>
            <w:vMerge w:val="restart"/>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Price Paid per</w:t>
            </w: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3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the Plans or</w:t>
            </w:r>
          </w:p>
        </w:tc>
        <w:tc>
          <w:tcPr>
            <w:tcW w:w="0" w:type="dxa"/>
            <w:vAlign w:val="bottom"/>
          </w:tcPr>
          <w:p>
            <w:pPr>
              <w:spacing w:after="0"/>
              <w:rPr>
                <w:sz w:val="1"/>
                <w:szCs w:val="1"/>
                <w:color w:val="auto"/>
              </w:rPr>
            </w:pPr>
          </w:p>
        </w:tc>
      </w:tr>
      <w:tr>
        <w:trPr>
          <w:trHeight w:val="176"/>
        </w:trPr>
        <w:tc>
          <w:tcPr>
            <w:tcW w:w="54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E0E7ED"/>
            </w:tcBorders>
            <w:vMerge w:val="continue"/>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Borders>
              <w:bottom w:val="single" w:sz="8" w:color="E0E7ED"/>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Common Share</w:t>
            </w:r>
          </w:p>
        </w:tc>
        <w:tc>
          <w:tcPr>
            <w:tcW w:w="100" w:type="dxa"/>
            <w:vAlign w:val="bottom"/>
            <w:tcBorders>
              <w:bottom w:val="single" w:sz="8" w:color="E0E7ED"/>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Programs</w:t>
            </w:r>
          </w:p>
        </w:tc>
        <w:tc>
          <w:tcPr>
            <w:tcW w:w="100" w:type="dxa"/>
            <w:vAlign w:val="bottom"/>
            <w:tcBorders>
              <w:bottom w:val="single" w:sz="8" w:color="E0E7ED"/>
            </w:tcBorders>
          </w:tcPr>
          <w:p>
            <w:pPr>
              <w:spacing w:after="0"/>
              <w:rPr>
                <w:sz w:val="15"/>
                <w:szCs w:val="15"/>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April 1-30, 2025</w:t>
            </w: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420,000</w:t>
            </w:r>
          </w:p>
        </w:tc>
        <w:tc>
          <w:tcPr>
            <w:tcW w:w="24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E0E7ED"/>
            </w:tcBorders>
            <w:shd w:val="clear" w:color="auto" w:fill="E0E7ED"/>
          </w:tcPr>
          <w:p>
            <w:pPr>
              <w:spacing w:after="0"/>
              <w:rPr>
                <w:sz w:val="21"/>
                <w:szCs w:val="21"/>
                <w:color w:val="auto"/>
              </w:rPr>
            </w:pP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420,000</w:t>
            </w:r>
          </w:p>
        </w:tc>
        <w:tc>
          <w:tcPr>
            <w:tcW w:w="14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1,279,275</w:t>
            </w:r>
          </w:p>
        </w:tc>
        <w:tc>
          <w:tcPr>
            <w:tcW w:w="0" w:type="dxa"/>
            <w:vAlign w:val="bottom"/>
          </w:tcPr>
          <w:p>
            <w:pPr>
              <w:spacing w:after="0"/>
              <w:rPr>
                <w:sz w:val="1"/>
                <w:szCs w:val="1"/>
                <w:color w:val="auto"/>
              </w:rPr>
            </w:pPr>
          </w:p>
        </w:tc>
      </w:tr>
      <w:tr>
        <w:trPr>
          <w:trHeight w:val="247"/>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May 1-31, 2025</w:t>
            </w:r>
          </w:p>
        </w:tc>
        <w:tc>
          <w:tcPr>
            <w:tcW w:w="1360" w:type="dxa"/>
            <w:vAlign w:val="bottom"/>
          </w:tcPr>
          <w:p>
            <w:pPr>
              <w:jc w:val="right"/>
              <w:spacing w:after="0"/>
              <w:rPr>
                <w:sz w:val="20"/>
                <w:szCs w:val="20"/>
                <w:color w:val="auto"/>
              </w:rPr>
            </w:pPr>
            <w:r>
              <w:rPr>
                <w:rFonts w:ascii="Arial" w:cs="Arial" w:eastAsia="Arial" w:hAnsi="Arial"/>
                <w:sz w:val="18"/>
                <w:szCs w:val="18"/>
                <w:color w:val="auto"/>
              </w:rPr>
              <w:t>302,000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2,977,275</w:t>
            </w:r>
          </w:p>
        </w:tc>
        <w:tc>
          <w:tcPr>
            <w:tcW w:w="0" w:type="dxa"/>
            <w:vAlign w:val="bottom"/>
          </w:tcPr>
          <w:p>
            <w:pPr>
              <w:spacing w:after="0"/>
              <w:rPr>
                <w:sz w:val="1"/>
                <w:szCs w:val="1"/>
                <w:color w:val="auto"/>
              </w:rPr>
            </w:pPr>
          </w:p>
        </w:tc>
      </w:tr>
      <w:tr>
        <w:trPr>
          <w:trHeight w:val="23"/>
        </w:trPr>
        <w:tc>
          <w:tcPr>
            <w:tcW w:w="5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E0E7ED"/>
            </w:tcBorders>
            <w:gridSpan w:val="2"/>
            <w:shd w:val="clear" w:color="auto" w:fill="E0E7ED"/>
          </w:tcPr>
          <w:p>
            <w:pPr>
              <w:ind w:left="20"/>
              <w:spacing w:after="0"/>
              <w:rPr>
                <w:sz w:val="20"/>
                <w:szCs w:val="20"/>
                <w:color w:val="auto"/>
              </w:rPr>
            </w:pPr>
            <w:r>
              <w:rPr>
                <w:rFonts w:ascii="Arial" w:cs="Arial" w:eastAsia="Arial" w:hAnsi="Arial"/>
                <w:sz w:val="18"/>
                <w:szCs w:val="18"/>
                <w:color w:val="auto"/>
              </w:rPr>
              <w:t>June 1-30, 2025</w:t>
            </w: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290,000</w:t>
            </w:r>
          </w:p>
        </w:tc>
        <w:tc>
          <w:tcPr>
            <w:tcW w:w="100" w:type="dxa"/>
            <w:vAlign w:val="bottom"/>
            <w:tcBorders>
              <w:bottom w:val="single" w:sz="8" w:color="E0E7ED"/>
            </w:tcBorders>
            <w:shd w:val="clear" w:color="auto" w:fill="E0E7ED"/>
          </w:tcPr>
          <w:p>
            <w:pPr>
              <w:spacing w:after="0"/>
              <w:rPr>
                <w:sz w:val="23"/>
                <w:szCs w:val="23"/>
                <w:color w:val="auto"/>
              </w:rPr>
            </w:pPr>
          </w:p>
        </w:tc>
        <w:tc>
          <w:tcPr>
            <w:tcW w:w="140" w:type="dxa"/>
            <w:vAlign w:val="bottom"/>
            <w:tcBorders>
              <w:bottom w:val="single" w:sz="8" w:color="E0E7ED"/>
            </w:tcBorders>
            <w:shd w:val="clear" w:color="auto" w:fill="E0E7ED"/>
          </w:tcPr>
          <w:p>
            <w:pPr>
              <w:spacing w:after="0"/>
              <w:rPr>
                <w:sz w:val="23"/>
                <w:szCs w:val="23"/>
                <w:color w:val="auto"/>
              </w:rPr>
            </w:pPr>
          </w:p>
        </w:tc>
        <w:tc>
          <w:tcPr>
            <w:tcW w:w="122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E0E7ED"/>
            </w:tcBorders>
            <w:shd w:val="clear" w:color="auto" w:fill="E0E7ED"/>
          </w:tcPr>
          <w:p>
            <w:pPr>
              <w:spacing w:after="0"/>
              <w:rPr>
                <w:sz w:val="23"/>
                <w:szCs w:val="23"/>
                <w:color w:val="auto"/>
              </w:rPr>
            </w:pPr>
          </w:p>
        </w:tc>
        <w:tc>
          <w:tcPr>
            <w:tcW w:w="1360" w:type="dxa"/>
            <w:vAlign w:val="bottom"/>
            <w:tcBorders>
              <w:bottom w:val="single" w:sz="8" w:color="E0E7ED"/>
            </w:tcBorders>
            <w:shd w:val="clear" w:color="auto" w:fill="E0E7ED"/>
          </w:tcPr>
          <w:p>
            <w:pPr>
              <w:jc w:val="right"/>
              <w:spacing w:after="0"/>
              <w:rPr>
                <w:sz w:val="20"/>
                <w:szCs w:val="20"/>
                <w:color w:val="auto"/>
              </w:rPr>
            </w:pPr>
            <w:r>
              <w:rPr>
                <w:rFonts w:ascii="Arial" w:cs="Arial" w:eastAsia="Arial" w:hAnsi="Arial"/>
                <w:sz w:val="18"/>
                <w:szCs w:val="18"/>
                <w:color w:val="auto"/>
              </w:rPr>
              <w:t>290,000</w:t>
            </w:r>
          </w:p>
        </w:tc>
        <w:tc>
          <w:tcPr>
            <w:tcW w:w="1460" w:type="dxa"/>
            <w:vAlign w:val="bottom"/>
            <w:tcBorders>
              <w:bottom w:val="single" w:sz="8" w:color="E0E7ED"/>
            </w:tcBorders>
            <w:gridSpan w:val="2"/>
            <w:shd w:val="clear" w:color="auto" w:fill="E0E7ED"/>
          </w:tcPr>
          <w:p>
            <w:pPr>
              <w:jc w:val="right"/>
              <w:spacing w:after="0"/>
              <w:rPr>
                <w:sz w:val="20"/>
                <w:szCs w:val="20"/>
                <w:color w:val="auto"/>
              </w:rPr>
            </w:pPr>
            <w:r>
              <w:rPr>
                <w:rFonts w:ascii="Arial" w:cs="Arial" w:eastAsia="Arial" w:hAnsi="Arial"/>
                <w:sz w:val="18"/>
                <w:szCs w:val="18"/>
                <w:color w:val="auto"/>
              </w:rPr>
              <w:t>2,687,275</w:t>
            </w:r>
          </w:p>
        </w:tc>
        <w:tc>
          <w:tcPr>
            <w:tcW w:w="0" w:type="dxa"/>
            <w:vAlign w:val="bottom"/>
          </w:tcPr>
          <w:p>
            <w:pPr>
              <w:spacing w:after="0"/>
              <w:rPr>
                <w:sz w:val="1"/>
                <w:szCs w:val="1"/>
                <w:color w:val="auto"/>
              </w:rPr>
            </w:pPr>
          </w:p>
        </w:tc>
      </w:tr>
      <w:tr>
        <w:trPr>
          <w:trHeight w:val="263"/>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Three months ended June 30, 2025</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1,012,000</w:t>
            </w: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0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40" w:type="dxa"/>
            <w:vAlign w:val="bottom"/>
            <w:tcBorders>
              <w:bottom w:val="single" w:sz="8" w:color="E0E7ED"/>
            </w:tcBorders>
          </w:tcPr>
          <w:p>
            <w:pPr>
              <w:spacing w:after="0" w:line="20" w:lineRule="exact"/>
              <w:rPr>
                <w:sz w:val="1"/>
                <w:szCs w:val="1"/>
                <w:color w:val="auto"/>
              </w:rPr>
            </w:pPr>
          </w:p>
        </w:tc>
        <w:tc>
          <w:tcPr>
            <w:tcW w:w="1220" w:type="dxa"/>
            <w:vAlign w:val="bottom"/>
            <w:tcBorders>
              <w:bottom w:val="single" w:sz="8" w:color="E0E7ED"/>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0E7ED"/>
            </w:tcBorders>
          </w:tcPr>
          <w:p>
            <w:pPr>
              <w:spacing w:after="0" w:line="20" w:lineRule="exact"/>
              <w:rPr>
                <w:sz w:val="1"/>
                <w:szCs w:val="1"/>
                <w:color w:val="auto"/>
              </w:rPr>
            </w:pPr>
          </w:p>
        </w:tc>
        <w:tc>
          <w:tcPr>
            <w:tcW w:w="1360" w:type="dxa"/>
            <w:vAlign w:val="bottom"/>
            <w:tcBorders>
              <w:bottom w:val="single" w:sz="8" w:color="E0E7ED"/>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0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40" w:type="dxa"/>
            <w:vAlign w:val="bottom"/>
            <w:shd w:val="clear" w:color="auto" w:fill="E0E7ED"/>
          </w:tcPr>
          <w:p>
            <w:pPr>
              <w:spacing w:after="0"/>
              <w:rPr>
                <w:sz w:val="20"/>
                <w:szCs w:val="20"/>
                <w:color w:val="auto"/>
              </w:rPr>
            </w:pPr>
          </w:p>
        </w:tc>
        <w:tc>
          <w:tcPr>
            <w:tcW w:w="122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100" w:type="dxa"/>
            <w:vAlign w:val="bottom"/>
            <w:shd w:val="clear" w:color="auto" w:fill="E0E7ED"/>
          </w:tcPr>
          <w:p>
            <w:pPr>
              <w:spacing w:after="0"/>
              <w:rPr>
                <w:sz w:val="20"/>
                <w:szCs w:val="20"/>
                <w:color w:val="auto"/>
              </w:rPr>
            </w:pPr>
          </w:p>
        </w:tc>
        <w:tc>
          <w:tcPr>
            <w:tcW w:w="1360" w:type="dxa"/>
            <w:vAlign w:val="bottom"/>
            <w:shd w:val="clear" w:color="auto" w:fill="E0E7ED"/>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500" w:type="dxa"/>
            <w:vAlign w:val="bottom"/>
            <w:gridSpan w:val="2"/>
          </w:tcPr>
          <w:p>
            <w:pPr>
              <w:ind w:left="20"/>
              <w:spacing w:after="0"/>
              <w:rPr>
                <w:sz w:val="20"/>
                <w:szCs w:val="20"/>
                <w:color w:val="auto"/>
              </w:rPr>
            </w:pPr>
            <w:r>
              <w:rPr>
                <w:rFonts w:ascii="Arial" w:cs="Arial" w:eastAsia="Arial" w:hAnsi="Arial"/>
                <w:sz w:val="18"/>
                <w:szCs w:val="18"/>
                <w:color w:val="auto"/>
              </w:rPr>
              <w:t>Six Months ended June 30, 2025</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1,232,000</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___________________________________________</w:t>
            </w: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5"/>
        </w:trPr>
        <w:tc>
          <w:tcPr>
            <w:tcW w:w="54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520" w:hanging="350"/>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On May 29, 2025, the board authorized an additional 2,000,000 shares to be repurchased under the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fiscal quarter ended June 30, 2025, none of Busey’s directors or executive officers adopted or terminated any contract, instruction, or written plan for the purchase or sale of Busey securities that was intended to satisfy the affirmative defense conditions of Rule 10b5-1(c) or any non-Rule 10b5-1 trading arrangement.</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Incorporated herein by reference</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80" w:type="dxa"/>
            <w:vAlign w:val="bottom"/>
            <w:gridSpan w:val="8"/>
            <w:vMerge w:val="restart"/>
          </w:tcPr>
          <w:p>
            <w:pPr>
              <w:ind w:left="860"/>
              <w:spacing w:after="0"/>
              <w:rPr>
                <w:sz w:val="20"/>
                <w:szCs w:val="20"/>
                <w:color w:val="auto"/>
              </w:rPr>
            </w:pPr>
            <w:r>
              <w:rPr>
                <w:rFonts w:ascii="Arial" w:cs="Arial" w:eastAsia="Arial" w:hAnsi="Arial"/>
                <w:sz w:val="14"/>
                <w:szCs w:val="14"/>
                <w:b w:val="1"/>
                <w:bCs w:val="1"/>
                <w:color w:val="auto"/>
              </w:rPr>
              <w:t>Description of Exhibit</w:t>
            </w:r>
          </w:p>
        </w:tc>
        <w:tc>
          <w:tcPr>
            <w:tcW w:w="100" w:type="dxa"/>
            <w:vAlign w:val="bottom"/>
            <w:vMerge w:val="restart"/>
          </w:tcPr>
          <w:p>
            <w:pPr>
              <w:spacing w:after="0"/>
              <w:rPr>
                <w:sz w:val="12"/>
                <w:szCs w:val="12"/>
                <w:color w:val="auto"/>
              </w:rPr>
            </w:pPr>
          </w:p>
        </w:tc>
        <w:tc>
          <w:tcPr>
            <w:tcW w:w="1140" w:type="dxa"/>
            <w:vAlign w:val="bottom"/>
          </w:tcPr>
          <w:p>
            <w:pPr>
              <w:jc w:val="center"/>
              <w:ind w:left="128"/>
              <w:spacing w:after="0" w:line="142" w:lineRule="exact"/>
              <w:rPr>
                <w:sz w:val="20"/>
                <w:szCs w:val="20"/>
                <w:color w:val="auto"/>
              </w:rPr>
            </w:pPr>
            <w:r>
              <w:rPr>
                <w:rFonts w:ascii="Arial" w:cs="Arial" w:eastAsia="Arial" w:hAnsi="Arial"/>
                <w:sz w:val="14"/>
                <w:szCs w:val="14"/>
                <w:b w:val="1"/>
                <w:bCs w:val="1"/>
                <w:color w:val="auto"/>
              </w:rPr>
              <w:t>Filing Entity1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Exhibit</w:t>
            </w:r>
          </w:p>
        </w:tc>
        <w:tc>
          <w:tcPr>
            <w:tcW w:w="100" w:type="dxa"/>
            <w:vAlign w:val="bottom"/>
            <w:vMerge w:val="restart"/>
          </w:tcPr>
          <w:p>
            <w:pPr>
              <w:spacing w:after="0"/>
              <w:rPr>
                <w:sz w:val="12"/>
                <w:szCs w:val="12"/>
                <w:color w:val="auto"/>
              </w:rPr>
            </w:pPr>
          </w:p>
        </w:tc>
        <w:tc>
          <w:tcPr>
            <w:tcW w:w="240" w:type="dxa"/>
            <w:vAlign w:val="bottom"/>
            <w:vMerge w:val="restart"/>
          </w:tcPr>
          <w:p>
            <w:pPr>
              <w:spacing w:after="0"/>
              <w:rPr>
                <w:sz w:val="12"/>
                <w:szCs w:val="12"/>
                <w:color w:val="auto"/>
              </w:rPr>
            </w:pPr>
          </w:p>
        </w:tc>
        <w:tc>
          <w:tcPr>
            <w:tcW w:w="11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Filing Date</w:t>
            </w:r>
          </w:p>
        </w:tc>
        <w:tc>
          <w:tcPr>
            <w:tcW w:w="100" w:type="dxa"/>
            <w:vAlign w:val="bottom"/>
            <w:vMerge w:val="restart"/>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76"/>
        </w:trPr>
        <w:tc>
          <w:tcPr>
            <w:tcW w:w="112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780" w:type="dxa"/>
            <w:vAlign w:val="bottom"/>
            <w:tcBorders>
              <w:bottom w:val="single" w:sz="8" w:color="auto"/>
            </w:tcBorders>
            <w:gridSpan w:val="8"/>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(File No.)</w:t>
            </w:r>
          </w:p>
        </w:tc>
        <w:tc>
          <w:tcPr>
            <w:tcW w:w="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196"/>
        </w:trPr>
        <w:tc>
          <w:tcPr>
            <w:tcW w:w="112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1"/>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top w:val="single" w:sz="8" w:color="0000FF"/>
            </w:tcBorders>
            <w:gridSpan w:val="9"/>
          </w:tcPr>
          <w:p>
            <w:pPr>
              <w:spacing w:after="0" w:line="196" w:lineRule="exact"/>
              <w:rPr>
                <w:sz w:val="20"/>
                <w:szCs w:val="20"/>
                <w:color w:val="auto"/>
              </w:rPr>
            </w:pPr>
            <w:r>
              <w:rPr>
                <w:rFonts w:ascii="Arial" w:cs="Arial" w:eastAsia="Arial" w:hAnsi="Arial"/>
                <w:sz w:val="18"/>
                <w:szCs w:val="18"/>
                <w:color w:val="0000FF"/>
              </w:rPr>
              <w:t>Rule 13a-14(a) and Rule 15d-14(a)</w:t>
            </w:r>
          </w:p>
        </w:tc>
        <w:tc>
          <w:tcPr>
            <w:tcW w:w="140" w:type="dxa"/>
            <w:vAlign w:val="bottom"/>
            <w:gridSpan w:val="2"/>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0000FF"/>
              </w:rPr>
              <w:t>Certification of Principal Financial Officer, pursuant to</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20" w:type="dxa"/>
            <w:vAlign w:val="bottom"/>
            <w:tcBorders>
              <w:top w:val="single" w:sz="8" w:color="0000FF"/>
            </w:tcBorders>
            <w:gridSpan w:val="7"/>
          </w:tcPr>
          <w:p>
            <w:pPr>
              <w:spacing w:after="0" w:line="196" w:lineRule="exact"/>
              <w:rPr>
                <w:sz w:val="20"/>
                <w:szCs w:val="20"/>
                <w:color w:val="auto"/>
              </w:rPr>
            </w:pPr>
            <w:r>
              <w:rPr>
                <w:rFonts w:ascii="Arial" w:cs="Arial" w:eastAsia="Arial" w:hAnsi="Arial"/>
                <w:sz w:val="18"/>
                <w:szCs w:val="18"/>
                <w:color w:val="0000FF"/>
              </w:rPr>
              <w:t>Rule 13a-14(a) and Rule 15d-14(a)</w:t>
            </w:r>
          </w:p>
        </w:tc>
        <w:tc>
          <w:tcPr>
            <w:tcW w:w="200" w:type="dxa"/>
            <w:vAlign w:val="bottom"/>
            <w:gridSpan w:val="4"/>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0000FF"/>
              </w:rPr>
              <w:t>Certification pursuant to 18 U.S.C. Section 1350, as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adopted pursuant to Section 906 of the Sarbanes-</w:t>
            </w:r>
          </w:p>
        </w:tc>
        <w:tc>
          <w:tcPr>
            <w:tcW w:w="30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FF"/>
            </w:tcBorders>
            <w:gridSpan w:val="8"/>
          </w:tcPr>
          <w:p>
            <w:pPr>
              <w:spacing w:after="0" w:line="196" w:lineRule="exact"/>
              <w:rPr>
                <w:sz w:val="20"/>
                <w:szCs w:val="20"/>
                <w:color w:val="auto"/>
              </w:rPr>
            </w:pPr>
            <w:r>
              <w:rPr>
                <w:rFonts w:ascii="Arial" w:cs="Arial" w:eastAsia="Arial" w:hAnsi="Arial"/>
                <w:sz w:val="18"/>
                <w:szCs w:val="18"/>
                <w:color w:val="0000FF"/>
                <w:w w:val="99"/>
              </w:rPr>
              <w:t>Oxley Act of 2002, from First Busey’s Chief Executive</w:t>
            </w:r>
          </w:p>
        </w:tc>
        <w:tc>
          <w:tcPr>
            <w:tcW w:w="160" w:type="dxa"/>
            <w:vAlign w:val="bottom"/>
            <w:gridSpan w:val="3"/>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Borders>
              <w:bottom w:val="single" w:sz="8" w:color="0000FF"/>
            </w:tcBorders>
            <w:gridSpan w:val="2"/>
          </w:tcPr>
          <w:p>
            <w:pPr>
              <w:spacing w:after="0" w:line="196" w:lineRule="exact"/>
              <w:rPr>
                <w:sz w:val="20"/>
                <w:szCs w:val="20"/>
                <w:color w:val="auto"/>
              </w:rPr>
            </w:pPr>
            <w:r>
              <w:rPr>
                <w:rFonts w:ascii="Arial" w:cs="Arial" w:eastAsia="Arial" w:hAnsi="Arial"/>
                <w:sz w:val="18"/>
                <w:szCs w:val="18"/>
                <w:color w:val="0000FF"/>
                <w:w w:val="98"/>
              </w:rPr>
              <w:t>Officer</w:t>
            </w:r>
          </w:p>
        </w:tc>
        <w:tc>
          <w:tcPr>
            <w:tcW w:w="3880" w:type="dxa"/>
            <w:vAlign w:val="bottom"/>
            <w:gridSpan w:val="9"/>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2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0000FF"/>
              </w:rPr>
              <w:t>Certification pursuant to 18 U.S.C. Section 1350, as</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20" w:type="dxa"/>
            <w:vAlign w:val="bottom"/>
            <w:tcBorders>
              <w:top w:val="single" w:sz="8" w:color="0000FF"/>
            </w:tcBorders>
            <w:gridSpan w:val="5"/>
          </w:tcPr>
          <w:p>
            <w:pPr>
              <w:spacing w:after="0" w:line="196" w:lineRule="exact"/>
              <w:rPr>
                <w:sz w:val="20"/>
                <w:szCs w:val="20"/>
                <w:color w:val="auto"/>
              </w:rPr>
            </w:pPr>
            <w:r>
              <w:rPr>
                <w:rFonts w:ascii="Arial" w:cs="Arial" w:eastAsia="Arial" w:hAnsi="Arial"/>
                <w:sz w:val="18"/>
                <w:szCs w:val="18"/>
                <w:color w:val="0000FF"/>
              </w:rPr>
              <w:t>adopted pursuant to Section 906 of the Sarbanes-</w:t>
            </w:r>
          </w:p>
        </w:tc>
        <w:tc>
          <w:tcPr>
            <w:tcW w:w="300" w:type="dxa"/>
            <w:vAlign w:val="bottom"/>
            <w:gridSpan w:val="6"/>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196" w:lineRule="exact"/>
              <w:rPr>
                <w:sz w:val="20"/>
                <w:szCs w:val="20"/>
                <w:color w:val="auto"/>
              </w:rPr>
            </w:pPr>
            <w:r>
              <w:rPr>
                <w:rFonts w:ascii="Arial" w:cs="Arial" w:eastAsia="Arial" w:hAnsi="Arial"/>
                <w:sz w:val="18"/>
                <w:szCs w:val="18"/>
                <w:color w:val="0000FF"/>
                <w:w w:val="99"/>
              </w:rPr>
              <w:t>Oxley Act of 2002, from First Busey’s Chief Financial</w:t>
            </w:r>
          </w:p>
        </w:tc>
        <w:tc>
          <w:tcPr>
            <w:tcW w:w="220" w:type="dxa"/>
            <w:vAlign w:val="bottom"/>
            <w:gridSpan w:val="5"/>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gridSpan w:val="11"/>
          </w:tcPr>
          <w:p>
            <w:pPr>
              <w:spacing w:after="0" w:line="196" w:lineRule="exact"/>
              <w:rPr>
                <w:sz w:val="20"/>
                <w:szCs w:val="20"/>
                <w:color w:val="auto"/>
              </w:rPr>
            </w:pPr>
            <w:r>
              <w:rPr>
                <w:rFonts w:ascii="Arial" w:cs="Arial" w:eastAsia="Arial" w:hAnsi="Arial"/>
                <w:sz w:val="18"/>
                <w:szCs w:val="18"/>
                <w:color w:val="0000FF"/>
              </w:rPr>
              <w:t>Officer</w:t>
            </w: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900" w:type="dxa"/>
            <w:vAlign w:val="bottom"/>
            <w:gridSpan w:val="1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7"/>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Instance Document</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Taxonomy Extension Schema</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Taxonomy Extension Calculation Linkbase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Taxonomy Extension Label Linkbase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Taxonomy Extension Presentation Linkbase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4420" w:type="dxa"/>
            <w:vAlign w:val="bottom"/>
            <w:gridSpan w:val="11"/>
          </w:tcPr>
          <w:p>
            <w:pPr>
              <w:spacing w:after="0"/>
              <w:rPr>
                <w:sz w:val="20"/>
                <w:szCs w:val="20"/>
                <w:color w:val="auto"/>
              </w:rPr>
            </w:pPr>
            <w:r>
              <w:rPr>
                <w:rFonts w:ascii="Arial" w:cs="Arial" w:eastAsia="Arial" w:hAnsi="Arial"/>
                <w:sz w:val="18"/>
                <w:szCs w:val="18"/>
                <w:color w:val="auto"/>
              </w:rPr>
              <w:t>iXBRL Taxonomy Extension Definition Linkbase</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40" w:right="5700" w:hanging="1214"/>
        <w:spacing w:after="0" w:line="268"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6"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 as of August 5, 2025.</w:t>
      </w:r>
    </w:p>
    <w:p>
      <w:pPr>
        <w:spacing w:after="0" w:line="20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(Registrant)</w:t>
      </w:r>
    </w:p>
    <w:p>
      <w:pPr>
        <w:spacing w:after="0" w:line="315" w:lineRule="exact"/>
        <w:rPr>
          <w:sz w:val="20"/>
          <w:szCs w:val="20"/>
          <w:color w:val="auto"/>
        </w:rPr>
      </w:pPr>
    </w:p>
    <w:p>
      <w:pPr>
        <w:ind w:left="4480"/>
        <w:spacing w:after="0"/>
        <w:tabs>
          <w:tab w:leader="none" w:pos="4980" w:val="left"/>
        </w:tabs>
        <w:rPr>
          <w:sz w:val="20"/>
          <w:szCs w:val="20"/>
          <w:color w:val="auto"/>
        </w:rPr>
      </w:pPr>
      <w:r>
        <w:rPr>
          <w:rFonts w:ascii="Arial" w:cs="Arial" w:eastAsia="Arial" w:hAnsi="Arial"/>
          <w:sz w:val="18"/>
          <w:szCs w:val="18"/>
          <w:color w:val="auto"/>
        </w:rPr>
        <w:t>By:</w:t>
        <w:tab/>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34925</wp:posOffset>
            </wp:positionV>
            <wp:extent cx="396875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7">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Van A. Dukeman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Chairman and Chief Executive Officer</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Executive Officer)</w:t>
      </w:r>
    </w:p>
    <w:p>
      <w:pPr>
        <w:spacing w:after="0" w:line="315" w:lineRule="exact"/>
        <w:rPr>
          <w:sz w:val="20"/>
          <w:szCs w:val="20"/>
          <w:color w:val="auto"/>
        </w:rPr>
      </w:pPr>
    </w:p>
    <w:p>
      <w:pPr>
        <w:ind w:left="4480"/>
        <w:spacing w:after="0"/>
        <w:tabs>
          <w:tab w:leader="none" w:pos="4980" w:val="left"/>
        </w:tabs>
        <w:rPr>
          <w:sz w:val="20"/>
          <w:szCs w:val="20"/>
          <w:color w:val="auto"/>
        </w:rPr>
      </w:pPr>
      <w:r>
        <w:rPr>
          <w:rFonts w:ascii="Arial" w:cs="Arial" w:eastAsia="Arial" w:hAnsi="Arial"/>
          <w:sz w:val="18"/>
          <w:szCs w:val="18"/>
          <w:color w:val="auto"/>
        </w:rPr>
        <w:t>By:</w:t>
        <w:tab/>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34925</wp:posOffset>
            </wp:positionV>
            <wp:extent cx="39687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8">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5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Scott A. Phillips</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Interim Chief Financial Officer, Executive Vice President and Chief Accounting</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8"/>
          <w:szCs w:val="18"/>
          <w:color w:val="808285"/>
        </w:rPr>
        <w:t xml:space="preserve">First Busey Corporation (BUSE) | </w:t>
      </w:r>
      <w:r>
        <w:rPr>
          <w:rFonts w:ascii="Arial" w:cs="Arial" w:eastAsia="Arial" w:hAnsi="Arial"/>
          <w:sz w:val="18"/>
          <w:szCs w:val="18"/>
          <w:b w:val="1"/>
          <w:bCs w:val="1"/>
          <w:color w:val="376484"/>
        </w:rPr>
        <w:t>113</w:t>
      </w:r>
    </w:p>
    <w:p>
      <w:pPr>
        <w:sectPr>
          <w:pgSz w:w="11900" w:h="16838" w:orient="portrait"/>
          <w:cols w:equalWidth="0" w:num="1">
            <w:col w:w="11240"/>
          </w:cols>
          <w:pgMar w:left="320" w:top="296" w:right="339" w:bottom="1440" w:gutter="0" w:footer="0" w:header="0"/>
        </w:sectPr>
      </w:pPr>
    </w:p>
    <w:bookmarkStart w:id="113" w:name="page114"/>
    <w:bookmarkEnd w:id="113"/>
    <w:p>
      <w:pPr>
        <w:jc w:val="right"/>
        <w:spacing w:after="0"/>
        <w:rPr>
          <w:sz w:val="20"/>
          <w:szCs w:val="20"/>
          <w:color w:val="auto"/>
        </w:rPr>
      </w:pPr>
      <w:r>
        <w:rPr>
          <w:rFonts w:ascii="Verdana" w:cs="Verdana" w:eastAsia="Verdana" w:hAnsi="Verdana"/>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980"/>
        <w:spacing w:after="0"/>
        <w:rPr>
          <w:sz w:val="20"/>
          <w:szCs w:val="20"/>
          <w:color w:val="auto"/>
        </w:rPr>
      </w:pPr>
      <w:r>
        <w:rPr>
          <w:rFonts w:ascii="Verdana" w:cs="Verdana" w:eastAsia="Verdana" w:hAnsi="Verdana"/>
          <w:sz w:val="18"/>
          <w:szCs w:val="18"/>
          <w:b w:val="1"/>
          <w:bCs w:val="1"/>
          <w:color w:val="auto"/>
        </w:rPr>
        <w:t>CERTIFICATION OF PRINCIPAL EXECUTIVE OFFICER</w:t>
      </w:r>
    </w:p>
    <w:p>
      <w:pPr>
        <w:spacing w:after="0" w:line="146" w:lineRule="exact"/>
        <w:rPr>
          <w:sz w:val="20"/>
          <w:szCs w:val="20"/>
          <w:color w:val="auto"/>
        </w:rPr>
      </w:pPr>
    </w:p>
    <w:p>
      <w:pPr>
        <w:spacing w:after="0"/>
        <w:rPr>
          <w:sz w:val="20"/>
          <w:szCs w:val="20"/>
          <w:color w:val="auto"/>
        </w:rPr>
      </w:pPr>
      <w:r>
        <w:rPr>
          <w:rFonts w:ascii="Verdana" w:cs="Verdana" w:eastAsia="Verdana" w:hAnsi="Verdana"/>
          <w:sz w:val="18"/>
          <w:szCs w:val="18"/>
          <w:color w:val="auto"/>
        </w:rPr>
        <w:t>I, Van A. Dukeman, Chairman and Chief Executive Officer of First Busey Corporation, certify that:</w:t>
      </w:r>
    </w:p>
    <w:p>
      <w:pPr>
        <w:spacing w:after="0" w:line="146" w:lineRule="exact"/>
        <w:rPr>
          <w:sz w:val="20"/>
          <w:szCs w:val="20"/>
          <w:color w:val="auto"/>
        </w:rPr>
      </w:pPr>
    </w:p>
    <w:p>
      <w:pPr>
        <w:ind w:left="320" w:hanging="312"/>
        <w:spacing w:after="0"/>
        <w:tabs>
          <w:tab w:leader="none" w:pos="320"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0"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18"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1"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16"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1" w:lineRule="exact"/>
        <w:rPr>
          <w:rFonts w:ascii="Verdana" w:cs="Verdana" w:eastAsia="Verdana" w:hAnsi="Verdana"/>
          <w:sz w:val="18"/>
          <w:szCs w:val="18"/>
          <w:color w:val="auto"/>
        </w:rPr>
      </w:pPr>
    </w:p>
    <w:p>
      <w:pPr>
        <w:jc w:val="both"/>
        <w:ind w:left="340" w:right="20" w:hanging="332"/>
        <w:spacing w:after="0" w:line="214" w:lineRule="auto"/>
        <w:tabs>
          <w:tab w:leader="none" w:pos="333" w:val="left"/>
        </w:tabs>
        <w:numPr>
          <w:ilvl w:val="0"/>
          <w:numId w:val="52"/>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0"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Verdana" w:cs="Verdana" w:eastAsia="Verdana" w:hAnsi="Verdana"/>
          <w:sz w:val="18"/>
          <w:szCs w:val="18"/>
          <w:color w:val="auto"/>
        </w:rPr>
      </w:pPr>
    </w:p>
    <w:p>
      <w:pPr>
        <w:ind w:left="660" w:hanging="328"/>
        <w:spacing w:after="0" w:line="232" w:lineRule="auto"/>
        <w:tabs>
          <w:tab w:leader="none" w:pos="651" w:val="left"/>
        </w:tabs>
        <w:numPr>
          <w:ilvl w:val="1"/>
          <w:numId w:val="52"/>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60"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5,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4" w:name="page115"/>
    <w:bookmarkEnd w:id="114"/>
    <w:p>
      <w:pPr>
        <w:jc w:val="right"/>
        <w:spacing w:after="0"/>
        <w:rPr>
          <w:sz w:val="20"/>
          <w:szCs w:val="20"/>
          <w:color w:val="auto"/>
        </w:rPr>
      </w:pPr>
      <w:r>
        <w:rPr>
          <w:rFonts w:ascii="Verdana" w:cs="Verdana" w:eastAsia="Verdana" w:hAnsi="Verdana"/>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 OF PRINCIPAL FINANCIAL OFFICER</w:t>
      </w:r>
    </w:p>
    <w:p>
      <w:pPr>
        <w:spacing w:after="0" w:line="146" w:lineRule="exact"/>
        <w:rPr>
          <w:sz w:val="20"/>
          <w:szCs w:val="20"/>
          <w:color w:val="auto"/>
        </w:rPr>
      </w:pPr>
    </w:p>
    <w:p>
      <w:pPr>
        <w:spacing w:after="0" w:line="232" w:lineRule="auto"/>
        <w:rPr>
          <w:sz w:val="20"/>
          <w:szCs w:val="20"/>
          <w:color w:val="auto"/>
        </w:rPr>
      </w:pPr>
      <w:r>
        <w:rPr>
          <w:rFonts w:ascii="Verdana" w:cs="Verdana" w:eastAsia="Verdana" w:hAnsi="Verdana"/>
          <w:sz w:val="18"/>
          <w:szCs w:val="18"/>
          <w:color w:val="auto"/>
        </w:rPr>
        <w:t>I, Scott A. Phillips, Interim Chief Financial Officer, Executive Vice President and Chief Accounting Officer of First Busey Corporation, certify that:</w:t>
      </w:r>
    </w:p>
    <w:p>
      <w:pPr>
        <w:spacing w:after="0" w:line="117" w:lineRule="exact"/>
        <w:rPr>
          <w:sz w:val="20"/>
          <w:szCs w:val="20"/>
          <w:color w:val="auto"/>
        </w:rPr>
      </w:pPr>
    </w:p>
    <w:p>
      <w:pPr>
        <w:ind w:left="320" w:hanging="312"/>
        <w:spacing w:after="0"/>
        <w:tabs>
          <w:tab w:leader="none" w:pos="320"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I have reviewed this Quarterly Report on Form 10-Q of First Busey Corporation;</w:t>
      </w:r>
    </w:p>
    <w:p>
      <w:pPr>
        <w:spacing w:after="0" w:line="145"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16" w:lineRule="exact"/>
        <w:rPr>
          <w:rFonts w:ascii="Verdana" w:cs="Verdana" w:eastAsia="Verdana" w:hAnsi="Verdana"/>
          <w:sz w:val="18"/>
          <w:szCs w:val="18"/>
          <w:color w:val="auto"/>
        </w:rPr>
      </w:pPr>
    </w:p>
    <w:p>
      <w:pPr>
        <w:jc w:val="both"/>
        <w:ind w:left="340" w:hanging="332"/>
        <w:spacing w:after="0" w:line="219" w:lineRule="auto"/>
        <w:tabs>
          <w:tab w:leader="none" w:pos="333"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0" w:lineRule="exact"/>
        <w:rPr>
          <w:rFonts w:ascii="Verdana" w:cs="Verdana" w:eastAsia="Verdana" w:hAnsi="Verdana"/>
          <w:sz w:val="18"/>
          <w:szCs w:val="18"/>
          <w:color w:val="auto"/>
        </w:rPr>
      </w:pPr>
    </w:p>
    <w:p>
      <w:pPr>
        <w:jc w:val="both"/>
        <w:ind w:left="340" w:hanging="332"/>
        <w:spacing w:after="0" w:line="214" w:lineRule="auto"/>
        <w:tabs>
          <w:tab w:leader="none" w:pos="333"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rFonts w:ascii="Verdana" w:cs="Verdana" w:eastAsia="Verdana" w:hAnsi="Verdana"/>
          <w:sz w:val="18"/>
          <w:szCs w:val="18"/>
          <w:color w:val="auto"/>
        </w:rPr>
      </w:pPr>
    </w:p>
    <w:p>
      <w:pPr>
        <w:jc w:val="both"/>
        <w:ind w:left="660" w:hanging="328"/>
        <w:spacing w:after="0" w:line="212" w:lineRule="auto"/>
        <w:tabs>
          <w:tab w:leader="none" w:pos="647"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31" w:lineRule="exact"/>
        <w:rPr>
          <w:rFonts w:ascii="Verdana" w:cs="Verdana" w:eastAsia="Verdana" w:hAnsi="Verdana"/>
          <w:sz w:val="18"/>
          <w:szCs w:val="18"/>
          <w:color w:val="auto"/>
        </w:rPr>
      </w:pPr>
    </w:p>
    <w:p>
      <w:pPr>
        <w:jc w:val="both"/>
        <w:ind w:left="660" w:hanging="328"/>
        <w:spacing w:after="0" w:line="212" w:lineRule="auto"/>
        <w:tabs>
          <w:tab w:leader="none" w:pos="651"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8" w:lineRule="exact"/>
        <w:rPr>
          <w:rFonts w:ascii="Verdana" w:cs="Verdana" w:eastAsia="Verdana" w:hAnsi="Verdana"/>
          <w:sz w:val="18"/>
          <w:szCs w:val="18"/>
          <w:color w:val="auto"/>
        </w:rPr>
      </w:pPr>
    </w:p>
    <w:p>
      <w:pPr>
        <w:jc w:val="both"/>
        <w:ind w:left="660" w:hanging="328"/>
        <w:spacing w:after="0" w:line="219" w:lineRule="auto"/>
        <w:tabs>
          <w:tab w:leader="none" w:pos="660"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30" w:lineRule="exact"/>
        <w:rPr>
          <w:rFonts w:ascii="Verdana" w:cs="Verdana" w:eastAsia="Verdana" w:hAnsi="Verdana"/>
          <w:sz w:val="18"/>
          <w:szCs w:val="18"/>
          <w:color w:val="auto"/>
        </w:rPr>
      </w:pPr>
    </w:p>
    <w:p>
      <w:pPr>
        <w:jc w:val="both"/>
        <w:ind w:left="660" w:hanging="328"/>
        <w:spacing w:after="0" w:line="208" w:lineRule="auto"/>
        <w:tabs>
          <w:tab w:leader="none" w:pos="651"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Verdana" w:cs="Verdana" w:eastAsia="Verdana" w:hAnsi="Verdana"/>
          <w:sz w:val="18"/>
          <w:szCs w:val="18"/>
          <w:color w:val="auto"/>
        </w:rPr>
      </w:pPr>
    </w:p>
    <w:p>
      <w:pPr>
        <w:jc w:val="both"/>
        <w:ind w:left="340" w:right="20" w:hanging="332"/>
        <w:spacing w:after="0" w:line="219" w:lineRule="auto"/>
        <w:tabs>
          <w:tab w:leader="none" w:pos="333" w:val="left"/>
        </w:tabs>
        <w:numPr>
          <w:ilvl w:val="0"/>
          <w:numId w:val="53"/>
        </w:numPr>
        <w:rPr>
          <w:rFonts w:ascii="Verdana" w:cs="Verdana" w:eastAsia="Verdana" w:hAnsi="Verdana"/>
          <w:sz w:val="18"/>
          <w:szCs w:val="18"/>
          <w:color w:val="auto"/>
        </w:rPr>
      </w:pPr>
      <w:r>
        <w:rPr>
          <w:rFonts w:ascii="Verdana" w:cs="Verdana" w:eastAsia="Verdana" w:hAnsi="Verdana"/>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Verdana" w:cs="Verdana" w:eastAsia="Verdana" w:hAnsi="Verdana"/>
          <w:sz w:val="18"/>
          <w:szCs w:val="18"/>
          <w:color w:val="auto"/>
        </w:rPr>
      </w:pPr>
    </w:p>
    <w:p>
      <w:pPr>
        <w:jc w:val="both"/>
        <w:ind w:left="660" w:hanging="328"/>
        <w:spacing w:after="0" w:line="219" w:lineRule="auto"/>
        <w:tabs>
          <w:tab w:leader="none" w:pos="647"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0" w:lineRule="exact"/>
        <w:rPr>
          <w:rFonts w:ascii="Verdana" w:cs="Verdana" w:eastAsia="Verdana" w:hAnsi="Verdana"/>
          <w:sz w:val="18"/>
          <w:szCs w:val="18"/>
          <w:color w:val="auto"/>
        </w:rPr>
      </w:pPr>
    </w:p>
    <w:p>
      <w:pPr>
        <w:ind w:left="660" w:hanging="328"/>
        <w:spacing w:after="0" w:line="225" w:lineRule="auto"/>
        <w:tabs>
          <w:tab w:leader="none" w:pos="651" w:val="left"/>
        </w:tabs>
        <w:numPr>
          <w:ilvl w:val="1"/>
          <w:numId w:val="53"/>
        </w:numPr>
        <w:rPr>
          <w:rFonts w:ascii="Verdana" w:cs="Verdana" w:eastAsia="Verdana" w:hAnsi="Verdana"/>
          <w:sz w:val="18"/>
          <w:szCs w:val="18"/>
          <w:color w:val="auto"/>
        </w:rPr>
      </w:pPr>
      <w:r>
        <w:rPr>
          <w:rFonts w:ascii="Verdana" w:cs="Verdana" w:eastAsia="Verdana" w:hAnsi="Verdana"/>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10160</wp:posOffset>
            </wp:positionV>
            <wp:extent cx="35661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Scott A. Phillips</w:t>
      </w:r>
    </w:p>
    <w:p>
      <w:pPr>
        <w:ind w:left="5640"/>
        <w:spacing w:after="0" w:line="226" w:lineRule="auto"/>
        <w:rPr>
          <w:sz w:val="20"/>
          <w:szCs w:val="20"/>
          <w:color w:val="auto"/>
        </w:rPr>
      </w:pPr>
      <w:r>
        <w:rPr>
          <w:rFonts w:ascii="Verdana" w:cs="Verdana" w:eastAsia="Verdana" w:hAnsi="Verdana"/>
          <w:sz w:val="16"/>
          <w:szCs w:val="16"/>
          <w:color w:val="auto"/>
        </w:rPr>
        <w:t>Interim Chief Financial Officer, Executive Vice President and Chief</w:t>
      </w:r>
    </w:p>
    <w:p>
      <w:pPr>
        <w:ind w:left="5640"/>
        <w:spacing w:after="0"/>
        <w:rPr>
          <w:sz w:val="20"/>
          <w:szCs w:val="20"/>
          <w:color w:val="auto"/>
        </w:rPr>
      </w:pPr>
      <w:r>
        <w:rPr>
          <w:rFonts w:ascii="Verdana" w:cs="Verdana" w:eastAsia="Verdana" w:hAnsi="Verdana"/>
          <w:sz w:val="16"/>
          <w:szCs w:val="16"/>
          <w:color w:val="auto"/>
        </w:rPr>
        <w:t>Accounting Officer</w:t>
      </w:r>
    </w:p>
    <w:p>
      <w:pPr>
        <w:spacing w:after="0" w:line="260"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5, 2025</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5" w:name="page116"/>
    <w:bookmarkEnd w:id="115"/>
    <w:p>
      <w:pPr>
        <w:jc w:val="right"/>
        <w:spacing w:after="0"/>
        <w:rPr>
          <w:sz w:val="20"/>
          <w:szCs w:val="20"/>
          <w:color w:val="auto"/>
        </w:rPr>
      </w:pPr>
      <w:r>
        <w:rPr>
          <w:rFonts w:ascii="Verdana" w:cs="Verdana" w:eastAsia="Verdana" w:hAnsi="Verdana"/>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June 30, 2025,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29"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5"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Van A. Dukeman</w:t>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Chairman and Chief Executive Officer</w:t>
      </w:r>
    </w:p>
    <w:p>
      <w:pPr>
        <w:spacing w:after="0" w:line="287"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5,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116" w:name="page117"/>
    <w:bookmarkEnd w:id="116"/>
    <w:p>
      <w:pPr>
        <w:jc w:val="right"/>
        <w:spacing w:after="0"/>
        <w:rPr>
          <w:sz w:val="20"/>
          <w:szCs w:val="20"/>
          <w:color w:val="auto"/>
        </w:rPr>
      </w:pPr>
      <w:r>
        <w:rPr>
          <w:rFonts w:ascii="Verdana" w:cs="Verdana" w:eastAsia="Verdana" w:hAnsi="Verdana"/>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45" w:lineRule="auto"/>
        <w:rPr>
          <w:sz w:val="20"/>
          <w:szCs w:val="20"/>
          <w:color w:val="auto"/>
        </w:rPr>
      </w:pPr>
      <w:r>
        <w:rPr>
          <w:rFonts w:ascii="Verdana" w:cs="Verdana" w:eastAsia="Verdana" w:hAnsi="Verdana"/>
          <w:sz w:val="18"/>
          <w:szCs w:val="18"/>
          <w:color w:val="auto"/>
        </w:rPr>
        <w:t>The following certification is provided by the undersigned Interim Chief Financial Officer of First Busey Corporation on the basis of such officer’s knowledge and belief for the sole purpose of complying with 18 U.S.C. Section 1350, as adopted pursuant to Section 906 of the Sarbanes-Oxley Act of 2002.</w:t>
      </w:r>
    </w:p>
    <w:p>
      <w:pPr>
        <w:spacing w:after="0" w:line="167" w:lineRule="exact"/>
        <w:rPr>
          <w:sz w:val="20"/>
          <w:szCs w:val="20"/>
          <w:color w:val="auto"/>
        </w:rPr>
      </w:pPr>
    </w:p>
    <w:p>
      <w:pPr>
        <w:jc w:val="center"/>
        <w:spacing w:after="0"/>
        <w:rPr>
          <w:sz w:val="20"/>
          <w:szCs w:val="20"/>
          <w:color w:val="auto"/>
        </w:rPr>
      </w:pPr>
      <w:r>
        <w:rPr>
          <w:rFonts w:ascii="Verdana" w:cs="Verdana" w:eastAsia="Verdana" w:hAnsi="Verdana"/>
          <w:sz w:val="18"/>
          <w:szCs w:val="18"/>
          <w:b w:val="1"/>
          <w:bCs w:val="1"/>
          <w:color w:val="auto"/>
        </w:rPr>
        <w:t>CERTIFICATION</w:t>
      </w:r>
    </w:p>
    <w:p>
      <w:pPr>
        <w:spacing w:after="0" w:line="173" w:lineRule="exact"/>
        <w:rPr>
          <w:sz w:val="20"/>
          <w:szCs w:val="20"/>
          <w:color w:val="auto"/>
        </w:rPr>
      </w:pPr>
    </w:p>
    <w:p>
      <w:pPr>
        <w:jc w:val="both"/>
        <w:spacing w:after="0" w:line="241" w:lineRule="auto"/>
        <w:rPr>
          <w:sz w:val="20"/>
          <w:szCs w:val="20"/>
          <w:color w:val="auto"/>
        </w:rPr>
      </w:pPr>
      <w:r>
        <w:rPr>
          <w:rFonts w:ascii="Verdana" w:cs="Verdana" w:eastAsia="Verdana" w:hAnsi="Verdana"/>
          <w:sz w:val="18"/>
          <w:szCs w:val="18"/>
          <w:color w:val="auto"/>
        </w:rPr>
        <w:t>I hereby certify, pursuant to 18 U.S.C. Section 1350, as adopted pursuant to Section 906 of the Sarbanes-Oxley Act of 2002, that the accompanying Quarterly Report of First Busey Corporation on Form 10-Q for the quarter ended June 30, 2025,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11" w:lineRule="exact"/>
        <w:rPr>
          <w:sz w:val="20"/>
          <w:szCs w:val="20"/>
          <w:color w:val="auto"/>
        </w:rPr>
      </w:pPr>
    </w:p>
    <w:p>
      <w:pPr>
        <w:ind w:left="5640"/>
        <w:spacing w:after="0"/>
        <w:rPr>
          <w:sz w:val="20"/>
          <w:szCs w:val="20"/>
          <w:color w:val="auto"/>
        </w:rPr>
      </w:pPr>
      <w:r>
        <w:rPr>
          <w:rFonts w:ascii="Verdana" w:cs="Verdana" w:eastAsia="Verdana" w:hAnsi="Verdana"/>
          <w:sz w:val="18"/>
          <w:szCs w:val="18"/>
          <w:color w:val="auto"/>
        </w:rPr>
        <w:t>/s/ SCOTT A.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19050</wp:posOffset>
            </wp:positionV>
            <wp:extent cx="356616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2" w:lineRule="exact"/>
        <w:rPr>
          <w:sz w:val="20"/>
          <w:szCs w:val="20"/>
          <w:color w:val="auto"/>
        </w:rPr>
      </w:pPr>
    </w:p>
    <w:p>
      <w:pPr>
        <w:ind w:left="5640"/>
        <w:spacing w:after="0"/>
        <w:rPr>
          <w:sz w:val="20"/>
          <w:szCs w:val="20"/>
          <w:color w:val="auto"/>
        </w:rPr>
      </w:pPr>
      <w:r>
        <w:rPr>
          <w:rFonts w:ascii="Verdana" w:cs="Verdana" w:eastAsia="Verdana" w:hAnsi="Verdana"/>
          <w:sz w:val="16"/>
          <w:szCs w:val="16"/>
          <w:color w:val="auto"/>
        </w:rPr>
        <w:t>Scott A. Phillips</w:t>
      </w:r>
    </w:p>
    <w:p>
      <w:pPr>
        <w:ind w:left="5640"/>
        <w:spacing w:after="0" w:line="226" w:lineRule="auto"/>
        <w:rPr>
          <w:sz w:val="20"/>
          <w:szCs w:val="20"/>
          <w:color w:val="auto"/>
        </w:rPr>
      </w:pPr>
      <w:r>
        <w:rPr>
          <w:rFonts w:ascii="Verdana" w:cs="Verdana" w:eastAsia="Verdana" w:hAnsi="Verdana"/>
          <w:sz w:val="16"/>
          <w:szCs w:val="16"/>
          <w:color w:val="auto"/>
        </w:rPr>
        <w:t>Interim Chief Financial Officer, Executive Vice President and Chief</w:t>
      </w:r>
    </w:p>
    <w:p>
      <w:pPr>
        <w:ind w:left="5640"/>
        <w:spacing w:after="0"/>
        <w:rPr>
          <w:sz w:val="20"/>
          <w:szCs w:val="20"/>
          <w:color w:val="auto"/>
        </w:rPr>
      </w:pPr>
      <w:r>
        <w:rPr>
          <w:rFonts w:ascii="Verdana" w:cs="Verdana" w:eastAsia="Verdana" w:hAnsi="Verdana"/>
          <w:sz w:val="16"/>
          <w:szCs w:val="16"/>
          <w:color w:val="auto"/>
        </w:rPr>
        <w:t>Accounting Officer</w:t>
      </w:r>
    </w:p>
    <w:p>
      <w:pPr>
        <w:spacing w:after="0" w:line="287" w:lineRule="exact"/>
        <w:rPr>
          <w:sz w:val="20"/>
          <w:szCs w:val="20"/>
          <w:color w:val="auto"/>
        </w:rPr>
      </w:pPr>
    </w:p>
    <w:p>
      <w:pPr>
        <w:spacing w:after="0"/>
        <w:rPr>
          <w:sz w:val="20"/>
          <w:szCs w:val="20"/>
          <w:color w:val="auto"/>
        </w:rPr>
      </w:pPr>
      <w:r>
        <w:rPr>
          <w:rFonts w:ascii="Verdana" w:cs="Verdana" w:eastAsia="Verdana" w:hAnsi="Verdana"/>
          <w:sz w:val="18"/>
          <w:szCs w:val="18"/>
          <w:color w:val="auto"/>
        </w:rPr>
        <w:t>Date: August 5, 2025</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decimal"/>
      <w:start w:val="1"/>
    </w:lvl>
  </w:abstractNum>
  <w:abstractNum w:abstractNumId="5">
    <w:nsid w:val="3A95F874"/>
    <w:multiLevelType w:val="hybridMultilevel"/>
    <w:lvl w:ilvl="0">
      <w:lvlJc w:val="left"/>
      <w:lvlText w:val="%1."/>
      <w:numFmt w:val="decimal"/>
      <w:start w:val="1"/>
    </w:lvl>
  </w:abstractNum>
  <w:abstractNum w:abstractNumId="6">
    <w:nsid w:val="8138641"/>
    <w:multiLevelType w:val="hybridMultilevel"/>
    <w:lvl w:ilvl="0">
      <w:lvlJc w:val="left"/>
      <w:lvlText w:val="%1."/>
      <w:numFmt w:val="decimal"/>
      <w:start w:val="1"/>
    </w:lvl>
  </w:abstractNum>
  <w:abstractNum w:abstractNumId="7">
    <w:nsid w:val="1E7FF521"/>
    <w:multiLevelType w:val="hybridMultilevel"/>
    <w:lvl w:ilvl="0">
      <w:lvlJc w:val="left"/>
      <w:lvlText w:val="%1."/>
      <w:numFmt w:val="decimal"/>
      <w:start w:val="1"/>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1."/>
      <w:numFmt w:val="decimal"/>
      <w:start w:val="1"/>
    </w:lvl>
  </w:abstractNum>
  <w:abstractNum w:abstractNumId="12">
    <w:nsid w:val="4516DDE9"/>
    <w:multiLevelType w:val="hybridMultilevel"/>
    <w:lvl w:ilvl="0">
      <w:lvlJc w:val="left"/>
      <w:lvlText w:val="%1."/>
      <w:numFmt w:val="decimal"/>
      <w:start w:val="1"/>
    </w:lvl>
  </w:abstractNum>
  <w:abstractNum w:abstractNumId="13">
    <w:nsid w:val="3006C83E"/>
    <w:multiLevelType w:val="hybridMultilevel"/>
    <w:lvl w:ilvl="0">
      <w:lvlJc w:val="left"/>
      <w:lvlText w:val="%1."/>
      <w:numFmt w:val="decimal"/>
      <w:start w:val="1"/>
    </w:lvl>
  </w:abstractNum>
  <w:abstractNum w:abstractNumId="14">
    <w:nsid w:val="614FD4A1"/>
    <w:multiLevelType w:val="hybridMultilevel"/>
    <w:lvl w:ilvl="0">
      <w:lvlJc w:val="left"/>
      <w:lvlText w:val="%1."/>
      <w:numFmt w:val="decimal"/>
      <w:start w:val="1"/>
    </w:lvl>
  </w:abstractNum>
  <w:abstractNum w:abstractNumId="15">
    <w:nsid w:val="419AC241"/>
    <w:multiLevelType w:val="hybridMultilevel"/>
    <w:lvl w:ilvl="0">
      <w:lvlJc w:val="left"/>
      <w:lvlText w:val="(%1)"/>
      <w:numFmt w:val="lowerRoman"/>
      <w:start w:val="3"/>
    </w:lvl>
    <w:lvl w:ilvl="1">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1."/>
      <w:numFmt w:val="decimal"/>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1."/>
      <w:numFmt w:val="decimal"/>
      <w:start w:val="1"/>
    </w:lvl>
  </w:abstractNum>
  <w:abstractNum w:abstractNumId="21">
    <w:nsid w:val="7724C67E"/>
    <w:multiLevelType w:val="hybridMultilevel"/>
    <w:lvl w:ilvl="0">
      <w:lvlJc w:val="left"/>
      <w:lvlText w:val="•"/>
      <w:numFmt w:val="bullet"/>
      <w:start w:val="1"/>
    </w:lvl>
  </w:abstractNum>
  <w:abstractNum w:abstractNumId="22">
    <w:nsid w:val="5C482A97"/>
    <w:multiLevelType w:val="hybridMultilevel"/>
    <w:lvl w:ilvl="0">
      <w:lvlJc w:val="left"/>
      <w:lvlText w:val="•"/>
      <w:numFmt w:val="bullet"/>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1."/>
      <w:numFmt w:val="decimal"/>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2"/>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3"/>
      <w:numFmt w:val="bullet"/>
      <w:start w:val="1"/>
    </w:lvl>
  </w:abstractNum>
  <w:abstractNum w:abstractNumId="43">
    <w:nsid w:val="32FFF902"/>
    <w:multiLevelType w:val="hybridMultilevel"/>
    <w:lvl w:ilvl="0">
      <w:lvlJc w:val="left"/>
      <w:lvlText w:val="%1."/>
      <w:numFmt w:val="decimal"/>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1"/>
    </w:lvl>
  </w:abstractNum>
  <w:abstractNum w:abstractNumId="46">
    <w:nsid w:val="749ABB43"/>
    <w:multiLevelType w:val="hybridMultilevel"/>
    <w:lvl w:ilvl="0">
      <w:lvlJc w:val="left"/>
      <w:lvlText w:val="%1."/>
      <w:numFmt w:val="decimal"/>
      <w:start w:val="1"/>
    </w:lvl>
  </w:abstractNum>
  <w:abstractNum w:abstractNumId="47">
    <w:nsid w:val="3DC240FB"/>
    <w:multiLevelType w:val="hybridMultilevel"/>
    <w:lvl w:ilvl="0">
      <w:lvlJc w:val="left"/>
      <w:lvlText w:val="%1."/>
      <w:numFmt w:val="decimal"/>
      <w:start w:val="1"/>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04"/>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9"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jpe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3" Type="http://schemas.openxmlformats.org/officeDocument/2006/relationships/image" Target="media/image98.png"/><Relationship Id="rId114"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4" Type="http://schemas.openxmlformats.org/officeDocument/2006/relationships/image" Target="media/image137.png"/><Relationship Id="rId155" Type="http://schemas.openxmlformats.org/officeDocument/2006/relationships/image" Target="media/image138.png"/><Relationship Id="rId156" Type="http://schemas.openxmlformats.org/officeDocument/2006/relationships/image" Target="media/image139.png"/><Relationship Id="rId157" Type="http://schemas.openxmlformats.org/officeDocument/2006/relationships/image" Target="media/image140.png"/><Relationship Id="rId158" Type="http://schemas.openxmlformats.org/officeDocument/2006/relationships/image" Target="media/image141.png"/><Relationship Id="rId159" Type="http://schemas.openxmlformats.org/officeDocument/2006/relationships/image" Target="media/image142.png"/><Relationship Id="rId160" Type="http://schemas.openxmlformats.org/officeDocument/2006/relationships/image" Target="media/image143.png"/><Relationship Id="rId161" Type="http://schemas.openxmlformats.org/officeDocument/2006/relationships/image" Target="media/image144.png"/><Relationship Id="rId162" Type="http://schemas.openxmlformats.org/officeDocument/2006/relationships/image" Target="media/image145.png"/><Relationship Id="rId27" Type="http://schemas.openxmlformats.org/officeDocument/2006/relationships/hyperlink" Target="https://www.sec.gov/Archives/edgar/data/314489/000031448925000041/buse-20241231.htm#iee3442b6153849d68ec48ad284abc6f2_220" TargetMode="External"/><Relationship Id="rId28" Type="http://schemas.openxmlformats.org/officeDocument/2006/relationships/hyperlink" Target="https://www.sec.gov/Archives/edgar/data/0000314489/000031448925000041/buse-20241231.htm" TargetMode="External"/><Relationship Id="rId30" Type="http://schemas.openxmlformats.org/officeDocument/2006/relationships/hyperlink" Target="https://www.sec.gov/ix?doc=/Archives/edgar/data/0000314489/000110465924093098/tm2422366d1_8k.htm" TargetMode="External"/><Relationship Id="rId31" Type="http://schemas.openxmlformats.org/officeDocument/2006/relationships/hyperlink" Target="https://www.sec.gov/ix?doc=/Archives/edgar/data/0000314489/000110465925051061/tm2514597d6_8k.htm" TargetMode="External"/><Relationship Id="rId34" Type="http://schemas.openxmlformats.org/officeDocument/2006/relationships/hyperlink" Target="https://www.sec.gov/Archives/edgar/data/314489/000110465924093098/tm2422366d1_ex2-1.htm" TargetMode="External"/><Relationship Id="rId92" Type="http://schemas.openxmlformats.org/officeDocument/2006/relationships/hyperlink" Target="https://www.sec.gov/Archives/edgar/data/314489/000031448925000041/buse-20241231.htm#iee3442b6153849d68ec48ad284abc6f2_241" TargetMode="External"/><Relationship Id="rId93" Type="http://schemas.openxmlformats.org/officeDocument/2006/relationships/hyperlink" Target="https://www.sec.gov/Archives/edgar/data/314489/000031448925000041/buse-20241231.htm" TargetMode="External"/><Relationship Id="rId112" Type="http://schemas.openxmlformats.org/officeDocument/2006/relationships/hyperlink" Target="https://www.sec.gov/Archives/edgar/data/314489/000031448925000041/buse-20241231.htm#iee3442b6153849d68ec48ad284abc6f2_238" TargetMode="External"/><Relationship Id="rId115" Type="http://schemas.openxmlformats.org/officeDocument/2006/relationships/hyperlink" Target="https://www.sec.gov/Archives/edgar/data/314489/000031448924000157/buse-20240331.htm#i40058eeafc0048118a3e9fc955695ee1_1266" TargetMode="External"/><Relationship Id="rId153" Type="http://schemas.openxmlformats.org/officeDocument/2006/relationships/hyperlink" Target="https://www.sec.gov/Archives/edgar/data/314489/000031448924000157/buse-20240331.htm#i40058eeafc0048118a3e9fc955695ee1_2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2025-08-05T15:24:10Z</dcterms:created>
  <dcterms:modified xsi:type="dcterms:W3CDTF">2025-08-05T15:24:10Z</dcterms:modified>
</cp:coreProperties>
</file>